
<file path=[Content_Types].xml><?xml version="1.0" encoding="utf-8"?>
<Types xmlns="http://schemas.openxmlformats.org/package/2006/content-types">
  <Default Extension="xml" ContentType="application/xml"/>
  <Default Extension="bin" ContentType="application/vnd.openxmlformats-officedocument.oleObject"/>
  <Default Extension="emf" ContentType="image/x-emf"/>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ustomizations.xml" ContentType="application/vnd.ms-word.keyMapCustomization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D9BD740">
      <w:pPr>
        <w:overflowPunct w:val="0"/>
        <w:ind w:firstLine="0" w:firstLineChars="0"/>
        <w:jc w:val="center"/>
        <w:rPr>
          <w:color w:val="auto"/>
          <w:szCs w:val="22"/>
          <w:highlight w:val="none"/>
        </w:rPr>
      </w:pPr>
    </w:p>
    <w:p w14:paraId="694E58FB">
      <w:pPr>
        <w:overflowPunct w:val="0"/>
        <w:ind w:firstLine="0" w:firstLineChars="0"/>
        <w:jc w:val="center"/>
        <w:rPr>
          <w:color w:val="auto"/>
          <w:szCs w:val="22"/>
          <w:highlight w:val="none"/>
        </w:rPr>
      </w:pPr>
    </w:p>
    <w:p w14:paraId="5749DF50">
      <w:pPr>
        <w:overflowPunct w:val="0"/>
        <w:ind w:firstLine="0" w:firstLineChars="0"/>
        <w:jc w:val="center"/>
        <w:rPr>
          <w:color w:val="auto"/>
          <w:szCs w:val="22"/>
          <w:highlight w:val="none"/>
        </w:rPr>
      </w:pPr>
    </w:p>
    <w:p w14:paraId="32AAE190">
      <w:pPr>
        <w:overflowPunct w:val="0"/>
        <w:spacing w:line="600" w:lineRule="auto"/>
        <w:ind w:right="193" w:rightChars="82" w:firstLine="257" w:firstLineChars="54"/>
        <w:jc w:val="center"/>
        <w:rPr>
          <w:b/>
          <w:color w:val="auto"/>
          <w:spacing w:val="100"/>
          <w:sz w:val="44"/>
          <w:szCs w:val="44"/>
          <w:highlight w:val="none"/>
        </w:rPr>
      </w:pPr>
      <w:r>
        <w:rPr>
          <w:rFonts w:hint="eastAsia" w:hAnsi="宋体"/>
          <w:b/>
          <w:color w:val="auto"/>
          <w:spacing w:val="20"/>
          <w:sz w:val="44"/>
          <w:szCs w:val="44"/>
          <w:highlight w:val="none"/>
        </w:rPr>
        <w:t>绥化市庆安县</w:t>
      </w:r>
      <w:r>
        <w:rPr>
          <w:rFonts w:hint="eastAsia" w:hAnsi="宋体"/>
          <w:b/>
          <w:color w:val="auto"/>
          <w:spacing w:val="20"/>
          <w:sz w:val="44"/>
          <w:szCs w:val="44"/>
          <w:highlight w:val="none"/>
          <w:lang w:eastAsia="zh-CN"/>
        </w:rPr>
        <w:t>丰收乡等</w:t>
      </w:r>
      <w:r>
        <w:rPr>
          <w:rFonts w:hint="eastAsia" w:hAnsi="宋体"/>
          <w:b/>
          <w:color w:val="auto"/>
          <w:spacing w:val="20"/>
          <w:sz w:val="44"/>
          <w:szCs w:val="44"/>
          <w:highlight w:val="none"/>
          <w:lang w:val="en-US" w:eastAsia="zh-CN"/>
        </w:rPr>
        <w:t>6个乡镇级和柳河镇新强村1个</w:t>
      </w:r>
      <w:r>
        <w:rPr>
          <w:rFonts w:hint="eastAsia" w:hAnsi="宋体"/>
          <w:b/>
          <w:color w:val="auto"/>
          <w:spacing w:val="20"/>
          <w:sz w:val="44"/>
          <w:szCs w:val="44"/>
          <w:highlight w:val="none"/>
          <w:lang w:eastAsia="zh-CN"/>
        </w:rPr>
        <w:t>村屯级</w:t>
      </w:r>
      <w:r>
        <w:rPr>
          <w:rFonts w:hint="eastAsia" w:hAnsi="宋体"/>
          <w:b/>
          <w:color w:val="auto"/>
          <w:spacing w:val="20"/>
          <w:sz w:val="44"/>
          <w:szCs w:val="44"/>
          <w:highlight w:val="none"/>
        </w:rPr>
        <w:t>集中式饮用水水源保护区</w:t>
      </w:r>
      <w:r>
        <w:rPr>
          <w:rFonts w:hint="eastAsia" w:hAnsi="宋体"/>
          <w:b/>
          <w:color w:val="auto"/>
          <w:spacing w:val="20"/>
          <w:sz w:val="44"/>
          <w:szCs w:val="44"/>
          <w:highlight w:val="none"/>
          <w:lang w:eastAsia="zh-CN"/>
        </w:rPr>
        <w:t>调整</w:t>
      </w:r>
      <w:r>
        <w:rPr>
          <w:rFonts w:hint="eastAsia" w:hAnsi="宋体"/>
          <w:b/>
          <w:color w:val="auto"/>
          <w:spacing w:val="20"/>
          <w:sz w:val="44"/>
          <w:szCs w:val="44"/>
          <w:highlight w:val="none"/>
        </w:rPr>
        <w:t>技术报告</w:t>
      </w:r>
    </w:p>
    <w:p w14:paraId="68AB61C4">
      <w:pPr>
        <w:overflowPunct w:val="0"/>
        <w:ind w:firstLine="0" w:firstLineChars="0"/>
        <w:jc w:val="center"/>
        <w:rPr>
          <w:color w:val="auto"/>
          <w:highlight w:val="none"/>
        </w:rPr>
      </w:pPr>
    </w:p>
    <w:p w14:paraId="254EA0D9">
      <w:pPr>
        <w:overflowPunct w:val="0"/>
        <w:ind w:firstLine="0" w:firstLineChars="0"/>
        <w:jc w:val="center"/>
        <w:rPr>
          <w:color w:val="auto"/>
          <w:highlight w:val="none"/>
        </w:rPr>
      </w:pPr>
    </w:p>
    <w:p w14:paraId="14113A14">
      <w:pPr>
        <w:overflowPunct w:val="0"/>
        <w:ind w:firstLine="0" w:firstLineChars="0"/>
        <w:jc w:val="center"/>
        <w:rPr>
          <w:color w:val="auto"/>
          <w:highlight w:val="none"/>
        </w:rPr>
      </w:pPr>
    </w:p>
    <w:p w14:paraId="7A7E7F76">
      <w:pPr>
        <w:overflowPunct w:val="0"/>
        <w:ind w:firstLine="0" w:firstLineChars="0"/>
        <w:jc w:val="center"/>
        <w:rPr>
          <w:color w:val="auto"/>
          <w:highlight w:val="none"/>
        </w:rPr>
      </w:pPr>
    </w:p>
    <w:p w14:paraId="4FD6FBB3">
      <w:pPr>
        <w:overflowPunct w:val="0"/>
        <w:ind w:firstLine="0" w:firstLineChars="0"/>
        <w:jc w:val="center"/>
        <w:rPr>
          <w:color w:val="auto"/>
          <w:highlight w:val="none"/>
        </w:rPr>
      </w:pPr>
    </w:p>
    <w:p w14:paraId="1FB6EA02">
      <w:pPr>
        <w:overflowPunct w:val="0"/>
        <w:ind w:firstLine="0" w:firstLineChars="0"/>
        <w:jc w:val="center"/>
        <w:rPr>
          <w:color w:val="auto"/>
          <w:szCs w:val="22"/>
          <w:highlight w:val="none"/>
        </w:rPr>
      </w:pPr>
    </w:p>
    <w:p w14:paraId="3E7AA00D">
      <w:pPr>
        <w:overflowPunct w:val="0"/>
        <w:ind w:firstLine="0" w:firstLineChars="0"/>
        <w:jc w:val="center"/>
        <w:rPr>
          <w:color w:val="auto"/>
          <w:szCs w:val="22"/>
          <w:highlight w:val="none"/>
        </w:rPr>
      </w:pPr>
    </w:p>
    <w:p w14:paraId="7C07C618">
      <w:pPr>
        <w:overflowPunct w:val="0"/>
        <w:ind w:firstLine="0" w:firstLineChars="0"/>
        <w:jc w:val="center"/>
        <w:rPr>
          <w:rFonts w:hint="eastAsia" w:eastAsia="宋体"/>
          <w:color w:val="auto"/>
          <w:szCs w:val="22"/>
          <w:highlight w:val="none"/>
          <w:lang w:val="en-US" w:eastAsia="zh-CN"/>
        </w:rPr>
      </w:pPr>
    </w:p>
    <w:p w14:paraId="2B526B76">
      <w:pPr>
        <w:overflowPunct w:val="0"/>
        <w:ind w:firstLine="0" w:firstLineChars="0"/>
        <w:jc w:val="center"/>
        <w:rPr>
          <w:color w:val="auto"/>
          <w:szCs w:val="22"/>
          <w:highlight w:val="none"/>
        </w:rPr>
      </w:pPr>
    </w:p>
    <w:p w14:paraId="5AC5F3C7">
      <w:pPr>
        <w:ind w:firstLine="1264" w:firstLineChars="400"/>
        <w:rPr>
          <w:rFonts w:eastAsia="黑体"/>
          <w:color w:val="auto"/>
          <w:highlight w:val="none"/>
        </w:rPr>
      </w:pPr>
      <w:r>
        <w:rPr>
          <w:rFonts w:eastAsia="黑体"/>
          <w:bCs/>
          <w:color w:val="auto"/>
          <w:sz w:val="32"/>
          <w:szCs w:val="32"/>
          <w:highlight w:val="none"/>
        </w:rPr>
        <w:t>委托单位：</w:t>
      </w:r>
      <w:r>
        <w:rPr>
          <w:rFonts w:hint="eastAsia" w:eastAsia="黑体"/>
          <w:bCs/>
          <w:color w:val="auto"/>
          <w:sz w:val="32"/>
          <w:szCs w:val="32"/>
          <w:highlight w:val="none"/>
          <w:lang w:eastAsia="zh-CN"/>
        </w:rPr>
        <w:t>绥化市庆安生态环境局</w:t>
      </w:r>
    </w:p>
    <w:p w14:paraId="4AC8FAD7">
      <w:pPr>
        <w:ind w:firstLine="1264" w:firstLineChars="400"/>
        <w:rPr>
          <w:rFonts w:eastAsia="黑体"/>
          <w:bCs/>
          <w:color w:val="auto"/>
          <w:sz w:val="32"/>
          <w:szCs w:val="32"/>
          <w:highlight w:val="none"/>
        </w:rPr>
      </w:pPr>
      <w:r>
        <w:rPr>
          <w:rFonts w:eastAsia="黑体"/>
          <w:bCs/>
          <w:color w:val="auto"/>
          <w:sz w:val="32"/>
          <w:szCs w:val="32"/>
          <w:highlight w:val="none"/>
        </w:rPr>
        <w:t>编制单位：</w:t>
      </w:r>
      <w:r>
        <w:rPr>
          <w:rFonts w:hint="eastAsia" w:eastAsia="黑体"/>
          <w:bCs/>
          <w:color w:val="auto"/>
          <w:sz w:val="32"/>
          <w:szCs w:val="32"/>
          <w:highlight w:val="none"/>
        </w:rPr>
        <w:t>哈尔滨东隆环保科技开发有限公司</w:t>
      </w:r>
    </w:p>
    <w:p w14:paraId="1811F50A">
      <w:pPr>
        <w:overflowPunct w:val="0"/>
        <w:ind w:firstLine="0" w:firstLineChars="0"/>
        <w:jc w:val="center"/>
        <w:rPr>
          <w:color w:val="auto"/>
          <w:highlight w:val="none"/>
        </w:rPr>
      </w:pPr>
    </w:p>
    <w:p w14:paraId="5A02E1EF">
      <w:pPr>
        <w:overflowPunct w:val="0"/>
        <w:ind w:firstLine="0" w:firstLineChars="0"/>
        <w:jc w:val="center"/>
        <w:rPr>
          <w:color w:val="auto"/>
          <w:highlight w:val="none"/>
        </w:rPr>
      </w:pPr>
    </w:p>
    <w:p w14:paraId="53EC4C7C">
      <w:pPr>
        <w:ind w:firstLine="0" w:firstLineChars="0"/>
        <w:jc w:val="center"/>
        <w:rPr>
          <w:rFonts w:eastAsia="黑体"/>
          <w:bCs/>
          <w:color w:val="auto"/>
          <w:sz w:val="32"/>
          <w:szCs w:val="32"/>
          <w:highlight w:val="none"/>
        </w:rPr>
      </w:pPr>
      <w:r>
        <w:rPr>
          <w:rFonts w:eastAsia="黑体"/>
          <w:bCs/>
          <w:color w:val="auto"/>
          <w:sz w:val="32"/>
          <w:szCs w:val="32"/>
          <w:highlight w:val="none"/>
        </w:rPr>
        <w:t>二〇二</w:t>
      </w:r>
      <w:r>
        <w:rPr>
          <w:rFonts w:hint="eastAsia" w:eastAsia="黑体"/>
          <w:bCs/>
          <w:color w:val="auto"/>
          <w:sz w:val="32"/>
          <w:szCs w:val="32"/>
          <w:highlight w:val="none"/>
          <w:lang w:eastAsia="zh-CN"/>
        </w:rPr>
        <w:t>六</w:t>
      </w:r>
      <w:r>
        <w:rPr>
          <w:rFonts w:eastAsia="黑体"/>
          <w:bCs/>
          <w:color w:val="auto"/>
          <w:sz w:val="32"/>
          <w:szCs w:val="32"/>
          <w:highlight w:val="none"/>
        </w:rPr>
        <w:t>年</w:t>
      </w:r>
      <w:r>
        <w:rPr>
          <w:rFonts w:hint="eastAsia" w:eastAsia="黑体"/>
          <w:bCs/>
          <w:color w:val="auto"/>
          <w:sz w:val="32"/>
          <w:szCs w:val="32"/>
          <w:highlight w:val="none"/>
          <w:lang w:eastAsia="zh-CN"/>
        </w:rPr>
        <w:t>三</w:t>
      </w:r>
      <w:r>
        <w:rPr>
          <w:rFonts w:eastAsia="黑体"/>
          <w:bCs/>
          <w:color w:val="auto"/>
          <w:sz w:val="32"/>
          <w:szCs w:val="32"/>
          <w:highlight w:val="none"/>
        </w:rPr>
        <w:t>月</w:t>
      </w:r>
    </w:p>
    <w:p w14:paraId="6E6E52C2">
      <w:pPr>
        <w:ind w:firstLine="0" w:firstLineChars="0"/>
        <w:jc w:val="center"/>
        <w:rPr>
          <w:rFonts w:eastAsia="黑体"/>
          <w:b/>
          <w:bCs/>
          <w:color w:val="auto"/>
          <w:sz w:val="32"/>
          <w:szCs w:val="32"/>
          <w:highlight w:val="none"/>
        </w:rPr>
        <w:sectPr>
          <w:headerReference r:id="rId6" w:type="first"/>
          <w:footerReference r:id="rId9" w:type="first"/>
          <w:footerReference r:id="rId7" w:type="default"/>
          <w:headerReference r:id="rId5" w:type="even"/>
          <w:footerReference r:id="rId8" w:type="even"/>
          <w:pgSz w:w="11905" w:h="16838"/>
          <w:pgMar w:top="1474" w:right="1474" w:bottom="1474" w:left="1474" w:header="964" w:footer="992" w:gutter="0"/>
          <w:pgBorders>
            <w:top w:val="none" w:sz="0" w:space="0"/>
            <w:left w:val="none" w:sz="0" w:space="0"/>
            <w:bottom w:val="none" w:sz="0" w:space="0"/>
            <w:right w:val="none" w:sz="0" w:space="0"/>
          </w:pgBorders>
          <w:pgNumType w:fmt="decimal" w:start="1"/>
          <w:cols w:space="720" w:num="1"/>
          <w:docGrid w:type="linesAndChars" w:linePitch="347" w:charSpace="-1024"/>
        </w:sectPr>
      </w:pPr>
    </w:p>
    <w:p w14:paraId="1BBE25C0">
      <w:pPr>
        <w:ind w:firstLine="0" w:firstLineChars="0"/>
        <w:jc w:val="center"/>
        <w:rPr>
          <w:rFonts w:eastAsia="黑体"/>
          <w:color w:val="auto"/>
          <w:sz w:val="30"/>
          <w:szCs w:val="30"/>
          <w:highlight w:val="none"/>
        </w:rPr>
      </w:pPr>
    </w:p>
    <w:p w14:paraId="3E60E0EA">
      <w:pPr>
        <w:ind w:firstLine="0" w:firstLineChars="0"/>
        <w:jc w:val="center"/>
        <w:rPr>
          <w:rFonts w:eastAsia="黑体"/>
          <w:color w:val="auto"/>
          <w:sz w:val="30"/>
          <w:szCs w:val="30"/>
          <w:highlight w:val="none"/>
        </w:rPr>
      </w:pPr>
      <w:r>
        <w:rPr>
          <w:rFonts w:eastAsia="黑体"/>
          <w:color w:val="auto"/>
          <w:sz w:val="30"/>
          <w:szCs w:val="30"/>
          <w:highlight w:val="none"/>
        </w:rPr>
        <w:t>编制单位及人员名单</w:t>
      </w:r>
    </w:p>
    <w:p w14:paraId="0BA750BE">
      <w:pPr>
        <w:ind w:firstLine="0" w:firstLineChars="0"/>
        <w:jc w:val="center"/>
        <w:rPr>
          <w:rFonts w:eastAsia="黑体"/>
          <w:color w:val="auto"/>
          <w:sz w:val="30"/>
          <w:szCs w:val="30"/>
          <w:highlight w:val="none"/>
        </w:rPr>
      </w:pPr>
    </w:p>
    <w:p w14:paraId="7A60A884">
      <w:pPr>
        <w:overflowPunct w:val="0"/>
        <w:spacing w:line="360" w:lineRule="auto"/>
        <w:ind w:left="0" w:leftChars="0" w:right="193" w:rightChars="82" w:firstLine="0" w:firstLineChars="0"/>
        <w:jc w:val="both"/>
        <w:rPr>
          <w:rFonts w:hint="eastAsia" w:eastAsia="宋体"/>
          <w:b/>
          <w:color w:val="auto"/>
          <w:kern w:val="0"/>
          <w:highlight w:val="none"/>
          <w:lang w:eastAsia="zh-CN"/>
        </w:rPr>
      </w:pPr>
      <w:r>
        <w:rPr>
          <w:b/>
          <w:color w:val="auto"/>
          <w:kern w:val="0"/>
          <w:highlight w:val="none"/>
        </w:rPr>
        <w:t>项目名称</w:t>
      </w:r>
      <w:r>
        <w:rPr>
          <w:rFonts w:hint="eastAsia"/>
          <w:b/>
          <w:color w:val="auto"/>
          <w:kern w:val="0"/>
          <w:highlight w:val="none"/>
        </w:rPr>
        <w:t>：绥化市庆安县</w:t>
      </w:r>
      <w:r>
        <w:rPr>
          <w:rFonts w:hint="eastAsia"/>
          <w:b/>
          <w:color w:val="auto"/>
          <w:kern w:val="0"/>
          <w:highlight w:val="none"/>
          <w:lang w:eastAsia="zh-CN"/>
        </w:rPr>
        <w:t>丰收乡等</w:t>
      </w:r>
      <w:r>
        <w:rPr>
          <w:rFonts w:hint="eastAsia"/>
          <w:b/>
          <w:color w:val="auto"/>
          <w:kern w:val="0"/>
          <w:highlight w:val="none"/>
          <w:lang w:val="en-US" w:eastAsia="zh-CN"/>
        </w:rPr>
        <w:t>6个乡镇级和柳河镇新强村1个</w:t>
      </w:r>
      <w:r>
        <w:rPr>
          <w:rFonts w:hint="eastAsia"/>
          <w:b/>
          <w:color w:val="auto"/>
          <w:kern w:val="0"/>
          <w:highlight w:val="none"/>
          <w:lang w:eastAsia="zh-CN"/>
        </w:rPr>
        <w:t>村屯级</w:t>
      </w:r>
      <w:r>
        <w:rPr>
          <w:rFonts w:hint="eastAsia"/>
          <w:b/>
          <w:color w:val="auto"/>
          <w:kern w:val="0"/>
          <w:highlight w:val="none"/>
        </w:rPr>
        <w:t>集中式饮用水水源保护区</w:t>
      </w:r>
      <w:r>
        <w:rPr>
          <w:rFonts w:hint="eastAsia"/>
          <w:b/>
          <w:color w:val="auto"/>
          <w:kern w:val="0"/>
          <w:highlight w:val="none"/>
          <w:lang w:eastAsia="zh-CN"/>
        </w:rPr>
        <w:t>调整</w:t>
      </w:r>
      <w:r>
        <w:rPr>
          <w:rFonts w:hint="eastAsia"/>
          <w:b/>
          <w:color w:val="auto"/>
          <w:kern w:val="0"/>
          <w:highlight w:val="none"/>
        </w:rPr>
        <w:t>技术报告</w:t>
      </w:r>
    </w:p>
    <w:p w14:paraId="71FA6884">
      <w:pPr>
        <w:tabs>
          <w:tab w:val="left" w:pos="2700"/>
        </w:tabs>
        <w:spacing w:line="480" w:lineRule="auto"/>
        <w:ind w:firstLine="0" w:firstLineChars="0"/>
        <w:rPr>
          <w:b/>
          <w:color w:val="auto"/>
          <w:kern w:val="0"/>
          <w:highlight w:val="none"/>
        </w:rPr>
      </w:pPr>
      <w:r>
        <w:rPr>
          <w:b/>
          <w:color w:val="auto"/>
          <w:kern w:val="0"/>
          <w:highlight w:val="none"/>
        </w:rPr>
        <w:t>编制单位：</w:t>
      </w:r>
      <w:r>
        <w:rPr>
          <w:rFonts w:hint="eastAsia"/>
          <w:b/>
          <w:color w:val="auto"/>
          <w:kern w:val="0"/>
          <w:highlight w:val="none"/>
        </w:rPr>
        <w:t>哈尔滨东隆环保科技开发有限公司</w:t>
      </w:r>
    </w:p>
    <w:p w14:paraId="24A50F0D">
      <w:pPr>
        <w:ind w:firstLine="0" w:firstLineChars="0"/>
        <w:jc w:val="center"/>
        <w:rPr>
          <w:rFonts w:eastAsia="黑体"/>
          <w:color w:val="auto"/>
          <w:sz w:val="30"/>
          <w:szCs w:val="30"/>
          <w:highlight w:val="none"/>
        </w:rPr>
      </w:pPr>
    </w:p>
    <w:p w14:paraId="595BF32C">
      <w:pPr>
        <w:ind w:firstLine="0" w:firstLineChars="0"/>
        <w:jc w:val="center"/>
        <w:rPr>
          <w:rFonts w:eastAsia="黑体"/>
          <w:color w:val="auto"/>
          <w:sz w:val="30"/>
          <w:szCs w:val="30"/>
          <w:highlight w:val="none"/>
        </w:rPr>
      </w:pPr>
    </w:p>
    <w:p w14:paraId="5C605E0F">
      <w:pPr>
        <w:ind w:firstLine="470"/>
        <w:rPr>
          <w:color w:val="auto"/>
          <w:highlight w:val="none"/>
        </w:rPr>
      </w:pPr>
    </w:p>
    <w:p w14:paraId="3B190AAE">
      <w:pPr>
        <w:ind w:firstLine="470"/>
        <w:rPr>
          <w:color w:val="auto"/>
          <w:highlight w:val="none"/>
        </w:rPr>
      </w:pPr>
    </w:p>
    <w:p w14:paraId="48219169">
      <w:pPr>
        <w:ind w:firstLine="0" w:firstLineChars="0"/>
        <w:jc w:val="center"/>
        <w:rPr>
          <w:rFonts w:eastAsia="黑体"/>
          <w:color w:val="auto"/>
          <w:sz w:val="30"/>
          <w:szCs w:val="30"/>
          <w:highlight w:val="none"/>
        </w:rPr>
      </w:pPr>
    </w:p>
    <w:p w14:paraId="1BA5DADB">
      <w:pPr>
        <w:ind w:firstLine="0" w:firstLineChars="0"/>
        <w:jc w:val="center"/>
        <w:rPr>
          <w:rFonts w:eastAsia="黑体"/>
          <w:color w:val="auto"/>
          <w:sz w:val="30"/>
          <w:szCs w:val="30"/>
          <w:highlight w:val="none"/>
        </w:rPr>
      </w:pPr>
      <w:r>
        <w:rPr>
          <w:rFonts w:eastAsia="黑体"/>
          <w:color w:val="auto"/>
          <w:sz w:val="30"/>
          <w:szCs w:val="30"/>
          <w:highlight w:val="none"/>
        </w:rPr>
        <w:t>编制人员</w:t>
      </w:r>
    </w:p>
    <w:tbl>
      <w:tblPr>
        <w:tblStyle w:val="21"/>
        <w:tblW w:w="4996" w:type="pct"/>
        <w:tblInd w:w="0" w:type="dxa"/>
        <w:tblLayout w:type="autofit"/>
        <w:tblCellMar>
          <w:top w:w="0" w:type="dxa"/>
          <w:left w:w="108" w:type="dxa"/>
          <w:bottom w:w="0" w:type="dxa"/>
          <w:right w:w="108" w:type="dxa"/>
        </w:tblCellMar>
      </w:tblPr>
      <w:tblGrid>
        <w:gridCol w:w="2860"/>
        <w:gridCol w:w="2116"/>
        <w:gridCol w:w="4190"/>
      </w:tblGrid>
      <w:tr w14:paraId="1882E511">
        <w:tblPrEx>
          <w:tblCellMar>
            <w:top w:w="0" w:type="dxa"/>
            <w:left w:w="108" w:type="dxa"/>
            <w:bottom w:w="0" w:type="dxa"/>
            <w:right w:w="108" w:type="dxa"/>
          </w:tblCellMar>
        </w:tblPrEx>
        <w:tc>
          <w:tcPr>
            <w:tcW w:w="1560" w:type="pct"/>
            <w:tcBorders>
              <w:tl2br w:val="nil"/>
              <w:tr2bl w:val="nil"/>
            </w:tcBorders>
          </w:tcPr>
          <w:p w14:paraId="33FD8F8F">
            <w:pPr>
              <w:tabs>
                <w:tab w:val="left" w:pos="2700"/>
              </w:tabs>
              <w:spacing w:line="700" w:lineRule="exact"/>
              <w:ind w:firstLine="0" w:firstLineChars="0"/>
              <w:rPr>
                <w:b/>
                <w:color w:val="auto"/>
                <w:highlight w:val="none"/>
              </w:rPr>
            </w:pPr>
            <w:r>
              <w:rPr>
                <w:b/>
                <w:color w:val="auto"/>
                <w:spacing w:val="-6"/>
                <w:highlight w:val="none"/>
              </w:rPr>
              <w:t>项  目  负  责  人：</w:t>
            </w:r>
          </w:p>
        </w:tc>
        <w:tc>
          <w:tcPr>
            <w:tcW w:w="1154" w:type="pct"/>
            <w:tcBorders>
              <w:tl2br w:val="nil"/>
              <w:tr2bl w:val="nil"/>
            </w:tcBorders>
            <w:shd w:val="clear" w:color="auto" w:fill="auto"/>
          </w:tcPr>
          <w:p w14:paraId="356A7AF8">
            <w:pPr>
              <w:tabs>
                <w:tab w:val="left" w:pos="2700"/>
              </w:tabs>
              <w:spacing w:line="700" w:lineRule="exact"/>
              <w:ind w:firstLine="0" w:firstLineChars="0"/>
              <w:rPr>
                <w:rFonts w:hint="eastAsia" w:eastAsia="宋体"/>
                <w:b/>
                <w:color w:val="auto"/>
                <w:highlight w:val="none"/>
                <w:lang w:eastAsia="zh-CN"/>
              </w:rPr>
            </w:pPr>
            <w:r>
              <w:rPr>
                <w:rFonts w:hint="eastAsia"/>
                <w:b/>
                <w:color w:val="auto"/>
                <w:highlight w:val="none"/>
                <w:lang w:eastAsia="zh-CN"/>
              </w:rPr>
              <w:t>毕世欣</w:t>
            </w:r>
          </w:p>
        </w:tc>
        <w:tc>
          <w:tcPr>
            <w:tcW w:w="2285" w:type="pct"/>
            <w:tcBorders>
              <w:tl2br w:val="nil"/>
              <w:tr2bl w:val="nil"/>
            </w:tcBorders>
          </w:tcPr>
          <w:p w14:paraId="2E07CF0A">
            <w:pPr>
              <w:tabs>
                <w:tab w:val="left" w:pos="2700"/>
              </w:tabs>
              <w:spacing w:line="700" w:lineRule="exact"/>
              <w:ind w:firstLine="0" w:firstLineChars="0"/>
              <w:rPr>
                <w:b/>
                <w:color w:val="auto"/>
                <w:highlight w:val="none"/>
              </w:rPr>
            </w:pPr>
            <w:r>
              <w:rPr>
                <w:rFonts w:hint="eastAsia"/>
                <w:b/>
                <w:color w:val="auto"/>
                <w:highlight w:val="none"/>
              </w:rPr>
              <w:t>环境影响评价</w:t>
            </w:r>
            <w:r>
              <w:rPr>
                <w:b/>
                <w:color w:val="auto"/>
                <w:highlight w:val="none"/>
              </w:rPr>
              <w:t>工程师</w:t>
            </w:r>
          </w:p>
        </w:tc>
      </w:tr>
      <w:tr w14:paraId="6FEF1B0F">
        <w:tblPrEx>
          <w:tblCellMar>
            <w:top w:w="0" w:type="dxa"/>
            <w:left w:w="108" w:type="dxa"/>
            <w:bottom w:w="0" w:type="dxa"/>
            <w:right w:w="108" w:type="dxa"/>
          </w:tblCellMar>
        </w:tblPrEx>
        <w:tc>
          <w:tcPr>
            <w:tcW w:w="1560" w:type="pct"/>
            <w:tcBorders>
              <w:tl2br w:val="nil"/>
              <w:tr2bl w:val="nil"/>
            </w:tcBorders>
          </w:tcPr>
          <w:p w14:paraId="14ACA9BB">
            <w:pPr>
              <w:tabs>
                <w:tab w:val="left" w:pos="2700"/>
              </w:tabs>
              <w:spacing w:line="700" w:lineRule="exact"/>
              <w:ind w:firstLine="0" w:firstLineChars="0"/>
              <w:rPr>
                <w:b/>
                <w:color w:val="auto"/>
                <w:highlight w:val="none"/>
              </w:rPr>
            </w:pPr>
            <w:r>
              <w:rPr>
                <w:b/>
                <w:color w:val="auto"/>
                <w:highlight w:val="none"/>
              </w:rPr>
              <w:t>参   编   人   员：</w:t>
            </w:r>
          </w:p>
        </w:tc>
        <w:tc>
          <w:tcPr>
            <w:tcW w:w="1154" w:type="pct"/>
            <w:tcBorders>
              <w:tl2br w:val="nil"/>
              <w:tr2bl w:val="nil"/>
            </w:tcBorders>
            <w:vAlign w:val="top"/>
          </w:tcPr>
          <w:p w14:paraId="3379E7E0">
            <w:pPr>
              <w:tabs>
                <w:tab w:val="left" w:pos="2700"/>
              </w:tabs>
              <w:spacing w:line="700" w:lineRule="exact"/>
              <w:ind w:firstLine="0" w:firstLineChars="0"/>
              <w:rPr>
                <w:b/>
                <w:color w:val="auto"/>
                <w:highlight w:val="none"/>
              </w:rPr>
            </w:pPr>
            <w:r>
              <w:rPr>
                <w:rFonts w:hint="eastAsia"/>
                <w:b/>
                <w:color w:val="auto"/>
                <w:highlight w:val="none"/>
              </w:rPr>
              <w:t>耿东颖</w:t>
            </w:r>
          </w:p>
        </w:tc>
        <w:tc>
          <w:tcPr>
            <w:tcW w:w="2285" w:type="pct"/>
            <w:tcBorders>
              <w:tl2br w:val="nil"/>
              <w:tr2bl w:val="nil"/>
            </w:tcBorders>
            <w:vAlign w:val="top"/>
          </w:tcPr>
          <w:p w14:paraId="5396740C">
            <w:pPr>
              <w:tabs>
                <w:tab w:val="left" w:pos="2700"/>
              </w:tabs>
              <w:spacing w:line="700" w:lineRule="exact"/>
              <w:ind w:firstLine="0" w:firstLineChars="0"/>
              <w:rPr>
                <w:b/>
                <w:color w:val="auto"/>
                <w:highlight w:val="none"/>
              </w:rPr>
            </w:pPr>
            <w:r>
              <w:rPr>
                <w:b/>
                <w:color w:val="auto"/>
                <w:highlight w:val="none"/>
              </w:rPr>
              <w:t>高级工程师</w:t>
            </w:r>
          </w:p>
        </w:tc>
      </w:tr>
      <w:tr w14:paraId="20391864">
        <w:tblPrEx>
          <w:tblCellMar>
            <w:top w:w="0" w:type="dxa"/>
            <w:left w:w="108" w:type="dxa"/>
            <w:bottom w:w="0" w:type="dxa"/>
            <w:right w:w="108" w:type="dxa"/>
          </w:tblCellMar>
        </w:tblPrEx>
        <w:tc>
          <w:tcPr>
            <w:tcW w:w="1560" w:type="pct"/>
            <w:tcBorders>
              <w:tl2br w:val="nil"/>
              <w:tr2bl w:val="nil"/>
            </w:tcBorders>
          </w:tcPr>
          <w:p w14:paraId="1ABF88A2">
            <w:pPr>
              <w:tabs>
                <w:tab w:val="left" w:pos="2700"/>
              </w:tabs>
              <w:spacing w:line="700" w:lineRule="exact"/>
              <w:ind w:firstLine="0" w:firstLineChars="0"/>
              <w:rPr>
                <w:b/>
                <w:color w:val="auto"/>
                <w:highlight w:val="none"/>
              </w:rPr>
            </w:pPr>
          </w:p>
        </w:tc>
        <w:tc>
          <w:tcPr>
            <w:tcW w:w="1154" w:type="pct"/>
            <w:tcBorders>
              <w:tl2br w:val="nil"/>
              <w:tr2bl w:val="nil"/>
            </w:tcBorders>
            <w:vAlign w:val="top"/>
          </w:tcPr>
          <w:p w14:paraId="2832B85E">
            <w:pPr>
              <w:tabs>
                <w:tab w:val="left" w:pos="2700"/>
              </w:tabs>
              <w:spacing w:line="700" w:lineRule="exact"/>
              <w:ind w:firstLine="0" w:firstLineChars="0"/>
              <w:rPr>
                <w:b/>
                <w:color w:val="auto"/>
                <w:highlight w:val="none"/>
              </w:rPr>
            </w:pPr>
            <w:r>
              <w:rPr>
                <w:rFonts w:hint="eastAsia"/>
                <w:b/>
                <w:color w:val="auto"/>
                <w:highlight w:val="none"/>
              </w:rPr>
              <w:t>郭冬梅</w:t>
            </w:r>
          </w:p>
        </w:tc>
        <w:tc>
          <w:tcPr>
            <w:tcW w:w="2285" w:type="pct"/>
            <w:tcBorders>
              <w:tl2br w:val="nil"/>
              <w:tr2bl w:val="nil"/>
            </w:tcBorders>
            <w:vAlign w:val="top"/>
          </w:tcPr>
          <w:p w14:paraId="37599695">
            <w:pPr>
              <w:tabs>
                <w:tab w:val="left" w:pos="2700"/>
              </w:tabs>
              <w:spacing w:line="700" w:lineRule="exact"/>
              <w:ind w:firstLine="0" w:firstLineChars="0"/>
              <w:rPr>
                <w:b/>
                <w:color w:val="auto"/>
                <w:highlight w:val="none"/>
              </w:rPr>
            </w:pPr>
            <w:r>
              <w:rPr>
                <w:b/>
                <w:color w:val="auto"/>
                <w:highlight w:val="none"/>
              </w:rPr>
              <w:t>工程师</w:t>
            </w:r>
          </w:p>
        </w:tc>
      </w:tr>
      <w:tr w14:paraId="5CA6A20D">
        <w:tblPrEx>
          <w:tblCellMar>
            <w:top w:w="0" w:type="dxa"/>
            <w:left w:w="108" w:type="dxa"/>
            <w:bottom w:w="0" w:type="dxa"/>
            <w:right w:w="108" w:type="dxa"/>
          </w:tblCellMar>
        </w:tblPrEx>
        <w:tc>
          <w:tcPr>
            <w:tcW w:w="1560" w:type="pct"/>
            <w:tcBorders>
              <w:tl2br w:val="nil"/>
              <w:tr2bl w:val="nil"/>
            </w:tcBorders>
          </w:tcPr>
          <w:p w14:paraId="06E8F11A">
            <w:pPr>
              <w:tabs>
                <w:tab w:val="left" w:pos="2700"/>
              </w:tabs>
              <w:spacing w:line="700" w:lineRule="exact"/>
              <w:ind w:firstLine="0" w:firstLineChars="0"/>
              <w:rPr>
                <w:b/>
                <w:color w:val="auto"/>
                <w:highlight w:val="none"/>
              </w:rPr>
            </w:pPr>
          </w:p>
        </w:tc>
        <w:tc>
          <w:tcPr>
            <w:tcW w:w="1154" w:type="pct"/>
            <w:tcBorders>
              <w:tl2br w:val="nil"/>
              <w:tr2bl w:val="nil"/>
            </w:tcBorders>
            <w:vAlign w:val="top"/>
          </w:tcPr>
          <w:p w14:paraId="6C05145A">
            <w:pPr>
              <w:tabs>
                <w:tab w:val="left" w:pos="2700"/>
              </w:tabs>
              <w:spacing w:line="700" w:lineRule="exact"/>
              <w:ind w:firstLine="0" w:firstLineChars="0"/>
              <w:rPr>
                <w:b/>
                <w:color w:val="auto"/>
                <w:highlight w:val="none"/>
              </w:rPr>
            </w:pPr>
            <w:r>
              <w:rPr>
                <w:rFonts w:hint="eastAsia"/>
                <w:b/>
                <w:color w:val="auto"/>
                <w:highlight w:val="none"/>
              </w:rPr>
              <w:t>孟令友</w:t>
            </w:r>
          </w:p>
        </w:tc>
        <w:tc>
          <w:tcPr>
            <w:tcW w:w="2285" w:type="pct"/>
            <w:tcBorders>
              <w:tl2br w:val="nil"/>
              <w:tr2bl w:val="nil"/>
            </w:tcBorders>
            <w:vAlign w:val="top"/>
          </w:tcPr>
          <w:p w14:paraId="56CC17AD">
            <w:pPr>
              <w:tabs>
                <w:tab w:val="left" w:pos="2700"/>
              </w:tabs>
              <w:spacing w:line="700" w:lineRule="exact"/>
              <w:ind w:firstLine="0" w:firstLineChars="0"/>
              <w:rPr>
                <w:b/>
                <w:color w:val="auto"/>
                <w:highlight w:val="none"/>
              </w:rPr>
            </w:pPr>
            <w:r>
              <w:rPr>
                <w:b/>
                <w:color w:val="auto"/>
                <w:highlight w:val="none"/>
              </w:rPr>
              <w:t>工程师</w:t>
            </w:r>
          </w:p>
        </w:tc>
      </w:tr>
      <w:tr w14:paraId="7EAFDDB8">
        <w:tblPrEx>
          <w:tblCellMar>
            <w:top w:w="0" w:type="dxa"/>
            <w:left w:w="108" w:type="dxa"/>
            <w:bottom w:w="0" w:type="dxa"/>
            <w:right w:w="108" w:type="dxa"/>
          </w:tblCellMar>
        </w:tblPrEx>
        <w:tc>
          <w:tcPr>
            <w:tcW w:w="1560" w:type="pct"/>
            <w:tcBorders>
              <w:tl2br w:val="nil"/>
              <w:tr2bl w:val="nil"/>
            </w:tcBorders>
          </w:tcPr>
          <w:p w14:paraId="7B2F1E6A">
            <w:pPr>
              <w:tabs>
                <w:tab w:val="left" w:pos="2700"/>
              </w:tabs>
              <w:spacing w:line="700" w:lineRule="exact"/>
              <w:ind w:firstLine="0" w:firstLineChars="0"/>
              <w:rPr>
                <w:b/>
                <w:color w:val="auto"/>
                <w:highlight w:val="none"/>
              </w:rPr>
            </w:pPr>
            <w:r>
              <w:rPr>
                <w:rFonts w:hint="eastAsia"/>
                <w:b/>
                <w:color w:val="auto"/>
                <w:sz w:val="24"/>
                <w:szCs w:val="24"/>
                <w:highlight w:val="none"/>
              </w:rPr>
              <w:t>制   图   人   员：</w:t>
            </w:r>
          </w:p>
        </w:tc>
        <w:tc>
          <w:tcPr>
            <w:tcW w:w="1154" w:type="pct"/>
            <w:tcBorders>
              <w:tl2br w:val="nil"/>
              <w:tr2bl w:val="nil"/>
            </w:tcBorders>
            <w:vAlign w:val="top"/>
          </w:tcPr>
          <w:p w14:paraId="78EDEE6B">
            <w:pPr>
              <w:tabs>
                <w:tab w:val="left" w:pos="2700"/>
              </w:tabs>
              <w:spacing w:line="700" w:lineRule="exact"/>
              <w:ind w:firstLine="0" w:firstLineChars="0"/>
              <w:rPr>
                <w:rFonts w:hint="eastAsia" w:eastAsia="宋体"/>
                <w:b/>
                <w:color w:val="auto"/>
                <w:highlight w:val="none"/>
                <w:lang w:eastAsia="zh-CN"/>
              </w:rPr>
            </w:pPr>
            <w:r>
              <w:rPr>
                <w:rFonts w:hint="eastAsia"/>
                <w:b/>
                <w:color w:val="auto"/>
                <w:highlight w:val="none"/>
                <w:lang w:eastAsia="zh-CN"/>
              </w:rPr>
              <w:t>田宜鑫</w:t>
            </w:r>
          </w:p>
        </w:tc>
        <w:tc>
          <w:tcPr>
            <w:tcW w:w="2285" w:type="pct"/>
            <w:tcBorders>
              <w:tl2br w:val="nil"/>
              <w:tr2bl w:val="nil"/>
            </w:tcBorders>
            <w:vAlign w:val="top"/>
          </w:tcPr>
          <w:p w14:paraId="58A166C4">
            <w:pPr>
              <w:tabs>
                <w:tab w:val="left" w:pos="2700"/>
              </w:tabs>
              <w:spacing w:line="700" w:lineRule="exact"/>
              <w:ind w:firstLine="0" w:firstLineChars="0"/>
              <w:rPr>
                <w:b/>
                <w:color w:val="auto"/>
                <w:highlight w:val="none"/>
              </w:rPr>
            </w:pPr>
            <w:r>
              <w:rPr>
                <w:b/>
                <w:color w:val="auto"/>
                <w:highlight w:val="none"/>
              </w:rPr>
              <w:t>工程师</w:t>
            </w:r>
          </w:p>
        </w:tc>
      </w:tr>
    </w:tbl>
    <w:p w14:paraId="0414311C">
      <w:pPr>
        <w:snapToGrid w:val="0"/>
        <w:ind w:firstLine="713"/>
        <w:jc w:val="center"/>
        <w:rPr>
          <w:b/>
          <w:color w:val="auto"/>
          <w:sz w:val="36"/>
          <w:szCs w:val="36"/>
          <w:highlight w:val="none"/>
        </w:rPr>
        <w:sectPr>
          <w:footerReference r:id="rId10" w:type="default"/>
          <w:pgSz w:w="11905" w:h="16838"/>
          <w:pgMar w:top="1474" w:right="1474" w:bottom="1474" w:left="1474" w:header="964" w:footer="992" w:gutter="0"/>
          <w:pgBorders>
            <w:top w:val="none" w:sz="0" w:space="0"/>
            <w:left w:val="none" w:sz="0" w:space="0"/>
            <w:bottom w:val="none" w:sz="0" w:space="0"/>
            <w:right w:val="none" w:sz="0" w:space="0"/>
          </w:pgBorders>
          <w:pgNumType w:fmt="decimal" w:start="1"/>
          <w:cols w:space="720" w:num="1"/>
          <w:docGrid w:type="linesAndChars" w:linePitch="347" w:charSpace="-1024"/>
        </w:sectPr>
      </w:pPr>
    </w:p>
    <w:p w14:paraId="168A0DD8">
      <w:pPr>
        <w:ind w:firstLine="0" w:firstLineChars="0"/>
        <w:jc w:val="center"/>
        <w:rPr>
          <w:rFonts w:ascii="黑体" w:hAnsi="黑体" w:eastAsia="黑体" w:cs="黑体"/>
          <w:color w:val="auto"/>
          <w:sz w:val="32"/>
          <w:szCs w:val="32"/>
          <w:highlight w:val="none"/>
        </w:rPr>
      </w:pPr>
      <w:r>
        <w:rPr>
          <w:rFonts w:hint="eastAsia" w:ascii="黑体" w:hAnsi="黑体" w:eastAsia="黑体" w:cs="黑体"/>
          <w:color w:val="auto"/>
          <w:sz w:val="32"/>
          <w:szCs w:val="32"/>
          <w:highlight w:val="none"/>
        </w:rPr>
        <w:t>目  录</w:t>
      </w:r>
    </w:p>
    <w:p w14:paraId="6DC2C3D3">
      <w:pPr>
        <w:pStyle w:val="17"/>
        <w:keepNext w:val="0"/>
        <w:keepLines w:val="0"/>
        <w:pageBreakBefore w:val="0"/>
        <w:widowControl w:val="0"/>
        <w:tabs>
          <w:tab w:val="right" w:leader="dot" w:pos="8957"/>
        </w:tabs>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rPr>
      </w:pPr>
      <w:r>
        <w:rPr>
          <w:rFonts w:eastAsia="黑体"/>
          <w:color w:val="auto"/>
          <w:highlight w:val="none"/>
        </w:rPr>
        <w:fldChar w:fldCharType="begin"/>
      </w:r>
      <w:r>
        <w:rPr>
          <w:rFonts w:eastAsia="黑体"/>
          <w:color w:val="auto"/>
          <w:highlight w:val="none"/>
        </w:rPr>
        <w:instrText xml:space="preserve">TOC \o "1-2" \h \u </w:instrText>
      </w:r>
      <w:r>
        <w:rPr>
          <w:rFonts w:eastAsia="黑体"/>
          <w:color w:val="auto"/>
          <w:highlight w:val="none"/>
        </w:rPr>
        <w:fldChar w:fldCharType="separate"/>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highlight w:val="none"/>
        </w:rPr>
        <w:instrText xml:space="preserve"> HYPERLINK \l _Toc6198 </w:instrText>
      </w:r>
      <w:r>
        <w:rPr>
          <w:rFonts w:hint="default" w:ascii="Times New Roman" w:hAnsi="Times New Roman" w:eastAsia="宋体" w:cs="Times New Roman"/>
          <w:highlight w:val="none"/>
        </w:rPr>
        <w:fldChar w:fldCharType="separate"/>
      </w:r>
      <w:r>
        <w:rPr>
          <w:rFonts w:hint="default" w:ascii="Times New Roman" w:hAnsi="Times New Roman" w:eastAsia="宋体" w:cs="Times New Roman"/>
          <w:kern w:val="0"/>
          <w:highlight w:val="none"/>
        </w:rPr>
        <w:t>1 总则</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_Toc6198 \h </w:instrText>
      </w:r>
      <w:r>
        <w:rPr>
          <w:rFonts w:hint="default" w:ascii="Times New Roman" w:hAnsi="Times New Roman" w:eastAsia="宋体" w:cs="Times New Roman"/>
        </w:rPr>
        <w:fldChar w:fldCharType="separate"/>
      </w:r>
      <w:r>
        <w:rPr>
          <w:rFonts w:hint="default" w:ascii="Times New Roman" w:hAnsi="Times New Roman" w:eastAsia="宋体" w:cs="Times New Roman"/>
        </w:rPr>
        <w:t>1</w:t>
      </w:r>
      <w:r>
        <w:rPr>
          <w:rFonts w:hint="default" w:ascii="Times New Roman" w:hAnsi="Times New Roman" w:eastAsia="宋体" w:cs="Times New Roman"/>
        </w:rPr>
        <w:fldChar w:fldCharType="end"/>
      </w:r>
      <w:r>
        <w:rPr>
          <w:rFonts w:hint="default" w:ascii="Times New Roman" w:hAnsi="Times New Roman" w:eastAsia="宋体" w:cs="Times New Roman"/>
          <w:color w:val="auto"/>
          <w:highlight w:val="none"/>
        </w:rPr>
        <w:fldChar w:fldCharType="end"/>
      </w:r>
    </w:p>
    <w:p w14:paraId="78A7B7DF">
      <w:pPr>
        <w:pStyle w:val="18"/>
        <w:keepNext w:val="0"/>
        <w:keepLines w:val="0"/>
        <w:pageBreakBefore w:val="0"/>
        <w:widowControl w:val="0"/>
        <w:tabs>
          <w:tab w:val="right" w:leader="dot" w:pos="8957"/>
        </w:tabs>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highlight w:val="none"/>
        </w:rPr>
        <w:instrText xml:space="preserve"> HYPERLINK \l _Toc6813 </w:instrText>
      </w:r>
      <w:r>
        <w:rPr>
          <w:rFonts w:hint="default" w:ascii="Times New Roman" w:hAnsi="Times New Roman" w:eastAsia="宋体" w:cs="Times New Roman"/>
          <w:highlight w:val="none"/>
        </w:rPr>
        <w:fldChar w:fldCharType="separate"/>
      </w:r>
      <w:r>
        <w:rPr>
          <w:rFonts w:hint="default" w:ascii="Times New Roman" w:hAnsi="Times New Roman" w:eastAsia="宋体" w:cs="Times New Roman"/>
          <w:highlight w:val="none"/>
          <w:lang w:val="en-US"/>
        </w:rPr>
        <w:t>1.1</w:t>
      </w:r>
      <w:r>
        <w:rPr>
          <w:rFonts w:hint="default" w:ascii="Times New Roman" w:hAnsi="Times New Roman" w:eastAsia="宋体" w:cs="Times New Roman"/>
          <w:szCs w:val="28"/>
          <w:highlight w:val="none"/>
        </w:rPr>
        <w:t>调整的必要性</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_Toc6813 \h </w:instrText>
      </w:r>
      <w:r>
        <w:rPr>
          <w:rFonts w:hint="default" w:ascii="Times New Roman" w:hAnsi="Times New Roman" w:eastAsia="宋体" w:cs="Times New Roman"/>
        </w:rPr>
        <w:fldChar w:fldCharType="separate"/>
      </w:r>
      <w:r>
        <w:rPr>
          <w:rFonts w:hint="default" w:ascii="Times New Roman" w:hAnsi="Times New Roman" w:eastAsia="宋体" w:cs="Times New Roman"/>
        </w:rPr>
        <w:t>1</w:t>
      </w:r>
      <w:r>
        <w:rPr>
          <w:rFonts w:hint="default" w:ascii="Times New Roman" w:hAnsi="Times New Roman" w:eastAsia="宋体" w:cs="Times New Roman"/>
        </w:rPr>
        <w:fldChar w:fldCharType="end"/>
      </w:r>
      <w:r>
        <w:rPr>
          <w:rFonts w:hint="default" w:ascii="Times New Roman" w:hAnsi="Times New Roman" w:eastAsia="宋体" w:cs="Times New Roman"/>
          <w:color w:val="auto"/>
          <w:highlight w:val="none"/>
        </w:rPr>
        <w:fldChar w:fldCharType="end"/>
      </w:r>
    </w:p>
    <w:p w14:paraId="777604A5">
      <w:pPr>
        <w:pStyle w:val="18"/>
        <w:keepNext w:val="0"/>
        <w:keepLines w:val="0"/>
        <w:pageBreakBefore w:val="0"/>
        <w:widowControl w:val="0"/>
        <w:tabs>
          <w:tab w:val="right" w:leader="dot" w:pos="8957"/>
        </w:tabs>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highlight w:val="none"/>
        </w:rPr>
        <w:instrText xml:space="preserve"> HYPERLINK \l _Toc14148 </w:instrText>
      </w:r>
      <w:r>
        <w:rPr>
          <w:rFonts w:hint="default" w:ascii="Times New Roman" w:hAnsi="Times New Roman" w:eastAsia="宋体" w:cs="Times New Roman"/>
          <w:highlight w:val="none"/>
        </w:rPr>
        <w:fldChar w:fldCharType="separate"/>
      </w:r>
      <w:r>
        <w:rPr>
          <w:rFonts w:hint="default" w:ascii="Times New Roman" w:hAnsi="Times New Roman" w:eastAsia="宋体" w:cs="Times New Roman"/>
          <w:highlight w:val="none"/>
          <w:lang w:val="en-US"/>
        </w:rPr>
        <w:t>1.2调整依据</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_Toc14148 \h </w:instrText>
      </w:r>
      <w:r>
        <w:rPr>
          <w:rFonts w:hint="default" w:ascii="Times New Roman" w:hAnsi="Times New Roman" w:eastAsia="宋体" w:cs="Times New Roman"/>
        </w:rPr>
        <w:fldChar w:fldCharType="separate"/>
      </w:r>
      <w:r>
        <w:rPr>
          <w:rFonts w:hint="default" w:ascii="Times New Roman" w:hAnsi="Times New Roman" w:eastAsia="宋体" w:cs="Times New Roman"/>
        </w:rPr>
        <w:t>2</w:t>
      </w:r>
      <w:r>
        <w:rPr>
          <w:rFonts w:hint="default" w:ascii="Times New Roman" w:hAnsi="Times New Roman" w:eastAsia="宋体" w:cs="Times New Roman"/>
        </w:rPr>
        <w:fldChar w:fldCharType="end"/>
      </w:r>
      <w:r>
        <w:rPr>
          <w:rFonts w:hint="default" w:ascii="Times New Roman" w:hAnsi="Times New Roman" w:eastAsia="宋体" w:cs="Times New Roman"/>
          <w:color w:val="auto"/>
          <w:highlight w:val="none"/>
        </w:rPr>
        <w:fldChar w:fldCharType="end"/>
      </w:r>
    </w:p>
    <w:p w14:paraId="6225777B">
      <w:pPr>
        <w:pStyle w:val="18"/>
        <w:keepNext w:val="0"/>
        <w:keepLines w:val="0"/>
        <w:pageBreakBefore w:val="0"/>
        <w:widowControl w:val="0"/>
        <w:tabs>
          <w:tab w:val="right" w:leader="dot" w:pos="8957"/>
        </w:tabs>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highlight w:val="none"/>
        </w:rPr>
        <w:instrText xml:space="preserve"> HYPERLINK \l _Toc22699 </w:instrText>
      </w:r>
      <w:r>
        <w:rPr>
          <w:rFonts w:hint="default" w:ascii="Times New Roman" w:hAnsi="Times New Roman" w:eastAsia="宋体" w:cs="Times New Roman"/>
          <w:highlight w:val="none"/>
        </w:rPr>
        <w:fldChar w:fldCharType="separate"/>
      </w:r>
      <w:r>
        <w:rPr>
          <w:rFonts w:hint="default" w:ascii="Times New Roman" w:hAnsi="Times New Roman" w:eastAsia="宋体" w:cs="Times New Roman"/>
          <w:highlight w:val="none"/>
          <w:lang w:val="en-US"/>
        </w:rPr>
        <w:t>1.3技术路线</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_Toc22699 \h </w:instrText>
      </w:r>
      <w:r>
        <w:rPr>
          <w:rFonts w:hint="default" w:ascii="Times New Roman" w:hAnsi="Times New Roman" w:eastAsia="宋体" w:cs="Times New Roman"/>
        </w:rPr>
        <w:fldChar w:fldCharType="separate"/>
      </w:r>
      <w:r>
        <w:rPr>
          <w:rFonts w:hint="default" w:ascii="Times New Roman" w:hAnsi="Times New Roman" w:eastAsia="宋体" w:cs="Times New Roman"/>
        </w:rPr>
        <w:t>5</w:t>
      </w:r>
      <w:r>
        <w:rPr>
          <w:rFonts w:hint="default" w:ascii="Times New Roman" w:hAnsi="Times New Roman" w:eastAsia="宋体" w:cs="Times New Roman"/>
        </w:rPr>
        <w:fldChar w:fldCharType="end"/>
      </w:r>
      <w:r>
        <w:rPr>
          <w:rFonts w:hint="default" w:ascii="Times New Roman" w:hAnsi="Times New Roman" w:eastAsia="宋体" w:cs="Times New Roman"/>
          <w:color w:val="auto"/>
          <w:highlight w:val="none"/>
        </w:rPr>
        <w:fldChar w:fldCharType="end"/>
      </w:r>
    </w:p>
    <w:p w14:paraId="6C2B9684">
      <w:pPr>
        <w:pStyle w:val="17"/>
        <w:keepNext w:val="0"/>
        <w:keepLines w:val="0"/>
        <w:pageBreakBefore w:val="0"/>
        <w:widowControl w:val="0"/>
        <w:tabs>
          <w:tab w:val="right" w:leader="dot" w:pos="8957"/>
        </w:tabs>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highlight w:val="none"/>
        </w:rPr>
        <w:instrText xml:space="preserve"> HYPERLINK \l _Toc9619 </w:instrText>
      </w:r>
      <w:r>
        <w:rPr>
          <w:rFonts w:hint="default" w:ascii="Times New Roman" w:hAnsi="Times New Roman" w:eastAsia="宋体" w:cs="Times New Roman"/>
          <w:highlight w:val="none"/>
        </w:rPr>
        <w:fldChar w:fldCharType="separate"/>
      </w:r>
      <w:r>
        <w:rPr>
          <w:rFonts w:hint="default" w:ascii="Times New Roman" w:hAnsi="Times New Roman" w:eastAsia="宋体" w:cs="Times New Roman"/>
          <w:kern w:val="0"/>
          <w:highlight w:val="none"/>
        </w:rPr>
        <w:t>2 饮用水水源基础环境状况</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_Toc9619 \h </w:instrText>
      </w:r>
      <w:r>
        <w:rPr>
          <w:rFonts w:hint="default" w:ascii="Times New Roman" w:hAnsi="Times New Roman" w:eastAsia="宋体" w:cs="Times New Roman"/>
        </w:rPr>
        <w:fldChar w:fldCharType="separate"/>
      </w:r>
      <w:r>
        <w:rPr>
          <w:rFonts w:hint="default" w:ascii="Times New Roman" w:hAnsi="Times New Roman" w:eastAsia="宋体" w:cs="Times New Roman"/>
        </w:rPr>
        <w:t>7</w:t>
      </w:r>
      <w:r>
        <w:rPr>
          <w:rFonts w:hint="default" w:ascii="Times New Roman" w:hAnsi="Times New Roman" w:eastAsia="宋体" w:cs="Times New Roman"/>
        </w:rPr>
        <w:fldChar w:fldCharType="end"/>
      </w:r>
      <w:r>
        <w:rPr>
          <w:rFonts w:hint="default" w:ascii="Times New Roman" w:hAnsi="Times New Roman" w:eastAsia="宋体" w:cs="Times New Roman"/>
          <w:color w:val="auto"/>
          <w:highlight w:val="none"/>
        </w:rPr>
        <w:fldChar w:fldCharType="end"/>
      </w:r>
    </w:p>
    <w:p w14:paraId="0C18FD0C">
      <w:pPr>
        <w:pStyle w:val="18"/>
        <w:keepNext w:val="0"/>
        <w:keepLines w:val="0"/>
        <w:pageBreakBefore w:val="0"/>
        <w:widowControl w:val="0"/>
        <w:tabs>
          <w:tab w:val="right" w:leader="dot" w:pos="8957"/>
        </w:tabs>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highlight w:val="none"/>
        </w:rPr>
        <w:instrText xml:space="preserve"> HYPERLINK \l _Toc9718 </w:instrText>
      </w:r>
      <w:r>
        <w:rPr>
          <w:rFonts w:hint="default" w:ascii="Times New Roman" w:hAnsi="Times New Roman" w:eastAsia="宋体" w:cs="Times New Roman"/>
          <w:highlight w:val="none"/>
        </w:rPr>
        <w:fldChar w:fldCharType="separate"/>
      </w:r>
      <w:r>
        <w:rPr>
          <w:rFonts w:hint="default" w:ascii="Times New Roman" w:hAnsi="Times New Roman" w:eastAsia="宋体" w:cs="Times New Roman"/>
          <w:highlight w:val="none"/>
          <w:lang w:val="en-US"/>
        </w:rPr>
        <w:t>2.1区域自然环境概况</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_Toc9718 \h </w:instrText>
      </w:r>
      <w:r>
        <w:rPr>
          <w:rFonts w:hint="default" w:ascii="Times New Roman" w:hAnsi="Times New Roman" w:eastAsia="宋体" w:cs="Times New Roman"/>
        </w:rPr>
        <w:fldChar w:fldCharType="separate"/>
      </w:r>
      <w:r>
        <w:rPr>
          <w:rFonts w:hint="default" w:ascii="Times New Roman" w:hAnsi="Times New Roman" w:eastAsia="宋体" w:cs="Times New Roman"/>
        </w:rPr>
        <w:t>7</w:t>
      </w:r>
      <w:r>
        <w:rPr>
          <w:rFonts w:hint="default" w:ascii="Times New Roman" w:hAnsi="Times New Roman" w:eastAsia="宋体" w:cs="Times New Roman"/>
        </w:rPr>
        <w:fldChar w:fldCharType="end"/>
      </w:r>
      <w:r>
        <w:rPr>
          <w:rFonts w:hint="default" w:ascii="Times New Roman" w:hAnsi="Times New Roman" w:eastAsia="宋体" w:cs="Times New Roman"/>
          <w:color w:val="auto"/>
          <w:highlight w:val="none"/>
        </w:rPr>
        <w:fldChar w:fldCharType="end"/>
      </w:r>
    </w:p>
    <w:p w14:paraId="49ADD0CA">
      <w:pPr>
        <w:pStyle w:val="18"/>
        <w:keepNext w:val="0"/>
        <w:keepLines w:val="0"/>
        <w:pageBreakBefore w:val="0"/>
        <w:widowControl w:val="0"/>
        <w:tabs>
          <w:tab w:val="right" w:leader="dot" w:pos="8957"/>
        </w:tabs>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highlight w:val="none"/>
        </w:rPr>
        <w:instrText xml:space="preserve"> HYPERLINK \l _Toc16423 </w:instrText>
      </w:r>
      <w:r>
        <w:rPr>
          <w:rFonts w:hint="default" w:ascii="Times New Roman" w:hAnsi="Times New Roman" w:eastAsia="宋体" w:cs="Times New Roman"/>
          <w:highlight w:val="none"/>
        </w:rPr>
        <w:fldChar w:fldCharType="separate"/>
      </w:r>
      <w:r>
        <w:rPr>
          <w:rFonts w:hint="default" w:ascii="Times New Roman" w:hAnsi="Times New Roman" w:eastAsia="宋体" w:cs="Times New Roman"/>
          <w:highlight w:val="none"/>
          <w:lang w:val="en-US"/>
        </w:rPr>
        <w:t>2.2区域社会经济概况</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_Toc16423 \h </w:instrText>
      </w:r>
      <w:r>
        <w:rPr>
          <w:rFonts w:hint="default" w:ascii="Times New Roman" w:hAnsi="Times New Roman" w:eastAsia="宋体" w:cs="Times New Roman"/>
        </w:rPr>
        <w:fldChar w:fldCharType="separate"/>
      </w:r>
      <w:r>
        <w:rPr>
          <w:rFonts w:hint="default" w:ascii="Times New Roman" w:hAnsi="Times New Roman" w:eastAsia="宋体" w:cs="Times New Roman"/>
        </w:rPr>
        <w:t>22</w:t>
      </w:r>
      <w:r>
        <w:rPr>
          <w:rFonts w:hint="default" w:ascii="Times New Roman" w:hAnsi="Times New Roman" w:eastAsia="宋体" w:cs="Times New Roman"/>
        </w:rPr>
        <w:fldChar w:fldCharType="end"/>
      </w:r>
      <w:r>
        <w:rPr>
          <w:rFonts w:hint="default" w:ascii="Times New Roman" w:hAnsi="Times New Roman" w:eastAsia="宋体" w:cs="Times New Roman"/>
          <w:color w:val="auto"/>
          <w:highlight w:val="none"/>
        </w:rPr>
        <w:fldChar w:fldCharType="end"/>
      </w:r>
    </w:p>
    <w:p w14:paraId="7707D9C9">
      <w:pPr>
        <w:pStyle w:val="18"/>
        <w:keepNext w:val="0"/>
        <w:keepLines w:val="0"/>
        <w:pageBreakBefore w:val="0"/>
        <w:widowControl w:val="0"/>
        <w:tabs>
          <w:tab w:val="right" w:leader="dot" w:pos="8957"/>
        </w:tabs>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highlight w:val="none"/>
        </w:rPr>
        <w:instrText xml:space="preserve"> HYPERLINK \l _Toc28020 </w:instrText>
      </w:r>
      <w:r>
        <w:rPr>
          <w:rFonts w:hint="default" w:ascii="Times New Roman" w:hAnsi="Times New Roman" w:eastAsia="宋体" w:cs="Times New Roman"/>
          <w:highlight w:val="none"/>
        </w:rPr>
        <w:fldChar w:fldCharType="separate"/>
      </w:r>
      <w:r>
        <w:rPr>
          <w:rFonts w:hint="default" w:ascii="Times New Roman" w:hAnsi="Times New Roman" w:eastAsia="宋体" w:cs="Times New Roman"/>
          <w:highlight w:val="none"/>
          <w:lang w:val="en-US"/>
        </w:rPr>
        <w:t>2.3饮用水水源地周边城乡土地使用现状及规划情况</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_Toc28020 \h </w:instrText>
      </w:r>
      <w:r>
        <w:rPr>
          <w:rFonts w:hint="default" w:ascii="Times New Roman" w:hAnsi="Times New Roman" w:eastAsia="宋体" w:cs="Times New Roman"/>
        </w:rPr>
        <w:fldChar w:fldCharType="separate"/>
      </w:r>
      <w:r>
        <w:rPr>
          <w:rFonts w:hint="default" w:ascii="Times New Roman" w:hAnsi="Times New Roman" w:eastAsia="宋体" w:cs="Times New Roman"/>
        </w:rPr>
        <w:t>23</w:t>
      </w:r>
      <w:r>
        <w:rPr>
          <w:rFonts w:hint="default" w:ascii="Times New Roman" w:hAnsi="Times New Roman" w:eastAsia="宋体" w:cs="Times New Roman"/>
        </w:rPr>
        <w:fldChar w:fldCharType="end"/>
      </w:r>
      <w:r>
        <w:rPr>
          <w:rFonts w:hint="default" w:ascii="Times New Roman" w:hAnsi="Times New Roman" w:eastAsia="宋体" w:cs="Times New Roman"/>
          <w:color w:val="auto"/>
          <w:highlight w:val="none"/>
        </w:rPr>
        <w:fldChar w:fldCharType="end"/>
      </w:r>
    </w:p>
    <w:p w14:paraId="068A2FA1">
      <w:pPr>
        <w:pStyle w:val="18"/>
        <w:keepNext w:val="0"/>
        <w:keepLines w:val="0"/>
        <w:pageBreakBefore w:val="0"/>
        <w:widowControl w:val="0"/>
        <w:tabs>
          <w:tab w:val="right" w:leader="dot" w:pos="8957"/>
        </w:tabs>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highlight w:val="none"/>
        </w:rPr>
        <w:instrText xml:space="preserve"> HYPERLINK \l _Toc18462 </w:instrText>
      </w:r>
      <w:r>
        <w:rPr>
          <w:rFonts w:hint="default" w:ascii="Times New Roman" w:hAnsi="Times New Roman" w:eastAsia="宋体" w:cs="Times New Roman"/>
          <w:highlight w:val="none"/>
        </w:rPr>
        <w:fldChar w:fldCharType="separate"/>
      </w:r>
      <w:r>
        <w:rPr>
          <w:rFonts w:hint="default" w:ascii="Times New Roman" w:hAnsi="Times New Roman" w:eastAsia="宋体" w:cs="Times New Roman"/>
          <w:highlight w:val="none"/>
          <w:lang w:val="en-US"/>
        </w:rPr>
        <w:t>2.4饮用水水源地规划、水功能区划、重</w:t>
      </w:r>
      <w:r>
        <w:rPr>
          <w:rFonts w:hint="default" w:ascii="Times New Roman" w:hAnsi="Times New Roman" w:eastAsia="宋体" w:cs="Times New Roman"/>
          <w:highlight w:val="none"/>
          <w:lang w:val="en-US" w:eastAsia="zh-CN"/>
        </w:rPr>
        <w:t>要</w:t>
      </w:r>
      <w:r>
        <w:rPr>
          <w:rFonts w:hint="default" w:ascii="Times New Roman" w:hAnsi="Times New Roman" w:eastAsia="宋体" w:cs="Times New Roman"/>
          <w:highlight w:val="none"/>
          <w:lang w:val="en-US"/>
        </w:rPr>
        <w:t>生态功能区划情况</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_Toc18462 \h </w:instrText>
      </w:r>
      <w:r>
        <w:rPr>
          <w:rFonts w:hint="default" w:ascii="Times New Roman" w:hAnsi="Times New Roman" w:eastAsia="宋体" w:cs="Times New Roman"/>
        </w:rPr>
        <w:fldChar w:fldCharType="separate"/>
      </w:r>
      <w:r>
        <w:rPr>
          <w:rFonts w:hint="default" w:ascii="Times New Roman" w:hAnsi="Times New Roman" w:eastAsia="宋体" w:cs="Times New Roman"/>
        </w:rPr>
        <w:t>32</w:t>
      </w:r>
      <w:r>
        <w:rPr>
          <w:rFonts w:hint="default" w:ascii="Times New Roman" w:hAnsi="Times New Roman" w:eastAsia="宋体" w:cs="Times New Roman"/>
        </w:rPr>
        <w:fldChar w:fldCharType="end"/>
      </w:r>
      <w:r>
        <w:rPr>
          <w:rFonts w:hint="default" w:ascii="Times New Roman" w:hAnsi="Times New Roman" w:eastAsia="宋体" w:cs="Times New Roman"/>
          <w:color w:val="auto"/>
          <w:highlight w:val="none"/>
        </w:rPr>
        <w:fldChar w:fldCharType="end"/>
      </w:r>
    </w:p>
    <w:p w14:paraId="12DE1F54">
      <w:pPr>
        <w:pStyle w:val="18"/>
        <w:keepNext w:val="0"/>
        <w:keepLines w:val="0"/>
        <w:pageBreakBefore w:val="0"/>
        <w:widowControl w:val="0"/>
        <w:tabs>
          <w:tab w:val="right" w:leader="dot" w:pos="8957"/>
        </w:tabs>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highlight w:val="none"/>
        </w:rPr>
        <w:instrText xml:space="preserve"> HYPERLINK \l _Toc19934 </w:instrText>
      </w:r>
      <w:r>
        <w:rPr>
          <w:rFonts w:hint="default" w:ascii="Times New Roman" w:hAnsi="Times New Roman" w:eastAsia="宋体" w:cs="Times New Roman"/>
          <w:highlight w:val="none"/>
        </w:rPr>
        <w:fldChar w:fldCharType="separate"/>
      </w:r>
      <w:r>
        <w:rPr>
          <w:rFonts w:hint="default" w:ascii="Times New Roman" w:hAnsi="Times New Roman" w:eastAsia="宋体" w:cs="Times New Roman"/>
          <w:highlight w:val="none"/>
          <w:lang w:val="en-US"/>
        </w:rPr>
        <w:t>2.5饮用水水源地保护区现状与问题</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_Toc19934 \h </w:instrText>
      </w:r>
      <w:r>
        <w:rPr>
          <w:rFonts w:hint="default" w:ascii="Times New Roman" w:hAnsi="Times New Roman" w:eastAsia="宋体" w:cs="Times New Roman"/>
        </w:rPr>
        <w:fldChar w:fldCharType="separate"/>
      </w:r>
      <w:r>
        <w:rPr>
          <w:rFonts w:hint="default" w:ascii="Times New Roman" w:hAnsi="Times New Roman" w:eastAsia="宋体" w:cs="Times New Roman"/>
        </w:rPr>
        <w:t>33</w:t>
      </w:r>
      <w:r>
        <w:rPr>
          <w:rFonts w:hint="default" w:ascii="Times New Roman" w:hAnsi="Times New Roman" w:eastAsia="宋体" w:cs="Times New Roman"/>
        </w:rPr>
        <w:fldChar w:fldCharType="end"/>
      </w:r>
      <w:r>
        <w:rPr>
          <w:rFonts w:hint="default" w:ascii="Times New Roman" w:hAnsi="Times New Roman" w:eastAsia="宋体" w:cs="Times New Roman"/>
          <w:color w:val="auto"/>
          <w:highlight w:val="none"/>
        </w:rPr>
        <w:fldChar w:fldCharType="end"/>
      </w:r>
    </w:p>
    <w:p w14:paraId="167FEBBF">
      <w:pPr>
        <w:pStyle w:val="18"/>
        <w:keepNext w:val="0"/>
        <w:keepLines w:val="0"/>
        <w:pageBreakBefore w:val="0"/>
        <w:widowControl w:val="0"/>
        <w:tabs>
          <w:tab w:val="right" w:leader="dot" w:pos="8957"/>
        </w:tabs>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highlight w:val="none"/>
        </w:rPr>
        <w:instrText xml:space="preserve"> HYPERLINK \l _Toc788 </w:instrText>
      </w:r>
      <w:r>
        <w:rPr>
          <w:rFonts w:hint="default" w:ascii="Times New Roman" w:hAnsi="Times New Roman" w:eastAsia="宋体" w:cs="Times New Roman"/>
          <w:highlight w:val="none"/>
        </w:rPr>
        <w:fldChar w:fldCharType="separate"/>
      </w:r>
      <w:r>
        <w:rPr>
          <w:rFonts w:hint="default" w:ascii="Times New Roman" w:hAnsi="Times New Roman" w:eastAsia="宋体" w:cs="Times New Roman"/>
          <w:highlight w:val="none"/>
          <w:lang w:val="en-US"/>
        </w:rPr>
        <w:t>2.6饮用水水源地基础状况</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_Toc788 \h </w:instrText>
      </w:r>
      <w:r>
        <w:rPr>
          <w:rFonts w:hint="default" w:ascii="Times New Roman" w:hAnsi="Times New Roman" w:eastAsia="宋体" w:cs="Times New Roman"/>
        </w:rPr>
        <w:fldChar w:fldCharType="separate"/>
      </w:r>
      <w:r>
        <w:rPr>
          <w:rFonts w:hint="default" w:ascii="Times New Roman" w:hAnsi="Times New Roman" w:eastAsia="宋体" w:cs="Times New Roman"/>
        </w:rPr>
        <w:t>43</w:t>
      </w:r>
      <w:r>
        <w:rPr>
          <w:rFonts w:hint="default" w:ascii="Times New Roman" w:hAnsi="Times New Roman" w:eastAsia="宋体" w:cs="Times New Roman"/>
        </w:rPr>
        <w:fldChar w:fldCharType="end"/>
      </w:r>
      <w:r>
        <w:rPr>
          <w:rFonts w:hint="default" w:ascii="Times New Roman" w:hAnsi="Times New Roman" w:eastAsia="宋体" w:cs="Times New Roman"/>
          <w:color w:val="auto"/>
          <w:highlight w:val="none"/>
        </w:rPr>
        <w:fldChar w:fldCharType="end"/>
      </w:r>
    </w:p>
    <w:p w14:paraId="1DDCD60A">
      <w:pPr>
        <w:pStyle w:val="18"/>
        <w:keepNext w:val="0"/>
        <w:keepLines w:val="0"/>
        <w:pageBreakBefore w:val="0"/>
        <w:widowControl w:val="0"/>
        <w:tabs>
          <w:tab w:val="right" w:leader="dot" w:pos="8957"/>
        </w:tabs>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highlight w:val="none"/>
        </w:rPr>
        <w:instrText xml:space="preserve"> HYPERLINK \l _Toc14593 </w:instrText>
      </w:r>
      <w:r>
        <w:rPr>
          <w:rFonts w:hint="default" w:ascii="Times New Roman" w:hAnsi="Times New Roman" w:eastAsia="宋体" w:cs="Times New Roman"/>
          <w:highlight w:val="none"/>
        </w:rPr>
        <w:fldChar w:fldCharType="separate"/>
      </w:r>
      <w:r>
        <w:rPr>
          <w:rFonts w:hint="default" w:ascii="Times New Roman" w:hAnsi="Times New Roman" w:eastAsia="宋体" w:cs="Times New Roman"/>
          <w:highlight w:val="none"/>
        </w:rPr>
        <w:t>2.7饮用水水源地的水质状况调查评价</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_Toc14593 \h </w:instrText>
      </w:r>
      <w:r>
        <w:rPr>
          <w:rFonts w:hint="default" w:ascii="Times New Roman" w:hAnsi="Times New Roman" w:eastAsia="宋体" w:cs="Times New Roman"/>
        </w:rPr>
        <w:fldChar w:fldCharType="separate"/>
      </w:r>
      <w:r>
        <w:rPr>
          <w:rFonts w:hint="default" w:ascii="Times New Roman" w:hAnsi="Times New Roman" w:eastAsia="宋体" w:cs="Times New Roman"/>
        </w:rPr>
        <w:t>72</w:t>
      </w:r>
      <w:r>
        <w:rPr>
          <w:rFonts w:hint="default" w:ascii="Times New Roman" w:hAnsi="Times New Roman" w:eastAsia="宋体" w:cs="Times New Roman"/>
        </w:rPr>
        <w:fldChar w:fldCharType="end"/>
      </w:r>
      <w:r>
        <w:rPr>
          <w:rFonts w:hint="default" w:ascii="Times New Roman" w:hAnsi="Times New Roman" w:eastAsia="宋体" w:cs="Times New Roman"/>
          <w:color w:val="auto"/>
          <w:highlight w:val="none"/>
        </w:rPr>
        <w:fldChar w:fldCharType="end"/>
      </w:r>
    </w:p>
    <w:p w14:paraId="36CA8E9A">
      <w:pPr>
        <w:pStyle w:val="18"/>
        <w:keepNext w:val="0"/>
        <w:keepLines w:val="0"/>
        <w:pageBreakBefore w:val="0"/>
        <w:widowControl w:val="0"/>
        <w:tabs>
          <w:tab w:val="right" w:leader="dot" w:pos="8957"/>
        </w:tabs>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highlight w:val="none"/>
        </w:rPr>
        <w:instrText xml:space="preserve"> HYPERLINK \l _Toc23483 </w:instrText>
      </w:r>
      <w:r>
        <w:rPr>
          <w:rFonts w:hint="default" w:ascii="Times New Roman" w:hAnsi="Times New Roman" w:eastAsia="宋体" w:cs="Times New Roman"/>
          <w:highlight w:val="none"/>
        </w:rPr>
        <w:fldChar w:fldCharType="separate"/>
      </w:r>
      <w:r>
        <w:rPr>
          <w:rFonts w:hint="default" w:ascii="Times New Roman" w:hAnsi="Times New Roman" w:eastAsia="宋体" w:cs="Times New Roman"/>
          <w:highlight w:val="none"/>
        </w:rPr>
        <w:t>2.8</w:t>
      </w:r>
      <w:r>
        <w:rPr>
          <w:rFonts w:hint="default" w:ascii="Times New Roman" w:hAnsi="Times New Roman" w:eastAsia="宋体" w:cs="Times New Roman"/>
          <w:highlight w:val="none"/>
          <w:lang w:val="en-US"/>
        </w:rPr>
        <w:t>饮用水水源地周边及上游污染源调查</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_Toc23483 \h </w:instrText>
      </w:r>
      <w:r>
        <w:rPr>
          <w:rFonts w:hint="default" w:ascii="Times New Roman" w:hAnsi="Times New Roman" w:eastAsia="宋体" w:cs="Times New Roman"/>
        </w:rPr>
        <w:fldChar w:fldCharType="separate"/>
      </w:r>
      <w:r>
        <w:rPr>
          <w:rFonts w:hint="default" w:ascii="Times New Roman" w:hAnsi="Times New Roman" w:eastAsia="宋体" w:cs="Times New Roman"/>
        </w:rPr>
        <w:t>79</w:t>
      </w:r>
      <w:r>
        <w:rPr>
          <w:rFonts w:hint="default" w:ascii="Times New Roman" w:hAnsi="Times New Roman" w:eastAsia="宋体" w:cs="Times New Roman"/>
        </w:rPr>
        <w:fldChar w:fldCharType="end"/>
      </w:r>
      <w:r>
        <w:rPr>
          <w:rFonts w:hint="default" w:ascii="Times New Roman" w:hAnsi="Times New Roman" w:eastAsia="宋体" w:cs="Times New Roman"/>
          <w:color w:val="auto"/>
          <w:highlight w:val="none"/>
        </w:rPr>
        <w:fldChar w:fldCharType="end"/>
      </w:r>
    </w:p>
    <w:p w14:paraId="4F648C34">
      <w:pPr>
        <w:pStyle w:val="18"/>
        <w:keepNext w:val="0"/>
        <w:keepLines w:val="0"/>
        <w:pageBreakBefore w:val="0"/>
        <w:widowControl w:val="0"/>
        <w:tabs>
          <w:tab w:val="right" w:leader="dot" w:pos="8957"/>
        </w:tabs>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highlight w:val="none"/>
        </w:rPr>
        <w:instrText xml:space="preserve"> HYPERLINK \l _Toc5753 </w:instrText>
      </w:r>
      <w:r>
        <w:rPr>
          <w:rFonts w:hint="default" w:ascii="Times New Roman" w:hAnsi="Times New Roman" w:eastAsia="宋体" w:cs="Times New Roman"/>
          <w:highlight w:val="none"/>
        </w:rPr>
        <w:fldChar w:fldCharType="separate"/>
      </w:r>
      <w:r>
        <w:rPr>
          <w:rFonts w:hint="default" w:ascii="Times New Roman" w:hAnsi="Times New Roman" w:eastAsia="宋体" w:cs="Times New Roman"/>
          <w:highlight w:val="none"/>
          <w:lang w:val="en-US"/>
        </w:rPr>
        <w:t>2.9饮用水水源地水环境风险分析</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_Toc5753 \h </w:instrText>
      </w:r>
      <w:r>
        <w:rPr>
          <w:rFonts w:hint="default" w:ascii="Times New Roman" w:hAnsi="Times New Roman" w:eastAsia="宋体" w:cs="Times New Roman"/>
        </w:rPr>
        <w:fldChar w:fldCharType="separate"/>
      </w:r>
      <w:r>
        <w:rPr>
          <w:rFonts w:hint="default" w:ascii="Times New Roman" w:hAnsi="Times New Roman" w:eastAsia="宋体" w:cs="Times New Roman"/>
        </w:rPr>
        <w:t>91</w:t>
      </w:r>
      <w:r>
        <w:rPr>
          <w:rFonts w:hint="default" w:ascii="Times New Roman" w:hAnsi="Times New Roman" w:eastAsia="宋体" w:cs="Times New Roman"/>
        </w:rPr>
        <w:fldChar w:fldCharType="end"/>
      </w:r>
      <w:r>
        <w:rPr>
          <w:rFonts w:hint="default" w:ascii="Times New Roman" w:hAnsi="Times New Roman" w:eastAsia="宋体" w:cs="Times New Roman"/>
          <w:color w:val="auto"/>
          <w:highlight w:val="none"/>
        </w:rPr>
        <w:fldChar w:fldCharType="end"/>
      </w:r>
    </w:p>
    <w:p w14:paraId="3A4E4AD2">
      <w:pPr>
        <w:pStyle w:val="17"/>
        <w:keepNext w:val="0"/>
        <w:keepLines w:val="0"/>
        <w:pageBreakBefore w:val="0"/>
        <w:widowControl w:val="0"/>
        <w:tabs>
          <w:tab w:val="right" w:leader="dot" w:pos="8957"/>
        </w:tabs>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highlight w:val="none"/>
        </w:rPr>
        <w:instrText xml:space="preserve"> HYPERLINK \l _Toc27692 </w:instrText>
      </w:r>
      <w:r>
        <w:rPr>
          <w:rFonts w:hint="default" w:ascii="Times New Roman" w:hAnsi="Times New Roman" w:eastAsia="宋体" w:cs="Times New Roman"/>
          <w:highlight w:val="none"/>
        </w:rPr>
        <w:fldChar w:fldCharType="separate"/>
      </w:r>
      <w:r>
        <w:rPr>
          <w:rFonts w:hint="default" w:ascii="Times New Roman" w:hAnsi="Times New Roman" w:eastAsia="宋体" w:cs="Times New Roman"/>
          <w:kern w:val="0"/>
          <w:highlight w:val="none"/>
        </w:rPr>
        <w:t>3 保护区</w:t>
      </w:r>
      <w:r>
        <w:rPr>
          <w:rFonts w:hint="default" w:ascii="Times New Roman" w:hAnsi="Times New Roman" w:eastAsia="宋体" w:cs="Times New Roman"/>
          <w:kern w:val="0"/>
          <w:highlight w:val="none"/>
          <w:lang w:eastAsia="zh-CN"/>
        </w:rPr>
        <w:t>调整</w:t>
      </w:r>
      <w:r>
        <w:rPr>
          <w:rFonts w:hint="default" w:ascii="Times New Roman" w:hAnsi="Times New Roman" w:eastAsia="宋体" w:cs="Times New Roman"/>
          <w:kern w:val="0"/>
          <w:highlight w:val="none"/>
        </w:rPr>
        <w:t>与定界</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_Toc27692 \h </w:instrText>
      </w:r>
      <w:r>
        <w:rPr>
          <w:rFonts w:hint="default" w:ascii="Times New Roman" w:hAnsi="Times New Roman" w:eastAsia="宋体" w:cs="Times New Roman"/>
        </w:rPr>
        <w:fldChar w:fldCharType="separate"/>
      </w:r>
      <w:r>
        <w:rPr>
          <w:rFonts w:hint="default" w:ascii="Times New Roman" w:hAnsi="Times New Roman" w:eastAsia="宋体" w:cs="Times New Roman"/>
        </w:rPr>
        <w:t>94</w:t>
      </w:r>
      <w:r>
        <w:rPr>
          <w:rFonts w:hint="default" w:ascii="Times New Roman" w:hAnsi="Times New Roman" w:eastAsia="宋体" w:cs="Times New Roman"/>
        </w:rPr>
        <w:fldChar w:fldCharType="end"/>
      </w:r>
      <w:r>
        <w:rPr>
          <w:rFonts w:hint="default" w:ascii="Times New Roman" w:hAnsi="Times New Roman" w:eastAsia="宋体" w:cs="Times New Roman"/>
          <w:color w:val="auto"/>
          <w:highlight w:val="none"/>
        </w:rPr>
        <w:fldChar w:fldCharType="end"/>
      </w:r>
    </w:p>
    <w:p w14:paraId="6DC9DA65">
      <w:pPr>
        <w:pStyle w:val="18"/>
        <w:keepNext w:val="0"/>
        <w:keepLines w:val="0"/>
        <w:pageBreakBefore w:val="0"/>
        <w:widowControl w:val="0"/>
        <w:tabs>
          <w:tab w:val="right" w:leader="dot" w:pos="8957"/>
        </w:tabs>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highlight w:val="none"/>
        </w:rPr>
        <w:instrText xml:space="preserve"> HYPERLINK \l _Toc19774 </w:instrText>
      </w:r>
      <w:r>
        <w:rPr>
          <w:rFonts w:hint="default" w:ascii="Times New Roman" w:hAnsi="Times New Roman" w:eastAsia="宋体" w:cs="Times New Roman"/>
          <w:highlight w:val="none"/>
        </w:rPr>
        <w:fldChar w:fldCharType="separate"/>
      </w:r>
      <w:r>
        <w:rPr>
          <w:rFonts w:hint="default" w:ascii="Times New Roman" w:hAnsi="Times New Roman" w:eastAsia="宋体" w:cs="Times New Roman"/>
          <w:highlight w:val="none"/>
          <w:lang w:val="en-US"/>
        </w:rPr>
        <w:t>3.1水源保护区</w:t>
      </w:r>
      <w:r>
        <w:rPr>
          <w:rFonts w:hint="default" w:ascii="Times New Roman" w:hAnsi="Times New Roman" w:eastAsia="宋体" w:cs="Times New Roman"/>
          <w:highlight w:val="none"/>
          <w:lang w:val="en-US" w:eastAsia="zh-CN"/>
        </w:rPr>
        <w:t>调整</w:t>
      </w:r>
      <w:r>
        <w:rPr>
          <w:rFonts w:hint="default" w:ascii="Times New Roman" w:hAnsi="Times New Roman" w:eastAsia="宋体" w:cs="Times New Roman"/>
          <w:highlight w:val="none"/>
          <w:lang w:val="en-US"/>
        </w:rPr>
        <w:t>技术方法</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_Toc19774 \h </w:instrText>
      </w:r>
      <w:r>
        <w:rPr>
          <w:rFonts w:hint="default" w:ascii="Times New Roman" w:hAnsi="Times New Roman" w:eastAsia="宋体" w:cs="Times New Roman"/>
        </w:rPr>
        <w:fldChar w:fldCharType="separate"/>
      </w:r>
      <w:r>
        <w:rPr>
          <w:rFonts w:hint="default" w:ascii="Times New Roman" w:hAnsi="Times New Roman" w:eastAsia="宋体" w:cs="Times New Roman"/>
        </w:rPr>
        <w:t>94</w:t>
      </w:r>
      <w:r>
        <w:rPr>
          <w:rFonts w:hint="default" w:ascii="Times New Roman" w:hAnsi="Times New Roman" w:eastAsia="宋体" w:cs="Times New Roman"/>
        </w:rPr>
        <w:fldChar w:fldCharType="end"/>
      </w:r>
      <w:r>
        <w:rPr>
          <w:rFonts w:hint="default" w:ascii="Times New Roman" w:hAnsi="Times New Roman" w:eastAsia="宋体" w:cs="Times New Roman"/>
          <w:color w:val="auto"/>
          <w:highlight w:val="none"/>
        </w:rPr>
        <w:fldChar w:fldCharType="end"/>
      </w:r>
    </w:p>
    <w:p w14:paraId="7643AD21">
      <w:pPr>
        <w:pStyle w:val="18"/>
        <w:keepNext w:val="0"/>
        <w:keepLines w:val="0"/>
        <w:pageBreakBefore w:val="0"/>
        <w:widowControl w:val="0"/>
        <w:tabs>
          <w:tab w:val="right" w:leader="dot" w:pos="8957"/>
        </w:tabs>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highlight w:val="none"/>
        </w:rPr>
        <w:instrText xml:space="preserve"> HYPERLINK \l _Toc26550 </w:instrText>
      </w:r>
      <w:r>
        <w:rPr>
          <w:rFonts w:hint="default" w:ascii="Times New Roman" w:hAnsi="Times New Roman" w:eastAsia="宋体" w:cs="Times New Roman"/>
          <w:highlight w:val="none"/>
        </w:rPr>
        <w:fldChar w:fldCharType="separate"/>
      </w:r>
      <w:r>
        <w:rPr>
          <w:rFonts w:hint="default" w:ascii="Times New Roman" w:hAnsi="Times New Roman" w:eastAsia="宋体" w:cs="Times New Roman"/>
          <w:highlight w:val="none"/>
          <w:lang w:val="en-US"/>
        </w:rPr>
        <w:t>3.2初步</w:t>
      </w:r>
      <w:r>
        <w:rPr>
          <w:rFonts w:hint="default" w:ascii="Times New Roman" w:hAnsi="Times New Roman" w:eastAsia="宋体" w:cs="Times New Roman"/>
          <w:highlight w:val="none"/>
          <w:lang w:val="en-US" w:eastAsia="zh-CN"/>
        </w:rPr>
        <w:t>调整</w:t>
      </w:r>
      <w:r>
        <w:rPr>
          <w:rFonts w:hint="default" w:ascii="Times New Roman" w:hAnsi="Times New Roman" w:eastAsia="宋体" w:cs="Times New Roman"/>
          <w:highlight w:val="none"/>
          <w:lang w:val="en-US"/>
        </w:rPr>
        <w:t>结果与分析</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_Toc26550 \h </w:instrText>
      </w:r>
      <w:r>
        <w:rPr>
          <w:rFonts w:hint="default" w:ascii="Times New Roman" w:hAnsi="Times New Roman" w:eastAsia="宋体" w:cs="Times New Roman"/>
        </w:rPr>
        <w:fldChar w:fldCharType="separate"/>
      </w:r>
      <w:r>
        <w:rPr>
          <w:rFonts w:hint="default" w:ascii="Times New Roman" w:hAnsi="Times New Roman" w:eastAsia="宋体" w:cs="Times New Roman"/>
        </w:rPr>
        <w:t>95</w:t>
      </w:r>
      <w:r>
        <w:rPr>
          <w:rFonts w:hint="default" w:ascii="Times New Roman" w:hAnsi="Times New Roman" w:eastAsia="宋体" w:cs="Times New Roman"/>
        </w:rPr>
        <w:fldChar w:fldCharType="end"/>
      </w:r>
      <w:r>
        <w:rPr>
          <w:rFonts w:hint="default" w:ascii="Times New Roman" w:hAnsi="Times New Roman" w:eastAsia="宋体" w:cs="Times New Roman"/>
          <w:color w:val="auto"/>
          <w:highlight w:val="none"/>
        </w:rPr>
        <w:fldChar w:fldCharType="end"/>
      </w:r>
    </w:p>
    <w:p w14:paraId="4271F487">
      <w:pPr>
        <w:pStyle w:val="18"/>
        <w:keepNext w:val="0"/>
        <w:keepLines w:val="0"/>
        <w:pageBreakBefore w:val="0"/>
        <w:widowControl w:val="0"/>
        <w:tabs>
          <w:tab w:val="right" w:leader="dot" w:pos="8957"/>
        </w:tabs>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highlight w:val="none"/>
        </w:rPr>
        <w:instrText xml:space="preserve"> HYPERLINK \l _Toc29363 </w:instrText>
      </w:r>
      <w:r>
        <w:rPr>
          <w:rFonts w:hint="default" w:ascii="Times New Roman" w:hAnsi="Times New Roman" w:eastAsia="宋体" w:cs="Times New Roman"/>
          <w:highlight w:val="none"/>
        </w:rPr>
        <w:fldChar w:fldCharType="separate"/>
      </w:r>
      <w:r>
        <w:rPr>
          <w:rFonts w:hint="default" w:ascii="Times New Roman" w:hAnsi="Times New Roman" w:eastAsia="宋体" w:cs="Times New Roman"/>
          <w:highlight w:val="none"/>
          <w:lang w:val="en-US"/>
        </w:rPr>
        <w:t>3.3保护区定界方案</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_Toc29363 \h </w:instrText>
      </w:r>
      <w:r>
        <w:rPr>
          <w:rFonts w:hint="default" w:ascii="Times New Roman" w:hAnsi="Times New Roman" w:eastAsia="宋体" w:cs="Times New Roman"/>
        </w:rPr>
        <w:fldChar w:fldCharType="separate"/>
      </w:r>
      <w:r>
        <w:rPr>
          <w:rFonts w:hint="default" w:ascii="Times New Roman" w:hAnsi="Times New Roman" w:eastAsia="宋体" w:cs="Times New Roman"/>
        </w:rPr>
        <w:t>111</w:t>
      </w:r>
      <w:r>
        <w:rPr>
          <w:rFonts w:hint="default" w:ascii="Times New Roman" w:hAnsi="Times New Roman" w:eastAsia="宋体" w:cs="Times New Roman"/>
        </w:rPr>
        <w:fldChar w:fldCharType="end"/>
      </w:r>
      <w:r>
        <w:rPr>
          <w:rFonts w:hint="default" w:ascii="Times New Roman" w:hAnsi="Times New Roman" w:eastAsia="宋体" w:cs="Times New Roman"/>
          <w:color w:val="auto"/>
          <w:highlight w:val="none"/>
        </w:rPr>
        <w:fldChar w:fldCharType="end"/>
      </w:r>
    </w:p>
    <w:p w14:paraId="5793821B">
      <w:pPr>
        <w:pStyle w:val="18"/>
        <w:keepNext w:val="0"/>
        <w:keepLines w:val="0"/>
        <w:pageBreakBefore w:val="0"/>
        <w:widowControl w:val="0"/>
        <w:tabs>
          <w:tab w:val="right" w:leader="dot" w:pos="8957"/>
        </w:tabs>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highlight w:val="none"/>
        </w:rPr>
        <w:instrText xml:space="preserve"> HYPERLINK \l _Toc18491 </w:instrText>
      </w:r>
      <w:r>
        <w:rPr>
          <w:rFonts w:hint="default" w:ascii="Times New Roman" w:hAnsi="Times New Roman" w:eastAsia="宋体" w:cs="Times New Roman"/>
          <w:highlight w:val="none"/>
        </w:rPr>
        <w:fldChar w:fldCharType="separate"/>
      </w:r>
      <w:r>
        <w:rPr>
          <w:rFonts w:hint="default" w:ascii="Times New Roman" w:hAnsi="Times New Roman" w:eastAsia="宋体" w:cs="Times New Roman"/>
          <w:highlight w:val="none"/>
          <w:lang w:val="en-US"/>
        </w:rPr>
        <w:t>3.4保护区定界技术说明</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_Toc18491 \h </w:instrText>
      </w:r>
      <w:r>
        <w:rPr>
          <w:rFonts w:hint="default" w:ascii="Times New Roman" w:hAnsi="Times New Roman" w:eastAsia="宋体" w:cs="Times New Roman"/>
        </w:rPr>
        <w:fldChar w:fldCharType="separate"/>
      </w:r>
      <w:r>
        <w:rPr>
          <w:rFonts w:hint="default" w:ascii="Times New Roman" w:hAnsi="Times New Roman" w:eastAsia="宋体" w:cs="Times New Roman"/>
        </w:rPr>
        <w:t>115</w:t>
      </w:r>
      <w:r>
        <w:rPr>
          <w:rFonts w:hint="default" w:ascii="Times New Roman" w:hAnsi="Times New Roman" w:eastAsia="宋体" w:cs="Times New Roman"/>
        </w:rPr>
        <w:fldChar w:fldCharType="end"/>
      </w:r>
      <w:r>
        <w:rPr>
          <w:rFonts w:hint="default" w:ascii="Times New Roman" w:hAnsi="Times New Roman" w:eastAsia="宋体" w:cs="Times New Roman"/>
          <w:color w:val="auto"/>
          <w:highlight w:val="none"/>
        </w:rPr>
        <w:fldChar w:fldCharType="end"/>
      </w:r>
    </w:p>
    <w:p w14:paraId="1B761474">
      <w:pPr>
        <w:pStyle w:val="18"/>
        <w:keepNext w:val="0"/>
        <w:keepLines w:val="0"/>
        <w:pageBreakBefore w:val="0"/>
        <w:widowControl w:val="0"/>
        <w:tabs>
          <w:tab w:val="right" w:leader="dot" w:pos="8957"/>
        </w:tabs>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highlight w:val="none"/>
        </w:rPr>
        <w:instrText xml:space="preserve"> HYPERLINK \l _Toc4888 </w:instrText>
      </w:r>
      <w:r>
        <w:rPr>
          <w:rFonts w:hint="default" w:ascii="Times New Roman" w:hAnsi="Times New Roman" w:eastAsia="宋体" w:cs="Times New Roman"/>
          <w:highlight w:val="none"/>
        </w:rPr>
        <w:fldChar w:fldCharType="separate"/>
      </w:r>
      <w:r>
        <w:rPr>
          <w:rFonts w:hint="default" w:ascii="Times New Roman" w:hAnsi="Times New Roman" w:eastAsia="宋体" w:cs="Times New Roman"/>
          <w:highlight w:val="none"/>
          <w:lang w:val="en-US"/>
        </w:rPr>
        <w:t>3.5调整前后保护区范围比较</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_Toc4888 \h </w:instrText>
      </w:r>
      <w:r>
        <w:rPr>
          <w:rFonts w:hint="default" w:ascii="Times New Roman" w:hAnsi="Times New Roman" w:eastAsia="宋体" w:cs="Times New Roman"/>
        </w:rPr>
        <w:fldChar w:fldCharType="separate"/>
      </w:r>
      <w:r>
        <w:rPr>
          <w:rFonts w:hint="default" w:ascii="Times New Roman" w:hAnsi="Times New Roman" w:eastAsia="宋体" w:cs="Times New Roman"/>
        </w:rPr>
        <w:t>116</w:t>
      </w:r>
      <w:r>
        <w:rPr>
          <w:rFonts w:hint="default" w:ascii="Times New Roman" w:hAnsi="Times New Roman" w:eastAsia="宋体" w:cs="Times New Roman"/>
        </w:rPr>
        <w:fldChar w:fldCharType="end"/>
      </w:r>
      <w:r>
        <w:rPr>
          <w:rFonts w:hint="default" w:ascii="Times New Roman" w:hAnsi="Times New Roman" w:eastAsia="宋体" w:cs="Times New Roman"/>
          <w:color w:val="auto"/>
          <w:highlight w:val="none"/>
        </w:rPr>
        <w:fldChar w:fldCharType="end"/>
      </w:r>
    </w:p>
    <w:p w14:paraId="741B3247">
      <w:pPr>
        <w:pStyle w:val="17"/>
        <w:keepNext w:val="0"/>
        <w:keepLines w:val="0"/>
        <w:pageBreakBefore w:val="0"/>
        <w:widowControl w:val="0"/>
        <w:tabs>
          <w:tab w:val="right" w:leader="dot" w:pos="8957"/>
        </w:tabs>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highlight w:val="none"/>
        </w:rPr>
        <w:instrText xml:space="preserve"> HYPERLINK \l _Toc855 </w:instrText>
      </w:r>
      <w:r>
        <w:rPr>
          <w:rFonts w:hint="default" w:ascii="Times New Roman" w:hAnsi="Times New Roman" w:eastAsia="宋体" w:cs="Times New Roman"/>
          <w:highlight w:val="none"/>
        </w:rPr>
        <w:fldChar w:fldCharType="separate"/>
      </w:r>
      <w:r>
        <w:rPr>
          <w:rFonts w:hint="default" w:ascii="Times New Roman" w:hAnsi="Times New Roman" w:eastAsia="宋体" w:cs="Times New Roman"/>
          <w:kern w:val="0"/>
          <w:highlight w:val="none"/>
        </w:rPr>
        <w:t>4 饮用水水源保护区规范化建设与管理要求</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_Toc855 \h </w:instrText>
      </w:r>
      <w:r>
        <w:rPr>
          <w:rFonts w:hint="default" w:ascii="Times New Roman" w:hAnsi="Times New Roman" w:eastAsia="宋体" w:cs="Times New Roman"/>
        </w:rPr>
        <w:fldChar w:fldCharType="separate"/>
      </w:r>
      <w:r>
        <w:rPr>
          <w:rFonts w:hint="default" w:ascii="Times New Roman" w:hAnsi="Times New Roman" w:eastAsia="宋体" w:cs="Times New Roman"/>
        </w:rPr>
        <w:t>138</w:t>
      </w:r>
      <w:r>
        <w:rPr>
          <w:rFonts w:hint="default" w:ascii="Times New Roman" w:hAnsi="Times New Roman" w:eastAsia="宋体" w:cs="Times New Roman"/>
        </w:rPr>
        <w:fldChar w:fldCharType="end"/>
      </w:r>
      <w:r>
        <w:rPr>
          <w:rFonts w:hint="default" w:ascii="Times New Roman" w:hAnsi="Times New Roman" w:eastAsia="宋体" w:cs="Times New Roman"/>
          <w:color w:val="auto"/>
          <w:highlight w:val="none"/>
        </w:rPr>
        <w:fldChar w:fldCharType="end"/>
      </w:r>
    </w:p>
    <w:p w14:paraId="6F6512EE">
      <w:pPr>
        <w:pStyle w:val="18"/>
        <w:keepNext w:val="0"/>
        <w:keepLines w:val="0"/>
        <w:pageBreakBefore w:val="0"/>
        <w:widowControl w:val="0"/>
        <w:tabs>
          <w:tab w:val="right" w:leader="dot" w:pos="8957"/>
        </w:tabs>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highlight w:val="none"/>
        </w:rPr>
        <w:instrText xml:space="preserve"> HYPERLINK \l _Toc26245 </w:instrText>
      </w:r>
      <w:r>
        <w:rPr>
          <w:rFonts w:hint="default" w:ascii="Times New Roman" w:hAnsi="Times New Roman" w:eastAsia="宋体" w:cs="Times New Roman"/>
          <w:highlight w:val="none"/>
        </w:rPr>
        <w:fldChar w:fldCharType="separate"/>
      </w:r>
      <w:r>
        <w:rPr>
          <w:rFonts w:hint="default" w:ascii="Times New Roman" w:hAnsi="Times New Roman" w:eastAsia="宋体" w:cs="Times New Roman"/>
          <w:highlight w:val="none"/>
          <w:lang w:val="en-US"/>
        </w:rPr>
        <w:t>4.1水源水质水量要求</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_Toc26245 \h </w:instrText>
      </w:r>
      <w:r>
        <w:rPr>
          <w:rFonts w:hint="default" w:ascii="Times New Roman" w:hAnsi="Times New Roman" w:eastAsia="宋体" w:cs="Times New Roman"/>
        </w:rPr>
        <w:fldChar w:fldCharType="separate"/>
      </w:r>
      <w:r>
        <w:rPr>
          <w:rFonts w:hint="default" w:ascii="Times New Roman" w:hAnsi="Times New Roman" w:eastAsia="宋体" w:cs="Times New Roman"/>
        </w:rPr>
        <w:t>138</w:t>
      </w:r>
      <w:r>
        <w:rPr>
          <w:rFonts w:hint="default" w:ascii="Times New Roman" w:hAnsi="Times New Roman" w:eastAsia="宋体" w:cs="Times New Roman"/>
        </w:rPr>
        <w:fldChar w:fldCharType="end"/>
      </w:r>
      <w:r>
        <w:rPr>
          <w:rFonts w:hint="default" w:ascii="Times New Roman" w:hAnsi="Times New Roman" w:eastAsia="宋体" w:cs="Times New Roman"/>
          <w:color w:val="auto"/>
          <w:highlight w:val="none"/>
        </w:rPr>
        <w:fldChar w:fldCharType="end"/>
      </w:r>
    </w:p>
    <w:p w14:paraId="6BEAF4B5">
      <w:pPr>
        <w:pStyle w:val="18"/>
        <w:keepNext w:val="0"/>
        <w:keepLines w:val="0"/>
        <w:pageBreakBefore w:val="0"/>
        <w:widowControl w:val="0"/>
        <w:tabs>
          <w:tab w:val="right" w:leader="dot" w:pos="8957"/>
        </w:tabs>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highlight w:val="none"/>
        </w:rPr>
        <w:instrText xml:space="preserve"> HYPERLINK \l _Toc28138 </w:instrText>
      </w:r>
      <w:r>
        <w:rPr>
          <w:rFonts w:hint="default" w:ascii="Times New Roman" w:hAnsi="Times New Roman" w:eastAsia="宋体" w:cs="Times New Roman"/>
          <w:highlight w:val="none"/>
        </w:rPr>
        <w:fldChar w:fldCharType="separate"/>
      </w:r>
      <w:r>
        <w:rPr>
          <w:rFonts w:hint="default" w:ascii="Times New Roman" w:hAnsi="Times New Roman" w:eastAsia="宋体" w:cs="Times New Roman"/>
          <w:highlight w:val="none"/>
          <w:lang w:val="en-US"/>
        </w:rPr>
        <w:t>4.2保护区建设要求</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_Toc28138 \h </w:instrText>
      </w:r>
      <w:r>
        <w:rPr>
          <w:rFonts w:hint="default" w:ascii="Times New Roman" w:hAnsi="Times New Roman" w:eastAsia="宋体" w:cs="Times New Roman"/>
        </w:rPr>
        <w:fldChar w:fldCharType="separate"/>
      </w:r>
      <w:r>
        <w:rPr>
          <w:rFonts w:hint="default" w:ascii="Times New Roman" w:hAnsi="Times New Roman" w:eastAsia="宋体" w:cs="Times New Roman"/>
        </w:rPr>
        <w:t>139</w:t>
      </w:r>
      <w:r>
        <w:rPr>
          <w:rFonts w:hint="default" w:ascii="Times New Roman" w:hAnsi="Times New Roman" w:eastAsia="宋体" w:cs="Times New Roman"/>
        </w:rPr>
        <w:fldChar w:fldCharType="end"/>
      </w:r>
      <w:r>
        <w:rPr>
          <w:rFonts w:hint="default" w:ascii="Times New Roman" w:hAnsi="Times New Roman" w:eastAsia="宋体" w:cs="Times New Roman"/>
          <w:color w:val="auto"/>
          <w:highlight w:val="none"/>
        </w:rPr>
        <w:fldChar w:fldCharType="end"/>
      </w:r>
    </w:p>
    <w:p w14:paraId="71393705">
      <w:pPr>
        <w:pStyle w:val="18"/>
        <w:keepNext w:val="0"/>
        <w:keepLines w:val="0"/>
        <w:pageBreakBefore w:val="0"/>
        <w:widowControl w:val="0"/>
        <w:tabs>
          <w:tab w:val="right" w:leader="dot" w:pos="8957"/>
        </w:tabs>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highlight w:val="none"/>
        </w:rPr>
        <w:instrText xml:space="preserve"> HYPERLINK \l _Toc7905 </w:instrText>
      </w:r>
      <w:r>
        <w:rPr>
          <w:rFonts w:hint="default" w:ascii="Times New Roman" w:hAnsi="Times New Roman" w:eastAsia="宋体" w:cs="Times New Roman"/>
          <w:highlight w:val="none"/>
        </w:rPr>
        <w:fldChar w:fldCharType="separate"/>
      </w:r>
      <w:r>
        <w:rPr>
          <w:rFonts w:hint="default" w:ascii="Times New Roman" w:hAnsi="Times New Roman" w:eastAsia="宋体" w:cs="Times New Roman"/>
          <w:highlight w:val="none"/>
          <w:lang w:val="en-US"/>
        </w:rPr>
        <w:t>4.3保护区整治要求</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_Toc7905 \h </w:instrText>
      </w:r>
      <w:r>
        <w:rPr>
          <w:rFonts w:hint="default" w:ascii="Times New Roman" w:hAnsi="Times New Roman" w:eastAsia="宋体" w:cs="Times New Roman"/>
        </w:rPr>
        <w:fldChar w:fldCharType="separate"/>
      </w:r>
      <w:r>
        <w:rPr>
          <w:rFonts w:hint="default" w:ascii="Times New Roman" w:hAnsi="Times New Roman" w:eastAsia="宋体" w:cs="Times New Roman"/>
        </w:rPr>
        <w:t>142</w:t>
      </w:r>
      <w:r>
        <w:rPr>
          <w:rFonts w:hint="default" w:ascii="Times New Roman" w:hAnsi="Times New Roman" w:eastAsia="宋体" w:cs="Times New Roman"/>
        </w:rPr>
        <w:fldChar w:fldCharType="end"/>
      </w:r>
      <w:r>
        <w:rPr>
          <w:rFonts w:hint="default" w:ascii="Times New Roman" w:hAnsi="Times New Roman" w:eastAsia="宋体" w:cs="Times New Roman"/>
          <w:color w:val="auto"/>
          <w:highlight w:val="none"/>
        </w:rPr>
        <w:fldChar w:fldCharType="end"/>
      </w:r>
    </w:p>
    <w:p w14:paraId="6ECEC887">
      <w:pPr>
        <w:pStyle w:val="18"/>
        <w:keepNext w:val="0"/>
        <w:keepLines w:val="0"/>
        <w:pageBreakBefore w:val="0"/>
        <w:widowControl w:val="0"/>
        <w:tabs>
          <w:tab w:val="right" w:leader="dot" w:pos="8957"/>
        </w:tabs>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highlight w:val="none"/>
        </w:rPr>
        <w:instrText xml:space="preserve"> HYPERLINK \l _Toc26807 </w:instrText>
      </w:r>
      <w:r>
        <w:rPr>
          <w:rFonts w:hint="default" w:ascii="Times New Roman" w:hAnsi="Times New Roman" w:eastAsia="宋体" w:cs="Times New Roman"/>
          <w:highlight w:val="none"/>
        </w:rPr>
        <w:fldChar w:fldCharType="separate"/>
      </w:r>
      <w:r>
        <w:rPr>
          <w:rFonts w:hint="default" w:ascii="Times New Roman" w:hAnsi="Times New Roman" w:eastAsia="宋体" w:cs="Times New Roman"/>
          <w:highlight w:val="none"/>
        </w:rPr>
        <w:t>4.4监控能力建设要求</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_Toc26807 \h </w:instrText>
      </w:r>
      <w:r>
        <w:rPr>
          <w:rFonts w:hint="default" w:ascii="Times New Roman" w:hAnsi="Times New Roman" w:eastAsia="宋体" w:cs="Times New Roman"/>
        </w:rPr>
        <w:fldChar w:fldCharType="separate"/>
      </w:r>
      <w:r>
        <w:rPr>
          <w:rFonts w:hint="default" w:ascii="Times New Roman" w:hAnsi="Times New Roman" w:eastAsia="宋体" w:cs="Times New Roman"/>
        </w:rPr>
        <w:t>179</w:t>
      </w:r>
      <w:r>
        <w:rPr>
          <w:rFonts w:hint="default" w:ascii="Times New Roman" w:hAnsi="Times New Roman" w:eastAsia="宋体" w:cs="Times New Roman"/>
        </w:rPr>
        <w:fldChar w:fldCharType="end"/>
      </w:r>
      <w:r>
        <w:rPr>
          <w:rFonts w:hint="default" w:ascii="Times New Roman" w:hAnsi="Times New Roman" w:eastAsia="宋体" w:cs="Times New Roman"/>
          <w:color w:val="auto"/>
          <w:highlight w:val="none"/>
        </w:rPr>
        <w:fldChar w:fldCharType="end"/>
      </w:r>
    </w:p>
    <w:p w14:paraId="12480EAC">
      <w:pPr>
        <w:pStyle w:val="18"/>
        <w:keepNext w:val="0"/>
        <w:keepLines w:val="0"/>
        <w:pageBreakBefore w:val="0"/>
        <w:widowControl w:val="0"/>
        <w:tabs>
          <w:tab w:val="right" w:leader="dot" w:pos="8957"/>
        </w:tabs>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highlight w:val="none"/>
        </w:rPr>
        <w:instrText xml:space="preserve"> HYPERLINK \l _Toc7796 </w:instrText>
      </w:r>
      <w:r>
        <w:rPr>
          <w:rFonts w:hint="default" w:ascii="Times New Roman" w:hAnsi="Times New Roman" w:eastAsia="宋体" w:cs="Times New Roman"/>
          <w:highlight w:val="none"/>
        </w:rPr>
        <w:fldChar w:fldCharType="separate"/>
      </w:r>
      <w:r>
        <w:rPr>
          <w:rFonts w:hint="default" w:ascii="Times New Roman" w:hAnsi="Times New Roman" w:eastAsia="宋体" w:cs="Times New Roman"/>
          <w:highlight w:val="none"/>
        </w:rPr>
        <w:t>4.5风险防控与应急能力建设要求</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_Toc7796 \h </w:instrText>
      </w:r>
      <w:r>
        <w:rPr>
          <w:rFonts w:hint="default" w:ascii="Times New Roman" w:hAnsi="Times New Roman" w:eastAsia="宋体" w:cs="Times New Roman"/>
        </w:rPr>
        <w:fldChar w:fldCharType="separate"/>
      </w:r>
      <w:r>
        <w:rPr>
          <w:rFonts w:hint="default" w:ascii="Times New Roman" w:hAnsi="Times New Roman" w:eastAsia="宋体" w:cs="Times New Roman"/>
        </w:rPr>
        <w:t>180</w:t>
      </w:r>
      <w:r>
        <w:rPr>
          <w:rFonts w:hint="default" w:ascii="Times New Roman" w:hAnsi="Times New Roman" w:eastAsia="宋体" w:cs="Times New Roman"/>
        </w:rPr>
        <w:fldChar w:fldCharType="end"/>
      </w:r>
      <w:r>
        <w:rPr>
          <w:rFonts w:hint="default" w:ascii="Times New Roman" w:hAnsi="Times New Roman" w:eastAsia="宋体" w:cs="Times New Roman"/>
          <w:color w:val="auto"/>
          <w:highlight w:val="none"/>
        </w:rPr>
        <w:fldChar w:fldCharType="end"/>
      </w:r>
    </w:p>
    <w:p w14:paraId="59C53462">
      <w:pPr>
        <w:pStyle w:val="18"/>
        <w:keepNext w:val="0"/>
        <w:keepLines w:val="0"/>
        <w:pageBreakBefore w:val="0"/>
        <w:widowControl w:val="0"/>
        <w:tabs>
          <w:tab w:val="right" w:leader="dot" w:pos="8957"/>
        </w:tabs>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highlight w:val="none"/>
        </w:rPr>
        <w:instrText xml:space="preserve"> HYPERLINK \l _Toc1846 </w:instrText>
      </w:r>
      <w:r>
        <w:rPr>
          <w:rFonts w:hint="default" w:ascii="Times New Roman" w:hAnsi="Times New Roman" w:eastAsia="宋体" w:cs="Times New Roman"/>
          <w:highlight w:val="none"/>
        </w:rPr>
        <w:fldChar w:fldCharType="separate"/>
      </w:r>
      <w:r>
        <w:rPr>
          <w:rFonts w:hint="default" w:ascii="Times New Roman" w:hAnsi="Times New Roman" w:eastAsia="宋体" w:cs="Times New Roman"/>
          <w:highlight w:val="none"/>
          <w:lang w:val="en-US"/>
        </w:rPr>
        <w:t>4.6管理措施要求</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_Toc1846 \h </w:instrText>
      </w:r>
      <w:r>
        <w:rPr>
          <w:rFonts w:hint="default" w:ascii="Times New Roman" w:hAnsi="Times New Roman" w:eastAsia="宋体" w:cs="Times New Roman"/>
        </w:rPr>
        <w:fldChar w:fldCharType="separate"/>
      </w:r>
      <w:r>
        <w:rPr>
          <w:rFonts w:hint="default" w:ascii="Times New Roman" w:hAnsi="Times New Roman" w:eastAsia="宋体" w:cs="Times New Roman"/>
        </w:rPr>
        <w:t>182</w:t>
      </w:r>
      <w:r>
        <w:rPr>
          <w:rFonts w:hint="default" w:ascii="Times New Roman" w:hAnsi="Times New Roman" w:eastAsia="宋体" w:cs="Times New Roman"/>
        </w:rPr>
        <w:fldChar w:fldCharType="end"/>
      </w:r>
      <w:r>
        <w:rPr>
          <w:rFonts w:hint="default" w:ascii="Times New Roman" w:hAnsi="Times New Roman" w:eastAsia="宋体" w:cs="Times New Roman"/>
          <w:color w:val="auto"/>
          <w:highlight w:val="none"/>
        </w:rPr>
        <w:fldChar w:fldCharType="end"/>
      </w:r>
    </w:p>
    <w:p w14:paraId="48156FD3">
      <w:pPr>
        <w:pStyle w:val="17"/>
        <w:keepNext w:val="0"/>
        <w:keepLines w:val="0"/>
        <w:pageBreakBefore w:val="0"/>
        <w:widowControl w:val="0"/>
        <w:tabs>
          <w:tab w:val="right" w:leader="dot" w:pos="8957"/>
        </w:tabs>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highlight w:val="none"/>
        </w:rPr>
        <w:instrText xml:space="preserve"> HYPERLINK \l _Toc9206 </w:instrText>
      </w:r>
      <w:r>
        <w:rPr>
          <w:rFonts w:hint="default" w:ascii="Times New Roman" w:hAnsi="Times New Roman" w:eastAsia="宋体" w:cs="Times New Roman"/>
          <w:highlight w:val="none"/>
        </w:rPr>
        <w:fldChar w:fldCharType="separate"/>
      </w:r>
      <w:r>
        <w:rPr>
          <w:rFonts w:hint="default" w:ascii="Times New Roman" w:hAnsi="Times New Roman" w:eastAsia="宋体" w:cs="Times New Roman"/>
          <w:kern w:val="0"/>
          <w:highlight w:val="none"/>
        </w:rPr>
        <w:t>5 饮用水水源保护区建设投资估算</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_Toc9206 \h </w:instrText>
      </w:r>
      <w:r>
        <w:rPr>
          <w:rFonts w:hint="default" w:ascii="Times New Roman" w:hAnsi="Times New Roman" w:eastAsia="宋体" w:cs="Times New Roman"/>
        </w:rPr>
        <w:fldChar w:fldCharType="separate"/>
      </w:r>
      <w:r>
        <w:rPr>
          <w:rFonts w:hint="default" w:ascii="Times New Roman" w:hAnsi="Times New Roman" w:eastAsia="宋体" w:cs="Times New Roman"/>
        </w:rPr>
        <w:t>185</w:t>
      </w:r>
      <w:r>
        <w:rPr>
          <w:rFonts w:hint="default" w:ascii="Times New Roman" w:hAnsi="Times New Roman" w:eastAsia="宋体" w:cs="Times New Roman"/>
        </w:rPr>
        <w:fldChar w:fldCharType="end"/>
      </w:r>
      <w:r>
        <w:rPr>
          <w:rFonts w:hint="default" w:ascii="Times New Roman" w:hAnsi="Times New Roman" w:eastAsia="宋体" w:cs="Times New Roman"/>
          <w:color w:val="auto"/>
          <w:highlight w:val="none"/>
        </w:rPr>
        <w:fldChar w:fldCharType="end"/>
      </w:r>
    </w:p>
    <w:p w14:paraId="3432673B">
      <w:pPr>
        <w:pStyle w:val="18"/>
        <w:keepNext w:val="0"/>
        <w:keepLines w:val="0"/>
        <w:pageBreakBefore w:val="0"/>
        <w:widowControl w:val="0"/>
        <w:tabs>
          <w:tab w:val="right" w:leader="dot" w:pos="8957"/>
        </w:tabs>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highlight w:val="none"/>
        </w:rPr>
        <w:instrText xml:space="preserve"> HYPERLINK \l _Toc10705 </w:instrText>
      </w:r>
      <w:r>
        <w:rPr>
          <w:rFonts w:hint="default" w:ascii="Times New Roman" w:hAnsi="Times New Roman" w:eastAsia="宋体" w:cs="Times New Roman"/>
          <w:highlight w:val="none"/>
        </w:rPr>
        <w:fldChar w:fldCharType="separate"/>
      </w:r>
      <w:r>
        <w:rPr>
          <w:rFonts w:hint="default" w:ascii="Times New Roman" w:hAnsi="Times New Roman" w:eastAsia="宋体" w:cs="Times New Roman"/>
          <w:highlight w:val="none"/>
        </w:rPr>
        <w:t>5.1保护区规范化建设项目投资估算</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_Toc10705 \h </w:instrText>
      </w:r>
      <w:r>
        <w:rPr>
          <w:rFonts w:hint="default" w:ascii="Times New Roman" w:hAnsi="Times New Roman" w:eastAsia="宋体" w:cs="Times New Roman"/>
        </w:rPr>
        <w:fldChar w:fldCharType="separate"/>
      </w:r>
      <w:r>
        <w:rPr>
          <w:rFonts w:hint="default" w:ascii="Times New Roman" w:hAnsi="Times New Roman" w:eastAsia="宋体" w:cs="Times New Roman"/>
        </w:rPr>
        <w:t>185</w:t>
      </w:r>
      <w:r>
        <w:rPr>
          <w:rFonts w:hint="default" w:ascii="Times New Roman" w:hAnsi="Times New Roman" w:eastAsia="宋体" w:cs="Times New Roman"/>
        </w:rPr>
        <w:fldChar w:fldCharType="end"/>
      </w:r>
      <w:r>
        <w:rPr>
          <w:rFonts w:hint="default" w:ascii="Times New Roman" w:hAnsi="Times New Roman" w:eastAsia="宋体" w:cs="Times New Roman"/>
          <w:color w:val="auto"/>
          <w:highlight w:val="none"/>
        </w:rPr>
        <w:fldChar w:fldCharType="end"/>
      </w:r>
    </w:p>
    <w:p w14:paraId="5F381419">
      <w:pPr>
        <w:pStyle w:val="18"/>
        <w:keepNext w:val="0"/>
        <w:keepLines w:val="0"/>
        <w:pageBreakBefore w:val="0"/>
        <w:widowControl w:val="0"/>
        <w:tabs>
          <w:tab w:val="right" w:leader="dot" w:pos="8957"/>
        </w:tabs>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highlight w:val="none"/>
        </w:rPr>
        <w:instrText xml:space="preserve"> HYPERLINK \l _Toc8282 </w:instrText>
      </w:r>
      <w:r>
        <w:rPr>
          <w:rFonts w:hint="default" w:ascii="Times New Roman" w:hAnsi="Times New Roman" w:eastAsia="宋体" w:cs="Times New Roman"/>
          <w:highlight w:val="none"/>
        </w:rPr>
        <w:fldChar w:fldCharType="separate"/>
      </w:r>
      <w:r>
        <w:rPr>
          <w:rFonts w:hint="default" w:ascii="Times New Roman" w:hAnsi="Times New Roman" w:eastAsia="宋体" w:cs="Times New Roman"/>
          <w:highlight w:val="none"/>
          <w:lang w:val="en-US"/>
        </w:rPr>
        <w:t>5.2保护区规范化建设目标达标可行性分析</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_Toc8282 \h </w:instrText>
      </w:r>
      <w:r>
        <w:rPr>
          <w:rFonts w:hint="default" w:ascii="Times New Roman" w:hAnsi="Times New Roman" w:eastAsia="宋体" w:cs="Times New Roman"/>
        </w:rPr>
        <w:fldChar w:fldCharType="separate"/>
      </w:r>
      <w:r>
        <w:rPr>
          <w:rFonts w:hint="default" w:ascii="Times New Roman" w:hAnsi="Times New Roman" w:eastAsia="宋体" w:cs="Times New Roman"/>
        </w:rPr>
        <w:t>186</w:t>
      </w:r>
      <w:r>
        <w:rPr>
          <w:rFonts w:hint="default" w:ascii="Times New Roman" w:hAnsi="Times New Roman" w:eastAsia="宋体" w:cs="Times New Roman"/>
        </w:rPr>
        <w:fldChar w:fldCharType="end"/>
      </w:r>
      <w:r>
        <w:rPr>
          <w:rFonts w:hint="default" w:ascii="Times New Roman" w:hAnsi="Times New Roman" w:eastAsia="宋体" w:cs="Times New Roman"/>
          <w:color w:val="auto"/>
          <w:highlight w:val="none"/>
        </w:rPr>
        <w:fldChar w:fldCharType="end"/>
      </w:r>
    </w:p>
    <w:p w14:paraId="7DB38D01">
      <w:pPr>
        <w:pStyle w:val="17"/>
        <w:keepNext w:val="0"/>
        <w:keepLines w:val="0"/>
        <w:pageBreakBefore w:val="0"/>
        <w:widowControl w:val="0"/>
        <w:tabs>
          <w:tab w:val="right" w:leader="dot" w:pos="8957"/>
        </w:tabs>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highlight w:val="none"/>
        </w:rPr>
        <w:instrText xml:space="preserve"> HYPERLINK \l _Toc3872 </w:instrText>
      </w:r>
      <w:r>
        <w:rPr>
          <w:rFonts w:hint="default" w:ascii="Times New Roman" w:hAnsi="Times New Roman" w:eastAsia="宋体" w:cs="Times New Roman"/>
          <w:highlight w:val="none"/>
        </w:rPr>
        <w:fldChar w:fldCharType="separate"/>
      </w:r>
      <w:r>
        <w:rPr>
          <w:rFonts w:hint="default" w:ascii="Times New Roman" w:hAnsi="Times New Roman" w:eastAsia="宋体" w:cs="Times New Roman"/>
          <w:kern w:val="0"/>
          <w:highlight w:val="none"/>
        </w:rPr>
        <w:t>6 饮用水水源保护区</w:t>
      </w:r>
      <w:r>
        <w:rPr>
          <w:rFonts w:hint="default" w:ascii="Times New Roman" w:hAnsi="Times New Roman" w:eastAsia="宋体" w:cs="Times New Roman"/>
          <w:kern w:val="0"/>
          <w:highlight w:val="none"/>
          <w:lang w:eastAsia="zh-CN"/>
        </w:rPr>
        <w:t>调整</w:t>
      </w:r>
      <w:r>
        <w:rPr>
          <w:rFonts w:hint="default" w:ascii="Times New Roman" w:hAnsi="Times New Roman" w:eastAsia="宋体" w:cs="Times New Roman"/>
          <w:kern w:val="0"/>
          <w:highlight w:val="none"/>
        </w:rPr>
        <w:t>方案、图件及有关说明</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_Toc3872 \h </w:instrText>
      </w:r>
      <w:r>
        <w:rPr>
          <w:rFonts w:hint="default" w:ascii="Times New Roman" w:hAnsi="Times New Roman" w:eastAsia="宋体" w:cs="Times New Roman"/>
        </w:rPr>
        <w:fldChar w:fldCharType="separate"/>
      </w:r>
      <w:r>
        <w:rPr>
          <w:rFonts w:hint="default" w:ascii="Times New Roman" w:hAnsi="Times New Roman" w:eastAsia="宋体" w:cs="Times New Roman"/>
        </w:rPr>
        <w:t>189</w:t>
      </w:r>
      <w:r>
        <w:rPr>
          <w:rFonts w:hint="default" w:ascii="Times New Roman" w:hAnsi="Times New Roman" w:eastAsia="宋体" w:cs="Times New Roman"/>
        </w:rPr>
        <w:fldChar w:fldCharType="end"/>
      </w:r>
      <w:r>
        <w:rPr>
          <w:rFonts w:hint="default" w:ascii="Times New Roman" w:hAnsi="Times New Roman" w:eastAsia="宋体" w:cs="Times New Roman"/>
          <w:color w:val="auto"/>
          <w:highlight w:val="none"/>
        </w:rPr>
        <w:fldChar w:fldCharType="end"/>
      </w:r>
    </w:p>
    <w:p w14:paraId="35C52669">
      <w:pPr>
        <w:pStyle w:val="18"/>
        <w:keepNext w:val="0"/>
        <w:keepLines w:val="0"/>
        <w:pageBreakBefore w:val="0"/>
        <w:widowControl w:val="0"/>
        <w:tabs>
          <w:tab w:val="right" w:leader="dot" w:pos="8957"/>
        </w:tabs>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highlight w:val="none"/>
        </w:rPr>
        <w:instrText xml:space="preserve"> HYPERLINK \l _Toc19359 </w:instrText>
      </w:r>
      <w:r>
        <w:rPr>
          <w:rFonts w:hint="default" w:ascii="Times New Roman" w:hAnsi="Times New Roman" w:eastAsia="宋体" w:cs="Times New Roman"/>
          <w:highlight w:val="none"/>
        </w:rPr>
        <w:fldChar w:fldCharType="separate"/>
      </w:r>
      <w:r>
        <w:rPr>
          <w:rFonts w:hint="default" w:ascii="Times New Roman" w:hAnsi="Times New Roman" w:eastAsia="宋体" w:cs="Times New Roman"/>
          <w:highlight w:val="none"/>
          <w:lang w:val="en-US"/>
        </w:rPr>
        <w:t>6.1保护区</w:t>
      </w:r>
      <w:r>
        <w:rPr>
          <w:rFonts w:hint="default" w:ascii="Times New Roman" w:hAnsi="Times New Roman" w:eastAsia="宋体" w:cs="Times New Roman"/>
          <w:highlight w:val="none"/>
          <w:lang w:val="en-US" w:eastAsia="zh-CN"/>
        </w:rPr>
        <w:t>调整</w:t>
      </w:r>
      <w:r>
        <w:rPr>
          <w:rFonts w:hint="default" w:ascii="Times New Roman" w:hAnsi="Times New Roman" w:eastAsia="宋体" w:cs="Times New Roman"/>
          <w:highlight w:val="none"/>
          <w:lang w:val="en-US"/>
        </w:rPr>
        <w:t>方案说明</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_Toc19359 \h </w:instrText>
      </w:r>
      <w:r>
        <w:rPr>
          <w:rFonts w:hint="default" w:ascii="Times New Roman" w:hAnsi="Times New Roman" w:eastAsia="宋体" w:cs="Times New Roman"/>
        </w:rPr>
        <w:fldChar w:fldCharType="separate"/>
      </w:r>
      <w:r>
        <w:rPr>
          <w:rFonts w:hint="default" w:ascii="Times New Roman" w:hAnsi="Times New Roman" w:eastAsia="宋体" w:cs="Times New Roman"/>
        </w:rPr>
        <w:t>189</w:t>
      </w:r>
      <w:r>
        <w:rPr>
          <w:rFonts w:hint="default" w:ascii="Times New Roman" w:hAnsi="Times New Roman" w:eastAsia="宋体" w:cs="Times New Roman"/>
        </w:rPr>
        <w:fldChar w:fldCharType="end"/>
      </w:r>
      <w:r>
        <w:rPr>
          <w:rFonts w:hint="default" w:ascii="Times New Roman" w:hAnsi="Times New Roman" w:eastAsia="宋体" w:cs="Times New Roman"/>
          <w:color w:val="auto"/>
          <w:highlight w:val="none"/>
        </w:rPr>
        <w:fldChar w:fldCharType="end"/>
      </w:r>
    </w:p>
    <w:p w14:paraId="52DA7F52">
      <w:pPr>
        <w:pStyle w:val="18"/>
        <w:keepNext w:val="0"/>
        <w:keepLines w:val="0"/>
        <w:pageBreakBefore w:val="0"/>
        <w:widowControl w:val="0"/>
        <w:tabs>
          <w:tab w:val="right" w:leader="dot" w:pos="8957"/>
        </w:tabs>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highlight w:val="none"/>
        </w:rPr>
        <w:instrText xml:space="preserve"> HYPERLINK \l _Toc15324 </w:instrText>
      </w:r>
      <w:r>
        <w:rPr>
          <w:rFonts w:hint="default" w:ascii="Times New Roman" w:hAnsi="Times New Roman" w:eastAsia="宋体" w:cs="Times New Roman"/>
          <w:highlight w:val="none"/>
        </w:rPr>
        <w:fldChar w:fldCharType="separate"/>
      </w:r>
      <w:r>
        <w:rPr>
          <w:rFonts w:hint="default" w:ascii="Times New Roman" w:hAnsi="Times New Roman" w:eastAsia="宋体" w:cs="Times New Roman"/>
          <w:highlight w:val="none"/>
        </w:rPr>
        <w:t>6.2跨界情况说明</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_Toc15324 \h </w:instrText>
      </w:r>
      <w:r>
        <w:rPr>
          <w:rFonts w:hint="default" w:ascii="Times New Roman" w:hAnsi="Times New Roman" w:eastAsia="宋体" w:cs="Times New Roman"/>
        </w:rPr>
        <w:fldChar w:fldCharType="separate"/>
      </w:r>
      <w:r>
        <w:rPr>
          <w:rFonts w:hint="default" w:ascii="Times New Roman" w:hAnsi="Times New Roman" w:eastAsia="宋体" w:cs="Times New Roman"/>
        </w:rPr>
        <w:t>193</w:t>
      </w:r>
      <w:r>
        <w:rPr>
          <w:rFonts w:hint="default" w:ascii="Times New Roman" w:hAnsi="Times New Roman" w:eastAsia="宋体" w:cs="Times New Roman"/>
        </w:rPr>
        <w:fldChar w:fldCharType="end"/>
      </w:r>
      <w:r>
        <w:rPr>
          <w:rFonts w:hint="default" w:ascii="Times New Roman" w:hAnsi="Times New Roman" w:eastAsia="宋体" w:cs="Times New Roman"/>
          <w:color w:val="auto"/>
          <w:highlight w:val="none"/>
        </w:rPr>
        <w:fldChar w:fldCharType="end"/>
      </w:r>
    </w:p>
    <w:p w14:paraId="05F235EF">
      <w:pPr>
        <w:pStyle w:val="18"/>
        <w:keepNext w:val="0"/>
        <w:keepLines w:val="0"/>
        <w:pageBreakBefore w:val="0"/>
        <w:widowControl w:val="0"/>
        <w:tabs>
          <w:tab w:val="right" w:leader="dot" w:pos="8957"/>
        </w:tabs>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highlight w:val="none"/>
        </w:rPr>
        <w:instrText xml:space="preserve"> HYPERLINK \l _Toc31080 </w:instrText>
      </w:r>
      <w:r>
        <w:rPr>
          <w:rFonts w:hint="default" w:ascii="Times New Roman" w:hAnsi="Times New Roman" w:eastAsia="宋体" w:cs="Times New Roman"/>
          <w:highlight w:val="none"/>
        </w:rPr>
        <w:fldChar w:fldCharType="separate"/>
      </w:r>
      <w:r>
        <w:rPr>
          <w:rFonts w:hint="default" w:ascii="Times New Roman" w:hAnsi="Times New Roman" w:eastAsia="宋体" w:cs="Times New Roman"/>
          <w:highlight w:val="none"/>
        </w:rPr>
        <w:t>6.3图件说明</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_Toc31080 \h </w:instrText>
      </w:r>
      <w:r>
        <w:rPr>
          <w:rFonts w:hint="default" w:ascii="Times New Roman" w:hAnsi="Times New Roman" w:eastAsia="宋体" w:cs="Times New Roman"/>
        </w:rPr>
        <w:fldChar w:fldCharType="separate"/>
      </w:r>
      <w:r>
        <w:rPr>
          <w:rFonts w:hint="default" w:ascii="Times New Roman" w:hAnsi="Times New Roman" w:eastAsia="宋体" w:cs="Times New Roman"/>
        </w:rPr>
        <w:t>193</w:t>
      </w:r>
      <w:r>
        <w:rPr>
          <w:rFonts w:hint="default" w:ascii="Times New Roman" w:hAnsi="Times New Roman" w:eastAsia="宋体" w:cs="Times New Roman"/>
        </w:rPr>
        <w:fldChar w:fldCharType="end"/>
      </w:r>
      <w:r>
        <w:rPr>
          <w:rFonts w:hint="default" w:ascii="Times New Roman" w:hAnsi="Times New Roman" w:eastAsia="宋体" w:cs="Times New Roman"/>
          <w:color w:val="auto"/>
          <w:highlight w:val="none"/>
        </w:rPr>
        <w:fldChar w:fldCharType="end"/>
      </w:r>
    </w:p>
    <w:p w14:paraId="03A745F2">
      <w:pPr>
        <w:pStyle w:val="18"/>
        <w:keepNext w:val="0"/>
        <w:keepLines w:val="0"/>
        <w:pageBreakBefore w:val="0"/>
        <w:widowControl w:val="0"/>
        <w:tabs>
          <w:tab w:val="right" w:leader="dot" w:pos="8957"/>
        </w:tabs>
        <w:kinsoku/>
        <w:wordWrap/>
        <w:overflowPunct/>
        <w:topLinePunct w:val="0"/>
        <w:autoSpaceDE/>
        <w:autoSpaceDN/>
        <w:bidi w:val="0"/>
        <w:adjustRightInd/>
        <w:snapToGrid/>
        <w:ind w:firstLine="0" w:firstLineChars="0"/>
        <w:textAlignment w:val="auto"/>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highlight w:val="none"/>
        </w:rPr>
        <w:instrText xml:space="preserve"> HYPERLINK \l _Toc22438 </w:instrText>
      </w:r>
      <w:r>
        <w:rPr>
          <w:rFonts w:hint="default" w:ascii="Times New Roman" w:hAnsi="Times New Roman" w:eastAsia="宋体" w:cs="Times New Roman"/>
          <w:highlight w:val="none"/>
        </w:rPr>
        <w:fldChar w:fldCharType="separate"/>
      </w:r>
      <w:r>
        <w:rPr>
          <w:rFonts w:hint="default" w:ascii="Times New Roman" w:hAnsi="Times New Roman" w:eastAsia="宋体" w:cs="Times New Roman"/>
          <w:highlight w:val="none"/>
        </w:rPr>
        <w:t>6.</w:t>
      </w:r>
      <w:r>
        <w:rPr>
          <w:rFonts w:hint="default" w:ascii="Times New Roman" w:hAnsi="Times New Roman" w:eastAsia="宋体" w:cs="Times New Roman"/>
          <w:highlight w:val="none"/>
          <w:lang w:val="en-US" w:eastAsia="zh-CN"/>
        </w:rPr>
        <w:t>4</w:t>
      </w:r>
      <w:r>
        <w:rPr>
          <w:rFonts w:hint="default" w:ascii="Times New Roman" w:hAnsi="Times New Roman" w:eastAsia="宋体" w:cs="Times New Roman"/>
          <w:highlight w:val="none"/>
        </w:rPr>
        <w:t>建议</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_Toc22438 \h </w:instrText>
      </w:r>
      <w:r>
        <w:rPr>
          <w:rFonts w:hint="default" w:ascii="Times New Roman" w:hAnsi="Times New Roman" w:eastAsia="宋体" w:cs="Times New Roman"/>
        </w:rPr>
        <w:fldChar w:fldCharType="separate"/>
      </w:r>
      <w:r>
        <w:rPr>
          <w:rFonts w:hint="default" w:ascii="Times New Roman" w:hAnsi="Times New Roman" w:eastAsia="宋体" w:cs="Times New Roman"/>
        </w:rPr>
        <w:t>193</w:t>
      </w:r>
      <w:r>
        <w:rPr>
          <w:rFonts w:hint="default" w:ascii="Times New Roman" w:hAnsi="Times New Roman" w:eastAsia="宋体" w:cs="Times New Roman"/>
        </w:rPr>
        <w:fldChar w:fldCharType="end"/>
      </w:r>
      <w:r>
        <w:rPr>
          <w:rFonts w:hint="default" w:ascii="Times New Roman" w:hAnsi="Times New Roman" w:eastAsia="宋体" w:cs="Times New Roman"/>
          <w:color w:val="auto"/>
          <w:highlight w:val="none"/>
        </w:rPr>
        <w:fldChar w:fldCharType="end"/>
      </w:r>
    </w:p>
    <w:p w14:paraId="6A706C15">
      <w:pPr>
        <w:pStyle w:val="17"/>
        <w:keepNext w:val="0"/>
        <w:keepLines w:val="0"/>
        <w:pageBreakBefore w:val="0"/>
        <w:widowControl w:val="0"/>
        <w:tabs>
          <w:tab w:val="right" w:leader="dot" w:pos="8957"/>
        </w:tabs>
        <w:kinsoku/>
        <w:wordWrap/>
        <w:overflowPunct/>
        <w:topLinePunct w:val="0"/>
        <w:autoSpaceDE/>
        <w:autoSpaceDN/>
        <w:bidi w:val="0"/>
        <w:adjustRightInd/>
        <w:snapToGrid/>
        <w:ind w:left="0" w:leftChars="0" w:firstLine="0" w:firstLineChars="0"/>
        <w:textAlignment w:val="auto"/>
        <w:rPr>
          <w:rFonts w:eastAsia="黑体"/>
          <w:color w:val="auto"/>
          <w:highlight w:val="none"/>
        </w:rPr>
      </w:pPr>
      <w:r>
        <w:rPr>
          <w:rFonts w:eastAsia="黑体"/>
          <w:color w:val="auto"/>
          <w:highlight w:val="none"/>
        </w:rPr>
        <w:fldChar w:fldCharType="end"/>
      </w:r>
      <w:r>
        <w:rPr>
          <w:rFonts w:hint="eastAsia" w:ascii="黑体" w:hAnsi="黑体" w:eastAsia="黑体"/>
          <w:color w:val="auto"/>
          <w:highlight w:val="none"/>
        </w:rPr>
        <w:t>附图附件：</w:t>
      </w:r>
    </w:p>
    <w:p w14:paraId="0B5BAED5">
      <w:pPr>
        <w:pStyle w:val="17"/>
        <w:tabs>
          <w:tab w:val="right" w:leader="dot" w:pos="8957"/>
        </w:tabs>
        <w:ind w:firstLine="470"/>
        <w:rPr>
          <w:rFonts w:hint="default" w:ascii="Times New Roman" w:hAnsi="Times New Roman" w:eastAsia="黑体" w:cs="Times New Roman"/>
          <w:color w:val="auto"/>
          <w:highlight w:val="none"/>
        </w:rPr>
      </w:pPr>
      <w:r>
        <w:rPr>
          <w:rFonts w:hint="default" w:ascii="Times New Roman" w:hAnsi="Times New Roman" w:eastAsia="黑体" w:cs="Times New Roman"/>
          <w:bCs/>
          <w:color w:val="auto"/>
          <w:highlight w:val="none"/>
        </w:rPr>
        <w:t>附图</w:t>
      </w:r>
      <w:r>
        <w:rPr>
          <w:rFonts w:hint="default" w:ascii="Times New Roman" w:hAnsi="Times New Roman" w:eastAsia="黑体" w:cs="Times New Roman"/>
          <w:bCs/>
          <w:color w:val="auto"/>
          <w:highlight w:val="none"/>
          <w:lang w:val="en-US" w:eastAsia="zh-CN"/>
        </w:rPr>
        <w:t>1</w:t>
      </w:r>
      <w:r>
        <w:rPr>
          <w:rFonts w:hint="default" w:ascii="Times New Roman" w:hAnsi="Times New Roman" w:eastAsia="黑体" w:cs="Times New Roman"/>
          <w:bCs/>
          <w:color w:val="auto"/>
          <w:highlight w:val="none"/>
        </w:rPr>
        <w:t xml:space="preserve"> 饮用水水源地地理位置图</w:t>
      </w:r>
    </w:p>
    <w:p w14:paraId="1E947651">
      <w:pPr>
        <w:pStyle w:val="17"/>
        <w:tabs>
          <w:tab w:val="right" w:leader="dot" w:pos="8957"/>
        </w:tabs>
        <w:ind w:firstLine="470"/>
        <w:rPr>
          <w:rFonts w:hint="default" w:ascii="Times New Roman" w:hAnsi="Times New Roman" w:eastAsia="黑体" w:cs="Times New Roman"/>
          <w:color w:val="auto"/>
          <w:highlight w:val="none"/>
        </w:rPr>
      </w:pPr>
      <w:r>
        <w:rPr>
          <w:rFonts w:hint="default" w:ascii="Times New Roman" w:hAnsi="Times New Roman" w:eastAsia="黑体" w:cs="Times New Roman"/>
          <w:bCs/>
          <w:color w:val="auto"/>
          <w:highlight w:val="none"/>
        </w:rPr>
        <w:t>附图</w:t>
      </w:r>
      <w:r>
        <w:rPr>
          <w:rFonts w:hint="default" w:ascii="Times New Roman" w:hAnsi="Times New Roman" w:eastAsia="黑体" w:cs="Times New Roman"/>
          <w:bCs/>
          <w:color w:val="auto"/>
          <w:highlight w:val="none"/>
          <w:lang w:val="en-US" w:eastAsia="zh-CN"/>
        </w:rPr>
        <w:t>2</w:t>
      </w:r>
      <w:r>
        <w:rPr>
          <w:rFonts w:hint="default" w:ascii="Times New Roman" w:hAnsi="Times New Roman" w:eastAsia="黑体" w:cs="Times New Roman"/>
          <w:bCs/>
          <w:color w:val="auto"/>
          <w:highlight w:val="none"/>
        </w:rPr>
        <w:t xml:space="preserve"> </w:t>
      </w:r>
      <w:r>
        <w:rPr>
          <w:rFonts w:hint="eastAsia" w:eastAsia="黑体" w:cs="Times New Roman"/>
          <w:bCs/>
          <w:color w:val="auto"/>
          <w:highlight w:val="none"/>
          <w:lang w:eastAsia="zh-CN"/>
        </w:rPr>
        <w:t>区域</w:t>
      </w:r>
      <w:r>
        <w:rPr>
          <w:rFonts w:hint="default" w:ascii="Times New Roman" w:hAnsi="Times New Roman" w:eastAsia="黑体" w:cs="Times New Roman"/>
          <w:bCs/>
          <w:color w:val="auto"/>
          <w:highlight w:val="none"/>
        </w:rPr>
        <w:t>水文地质图（略）</w:t>
      </w:r>
    </w:p>
    <w:p w14:paraId="09C338C0">
      <w:pPr>
        <w:pStyle w:val="17"/>
        <w:tabs>
          <w:tab w:val="right" w:leader="dot" w:pos="8957"/>
        </w:tabs>
        <w:ind w:firstLine="470"/>
        <w:rPr>
          <w:rFonts w:hint="default" w:ascii="Times New Roman" w:hAnsi="Times New Roman" w:eastAsia="黑体" w:cs="Times New Roman"/>
          <w:color w:val="auto"/>
          <w:highlight w:val="none"/>
        </w:rPr>
      </w:pPr>
      <w:r>
        <w:rPr>
          <w:rFonts w:hint="default" w:ascii="Times New Roman" w:hAnsi="Times New Roman" w:eastAsia="黑体" w:cs="Times New Roman"/>
          <w:bCs/>
          <w:color w:val="auto"/>
          <w:highlight w:val="none"/>
        </w:rPr>
        <w:t>附图</w:t>
      </w:r>
      <w:r>
        <w:rPr>
          <w:rFonts w:hint="default" w:ascii="Times New Roman" w:hAnsi="Times New Roman" w:eastAsia="黑体" w:cs="Times New Roman"/>
          <w:bCs/>
          <w:color w:val="auto"/>
          <w:highlight w:val="none"/>
          <w:lang w:val="en-US" w:eastAsia="zh-CN"/>
        </w:rPr>
        <w:t>3</w:t>
      </w:r>
      <w:r>
        <w:rPr>
          <w:rFonts w:hint="default" w:ascii="Times New Roman" w:hAnsi="Times New Roman" w:eastAsia="黑体" w:cs="Times New Roman"/>
          <w:bCs/>
          <w:color w:val="auto"/>
          <w:highlight w:val="none"/>
        </w:rPr>
        <w:t xml:space="preserve"> 取水井成井柱状图</w:t>
      </w:r>
    </w:p>
    <w:p w14:paraId="21E92857">
      <w:pPr>
        <w:pStyle w:val="17"/>
        <w:tabs>
          <w:tab w:val="right" w:leader="dot" w:pos="8957"/>
        </w:tabs>
        <w:ind w:firstLine="470"/>
        <w:rPr>
          <w:rFonts w:hint="default" w:ascii="Times New Roman" w:hAnsi="Times New Roman" w:eastAsia="黑体" w:cs="Times New Roman"/>
          <w:color w:val="auto"/>
          <w:highlight w:val="none"/>
          <w:lang w:eastAsia="zh-CN"/>
        </w:rPr>
      </w:pPr>
      <w:r>
        <w:rPr>
          <w:rFonts w:hint="default" w:ascii="Times New Roman" w:hAnsi="Times New Roman" w:eastAsia="黑体" w:cs="Times New Roman"/>
          <w:color w:val="auto"/>
          <w:highlight w:val="none"/>
          <w:lang w:eastAsia="zh-CN"/>
        </w:rPr>
        <w:t>附图</w:t>
      </w:r>
      <w:r>
        <w:rPr>
          <w:rFonts w:hint="default" w:ascii="Times New Roman" w:hAnsi="Times New Roman" w:eastAsia="黑体" w:cs="Times New Roman"/>
          <w:color w:val="auto"/>
          <w:highlight w:val="none"/>
          <w:lang w:val="en-US" w:eastAsia="zh-CN"/>
        </w:rPr>
        <w:t xml:space="preserve">4 </w:t>
      </w:r>
      <w:r>
        <w:rPr>
          <w:rFonts w:hint="default" w:ascii="Times New Roman" w:hAnsi="Times New Roman" w:eastAsia="黑体" w:cs="Times New Roman"/>
          <w:color w:val="auto"/>
          <w:highlight w:val="none"/>
          <w:lang w:val="zh-CN"/>
        </w:rPr>
        <w:t>水源地周边污染</w:t>
      </w:r>
      <w:r>
        <w:rPr>
          <w:rFonts w:hint="default" w:ascii="Times New Roman" w:hAnsi="Times New Roman" w:eastAsia="黑体" w:cs="Times New Roman"/>
          <w:color w:val="auto"/>
          <w:highlight w:val="none"/>
          <w:lang w:val="zh-CN" w:eastAsia="zh-CN"/>
        </w:rPr>
        <w:t>源分布图</w:t>
      </w:r>
      <w:bookmarkStart w:id="152" w:name="_GoBack"/>
      <w:bookmarkEnd w:id="152"/>
    </w:p>
    <w:p w14:paraId="52877EAC">
      <w:pPr>
        <w:pStyle w:val="17"/>
        <w:tabs>
          <w:tab w:val="right" w:leader="dot" w:pos="8957"/>
        </w:tabs>
        <w:ind w:firstLine="470"/>
        <w:rPr>
          <w:rFonts w:hint="default" w:ascii="Times New Roman" w:hAnsi="Times New Roman" w:eastAsia="黑体" w:cs="Times New Roman"/>
          <w:color w:val="auto"/>
          <w:highlight w:val="none"/>
        </w:rPr>
      </w:pPr>
      <w:r>
        <w:rPr>
          <w:rFonts w:hint="default" w:ascii="Times New Roman" w:hAnsi="Times New Roman" w:eastAsia="黑体" w:cs="Times New Roman"/>
          <w:color w:val="auto"/>
          <w:highlight w:val="none"/>
        </w:rPr>
        <w:t>附图</w:t>
      </w:r>
      <w:r>
        <w:rPr>
          <w:rFonts w:hint="default" w:ascii="Times New Roman" w:hAnsi="Times New Roman" w:eastAsia="黑体" w:cs="Times New Roman"/>
          <w:color w:val="auto"/>
          <w:highlight w:val="none"/>
          <w:lang w:val="en-US" w:eastAsia="zh-CN"/>
        </w:rPr>
        <w:t>5</w:t>
      </w:r>
      <w:r>
        <w:rPr>
          <w:rFonts w:hint="default" w:ascii="Times New Roman" w:hAnsi="Times New Roman" w:eastAsia="黑体" w:cs="Times New Roman"/>
          <w:color w:val="auto"/>
          <w:highlight w:val="none"/>
        </w:rPr>
        <w:t xml:space="preserve"> 饮用水水源保护区划分图</w:t>
      </w:r>
    </w:p>
    <w:p w14:paraId="1BA0C653">
      <w:pPr>
        <w:ind w:firstLine="470"/>
        <w:rPr>
          <w:rFonts w:hint="default" w:ascii="Times New Roman" w:hAnsi="Times New Roman" w:eastAsia="黑体" w:cs="Times New Roman"/>
          <w:color w:val="auto"/>
          <w:highlight w:val="none"/>
        </w:rPr>
      </w:pPr>
      <w:r>
        <w:rPr>
          <w:rFonts w:hint="default" w:ascii="Times New Roman" w:hAnsi="Times New Roman" w:eastAsia="黑体" w:cs="Times New Roman"/>
          <w:color w:val="auto"/>
          <w:kern w:val="2"/>
          <w:sz w:val="24"/>
          <w:szCs w:val="24"/>
          <w:highlight w:val="none"/>
          <w:lang w:val="en-US" w:eastAsia="zh-CN" w:bidi="ar-SA"/>
        </w:rPr>
        <w:t>附图6 饮用水</w:t>
      </w:r>
      <w:r>
        <w:rPr>
          <w:rFonts w:hint="default" w:ascii="Times New Roman" w:hAnsi="Times New Roman" w:eastAsia="黑体" w:cs="Times New Roman"/>
          <w:color w:val="auto"/>
          <w:highlight w:val="none"/>
        </w:rPr>
        <w:t>水源</w:t>
      </w:r>
      <w:r>
        <w:rPr>
          <w:rFonts w:hint="default" w:ascii="Times New Roman" w:hAnsi="Times New Roman" w:eastAsia="黑体" w:cs="Times New Roman"/>
          <w:color w:val="auto"/>
          <w:kern w:val="2"/>
          <w:sz w:val="24"/>
          <w:szCs w:val="24"/>
          <w:highlight w:val="none"/>
          <w:lang w:val="en-US" w:eastAsia="zh-CN" w:bidi="ar-SA"/>
        </w:rPr>
        <w:t>保护区划分</w:t>
      </w:r>
      <w:r>
        <w:rPr>
          <w:rFonts w:hint="default" w:ascii="Times New Roman" w:hAnsi="Times New Roman" w:eastAsia="黑体" w:cs="Times New Roman"/>
          <w:color w:val="auto"/>
          <w:highlight w:val="none"/>
        </w:rPr>
        <w:t>前后对比图</w:t>
      </w:r>
    </w:p>
    <w:p w14:paraId="5C7DECB9">
      <w:pPr>
        <w:ind w:firstLine="470"/>
        <w:rPr>
          <w:rFonts w:hint="default" w:ascii="Times New Roman" w:hAnsi="Times New Roman" w:eastAsia="黑体" w:cs="Times New Roman"/>
          <w:color w:val="auto"/>
          <w:highlight w:val="none"/>
        </w:rPr>
      </w:pPr>
    </w:p>
    <w:p w14:paraId="26783E15">
      <w:pPr>
        <w:pStyle w:val="17"/>
        <w:tabs>
          <w:tab w:val="right" w:leader="dot" w:pos="8957"/>
        </w:tabs>
        <w:ind w:firstLine="470"/>
        <w:rPr>
          <w:rFonts w:hint="default" w:ascii="Times New Roman" w:hAnsi="Times New Roman" w:eastAsia="黑体" w:cs="Times New Roman"/>
          <w:color w:val="auto"/>
          <w:highlight w:val="none"/>
        </w:rPr>
      </w:pPr>
      <w:r>
        <w:rPr>
          <w:rFonts w:hint="default" w:ascii="Times New Roman" w:hAnsi="Times New Roman" w:eastAsia="黑体" w:cs="Times New Roman"/>
          <w:bCs/>
          <w:color w:val="auto"/>
          <w:highlight w:val="none"/>
        </w:rPr>
        <w:t>附件1 原饮用水水源保护区划分范围的批复</w:t>
      </w:r>
    </w:p>
    <w:p w14:paraId="07AA2A80">
      <w:pPr>
        <w:ind w:firstLine="470"/>
        <w:rPr>
          <w:rFonts w:hint="default" w:ascii="Times New Roman" w:hAnsi="Times New Roman" w:eastAsia="黑体" w:cs="Times New Roman"/>
          <w:bCs/>
          <w:color w:val="auto"/>
          <w:highlight w:val="none"/>
        </w:rPr>
      </w:pPr>
      <w:bookmarkStart w:id="0" w:name="OLE_LINK241"/>
      <w:bookmarkStart w:id="1" w:name="OLE_LINK240"/>
      <w:r>
        <w:rPr>
          <w:rFonts w:hint="default" w:ascii="Times New Roman" w:hAnsi="Times New Roman" w:eastAsia="黑体" w:cs="Times New Roman"/>
          <w:bCs/>
          <w:color w:val="auto"/>
          <w:highlight w:val="none"/>
        </w:rPr>
        <w:t>附件</w:t>
      </w:r>
      <w:r>
        <w:rPr>
          <w:rFonts w:hint="default" w:ascii="Times New Roman" w:hAnsi="Times New Roman" w:eastAsia="黑体" w:cs="Times New Roman"/>
          <w:bCs/>
          <w:color w:val="auto"/>
          <w:highlight w:val="none"/>
          <w:lang w:val="en-US" w:eastAsia="zh-CN"/>
        </w:rPr>
        <w:t>2</w:t>
      </w:r>
      <w:r>
        <w:rPr>
          <w:rFonts w:hint="default" w:ascii="Times New Roman" w:hAnsi="Times New Roman" w:eastAsia="黑体" w:cs="Times New Roman"/>
          <w:bCs/>
          <w:color w:val="auto"/>
          <w:highlight w:val="none"/>
        </w:rPr>
        <w:t xml:space="preserve"> </w:t>
      </w:r>
      <w:bookmarkEnd w:id="0"/>
      <w:bookmarkEnd w:id="1"/>
      <w:r>
        <w:rPr>
          <w:rFonts w:hint="default" w:ascii="Times New Roman" w:hAnsi="Times New Roman" w:eastAsia="黑体" w:cs="Times New Roman"/>
          <w:bCs/>
          <w:color w:val="auto"/>
          <w:highlight w:val="none"/>
          <w:lang w:eastAsia="zh-CN"/>
        </w:rPr>
        <w:t>地下水</w:t>
      </w:r>
      <w:r>
        <w:rPr>
          <w:rFonts w:hint="default" w:ascii="Times New Roman" w:hAnsi="Times New Roman" w:eastAsia="黑体" w:cs="Times New Roman"/>
          <w:bCs/>
          <w:color w:val="auto"/>
          <w:highlight w:val="none"/>
        </w:rPr>
        <w:t>水质检测报告</w:t>
      </w:r>
    </w:p>
    <w:p w14:paraId="19622769">
      <w:pPr>
        <w:ind w:firstLine="470"/>
        <w:rPr>
          <w:rFonts w:hint="eastAsia" w:ascii="Times New Roman" w:hAnsi="Times New Roman" w:eastAsia="黑体" w:cs="Times New Roman"/>
          <w:bCs/>
          <w:color w:val="auto"/>
          <w:highlight w:val="none"/>
          <w:lang w:val="en-US" w:eastAsia="zh-CN"/>
        </w:rPr>
      </w:pPr>
      <w:r>
        <w:rPr>
          <w:rFonts w:hint="eastAsia" w:ascii="Times New Roman" w:hAnsi="Times New Roman" w:eastAsia="黑体" w:cs="Times New Roman"/>
          <w:bCs/>
          <w:color w:val="auto"/>
          <w:highlight w:val="none"/>
          <w:lang w:val="en-US" w:eastAsia="zh-CN"/>
        </w:rPr>
        <w:t>附件3 各供水工程水资源论证结论</w:t>
      </w:r>
    </w:p>
    <w:p w14:paraId="4223E88C">
      <w:pPr>
        <w:rPr>
          <w:rFonts w:hint="default" w:ascii="Times New Roman" w:hAnsi="Times New Roman" w:eastAsia="黑体" w:cs="Times New Roman"/>
          <w:bCs/>
          <w:color w:val="auto"/>
          <w:highlight w:val="none"/>
        </w:rPr>
      </w:pPr>
    </w:p>
    <w:p w14:paraId="5C494CAF">
      <w:pPr>
        <w:ind w:firstLine="0" w:firstLineChars="0"/>
        <w:jc w:val="center"/>
        <w:rPr>
          <w:rFonts w:eastAsia="黑体"/>
          <w:color w:val="auto"/>
          <w:highlight w:val="none"/>
        </w:rPr>
      </w:pPr>
    </w:p>
    <w:p w14:paraId="4F093030">
      <w:pPr>
        <w:ind w:firstLine="0" w:firstLineChars="0"/>
        <w:jc w:val="center"/>
        <w:rPr>
          <w:color w:val="auto"/>
          <w:highlight w:val="none"/>
        </w:rPr>
      </w:pPr>
    </w:p>
    <w:p w14:paraId="5F114A47">
      <w:pPr>
        <w:ind w:firstLine="0" w:firstLineChars="0"/>
        <w:jc w:val="center"/>
        <w:rPr>
          <w:color w:val="auto"/>
          <w:highlight w:val="none"/>
        </w:rPr>
        <w:sectPr>
          <w:headerReference r:id="rId11" w:type="default"/>
          <w:footerReference r:id="rId12" w:type="default"/>
          <w:pgSz w:w="11905" w:h="16838"/>
          <w:pgMar w:top="1474" w:right="1474" w:bottom="1474" w:left="1474" w:header="850" w:footer="850" w:gutter="0"/>
          <w:pgBorders>
            <w:top w:val="none" w:sz="0" w:space="0"/>
            <w:left w:val="none" w:sz="0" w:space="0"/>
            <w:bottom w:val="none" w:sz="0" w:space="0"/>
            <w:right w:val="none" w:sz="0" w:space="0"/>
          </w:pgBorders>
          <w:pgNumType w:fmt="decimal" w:start="1"/>
          <w:cols w:space="720" w:num="1"/>
          <w:docGrid w:type="linesAndChars" w:linePitch="347" w:charSpace="-1024"/>
        </w:sectPr>
      </w:pPr>
    </w:p>
    <w:p w14:paraId="6BD12393">
      <w:pPr>
        <w:pStyle w:val="2"/>
        <w:keepNext/>
        <w:wordWrap w:val="0"/>
        <w:overflowPunct w:val="0"/>
        <w:autoSpaceDE w:val="0"/>
        <w:autoSpaceDN w:val="0"/>
        <w:rPr>
          <w:rFonts w:cs="黑体"/>
          <w:color w:val="auto"/>
          <w:kern w:val="0"/>
          <w:highlight w:val="none"/>
        </w:rPr>
      </w:pPr>
      <w:bookmarkStart w:id="2" w:name="_Toc16556"/>
      <w:bookmarkStart w:id="3" w:name="_Toc6198"/>
      <w:r>
        <w:rPr>
          <w:rFonts w:hint="eastAsia" w:cs="黑体"/>
          <w:color w:val="auto"/>
          <w:kern w:val="0"/>
          <w:highlight w:val="none"/>
        </w:rPr>
        <w:t>1 总则</w:t>
      </w:r>
      <w:bookmarkEnd w:id="2"/>
      <w:bookmarkEnd w:id="3"/>
    </w:p>
    <w:p w14:paraId="5D952E8C">
      <w:pPr>
        <w:pStyle w:val="3"/>
        <w:rPr>
          <w:rFonts w:hint="eastAsia" w:eastAsia="黑体"/>
          <w:color w:val="auto"/>
          <w:highlight w:val="none"/>
          <w:lang w:val="en-US" w:eastAsia="zh-CN"/>
        </w:rPr>
      </w:pPr>
      <w:bookmarkStart w:id="4" w:name="_Toc25758"/>
      <w:bookmarkStart w:id="5" w:name="_Toc6813"/>
      <w:r>
        <w:rPr>
          <w:rFonts w:hint="eastAsia"/>
          <w:color w:val="auto"/>
          <w:highlight w:val="none"/>
          <w:lang w:val="en-US"/>
        </w:rPr>
        <w:t>1.1</w:t>
      </w:r>
      <w:bookmarkEnd w:id="4"/>
      <w:r>
        <w:rPr>
          <w:rFonts w:hint="eastAsia" w:eastAsia="黑体"/>
          <w:color w:val="auto"/>
          <w:szCs w:val="28"/>
          <w:highlight w:val="none"/>
        </w:rPr>
        <w:t>调整的必要性</w:t>
      </w:r>
      <w:bookmarkEnd w:id="5"/>
    </w:p>
    <w:p w14:paraId="7902D758">
      <w:pPr>
        <w:keepNext w:val="0"/>
        <w:keepLines w:val="0"/>
        <w:pageBreakBefore w:val="0"/>
        <w:widowControl w:val="0"/>
        <w:kinsoku/>
        <w:wordWrap/>
        <w:overflowPunct/>
        <w:topLinePunct w:val="0"/>
        <w:bidi w:val="0"/>
        <w:snapToGrid/>
        <w:spacing w:line="360" w:lineRule="auto"/>
        <w:ind w:firstLine="472" w:firstLineChars="200"/>
        <w:jc w:val="both"/>
        <w:textAlignment w:val="auto"/>
        <w:rPr>
          <w:rFonts w:hint="eastAsia"/>
          <w:color w:val="auto"/>
          <w:highlight w:val="none"/>
          <w:lang w:eastAsia="zh-CN"/>
        </w:rPr>
      </w:pPr>
      <w:r>
        <w:rPr>
          <w:rFonts w:hint="eastAsia"/>
          <w:color w:val="auto"/>
          <w:highlight w:val="none"/>
        </w:rPr>
        <w:t>民以食为天，食以水为先</w:t>
      </w:r>
      <w:r>
        <w:rPr>
          <w:rFonts w:hint="eastAsia"/>
          <w:color w:val="auto"/>
          <w:highlight w:val="none"/>
          <w:lang w:eastAsia="zh-CN"/>
        </w:rPr>
        <w:t>，</w:t>
      </w:r>
      <w:r>
        <w:rPr>
          <w:rFonts w:hint="eastAsia"/>
          <w:color w:val="auto"/>
          <w:highlight w:val="none"/>
        </w:rPr>
        <w:t>水安全是涉及国家长治久安的大事。党中央、国务院高度重视农村饮水安全工作</w:t>
      </w:r>
      <w:r>
        <w:rPr>
          <w:rFonts w:hint="eastAsia"/>
          <w:color w:val="auto"/>
          <w:highlight w:val="none"/>
          <w:lang w:eastAsia="zh-CN"/>
        </w:rPr>
        <w:t>，在《</w:t>
      </w:r>
      <w:r>
        <w:rPr>
          <w:rFonts w:hint="eastAsia"/>
          <w:color w:val="auto"/>
          <w:highlight w:val="none"/>
        </w:rPr>
        <w:t>关于全面推进美丽中国建设的意见</w:t>
      </w:r>
      <w:r>
        <w:rPr>
          <w:rFonts w:hint="eastAsia"/>
          <w:color w:val="auto"/>
          <w:highlight w:val="none"/>
          <w:lang w:eastAsia="zh-CN"/>
        </w:rPr>
        <w:t>》中要求要</w:t>
      </w:r>
      <w:r>
        <w:rPr>
          <w:rFonts w:hint="eastAsia"/>
          <w:color w:val="auto"/>
          <w:highlight w:val="none"/>
        </w:rPr>
        <w:t>强化地下水型饮用水水源地环境保护</w:t>
      </w:r>
      <w:r>
        <w:rPr>
          <w:rFonts w:hint="eastAsia"/>
          <w:color w:val="auto"/>
          <w:highlight w:val="none"/>
          <w:lang w:eastAsia="zh-CN"/>
        </w:rPr>
        <w:t>。</w:t>
      </w:r>
    </w:p>
    <w:p w14:paraId="6710D56C">
      <w:pPr>
        <w:keepNext w:val="0"/>
        <w:keepLines w:val="0"/>
        <w:pageBreakBefore w:val="0"/>
        <w:widowControl w:val="0"/>
        <w:kinsoku/>
        <w:wordWrap/>
        <w:overflowPunct/>
        <w:topLinePunct w:val="0"/>
        <w:bidi w:val="0"/>
        <w:snapToGrid/>
        <w:spacing w:line="360" w:lineRule="auto"/>
        <w:ind w:firstLine="472" w:firstLineChars="200"/>
        <w:jc w:val="both"/>
        <w:textAlignment w:val="auto"/>
        <w:rPr>
          <w:rFonts w:hint="eastAsia" w:cs="Times New Roman"/>
          <w:color w:val="auto"/>
          <w:sz w:val="24"/>
          <w:szCs w:val="24"/>
          <w:highlight w:val="none"/>
          <w:lang w:eastAsia="zh-CN"/>
        </w:rPr>
      </w:pPr>
      <w:r>
        <w:rPr>
          <w:rFonts w:ascii="Segoe UI" w:hAnsi="Segoe UI" w:eastAsia="Segoe UI" w:cs="Segoe UI"/>
          <w:i w:val="0"/>
          <w:iCs w:val="0"/>
          <w:caps w:val="0"/>
          <w:color w:val="auto"/>
          <w:spacing w:val="0"/>
          <w:sz w:val="24"/>
          <w:szCs w:val="24"/>
          <w:highlight w:val="none"/>
          <w:shd w:val="clear" w:fill="FFFFFF"/>
        </w:rPr>
        <w:t>为深入贯彻习近平总书记关于“三农”工作和农村饮水安全保障的重要论述与指示精神，认真落实水利部及省委省政府关于推动农村供水高质量发展的决策部署，依据《黑龙江省农村供水高质量发展规</w:t>
      </w:r>
      <w:r>
        <w:rPr>
          <w:rFonts w:hint="default" w:ascii="Times New Roman" w:hAnsi="Times New Roman" w:eastAsia="Segoe UI" w:cs="Times New Roman"/>
          <w:i w:val="0"/>
          <w:iCs w:val="0"/>
          <w:caps w:val="0"/>
          <w:color w:val="auto"/>
          <w:spacing w:val="0"/>
          <w:sz w:val="24"/>
          <w:szCs w:val="24"/>
          <w:highlight w:val="none"/>
          <w:shd w:val="clear" w:fill="FFFFFF"/>
        </w:rPr>
        <w:t>划（2023-2035年）》的有关要求</w:t>
      </w:r>
      <w:r>
        <w:rPr>
          <w:rFonts w:hint="eastAsia" w:ascii="Segoe UI" w:hAnsi="Segoe UI" w:eastAsia="宋体" w:cs="Segoe UI"/>
          <w:i w:val="0"/>
          <w:iCs w:val="0"/>
          <w:caps w:val="0"/>
          <w:color w:val="auto"/>
          <w:spacing w:val="0"/>
          <w:sz w:val="24"/>
          <w:szCs w:val="24"/>
          <w:highlight w:val="none"/>
          <w:shd w:val="clear" w:fill="FFFFFF"/>
          <w:lang w:eastAsia="zh-CN"/>
        </w:rPr>
        <w:t>，</w:t>
      </w:r>
      <w:r>
        <w:rPr>
          <w:rFonts w:hint="eastAsia" w:cs="Times New Roman"/>
          <w:color w:val="auto"/>
          <w:sz w:val="24"/>
          <w:szCs w:val="24"/>
          <w:highlight w:val="none"/>
          <w:lang w:eastAsia="zh-CN"/>
        </w:rPr>
        <w:t>绥化市被列为全省集中供水规模化提升区，作为规模化供水主阵地，重点发展规模化供水，并且规划要求以乡镇或区域为单元，基本实现联网并网、联调联供，建成全省农村供水高质量发展提升区。对不符合饮用水水源水量、水质标准的农村供水工程，可采取水源水质良好供水工程管网延伸的方式扩大覆盖面。要依托人口聚集的乡镇（村）为中心，建设千吨万人供水工程，扩大规模化供水覆盖范围，到2027年，规模化供水覆盖人口大幅度提升，到2035年，符合条件的区域应建尽建，基本实现规模化工程全覆盖。</w:t>
      </w:r>
    </w:p>
    <w:p w14:paraId="04BCECA3">
      <w:pPr>
        <w:keepNext w:val="0"/>
        <w:keepLines w:val="0"/>
        <w:pageBreakBefore w:val="0"/>
        <w:widowControl w:val="0"/>
        <w:kinsoku/>
        <w:wordWrap/>
        <w:overflowPunct/>
        <w:topLinePunct w:val="0"/>
        <w:bidi w:val="0"/>
        <w:snapToGrid/>
        <w:spacing w:line="360" w:lineRule="auto"/>
        <w:ind w:firstLine="472" w:firstLineChars="200"/>
        <w:jc w:val="both"/>
        <w:textAlignment w:val="auto"/>
        <w:rPr>
          <w:rFonts w:hint="eastAsia" w:cs="Times New Roman"/>
          <w:color w:val="auto"/>
          <w:sz w:val="24"/>
          <w:szCs w:val="24"/>
          <w:highlight w:val="none"/>
          <w:lang w:eastAsia="zh-CN"/>
        </w:rPr>
      </w:pPr>
      <w:r>
        <w:rPr>
          <w:rFonts w:hint="eastAsia" w:cs="Times New Roman"/>
          <w:color w:val="auto"/>
          <w:sz w:val="24"/>
          <w:szCs w:val="24"/>
          <w:highlight w:val="none"/>
          <w:lang w:val="en-US" w:eastAsia="zh-CN"/>
        </w:rPr>
        <w:t>为切实保障城乡居民饮用水安全，解决原有水源地运行中存在的突出问题，庆安县对庆安县丰收乡等6个乡镇及柳河镇新强村饮用水水源地实施优化调整。部分水源井运行年限较长，地下水出水量呈逐年趋势性衰减，同时受降水及地下水补给条件影响，枯水期水量季节性不足问题突出，供水量难以稳定满足服务范围内持续增长的用水需求；加之原有水源布局分散，普遍存在水质稳定性不足、易受季节及周边环境影响、运行维护成本偏高、管护难度大等短板，分散、单独供水模式存在一定饮水安全风险。</w:t>
      </w:r>
    </w:p>
    <w:p w14:paraId="7E7BE029">
      <w:pPr>
        <w:keepNext w:val="0"/>
        <w:keepLines w:val="0"/>
        <w:pageBreakBefore w:val="0"/>
        <w:widowControl w:val="0"/>
        <w:kinsoku/>
        <w:wordWrap/>
        <w:overflowPunct/>
        <w:topLinePunct w:val="0"/>
        <w:bidi w:val="0"/>
        <w:snapToGrid/>
        <w:spacing w:line="360" w:lineRule="auto"/>
        <w:ind w:firstLine="472" w:firstLineChars="200"/>
        <w:jc w:val="both"/>
        <w:textAlignment w:val="auto"/>
        <w:rPr>
          <w:rFonts w:hint="eastAsia" w:cs="Times New Roman"/>
          <w:color w:val="auto"/>
          <w:sz w:val="24"/>
          <w:szCs w:val="24"/>
          <w:highlight w:val="none"/>
          <w:lang w:eastAsia="zh-CN"/>
        </w:rPr>
      </w:pPr>
      <w:r>
        <w:rPr>
          <w:rFonts w:hint="eastAsia" w:cs="Times New Roman"/>
          <w:color w:val="auto"/>
          <w:sz w:val="24"/>
          <w:szCs w:val="24"/>
          <w:highlight w:val="none"/>
          <w:lang w:val="en-US" w:eastAsia="zh-CN"/>
        </w:rPr>
        <w:t>对此，庆安县通过优化水源井布局，以集中式水源地替代原有分散水源井，同步铺设配套供水管网，扩大规模化供水覆盖范围，实现水源统一管控、高效运维、稳定供水。目前各调整后水源地均已接入对应供水水厂，形成规模化供水体系，从根本上提升了区域供水保障能力与水质安全水平，切实消除分散式供水存在的饮水安全隐患。</w:t>
      </w:r>
    </w:p>
    <w:p w14:paraId="6C0F5394">
      <w:pPr>
        <w:keepNext w:val="0"/>
        <w:keepLines w:val="0"/>
        <w:pageBreakBefore w:val="0"/>
        <w:widowControl w:val="0"/>
        <w:kinsoku/>
        <w:wordWrap/>
        <w:overflowPunct/>
        <w:topLinePunct w:val="0"/>
        <w:bidi w:val="0"/>
        <w:snapToGrid/>
        <w:spacing w:line="360" w:lineRule="auto"/>
        <w:ind w:firstLine="472" w:firstLineChars="200"/>
        <w:jc w:val="both"/>
        <w:textAlignment w:val="auto"/>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本次调整</w:t>
      </w:r>
      <w:r>
        <w:rPr>
          <w:rFonts w:hint="eastAsia" w:cs="Times New Roman"/>
          <w:color w:val="auto"/>
          <w:sz w:val="24"/>
          <w:szCs w:val="24"/>
          <w:highlight w:val="none"/>
          <w:lang w:val="en-US" w:eastAsia="zh-CN"/>
        </w:rPr>
        <w:t>后</w:t>
      </w:r>
      <w:r>
        <w:rPr>
          <w:rFonts w:hint="eastAsia" w:ascii="Times New Roman" w:hAnsi="Times New Roman" w:eastAsia="宋体" w:cs="Times New Roman"/>
          <w:color w:val="auto"/>
          <w:sz w:val="24"/>
          <w:szCs w:val="24"/>
          <w:highlight w:val="none"/>
          <w:lang w:val="en-US" w:eastAsia="zh-CN"/>
        </w:rPr>
        <w:t>庆安县发展乡饮用水水源地（8眼水井）替代现有6眼水井、庆安县建民乡饮用水水源地（3眼水井）替代现有5眼水井、庆安县同乐镇饮用水水源地（3眼水井）替代现有4眼水井、庆安县柳河镇饮用水水源地（5眼水井）替代现有4眼水井、庆安县柳河镇新强村饮用水水源地（5眼水井）替代现有5眼水井、庆安县丰收乡饮用水水源地（3眼水井）替代现有7眼水井、庆安县</w:t>
      </w:r>
      <w:r>
        <w:rPr>
          <w:rFonts w:hint="eastAsia" w:cs="Times New Roman"/>
          <w:color w:val="auto"/>
          <w:sz w:val="24"/>
          <w:szCs w:val="24"/>
          <w:highlight w:val="none"/>
          <w:lang w:val="en-US" w:eastAsia="zh-CN"/>
        </w:rPr>
        <w:t>平安镇</w:t>
      </w:r>
      <w:r>
        <w:rPr>
          <w:rFonts w:hint="eastAsia" w:ascii="Times New Roman" w:hAnsi="Times New Roman" w:eastAsia="宋体" w:cs="Times New Roman"/>
          <w:color w:val="auto"/>
          <w:sz w:val="24"/>
          <w:szCs w:val="24"/>
          <w:highlight w:val="none"/>
          <w:lang w:val="en-US" w:eastAsia="zh-CN"/>
        </w:rPr>
        <w:t>饮用水水源地（</w:t>
      </w:r>
      <w:r>
        <w:rPr>
          <w:rFonts w:hint="eastAsia" w:cs="Times New Roman"/>
          <w:color w:val="auto"/>
          <w:sz w:val="24"/>
          <w:szCs w:val="24"/>
          <w:highlight w:val="none"/>
          <w:lang w:val="en-US" w:eastAsia="zh-CN"/>
        </w:rPr>
        <w:t>2</w:t>
      </w:r>
      <w:r>
        <w:rPr>
          <w:rFonts w:hint="eastAsia" w:ascii="Times New Roman" w:hAnsi="Times New Roman" w:eastAsia="宋体" w:cs="Times New Roman"/>
          <w:color w:val="auto"/>
          <w:sz w:val="24"/>
          <w:szCs w:val="24"/>
          <w:highlight w:val="none"/>
          <w:lang w:val="en-US" w:eastAsia="zh-CN"/>
        </w:rPr>
        <w:t>眼水井）替代现有4眼水井。</w:t>
      </w:r>
      <w:r>
        <w:rPr>
          <w:rFonts w:ascii="宋体" w:hAnsi="宋体" w:eastAsia="宋体" w:cs="宋体"/>
          <w:color w:val="auto"/>
          <w:sz w:val="24"/>
          <w:szCs w:val="24"/>
          <w:highlight w:val="none"/>
        </w:rPr>
        <w:t>目前，各水源地已接入对应供水水厂，实现规模化供水。</w:t>
      </w:r>
    </w:p>
    <w:p w14:paraId="6C030BC7">
      <w:pPr>
        <w:ind w:firstLine="470"/>
        <w:rPr>
          <w:color w:val="auto"/>
          <w:highlight w:val="none"/>
        </w:rPr>
      </w:pPr>
      <w:r>
        <w:rPr>
          <w:rFonts w:hint="eastAsia"/>
          <w:color w:val="auto"/>
          <w:sz w:val="24"/>
          <w:szCs w:val="24"/>
          <w:highlight w:val="none"/>
        </w:rPr>
        <w:t>为贯彻落实《黑龙江省人民政府办公厅关于农村集中式饮用水水源地保护区划分工作的通知》（黑政办综</w:t>
      </w:r>
      <w:r>
        <w:rPr>
          <w:rFonts w:hint="eastAsia" w:ascii="宋体" w:hAnsi="宋体" w:cs="宋体"/>
          <w:color w:val="auto"/>
          <w:sz w:val="24"/>
          <w:szCs w:val="24"/>
          <w:highlight w:val="none"/>
        </w:rPr>
        <w:t>〔</w:t>
      </w:r>
      <w:r>
        <w:rPr>
          <w:rFonts w:hint="eastAsia"/>
          <w:color w:val="auto"/>
          <w:sz w:val="24"/>
          <w:szCs w:val="24"/>
          <w:highlight w:val="none"/>
        </w:rPr>
        <w:t>2015</w:t>
      </w:r>
      <w:r>
        <w:rPr>
          <w:rFonts w:hint="eastAsia" w:ascii="宋体" w:hAnsi="宋体" w:cs="宋体"/>
          <w:color w:val="auto"/>
          <w:sz w:val="24"/>
          <w:szCs w:val="24"/>
          <w:highlight w:val="none"/>
        </w:rPr>
        <w:t>〕</w:t>
      </w:r>
      <w:r>
        <w:rPr>
          <w:rFonts w:hint="eastAsia"/>
          <w:color w:val="auto"/>
          <w:sz w:val="24"/>
          <w:szCs w:val="24"/>
          <w:highlight w:val="none"/>
        </w:rPr>
        <w:t>17号）</w:t>
      </w:r>
      <w:r>
        <w:rPr>
          <w:rFonts w:hint="eastAsia"/>
          <w:color w:val="auto"/>
          <w:sz w:val="24"/>
          <w:szCs w:val="24"/>
          <w:highlight w:val="none"/>
          <w:lang w:eastAsia="zh-CN"/>
        </w:rPr>
        <w:t>、</w:t>
      </w:r>
      <w:r>
        <w:rPr>
          <w:rFonts w:hint="eastAsia"/>
          <w:color w:val="auto"/>
          <w:highlight w:val="none"/>
          <w:lang w:val="en-US" w:eastAsia="zh-CN"/>
        </w:rPr>
        <w:t>《中华人民共和国水污染防治法》及《关于印发全省集中式饮用水水源地长效监督管理工作方案的通知》等相关文件要求，</w:t>
      </w:r>
      <w:r>
        <w:rPr>
          <w:rFonts w:hint="eastAsia"/>
          <w:color w:val="auto"/>
          <w:highlight w:val="none"/>
        </w:rPr>
        <w:t>202</w:t>
      </w:r>
      <w:r>
        <w:rPr>
          <w:rFonts w:hint="eastAsia"/>
          <w:color w:val="auto"/>
          <w:highlight w:val="none"/>
          <w:lang w:val="en-US" w:eastAsia="zh-CN"/>
        </w:rPr>
        <w:t>5</w:t>
      </w:r>
      <w:r>
        <w:rPr>
          <w:rFonts w:hint="eastAsia"/>
          <w:color w:val="auto"/>
          <w:highlight w:val="none"/>
        </w:rPr>
        <w:t>年</w:t>
      </w:r>
      <w:r>
        <w:rPr>
          <w:rFonts w:hint="eastAsia"/>
          <w:color w:val="auto"/>
          <w:highlight w:val="none"/>
          <w:lang w:val="en-US" w:eastAsia="zh-CN"/>
        </w:rPr>
        <w:t>10</w:t>
      </w:r>
      <w:r>
        <w:rPr>
          <w:rFonts w:hint="eastAsia"/>
          <w:color w:val="auto"/>
          <w:highlight w:val="none"/>
        </w:rPr>
        <w:t>月，受</w:t>
      </w:r>
      <w:r>
        <w:rPr>
          <w:rFonts w:hint="eastAsia"/>
          <w:color w:val="auto"/>
          <w:highlight w:val="none"/>
          <w:lang w:eastAsia="zh-CN"/>
        </w:rPr>
        <w:t>绥化市庆安生态环境局</w:t>
      </w:r>
      <w:r>
        <w:rPr>
          <w:rFonts w:hint="eastAsia"/>
          <w:color w:val="auto"/>
          <w:highlight w:val="none"/>
        </w:rPr>
        <w:t>的委托，哈尔滨东隆环保科技开发有限公司开展了本次</w:t>
      </w:r>
      <w:r>
        <w:rPr>
          <w:rFonts w:hint="eastAsia"/>
          <w:b w:val="0"/>
          <w:bCs/>
          <w:color w:val="auto"/>
          <w:kern w:val="0"/>
          <w:highlight w:val="none"/>
        </w:rPr>
        <w:t>绥化市庆安县</w:t>
      </w:r>
      <w:r>
        <w:rPr>
          <w:rFonts w:hint="eastAsia"/>
          <w:b w:val="0"/>
          <w:bCs/>
          <w:color w:val="auto"/>
          <w:kern w:val="0"/>
          <w:highlight w:val="none"/>
          <w:lang w:eastAsia="zh-CN"/>
        </w:rPr>
        <w:t>丰收乡等</w:t>
      </w:r>
      <w:r>
        <w:rPr>
          <w:rFonts w:hint="eastAsia"/>
          <w:b w:val="0"/>
          <w:bCs/>
          <w:color w:val="auto"/>
          <w:kern w:val="0"/>
          <w:highlight w:val="none"/>
          <w:lang w:val="en-US" w:eastAsia="zh-CN"/>
        </w:rPr>
        <w:t>6个乡镇级和柳河镇新强村1个</w:t>
      </w:r>
      <w:r>
        <w:rPr>
          <w:rFonts w:hint="eastAsia"/>
          <w:b w:val="0"/>
          <w:bCs/>
          <w:color w:val="auto"/>
          <w:kern w:val="0"/>
          <w:highlight w:val="none"/>
          <w:lang w:eastAsia="zh-CN"/>
        </w:rPr>
        <w:t>村屯级</w:t>
      </w:r>
      <w:r>
        <w:rPr>
          <w:rFonts w:hint="eastAsia"/>
          <w:b w:val="0"/>
          <w:bCs/>
          <w:color w:val="auto"/>
          <w:kern w:val="0"/>
          <w:highlight w:val="none"/>
        </w:rPr>
        <w:t>集中式饮用水水源保护区</w:t>
      </w:r>
      <w:r>
        <w:rPr>
          <w:rFonts w:hint="eastAsia"/>
          <w:b w:val="0"/>
          <w:bCs/>
          <w:color w:val="auto"/>
          <w:kern w:val="0"/>
          <w:highlight w:val="none"/>
          <w:lang w:eastAsia="zh-CN"/>
        </w:rPr>
        <w:t>调整</w:t>
      </w:r>
      <w:r>
        <w:rPr>
          <w:rFonts w:hint="eastAsia"/>
          <w:color w:val="auto"/>
          <w:highlight w:val="none"/>
        </w:rPr>
        <w:t>工作。接受委托后，哈尔滨东隆环保科技开发有限公司成立了项目组，并于202</w:t>
      </w:r>
      <w:r>
        <w:rPr>
          <w:rFonts w:hint="eastAsia"/>
          <w:color w:val="auto"/>
          <w:highlight w:val="none"/>
          <w:lang w:val="en-US" w:eastAsia="zh-CN"/>
        </w:rPr>
        <w:t>5</w:t>
      </w:r>
      <w:r>
        <w:rPr>
          <w:rFonts w:hint="eastAsia"/>
          <w:color w:val="auto"/>
          <w:highlight w:val="none"/>
        </w:rPr>
        <w:t>年</w:t>
      </w:r>
      <w:r>
        <w:rPr>
          <w:rFonts w:hint="eastAsia"/>
          <w:color w:val="auto"/>
          <w:highlight w:val="none"/>
          <w:lang w:val="en-US" w:eastAsia="zh-CN"/>
        </w:rPr>
        <w:t>11</w:t>
      </w:r>
      <w:r>
        <w:rPr>
          <w:rFonts w:hint="eastAsia"/>
          <w:color w:val="auto"/>
          <w:highlight w:val="none"/>
        </w:rPr>
        <w:t>月深入现场，与</w:t>
      </w:r>
      <w:r>
        <w:rPr>
          <w:rFonts w:hint="eastAsia"/>
          <w:color w:val="auto"/>
          <w:highlight w:val="none"/>
          <w:lang w:eastAsia="zh-CN"/>
        </w:rPr>
        <w:t>绥化市庆安生态环境局</w:t>
      </w:r>
      <w:r>
        <w:rPr>
          <w:rFonts w:hint="eastAsia"/>
          <w:color w:val="auto"/>
          <w:highlight w:val="none"/>
        </w:rPr>
        <w:t>、</w:t>
      </w:r>
      <w:r>
        <w:rPr>
          <w:rFonts w:hint="eastAsia"/>
          <w:color w:val="auto"/>
          <w:sz w:val="24"/>
          <w:szCs w:val="24"/>
          <w:highlight w:val="none"/>
          <w:lang w:val="en-US" w:eastAsia="zh-CN"/>
        </w:rPr>
        <w:t>水务局</w:t>
      </w:r>
      <w:r>
        <w:rPr>
          <w:rFonts w:hint="default"/>
          <w:color w:val="auto"/>
          <w:sz w:val="24"/>
          <w:szCs w:val="24"/>
          <w:highlight w:val="none"/>
          <w:lang w:val="en-US" w:eastAsia="zh-CN"/>
        </w:rPr>
        <w:t>及</w:t>
      </w:r>
      <w:r>
        <w:rPr>
          <w:rFonts w:hint="default"/>
          <w:color w:val="auto"/>
          <w:sz w:val="24"/>
          <w:szCs w:val="24"/>
          <w:highlight w:val="none"/>
        </w:rPr>
        <w:t>各水源地的管理部门进行了沟通</w:t>
      </w:r>
      <w:r>
        <w:rPr>
          <w:rFonts w:hint="eastAsia"/>
          <w:color w:val="auto"/>
          <w:highlight w:val="none"/>
        </w:rPr>
        <w:t>，调查了各水源地的基本情况，搜集了相关技术资料，在此基础上编制完成了《</w:t>
      </w:r>
      <w:r>
        <w:rPr>
          <w:rFonts w:hint="eastAsia"/>
          <w:b w:val="0"/>
          <w:bCs/>
          <w:color w:val="auto"/>
          <w:kern w:val="0"/>
          <w:highlight w:val="none"/>
        </w:rPr>
        <w:t>绥化市庆安县</w:t>
      </w:r>
      <w:r>
        <w:rPr>
          <w:rFonts w:hint="eastAsia"/>
          <w:b w:val="0"/>
          <w:bCs/>
          <w:color w:val="auto"/>
          <w:kern w:val="0"/>
          <w:highlight w:val="none"/>
          <w:lang w:eastAsia="zh-CN"/>
        </w:rPr>
        <w:t>丰收乡等</w:t>
      </w:r>
      <w:r>
        <w:rPr>
          <w:rFonts w:hint="eastAsia"/>
          <w:b w:val="0"/>
          <w:bCs/>
          <w:color w:val="auto"/>
          <w:kern w:val="0"/>
          <w:highlight w:val="none"/>
          <w:lang w:val="en-US" w:eastAsia="zh-CN"/>
        </w:rPr>
        <w:t>6个乡镇级和柳河镇新强村1个</w:t>
      </w:r>
      <w:r>
        <w:rPr>
          <w:rFonts w:hint="eastAsia"/>
          <w:b w:val="0"/>
          <w:bCs/>
          <w:color w:val="auto"/>
          <w:kern w:val="0"/>
          <w:highlight w:val="none"/>
          <w:lang w:eastAsia="zh-CN"/>
        </w:rPr>
        <w:t>村屯级</w:t>
      </w:r>
      <w:r>
        <w:rPr>
          <w:rFonts w:hint="eastAsia"/>
          <w:b w:val="0"/>
          <w:bCs/>
          <w:color w:val="auto"/>
          <w:kern w:val="0"/>
          <w:highlight w:val="none"/>
        </w:rPr>
        <w:t>集中式饮用水水源保护区</w:t>
      </w:r>
      <w:r>
        <w:rPr>
          <w:rFonts w:hint="eastAsia"/>
          <w:b w:val="0"/>
          <w:bCs/>
          <w:color w:val="auto"/>
          <w:kern w:val="0"/>
          <w:highlight w:val="none"/>
          <w:lang w:eastAsia="zh-CN"/>
        </w:rPr>
        <w:t>调整</w:t>
      </w:r>
      <w:r>
        <w:rPr>
          <w:rFonts w:hint="eastAsia"/>
          <w:b w:val="0"/>
          <w:bCs/>
          <w:color w:val="auto"/>
          <w:kern w:val="0"/>
          <w:highlight w:val="none"/>
        </w:rPr>
        <w:t>技术报告</w:t>
      </w:r>
      <w:r>
        <w:rPr>
          <w:rFonts w:hint="eastAsia"/>
          <w:color w:val="auto"/>
          <w:highlight w:val="none"/>
        </w:rPr>
        <w:t>》。</w:t>
      </w:r>
    </w:p>
    <w:p w14:paraId="21E15D6F">
      <w:pPr>
        <w:ind w:firstLine="470"/>
        <w:rPr>
          <w:rFonts w:hint="eastAsia"/>
          <w:color w:val="auto"/>
          <w:highlight w:val="none"/>
          <w:lang w:eastAsia="zh-CN"/>
        </w:rPr>
      </w:pPr>
      <w:bookmarkStart w:id="6" w:name="_Toc2585"/>
      <w:r>
        <w:rPr>
          <w:rFonts w:hint="eastAsia"/>
          <w:color w:val="auto"/>
          <w:highlight w:val="none"/>
        </w:rPr>
        <w:t>对绥化市庆安县丰收乡等6个乡镇级和柳河镇新强村1个村屯级集中式饮用水水源（</w:t>
      </w:r>
      <w:r>
        <w:rPr>
          <w:rFonts w:hint="eastAsia"/>
          <w:color w:val="auto"/>
          <w:highlight w:val="none"/>
          <w:lang w:val="en-US" w:eastAsia="zh-CN"/>
        </w:rPr>
        <w:t>29</w:t>
      </w:r>
      <w:r>
        <w:rPr>
          <w:rFonts w:hint="eastAsia"/>
          <w:color w:val="auto"/>
          <w:highlight w:val="none"/>
        </w:rPr>
        <w:t>眼井）保护区</w:t>
      </w:r>
      <w:r>
        <w:rPr>
          <w:rFonts w:hint="eastAsia"/>
          <w:color w:val="auto"/>
          <w:highlight w:val="none"/>
          <w:lang w:eastAsia="zh-CN"/>
        </w:rPr>
        <w:t>进行科学、合理的</w:t>
      </w:r>
      <w:r>
        <w:rPr>
          <w:rFonts w:hint="eastAsia"/>
          <w:color w:val="auto"/>
          <w:highlight w:val="none"/>
        </w:rPr>
        <w:t>调整，旨在保障人民群众的饮水安全，促进</w:t>
      </w:r>
      <w:r>
        <w:rPr>
          <w:rFonts w:hint="eastAsia"/>
          <w:color w:val="auto"/>
          <w:highlight w:val="none"/>
          <w:lang w:eastAsia="zh-CN"/>
        </w:rPr>
        <w:t>区域</w:t>
      </w:r>
      <w:r>
        <w:rPr>
          <w:rFonts w:hint="eastAsia"/>
          <w:color w:val="auto"/>
          <w:highlight w:val="none"/>
        </w:rPr>
        <w:t>经济社会与环境的协调发展</w:t>
      </w:r>
      <w:r>
        <w:rPr>
          <w:rFonts w:hint="eastAsia"/>
          <w:color w:val="auto"/>
          <w:highlight w:val="none"/>
          <w:lang w:eastAsia="zh-CN"/>
        </w:rPr>
        <w:t>，</w:t>
      </w:r>
      <w:r>
        <w:rPr>
          <w:rFonts w:hint="eastAsia"/>
          <w:color w:val="auto"/>
          <w:highlight w:val="none"/>
        </w:rPr>
        <w:t>为政府和有关部门依法加强饮用水水源地的管理和保护、合理开发和利用饮用水水源、保障饮用水环境质量提供依据</w:t>
      </w:r>
      <w:r>
        <w:rPr>
          <w:rFonts w:hint="eastAsia"/>
          <w:color w:val="auto"/>
          <w:highlight w:val="none"/>
          <w:lang w:eastAsia="zh-CN"/>
        </w:rPr>
        <w:t>。</w:t>
      </w:r>
    </w:p>
    <w:p w14:paraId="4C896E1B">
      <w:pPr>
        <w:pStyle w:val="3"/>
        <w:rPr>
          <w:color w:val="auto"/>
          <w:highlight w:val="none"/>
          <w:lang w:val="en-US"/>
        </w:rPr>
      </w:pPr>
      <w:bookmarkStart w:id="7" w:name="_Toc14148"/>
      <w:r>
        <w:rPr>
          <w:rFonts w:hint="eastAsia"/>
          <w:color w:val="auto"/>
          <w:highlight w:val="none"/>
          <w:lang w:val="en-US"/>
        </w:rPr>
        <w:t>1.2</w:t>
      </w:r>
      <w:r>
        <w:rPr>
          <w:rFonts w:hint="eastAsia" w:ascii="Times New Roman" w:hAnsi="Times New Roman" w:cs="Times New Roman"/>
          <w:color w:val="auto"/>
          <w:highlight w:val="none"/>
          <w:lang w:val="en-US"/>
        </w:rPr>
        <w:t>调整</w:t>
      </w:r>
      <w:r>
        <w:rPr>
          <w:rFonts w:hint="eastAsia"/>
          <w:color w:val="auto"/>
          <w:highlight w:val="none"/>
          <w:lang w:val="en-US"/>
        </w:rPr>
        <w:t>依据</w:t>
      </w:r>
      <w:bookmarkEnd w:id="6"/>
      <w:bookmarkEnd w:id="7"/>
    </w:p>
    <w:p w14:paraId="2CA00DB6">
      <w:pPr>
        <w:pStyle w:val="4"/>
        <w:rPr>
          <w:color w:val="auto"/>
          <w:highlight w:val="none"/>
        </w:rPr>
      </w:pPr>
      <w:bookmarkStart w:id="8" w:name="_Toc23715"/>
      <w:r>
        <w:rPr>
          <w:rFonts w:hint="eastAsia"/>
          <w:color w:val="auto"/>
          <w:highlight w:val="none"/>
        </w:rPr>
        <w:t>1.2.1相关法律法规</w:t>
      </w:r>
      <w:bookmarkEnd w:id="8"/>
    </w:p>
    <w:p w14:paraId="3DF1AF1A">
      <w:pPr>
        <w:ind w:firstLine="470"/>
        <w:rPr>
          <w:color w:val="auto"/>
          <w:highlight w:val="none"/>
        </w:rPr>
      </w:pPr>
      <w:r>
        <w:rPr>
          <w:rFonts w:hint="eastAsia"/>
          <w:color w:val="auto"/>
          <w:highlight w:val="none"/>
          <w:lang w:eastAsia="zh-CN"/>
        </w:rPr>
        <w:t>（</w:t>
      </w:r>
      <w:r>
        <w:rPr>
          <w:rFonts w:hint="eastAsia"/>
          <w:color w:val="auto"/>
          <w:highlight w:val="none"/>
          <w:lang w:val="en-US" w:eastAsia="zh-CN"/>
        </w:rPr>
        <w:t>1</w:t>
      </w:r>
      <w:r>
        <w:rPr>
          <w:rFonts w:hint="eastAsia"/>
          <w:color w:val="auto"/>
          <w:highlight w:val="none"/>
          <w:lang w:eastAsia="zh-CN"/>
        </w:rPr>
        <w:t>）</w:t>
      </w:r>
      <w:r>
        <w:rPr>
          <w:rFonts w:hint="eastAsia"/>
          <w:color w:val="auto"/>
          <w:highlight w:val="none"/>
        </w:rPr>
        <w:t>《中华人民共和国水法》（</w:t>
      </w:r>
      <w:r>
        <w:rPr>
          <w:color w:val="auto"/>
          <w:highlight w:val="none"/>
        </w:rPr>
        <w:t>20</w:t>
      </w:r>
      <w:r>
        <w:rPr>
          <w:rFonts w:hint="eastAsia"/>
          <w:color w:val="auto"/>
          <w:highlight w:val="none"/>
        </w:rPr>
        <w:t>02</w:t>
      </w:r>
      <w:r>
        <w:rPr>
          <w:color w:val="auto"/>
          <w:highlight w:val="none"/>
        </w:rPr>
        <w:t>年</w:t>
      </w:r>
      <w:r>
        <w:rPr>
          <w:rFonts w:hint="eastAsia"/>
          <w:color w:val="auto"/>
          <w:highlight w:val="none"/>
        </w:rPr>
        <w:t>10</w:t>
      </w:r>
      <w:r>
        <w:rPr>
          <w:color w:val="auto"/>
          <w:highlight w:val="none"/>
        </w:rPr>
        <w:t>月1日</w:t>
      </w:r>
      <w:r>
        <w:rPr>
          <w:rFonts w:hint="eastAsia"/>
          <w:color w:val="auto"/>
          <w:highlight w:val="none"/>
        </w:rPr>
        <w:t>起施行）；</w:t>
      </w:r>
    </w:p>
    <w:p w14:paraId="6AED0607">
      <w:pPr>
        <w:ind w:firstLine="470"/>
        <w:rPr>
          <w:color w:val="auto"/>
          <w:highlight w:val="none"/>
        </w:rPr>
      </w:pPr>
      <w:r>
        <w:rPr>
          <w:rFonts w:hint="eastAsia"/>
          <w:color w:val="auto"/>
          <w:highlight w:val="none"/>
          <w:lang w:eastAsia="zh-CN"/>
        </w:rPr>
        <w:t>（</w:t>
      </w:r>
      <w:r>
        <w:rPr>
          <w:rFonts w:hint="eastAsia"/>
          <w:color w:val="auto"/>
          <w:highlight w:val="none"/>
          <w:lang w:val="en-US" w:eastAsia="zh-CN"/>
        </w:rPr>
        <w:t>2</w:t>
      </w:r>
      <w:r>
        <w:rPr>
          <w:rFonts w:hint="eastAsia"/>
          <w:color w:val="auto"/>
          <w:highlight w:val="none"/>
          <w:lang w:eastAsia="zh-CN"/>
        </w:rPr>
        <w:t>）</w:t>
      </w:r>
      <w:r>
        <w:rPr>
          <w:rFonts w:hint="eastAsia"/>
          <w:color w:val="auto"/>
          <w:highlight w:val="none"/>
        </w:rPr>
        <w:t>《中华人民共和国环境保护法》（</w:t>
      </w:r>
      <w:r>
        <w:rPr>
          <w:rFonts w:hint="eastAsia"/>
          <w:color w:val="auto"/>
          <w:highlight w:val="none"/>
          <w:shd w:val="clear" w:color="auto" w:fill="auto"/>
        </w:rPr>
        <w:t>2015</w:t>
      </w:r>
      <w:r>
        <w:rPr>
          <w:rFonts w:hint="eastAsia" w:ascii="Times New Roman" w:hAnsi="Times New Roman" w:eastAsia="宋体" w:cs="Times New Roman"/>
          <w:color w:val="auto"/>
          <w:kern w:val="2"/>
          <w:sz w:val="24"/>
          <w:szCs w:val="24"/>
          <w:highlight w:val="none"/>
          <w:shd w:val="clear" w:color="auto" w:fill="auto"/>
          <w:lang w:val="en-US" w:eastAsia="zh-CN" w:bidi="ar-SA"/>
        </w:rPr>
        <w:t>年</w:t>
      </w:r>
      <w:r>
        <w:rPr>
          <w:rFonts w:hint="eastAsia"/>
          <w:color w:val="auto"/>
          <w:highlight w:val="none"/>
          <w:shd w:val="clear" w:color="auto" w:fill="auto"/>
        </w:rPr>
        <w:t>1</w:t>
      </w:r>
      <w:r>
        <w:rPr>
          <w:rFonts w:hint="eastAsia" w:ascii="Times New Roman" w:hAnsi="Times New Roman" w:eastAsia="宋体" w:cs="Times New Roman"/>
          <w:color w:val="auto"/>
          <w:kern w:val="2"/>
          <w:sz w:val="24"/>
          <w:szCs w:val="24"/>
          <w:highlight w:val="none"/>
          <w:shd w:val="clear" w:color="auto" w:fill="auto"/>
          <w:lang w:val="en-US" w:eastAsia="zh-CN" w:bidi="ar-SA"/>
        </w:rPr>
        <w:t>月</w:t>
      </w:r>
      <w:r>
        <w:rPr>
          <w:rFonts w:hint="eastAsia"/>
          <w:color w:val="auto"/>
          <w:highlight w:val="none"/>
          <w:shd w:val="clear" w:color="auto" w:fill="auto"/>
        </w:rPr>
        <w:t>1</w:t>
      </w:r>
      <w:r>
        <w:rPr>
          <w:rFonts w:hint="eastAsia" w:ascii="Times New Roman" w:hAnsi="Times New Roman" w:eastAsia="宋体" w:cs="Times New Roman"/>
          <w:color w:val="auto"/>
          <w:kern w:val="2"/>
          <w:sz w:val="24"/>
          <w:szCs w:val="24"/>
          <w:highlight w:val="none"/>
          <w:shd w:val="clear" w:color="auto" w:fill="auto"/>
          <w:lang w:val="en-US" w:eastAsia="zh-CN" w:bidi="ar-SA"/>
        </w:rPr>
        <w:t>日</w:t>
      </w:r>
      <w:r>
        <w:rPr>
          <w:rFonts w:hint="eastAsia"/>
          <w:color w:val="auto"/>
          <w:highlight w:val="none"/>
          <w:shd w:val="clear" w:color="auto" w:fill="auto"/>
          <w:lang w:eastAsia="zh-CN"/>
        </w:rPr>
        <w:t>起施行</w:t>
      </w:r>
      <w:r>
        <w:rPr>
          <w:rFonts w:hint="eastAsia"/>
          <w:color w:val="auto"/>
          <w:highlight w:val="none"/>
        </w:rPr>
        <w:t>）；</w:t>
      </w:r>
    </w:p>
    <w:p w14:paraId="47A9C6E1">
      <w:pPr>
        <w:ind w:firstLine="470"/>
        <w:rPr>
          <w:color w:val="auto"/>
          <w:highlight w:val="none"/>
        </w:rPr>
      </w:pPr>
      <w:r>
        <w:rPr>
          <w:rFonts w:hint="eastAsia"/>
          <w:color w:val="auto"/>
          <w:highlight w:val="none"/>
          <w:lang w:eastAsia="zh-CN"/>
        </w:rPr>
        <w:t>（</w:t>
      </w:r>
      <w:r>
        <w:rPr>
          <w:rFonts w:hint="eastAsia"/>
          <w:color w:val="auto"/>
          <w:highlight w:val="none"/>
          <w:lang w:val="en-US" w:eastAsia="zh-CN"/>
        </w:rPr>
        <w:t>3</w:t>
      </w:r>
      <w:r>
        <w:rPr>
          <w:rFonts w:hint="eastAsia"/>
          <w:color w:val="auto"/>
          <w:highlight w:val="none"/>
          <w:lang w:eastAsia="zh-CN"/>
        </w:rPr>
        <w:t>）</w:t>
      </w:r>
      <w:r>
        <w:rPr>
          <w:rFonts w:hint="eastAsia"/>
          <w:color w:val="auto"/>
          <w:highlight w:val="none"/>
        </w:rPr>
        <w:t>《中华人民共和国水污染防治法》（</w:t>
      </w:r>
      <w:r>
        <w:rPr>
          <w:rFonts w:hint="eastAsia"/>
          <w:color w:val="auto"/>
          <w:highlight w:val="none"/>
          <w:shd w:val="clear" w:color="auto" w:fill="auto"/>
        </w:rPr>
        <w:t>201</w:t>
      </w:r>
      <w:r>
        <w:rPr>
          <w:rFonts w:hint="eastAsia"/>
          <w:color w:val="auto"/>
          <w:highlight w:val="none"/>
          <w:shd w:val="clear" w:color="auto" w:fill="auto"/>
          <w:lang w:val="en-US" w:eastAsia="zh-CN"/>
        </w:rPr>
        <w:t>7</w:t>
      </w:r>
      <w:r>
        <w:rPr>
          <w:rFonts w:hint="eastAsia"/>
          <w:color w:val="auto"/>
          <w:highlight w:val="none"/>
          <w:shd w:val="clear" w:color="auto" w:fill="auto"/>
          <w:lang w:eastAsia="zh-CN"/>
        </w:rPr>
        <w:t>年</w:t>
      </w:r>
      <w:r>
        <w:rPr>
          <w:rFonts w:hint="eastAsia"/>
          <w:color w:val="auto"/>
          <w:highlight w:val="none"/>
          <w:shd w:val="clear" w:color="auto" w:fill="auto"/>
          <w:lang w:val="en-US" w:eastAsia="zh-CN"/>
        </w:rPr>
        <w:t>6</w:t>
      </w:r>
      <w:r>
        <w:rPr>
          <w:rFonts w:hint="eastAsia"/>
          <w:color w:val="auto"/>
          <w:highlight w:val="none"/>
          <w:shd w:val="clear" w:color="auto" w:fill="auto"/>
          <w:lang w:eastAsia="zh-CN"/>
        </w:rPr>
        <w:t>月</w:t>
      </w:r>
      <w:r>
        <w:rPr>
          <w:rFonts w:hint="eastAsia"/>
          <w:color w:val="auto"/>
          <w:highlight w:val="none"/>
          <w:shd w:val="clear" w:color="auto" w:fill="auto"/>
          <w:lang w:val="en-US" w:eastAsia="zh-CN"/>
        </w:rPr>
        <w:t>27</w:t>
      </w:r>
      <w:r>
        <w:rPr>
          <w:rFonts w:hint="eastAsia"/>
          <w:color w:val="auto"/>
          <w:highlight w:val="none"/>
          <w:shd w:val="clear" w:color="auto" w:fill="auto"/>
          <w:lang w:eastAsia="zh-CN"/>
        </w:rPr>
        <w:t>日修正</w:t>
      </w:r>
      <w:r>
        <w:rPr>
          <w:rFonts w:hint="eastAsia"/>
          <w:color w:val="auto"/>
          <w:highlight w:val="none"/>
        </w:rPr>
        <w:t>）；</w:t>
      </w:r>
    </w:p>
    <w:p w14:paraId="4356E1F5">
      <w:pPr>
        <w:ind w:firstLine="470"/>
        <w:rPr>
          <w:color w:val="auto"/>
          <w:highlight w:val="none"/>
        </w:rPr>
      </w:pPr>
      <w:r>
        <w:rPr>
          <w:rFonts w:hint="eastAsia"/>
          <w:color w:val="auto"/>
          <w:highlight w:val="none"/>
          <w:lang w:eastAsia="zh-CN"/>
        </w:rPr>
        <w:t>（</w:t>
      </w:r>
      <w:r>
        <w:rPr>
          <w:rFonts w:hint="eastAsia"/>
          <w:color w:val="auto"/>
          <w:highlight w:val="none"/>
          <w:lang w:val="en-US" w:eastAsia="zh-CN"/>
        </w:rPr>
        <w:t>4</w:t>
      </w:r>
      <w:r>
        <w:rPr>
          <w:rFonts w:hint="eastAsia"/>
          <w:color w:val="auto"/>
          <w:highlight w:val="none"/>
          <w:lang w:eastAsia="zh-CN"/>
        </w:rPr>
        <w:t>）</w:t>
      </w:r>
      <w:r>
        <w:rPr>
          <w:rFonts w:hint="eastAsia"/>
          <w:color w:val="auto"/>
          <w:highlight w:val="none"/>
        </w:rPr>
        <w:t>《中华人民共和国土地管理法》（</w:t>
      </w:r>
      <w:r>
        <w:rPr>
          <w:rFonts w:hint="eastAsia"/>
          <w:color w:val="auto"/>
          <w:highlight w:val="none"/>
          <w:lang w:val="en-US" w:eastAsia="zh-CN"/>
        </w:rPr>
        <w:t>2019</w:t>
      </w:r>
      <w:r>
        <w:rPr>
          <w:rFonts w:hint="eastAsia"/>
          <w:color w:val="auto"/>
          <w:highlight w:val="none"/>
        </w:rPr>
        <w:t>年</w:t>
      </w:r>
      <w:r>
        <w:rPr>
          <w:rFonts w:hint="eastAsia"/>
          <w:color w:val="auto"/>
          <w:highlight w:val="none"/>
          <w:lang w:val="en-US" w:eastAsia="zh-CN"/>
        </w:rPr>
        <w:t>8</w:t>
      </w:r>
      <w:r>
        <w:rPr>
          <w:rFonts w:hint="eastAsia"/>
          <w:color w:val="auto"/>
          <w:highlight w:val="none"/>
        </w:rPr>
        <w:t>月</w:t>
      </w:r>
      <w:r>
        <w:rPr>
          <w:rFonts w:hint="eastAsia"/>
          <w:color w:val="auto"/>
          <w:highlight w:val="none"/>
          <w:lang w:val="en-US" w:eastAsia="zh-CN"/>
        </w:rPr>
        <w:t>26</w:t>
      </w:r>
      <w:r>
        <w:rPr>
          <w:rFonts w:hint="eastAsia"/>
          <w:color w:val="auto"/>
          <w:highlight w:val="none"/>
        </w:rPr>
        <w:t>日</w:t>
      </w:r>
      <w:r>
        <w:rPr>
          <w:rFonts w:hint="eastAsia"/>
          <w:color w:val="auto"/>
          <w:highlight w:val="none"/>
          <w:shd w:val="clear" w:color="auto" w:fill="auto"/>
          <w:lang w:eastAsia="zh-CN"/>
        </w:rPr>
        <w:t>修正</w:t>
      </w:r>
      <w:r>
        <w:rPr>
          <w:rFonts w:hint="eastAsia"/>
          <w:color w:val="auto"/>
          <w:highlight w:val="none"/>
        </w:rPr>
        <w:t>）；</w:t>
      </w:r>
    </w:p>
    <w:p w14:paraId="18CFC318">
      <w:pPr>
        <w:ind w:firstLine="470"/>
        <w:rPr>
          <w:rFonts w:hint="eastAsia"/>
          <w:color w:val="auto"/>
          <w:highlight w:val="none"/>
        </w:rPr>
      </w:pPr>
      <w:r>
        <w:rPr>
          <w:rFonts w:hint="eastAsia"/>
          <w:color w:val="auto"/>
          <w:highlight w:val="none"/>
          <w:lang w:eastAsia="zh-CN"/>
        </w:rPr>
        <w:t>（</w:t>
      </w:r>
      <w:r>
        <w:rPr>
          <w:rFonts w:hint="eastAsia"/>
          <w:color w:val="auto"/>
          <w:highlight w:val="none"/>
          <w:lang w:val="en-US" w:eastAsia="zh-CN"/>
        </w:rPr>
        <w:t>5</w:t>
      </w:r>
      <w:r>
        <w:rPr>
          <w:rFonts w:hint="eastAsia"/>
          <w:color w:val="auto"/>
          <w:highlight w:val="none"/>
          <w:lang w:eastAsia="zh-CN"/>
        </w:rPr>
        <w:t>）</w:t>
      </w:r>
      <w:r>
        <w:rPr>
          <w:rFonts w:hint="eastAsia"/>
          <w:color w:val="auto"/>
          <w:highlight w:val="none"/>
        </w:rPr>
        <w:t>《黑龙江省水污染防治条例》（2023年12月1日起施行）</w:t>
      </w:r>
      <w:r>
        <w:rPr>
          <w:rFonts w:hint="eastAsia"/>
          <w:color w:val="auto"/>
          <w:highlight w:val="none"/>
          <w:lang w:eastAsia="zh-CN"/>
        </w:rPr>
        <w:t>；</w:t>
      </w:r>
    </w:p>
    <w:p w14:paraId="5B53114F">
      <w:pPr>
        <w:ind w:firstLine="470"/>
        <w:rPr>
          <w:rFonts w:hint="eastAsia"/>
          <w:color w:val="auto"/>
          <w:highlight w:val="none"/>
          <w:lang w:eastAsia="zh-CN"/>
        </w:rPr>
      </w:pPr>
      <w:r>
        <w:rPr>
          <w:rFonts w:hint="eastAsia"/>
          <w:color w:val="auto"/>
          <w:highlight w:val="none"/>
          <w:lang w:eastAsia="zh-CN"/>
        </w:rPr>
        <w:t>（</w:t>
      </w:r>
      <w:r>
        <w:rPr>
          <w:rFonts w:hint="eastAsia"/>
          <w:color w:val="auto"/>
          <w:highlight w:val="none"/>
          <w:lang w:val="en-US" w:eastAsia="zh-CN"/>
        </w:rPr>
        <w:t>6</w:t>
      </w:r>
      <w:r>
        <w:rPr>
          <w:rFonts w:hint="eastAsia"/>
          <w:color w:val="auto"/>
          <w:highlight w:val="none"/>
          <w:lang w:eastAsia="zh-CN"/>
        </w:rPr>
        <w:t>）《生态环境监测条例》（2026年1月1日起施行）。</w:t>
      </w:r>
    </w:p>
    <w:p w14:paraId="51558044">
      <w:pPr>
        <w:pStyle w:val="4"/>
        <w:rPr>
          <w:color w:val="auto"/>
          <w:highlight w:val="none"/>
        </w:rPr>
      </w:pPr>
      <w:bookmarkStart w:id="9" w:name="_Toc30526"/>
      <w:r>
        <w:rPr>
          <w:rFonts w:hint="eastAsia"/>
          <w:color w:val="auto"/>
          <w:highlight w:val="none"/>
        </w:rPr>
        <w:t>1.2.2相关执行标准及技术规范</w:t>
      </w:r>
      <w:bookmarkEnd w:id="9"/>
    </w:p>
    <w:p w14:paraId="018D2950">
      <w:pPr>
        <w:ind w:firstLine="470"/>
        <w:rPr>
          <w:rFonts w:hint="eastAsia"/>
          <w:color w:val="auto"/>
          <w:highlight w:val="none"/>
          <w:lang w:eastAsia="zh-CN"/>
        </w:rPr>
      </w:pPr>
      <w:bookmarkStart w:id="10" w:name="_Toc7988"/>
      <w:r>
        <w:rPr>
          <w:rFonts w:hint="eastAsia"/>
          <w:color w:val="auto"/>
          <w:highlight w:val="none"/>
          <w:lang w:eastAsia="zh-CN"/>
        </w:rPr>
        <w:t>（</w:t>
      </w:r>
      <w:r>
        <w:rPr>
          <w:rFonts w:hint="eastAsia"/>
          <w:color w:val="auto"/>
          <w:highlight w:val="none"/>
          <w:lang w:val="en-US" w:eastAsia="zh-CN"/>
        </w:rPr>
        <w:t>1</w:t>
      </w:r>
      <w:r>
        <w:rPr>
          <w:rFonts w:hint="eastAsia"/>
          <w:color w:val="auto"/>
          <w:highlight w:val="none"/>
          <w:lang w:eastAsia="zh-CN"/>
        </w:rPr>
        <w:t>）《生活饮用水卫生标准》（GB 5749-2022）；</w:t>
      </w:r>
    </w:p>
    <w:p w14:paraId="09DE9224">
      <w:pPr>
        <w:ind w:firstLine="470"/>
        <w:rPr>
          <w:rFonts w:hint="eastAsia"/>
          <w:color w:val="auto"/>
          <w:highlight w:val="none"/>
          <w:lang w:eastAsia="zh-CN"/>
        </w:rPr>
      </w:pPr>
      <w:r>
        <w:rPr>
          <w:rFonts w:hint="eastAsia"/>
          <w:color w:val="auto"/>
          <w:highlight w:val="none"/>
          <w:lang w:eastAsia="zh-CN"/>
        </w:rPr>
        <w:t>（</w:t>
      </w:r>
      <w:r>
        <w:rPr>
          <w:rFonts w:hint="eastAsia"/>
          <w:color w:val="auto"/>
          <w:highlight w:val="none"/>
          <w:lang w:val="en-US" w:eastAsia="zh-CN"/>
        </w:rPr>
        <w:t>2</w:t>
      </w:r>
      <w:r>
        <w:rPr>
          <w:rFonts w:hint="eastAsia"/>
          <w:color w:val="auto"/>
          <w:highlight w:val="none"/>
          <w:lang w:eastAsia="zh-CN"/>
        </w:rPr>
        <w:t>）《地下水质量标准》（GB/T 14848-2017）；</w:t>
      </w:r>
    </w:p>
    <w:p w14:paraId="73071105">
      <w:pPr>
        <w:ind w:firstLine="470"/>
        <w:rPr>
          <w:rFonts w:hint="eastAsia" w:cs="Times New Roman"/>
          <w:color w:val="auto"/>
          <w:highlight w:val="none"/>
          <w:lang w:eastAsia="zh-CN"/>
        </w:rPr>
      </w:pPr>
      <w:r>
        <w:rPr>
          <w:rFonts w:hint="eastAsia" w:ascii="Times New Roman" w:hAnsi="Times New Roman" w:eastAsia="宋体" w:cs="Times New Roman"/>
          <w:color w:val="auto"/>
          <w:highlight w:val="none"/>
          <w:lang w:eastAsia="zh-CN"/>
        </w:rPr>
        <w:t>（</w:t>
      </w:r>
      <w:r>
        <w:rPr>
          <w:rFonts w:hint="eastAsia" w:cs="Times New Roman"/>
          <w:color w:val="auto"/>
          <w:highlight w:val="none"/>
          <w:lang w:val="en-US" w:eastAsia="zh-CN"/>
        </w:rPr>
        <w:t>3</w:t>
      </w: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rPr>
        <w:t>《地下水监测工程技术标准》（GB/T 51040-2023）</w:t>
      </w:r>
      <w:r>
        <w:rPr>
          <w:rFonts w:hint="eastAsia" w:cs="Times New Roman"/>
          <w:color w:val="auto"/>
          <w:highlight w:val="none"/>
          <w:lang w:eastAsia="zh-CN"/>
        </w:rPr>
        <w:t>；</w:t>
      </w:r>
    </w:p>
    <w:p w14:paraId="3E9EF099">
      <w:pPr>
        <w:ind w:left="470" w:firstLine="0" w:firstLineChars="0"/>
        <w:rPr>
          <w:rFonts w:hint="eastAsia" w:eastAsia="宋体"/>
          <w:color w:val="auto"/>
          <w:highlight w:val="none"/>
          <w:lang w:val="en-US" w:eastAsia="zh-CN"/>
        </w:rPr>
      </w:pPr>
      <w:r>
        <w:rPr>
          <w:rFonts w:hint="eastAsia"/>
          <w:color w:val="auto"/>
          <w:highlight w:val="none"/>
          <w:lang w:val="en-US" w:eastAsia="zh-CN"/>
        </w:rPr>
        <w:t>（4）</w:t>
      </w:r>
      <w:r>
        <w:rPr>
          <w:color w:val="auto"/>
          <w:highlight w:val="none"/>
        </w:rPr>
        <w:t>《集中式饮用水水源编码规范》（HJ747-2015）</w:t>
      </w:r>
      <w:r>
        <w:rPr>
          <w:rFonts w:hint="eastAsia"/>
          <w:color w:val="auto"/>
          <w:highlight w:val="none"/>
          <w:lang w:eastAsia="zh-CN"/>
        </w:rPr>
        <w:t>；</w:t>
      </w:r>
    </w:p>
    <w:p w14:paraId="167B2B94">
      <w:pPr>
        <w:ind w:firstLine="470"/>
        <w:rPr>
          <w:rFonts w:hint="eastAsia"/>
          <w:color w:val="auto"/>
          <w:highlight w:val="none"/>
        </w:rPr>
      </w:pPr>
      <w:r>
        <w:rPr>
          <w:rFonts w:hint="eastAsia"/>
          <w:color w:val="auto"/>
          <w:highlight w:val="none"/>
          <w:lang w:eastAsia="zh-CN"/>
        </w:rPr>
        <w:t>（</w:t>
      </w:r>
      <w:r>
        <w:rPr>
          <w:rFonts w:hint="eastAsia"/>
          <w:color w:val="auto"/>
          <w:highlight w:val="none"/>
          <w:lang w:val="en-US" w:eastAsia="zh-CN"/>
        </w:rPr>
        <w:t>5</w:t>
      </w:r>
      <w:r>
        <w:rPr>
          <w:rFonts w:hint="eastAsia"/>
          <w:color w:val="auto"/>
          <w:highlight w:val="none"/>
          <w:lang w:eastAsia="zh-CN"/>
        </w:rPr>
        <w:t>）</w:t>
      </w:r>
      <w:r>
        <w:rPr>
          <w:rFonts w:hint="eastAsia"/>
          <w:color w:val="auto"/>
          <w:highlight w:val="none"/>
        </w:rPr>
        <w:t>《集中式饮用水水源地规范化建设环境保护技术要求》（HJ 773-2015）；</w:t>
      </w:r>
    </w:p>
    <w:p w14:paraId="26A6D275">
      <w:pPr>
        <w:ind w:firstLine="470"/>
        <w:rPr>
          <w:rFonts w:hint="eastAsia"/>
          <w:color w:val="auto"/>
          <w:highlight w:val="none"/>
        </w:rPr>
      </w:pPr>
      <w:r>
        <w:rPr>
          <w:rFonts w:hint="eastAsia"/>
          <w:color w:val="auto"/>
          <w:highlight w:val="none"/>
          <w:lang w:eastAsia="zh-CN"/>
        </w:rPr>
        <w:t>（</w:t>
      </w:r>
      <w:r>
        <w:rPr>
          <w:rFonts w:hint="eastAsia"/>
          <w:color w:val="auto"/>
          <w:highlight w:val="none"/>
          <w:lang w:val="en-US" w:eastAsia="zh-CN"/>
        </w:rPr>
        <w:t>6</w:t>
      </w:r>
      <w:r>
        <w:rPr>
          <w:rFonts w:hint="eastAsia"/>
          <w:color w:val="auto"/>
          <w:highlight w:val="none"/>
          <w:lang w:eastAsia="zh-CN"/>
        </w:rPr>
        <w:t>）</w:t>
      </w:r>
      <w:r>
        <w:rPr>
          <w:rFonts w:hint="eastAsia"/>
          <w:color w:val="auto"/>
          <w:highlight w:val="none"/>
        </w:rPr>
        <w:t>《集中式饮用水水源地环境保护状况评估技术规范》（HJ 774-2015）；</w:t>
      </w:r>
    </w:p>
    <w:p w14:paraId="6BE22336">
      <w:pPr>
        <w:ind w:firstLine="470"/>
        <w:rPr>
          <w:rFonts w:hint="eastAsia"/>
          <w:color w:val="auto"/>
          <w:highlight w:val="none"/>
        </w:rPr>
      </w:pPr>
      <w:r>
        <w:rPr>
          <w:rFonts w:hint="eastAsia"/>
          <w:color w:val="auto"/>
          <w:highlight w:val="none"/>
          <w:lang w:eastAsia="zh-CN"/>
        </w:rPr>
        <w:t>（</w:t>
      </w:r>
      <w:r>
        <w:rPr>
          <w:rFonts w:hint="eastAsia"/>
          <w:color w:val="auto"/>
          <w:highlight w:val="none"/>
          <w:lang w:val="en-US" w:eastAsia="zh-CN"/>
        </w:rPr>
        <w:t>7</w:t>
      </w:r>
      <w:r>
        <w:rPr>
          <w:rFonts w:hint="eastAsia"/>
          <w:color w:val="auto"/>
          <w:highlight w:val="none"/>
          <w:lang w:eastAsia="zh-CN"/>
        </w:rPr>
        <w:t>）</w:t>
      </w:r>
      <w:r>
        <w:rPr>
          <w:rFonts w:hint="eastAsia"/>
          <w:color w:val="auto"/>
          <w:highlight w:val="none"/>
        </w:rPr>
        <w:t>《饮用水水源保护区划分技术规范》（HJ 338-2018）；</w:t>
      </w:r>
    </w:p>
    <w:p w14:paraId="624F71B6">
      <w:pPr>
        <w:ind w:firstLine="470"/>
        <w:rPr>
          <w:rFonts w:hint="eastAsia"/>
          <w:color w:val="auto"/>
          <w:highlight w:val="none"/>
          <w:lang w:eastAsia="zh-CN"/>
        </w:rPr>
      </w:pPr>
      <w:r>
        <w:rPr>
          <w:rFonts w:hint="eastAsia"/>
          <w:color w:val="auto"/>
          <w:highlight w:val="none"/>
          <w:lang w:eastAsia="zh-CN"/>
        </w:rPr>
        <w:t>（</w:t>
      </w:r>
      <w:r>
        <w:rPr>
          <w:rFonts w:hint="eastAsia"/>
          <w:color w:val="auto"/>
          <w:highlight w:val="none"/>
          <w:lang w:val="en-US" w:eastAsia="zh-CN"/>
        </w:rPr>
        <w:t>8</w:t>
      </w:r>
      <w:r>
        <w:rPr>
          <w:rFonts w:hint="eastAsia"/>
          <w:color w:val="auto"/>
          <w:highlight w:val="none"/>
          <w:lang w:eastAsia="zh-CN"/>
        </w:rPr>
        <w:t>）</w:t>
      </w:r>
      <w:r>
        <w:rPr>
          <w:rFonts w:hint="eastAsia" w:ascii="Times New Roman" w:hAnsi="Times New Roman" w:eastAsia="宋体" w:cs="Times New Roman"/>
          <w:color w:val="auto"/>
          <w:highlight w:val="none"/>
        </w:rPr>
        <w:t>《地下水环境监测技术规范》（HJ 164-2020）；</w:t>
      </w:r>
    </w:p>
    <w:p w14:paraId="74AA30DA">
      <w:pPr>
        <w:ind w:firstLine="470"/>
        <w:rPr>
          <w:color w:val="auto"/>
          <w:highlight w:val="none"/>
        </w:rPr>
      </w:pPr>
      <w:r>
        <w:rPr>
          <w:rFonts w:hint="eastAsia"/>
          <w:color w:val="auto"/>
          <w:highlight w:val="none"/>
          <w:lang w:eastAsia="zh-CN"/>
        </w:rPr>
        <w:t>（</w:t>
      </w:r>
      <w:r>
        <w:rPr>
          <w:rFonts w:hint="eastAsia"/>
          <w:color w:val="auto"/>
          <w:highlight w:val="none"/>
          <w:lang w:val="en-US" w:eastAsia="zh-CN"/>
        </w:rPr>
        <w:t>9</w:t>
      </w:r>
      <w:r>
        <w:rPr>
          <w:rFonts w:hint="eastAsia"/>
          <w:color w:val="auto"/>
          <w:highlight w:val="none"/>
          <w:lang w:eastAsia="zh-CN"/>
        </w:rPr>
        <w:t>）</w:t>
      </w:r>
      <w:r>
        <w:rPr>
          <w:rFonts w:hint="eastAsia"/>
          <w:color w:val="auto"/>
          <w:highlight w:val="none"/>
        </w:rPr>
        <w:t>《饮用水水源保护区标志技术要求》（HJ/T 433-2008）；</w:t>
      </w:r>
    </w:p>
    <w:p w14:paraId="0ED497AB">
      <w:pPr>
        <w:ind w:firstLine="470"/>
        <w:rPr>
          <w:rFonts w:hint="eastAsia"/>
          <w:color w:val="auto"/>
          <w:highlight w:val="none"/>
          <w:lang w:eastAsia="zh-CN"/>
        </w:rPr>
      </w:pPr>
      <w:r>
        <w:rPr>
          <w:rFonts w:hint="eastAsia" w:ascii="Times New Roman" w:hAnsi="Times New Roman" w:eastAsia="宋体" w:cs="Times New Roman"/>
          <w:color w:val="auto"/>
          <w:highlight w:val="none"/>
          <w:lang w:eastAsia="zh-CN"/>
        </w:rPr>
        <w:t>（</w:t>
      </w:r>
      <w:r>
        <w:rPr>
          <w:rFonts w:hint="eastAsia" w:cs="Times New Roman"/>
          <w:color w:val="auto"/>
          <w:highlight w:val="none"/>
          <w:lang w:val="en-US" w:eastAsia="zh-CN"/>
        </w:rPr>
        <w:t>10</w:t>
      </w: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rPr>
        <w:t>《集中式饮用水水源地命名标准》（DB 23/T 2680-2020）</w:t>
      </w:r>
      <w:r>
        <w:rPr>
          <w:rFonts w:hint="eastAsia" w:ascii="Times New Roman" w:hAnsi="Times New Roman" w:eastAsia="宋体" w:cs="Times New Roman"/>
          <w:color w:val="auto"/>
          <w:highlight w:val="none"/>
          <w:lang w:val="en-US" w:eastAsia="zh-CN"/>
        </w:rPr>
        <w:t>。</w:t>
      </w:r>
    </w:p>
    <w:p w14:paraId="761C6652">
      <w:pPr>
        <w:pStyle w:val="4"/>
        <w:rPr>
          <w:color w:val="auto"/>
          <w:highlight w:val="none"/>
        </w:rPr>
      </w:pPr>
      <w:r>
        <w:rPr>
          <w:rFonts w:hint="eastAsia"/>
          <w:color w:val="auto"/>
          <w:highlight w:val="none"/>
        </w:rPr>
        <w:t>1.2.3相关文件</w:t>
      </w:r>
      <w:bookmarkEnd w:id="10"/>
    </w:p>
    <w:p w14:paraId="36259A96">
      <w:pPr>
        <w:numPr>
          <w:ilvl w:val="0"/>
          <w:numId w:val="0"/>
        </w:numPr>
        <w:ind w:firstLine="472" w:firstLineChars="200"/>
        <w:rPr>
          <w:rFonts w:hint="eastAsia"/>
          <w:color w:val="auto"/>
          <w:highlight w:val="none"/>
        </w:rPr>
      </w:pPr>
      <w:r>
        <w:rPr>
          <w:rFonts w:hint="eastAsia"/>
          <w:color w:val="auto"/>
          <w:highlight w:val="none"/>
          <w:lang w:eastAsia="zh-CN"/>
        </w:rPr>
        <w:t>（</w:t>
      </w:r>
      <w:r>
        <w:rPr>
          <w:rFonts w:hint="eastAsia"/>
          <w:color w:val="auto"/>
          <w:highlight w:val="none"/>
          <w:lang w:val="en-US" w:eastAsia="zh-CN"/>
        </w:rPr>
        <w:t>1</w:t>
      </w:r>
      <w:r>
        <w:rPr>
          <w:rFonts w:hint="eastAsia"/>
          <w:color w:val="auto"/>
          <w:highlight w:val="none"/>
          <w:lang w:eastAsia="zh-CN"/>
        </w:rPr>
        <w:t>）</w:t>
      </w:r>
      <w:r>
        <w:rPr>
          <w:rFonts w:hint="eastAsia"/>
          <w:color w:val="auto"/>
          <w:highlight w:val="none"/>
        </w:rPr>
        <w:t>《饮用水水源保护区污染防治管理规定》（2010年12月22日）；</w:t>
      </w:r>
    </w:p>
    <w:p w14:paraId="3124A536">
      <w:pPr>
        <w:spacing w:line="360" w:lineRule="auto"/>
        <w:ind w:firstLine="472" w:firstLineChars="200"/>
        <w:rPr>
          <w:color w:val="auto"/>
          <w:highlight w:val="none"/>
        </w:rPr>
      </w:pPr>
      <w:r>
        <w:rPr>
          <w:rFonts w:hint="eastAsia"/>
          <w:color w:val="auto"/>
          <w:sz w:val="24"/>
          <w:szCs w:val="24"/>
          <w:highlight w:val="none"/>
        </w:rPr>
        <w:t>（2）</w:t>
      </w:r>
      <w:r>
        <w:rPr>
          <w:color w:val="auto"/>
          <w:sz w:val="24"/>
          <w:szCs w:val="24"/>
          <w:highlight w:val="none"/>
        </w:rPr>
        <w:t>《全国集中式生活饮用水水源地水质监测实施方案》（环办函〔2012〕1266号</w:t>
      </w:r>
      <w:r>
        <w:rPr>
          <w:rFonts w:hint="eastAsia"/>
          <w:color w:val="auto"/>
          <w:sz w:val="24"/>
          <w:szCs w:val="24"/>
          <w:highlight w:val="none"/>
        </w:rPr>
        <w:t>）</w:t>
      </w:r>
      <w:r>
        <w:rPr>
          <w:color w:val="auto"/>
          <w:sz w:val="24"/>
          <w:szCs w:val="24"/>
          <w:highlight w:val="none"/>
        </w:rPr>
        <w:t>；</w:t>
      </w:r>
    </w:p>
    <w:p w14:paraId="6EE04042">
      <w:pPr>
        <w:ind w:firstLine="470"/>
        <w:rPr>
          <w:rFonts w:hint="eastAsia"/>
          <w:color w:val="auto"/>
          <w:highlight w:val="none"/>
        </w:rPr>
      </w:pPr>
      <w:r>
        <w:rPr>
          <w:rFonts w:hint="eastAsia"/>
          <w:color w:val="auto"/>
          <w:highlight w:val="none"/>
          <w:lang w:eastAsia="zh-CN"/>
        </w:rPr>
        <w:t>（</w:t>
      </w:r>
      <w:r>
        <w:rPr>
          <w:rFonts w:hint="eastAsia"/>
          <w:color w:val="auto"/>
          <w:highlight w:val="none"/>
          <w:lang w:val="en-US" w:eastAsia="zh-CN"/>
        </w:rPr>
        <w:t>3</w:t>
      </w:r>
      <w:r>
        <w:rPr>
          <w:rFonts w:hint="eastAsia"/>
          <w:color w:val="auto"/>
          <w:highlight w:val="none"/>
          <w:lang w:eastAsia="zh-CN"/>
        </w:rPr>
        <w:t>）</w:t>
      </w:r>
      <w:r>
        <w:rPr>
          <w:rFonts w:hint="eastAsia"/>
          <w:color w:val="auto"/>
          <w:highlight w:val="none"/>
        </w:rPr>
        <w:t>《集中式饮用水水源环境保护技术指南（试行）》（2012年3月31日）；</w:t>
      </w:r>
    </w:p>
    <w:p w14:paraId="5664B265">
      <w:pPr>
        <w:spacing w:line="360" w:lineRule="auto"/>
        <w:ind w:firstLine="472" w:firstLineChars="200"/>
        <w:rPr>
          <w:color w:val="auto"/>
          <w:sz w:val="24"/>
          <w:szCs w:val="24"/>
          <w:highlight w:val="none"/>
        </w:rPr>
      </w:pPr>
      <w:r>
        <w:rPr>
          <w:color w:val="auto"/>
          <w:sz w:val="24"/>
          <w:szCs w:val="24"/>
          <w:highlight w:val="none"/>
        </w:rPr>
        <w:t>（</w:t>
      </w:r>
      <w:r>
        <w:rPr>
          <w:rFonts w:hint="eastAsia"/>
          <w:color w:val="auto"/>
          <w:sz w:val="24"/>
          <w:szCs w:val="24"/>
          <w:highlight w:val="none"/>
        </w:rPr>
        <w:t>4）</w:t>
      </w:r>
      <w:r>
        <w:rPr>
          <w:color w:val="auto"/>
          <w:sz w:val="24"/>
          <w:szCs w:val="24"/>
          <w:highlight w:val="none"/>
        </w:rPr>
        <w:t>《农村饮用水水源地环境保护技术指南》（HJ</w:t>
      </w:r>
      <w:r>
        <w:rPr>
          <w:rFonts w:hint="eastAsia"/>
          <w:color w:val="auto"/>
          <w:sz w:val="24"/>
          <w:szCs w:val="24"/>
          <w:highlight w:val="none"/>
        </w:rPr>
        <w:t xml:space="preserve"> </w:t>
      </w:r>
      <w:r>
        <w:rPr>
          <w:color w:val="auto"/>
          <w:sz w:val="24"/>
          <w:szCs w:val="24"/>
          <w:highlight w:val="none"/>
        </w:rPr>
        <w:t>2032-2013</w:t>
      </w:r>
      <w:r>
        <w:rPr>
          <w:rFonts w:hint="eastAsia"/>
          <w:color w:val="auto"/>
          <w:sz w:val="24"/>
          <w:szCs w:val="24"/>
          <w:highlight w:val="none"/>
        </w:rPr>
        <w:t>）；</w:t>
      </w:r>
    </w:p>
    <w:p w14:paraId="0A0D1574">
      <w:pPr>
        <w:spacing w:line="360" w:lineRule="auto"/>
        <w:ind w:firstLine="472" w:firstLineChars="200"/>
        <w:rPr>
          <w:rFonts w:hint="eastAsia"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5</w:t>
      </w: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rPr>
        <w:t>《黑龙江省人民政府办公厅关于农村集中式饮用水水源保护区调整工作的通知》（黑政办综〔2015〕17号）；</w:t>
      </w:r>
    </w:p>
    <w:p w14:paraId="50D57E24">
      <w:pPr>
        <w:spacing w:line="360" w:lineRule="auto"/>
        <w:ind w:firstLine="472" w:firstLineChars="200"/>
        <w:rPr>
          <w:rFonts w:hint="eastAsia"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（6）《关于答复全国集中式饮用水水源地环境保护专项行动有关问题的函》（环办环监函〔2018〕767号）；</w:t>
      </w:r>
    </w:p>
    <w:p w14:paraId="5C757450">
      <w:pPr>
        <w:spacing w:line="360" w:lineRule="auto"/>
        <w:ind w:firstLine="472" w:firstLineChars="200"/>
        <w:rPr>
          <w:rFonts w:hint="eastAsia"/>
          <w:color w:val="auto"/>
          <w:highlight w:val="none"/>
        </w:rPr>
      </w:pPr>
      <w:r>
        <w:rPr>
          <w:rFonts w:hint="eastAsia" w:ascii="Times New Roman" w:cs="Times New Roman"/>
          <w:color w:val="auto"/>
          <w:sz w:val="24"/>
          <w:szCs w:val="24"/>
          <w:highlight w:val="none"/>
          <w:lang w:val="en-US" w:eastAsia="zh-CN"/>
        </w:rPr>
        <w:t>（7）</w:t>
      </w:r>
      <w:r>
        <w:rPr>
          <w:rFonts w:hint="default" w:ascii="Times New Roman" w:hAnsi="Times New Roman" w:eastAsia="宋体" w:cs="Times New Roman"/>
          <w:color w:val="auto"/>
          <w:sz w:val="24"/>
          <w:szCs w:val="24"/>
          <w:highlight w:val="none"/>
          <w:lang w:val="en-US" w:eastAsia="zh-CN"/>
        </w:rPr>
        <w:t>《关于推进乡镇及以下集中式饮用水水源地生态环境保护工作的指导意见》（环水体函〔2019〕92号）</w:t>
      </w:r>
      <w:r>
        <w:rPr>
          <w:rFonts w:hint="eastAsia" w:cs="Times New Roman"/>
          <w:color w:val="auto"/>
          <w:sz w:val="24"/>
          <w:szCs w:val="24"/>
          <w:highlight w:val="none"/>
          <w:lang w:val="en-US" w:eastAsia="zh-CN"/>
        </w:rPr>
        <w:t>；</w:t>
      </w:r>
    </w:p>
    <w:p w14:paraId="03917C1A">
      <w:pPr>
        <w:spacing w:line="360" w:lineRule="auto"/>
        <w:ind w:firstLine="472" w:firstLineChars="200"/>
        <w:rPr>
          <w:rFonts w:hint="eastAsia"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w:t>
      </w:r>
      <w:r>
        <w:rPr>
          <w:rFonts w:hint="eastAsia" w:cs="Times New Roman"/>
          <w:color w:val="auto"/>
          <w:sz w:val="24"/>
          <w:szCs w:val="24"/>
          <w:highlight w:val="none"/>
          <w:lang w:val="en-US" w:eastAsia="zh-CN"/>
        </w:rPr>
        <w:t>8</w:t>
      </w:r>
      <w:r>
        <w:rPr>
          <w:rFonts w:hint="eastAsia" w:ascii="Times New Roman" w:hAnsi="Times New Roman" w:eastAsia="宋体" w:cs="Times New Roman"/>
          <w:color w:val="auto"/>
          <w:sz w:val="24"/>
          <w:szCs w:val="24"/>
          <w:highlight w:val="none"/>
        </w:rPr>
        <w:t>）《国务院关于深入打好污染防治攻坚战的意见》（2021年11月2日）；</w:t>
      </w:r>
    </w:p>
    <w:p w14:paraId="6A2133B1">
      <w:pPr>
        <w:spacing w:line="360" w:lineRule="auto"/>
        <w:ind w:firstLine="472" w:firstLineChars="200"/>
        <w:rPr>
          <w:rFonts w:hint="eastAsia" w:ascii="Times New Roman" w:hAnsi="Times New Roman" w:eastAsia="宋体" w:cs="Times New Roman"/>
          <w:color w:val="auto"/>
          <w:sz w:val="24"/>
          <w:szCs w:val="24"/>
          <w:highlight w:val="none"/>
          <w:lang w:eastAsia="zh-CN"/>
        </w:rPr>
      </w:pPr>
      <w:r>
        <w:rPr>
          <w:rFonts w:hint="eastAsia" w:ascii="Times New Roman" w:hAnsi="Times New Roman" w:eastAsia="宋体" w:cs="Times New Roman"/>
          <w:color w:val="auto"/>
          <w:sz w:val="24"/>
          <w:szCs w:val="24"/>
          <w:highlight w:val="none"/>
        </w:rPr>
        <w:t>（</w:t>
      </w:r>
      <w:r>
        <w:rPr>
          <w:rFonts w:hint="eastAsia" w:cs="Times New Roman"/>
          <w:color w:val="auto"/>
          <w:sz w:val="24"/>
          <w:szCs w:val="24"/>
          <w:highlight w:val="none"/>
          <w:lang w:val="en-US" w:eastAsia="zh-CN"/>
        </w:rPr>
        <w:t>9</w:t>
      </w:r>
      <w:r>
        <w:rPr>
          <w:rFonts w:hint="eastAsia" w:ascii="Times New Roman" w:hAnsi="Times New Roman" w:eastAsia="宋体" w:cs="Times New Roman"/>
          <w:color w:val="auto"/>
          <w:sz w:val="24"/>
          <w:szCs w:val="24"/>
          <w:highlight w:val="none"/>
        </w:rPr>
        <w:t>）《黑龙江省地下水污染防治实施方案》（2022年9月25日）</w:t>
      </w:r>
      <w:r>
        <w:rPr>
          <w:rFonts w:hint="eastAsia" w:ascii="Times New Roman" w:hAnsi="Times New Roman" w:eastAsia="宋体" w:cs="Times New Roman"/>
          <w:color w:val="auto"/>
          <w:sz w:val="24"/>
          <w:szCs w:val="24"/>
          <w:highlight w:val="none"/>
          <w:lang w:eastAsia="zh-CN"/>
        </w:rPr>
        <w:t>；</w:t>
      </w:r>
    </w:p>
    <w:p w14:paraId="520A794E">
      <w:pPr>
        <w:spacing w:line="360" w:lineRule="auto"/>
        <w:ind w:firstLine="472" w:firstLineChars="200"/>
        <w:rPr>
          <w:rFonts w:hint="eastAsia"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lang w:val="en-US" w:eastAsia="zh-CN"/>
        </w:rPr>
        <w:t>（</w:t>
      </w:r>
      <w:r>
        <w:rPr>
          <w:rFonts w:hint="eastAsia" w:cs="Times New Roman"/>
          <w:color w:val="auto"/>
          <w:sz w:val="24"/>
          <w:szCs w:val="24"/>
          <w:highlight w:val="none"/>
          <w:lang w:val="en-US" w:eastAsia="zh-CN"/>
        </w:rPr>
        <w:t>10</w:t>
      </w:r>
      <w:r>
        <w:rPr>
          <w:rFonts w:hint="eastAsia" w:ascii="Times New Roman" w:hAnsi="Times New Roman" w:eastAsia="宋体" w:cs="Times New Roman"/>
          <w:color w:val="auto"/>
          <w:sz w:val="24"/>
          <w:szCs w:val="24"/>
          <w:highlight w:val="none"/>
          <w:lang w:val="en-US" w:eastAsia="zh-CN"/>
        </w:rPr>
        <w:t>）《关于印发全省集中式饮用水水源地长效监督管理工作方案的通知》（黑环发〔2024〕38号）。</w:t>
      </w:r>
    </w:p>
    <w:p w14:paraId="4A0974B0">
      <w:pPr>
        <w:pStyle w:val="4"/>
        <w:rPr>
          <w:color w:val="auto"/>
          <w:highlight w:val="none"/>
        </w:rPr>
      </w:pPr>
      <w:bookmarkStart w:id="11" w:name="_Toc29874"/>
      <w:r>
        <w:rPr>
          <w:rFonts w:hint="eastAsia"/>
          <w:color w:val="auto"/>
          <w:highlight w:val="none"/>
        </w:rPr>
        <w:t>1.2.4相关已经批准实施的规划及方案</w:t>
      </w:r>
      <w:bookmarkEnd w:id="11"/>
    </w:p>
    <w:p w14:paraId="79CE3F41">
      <w:pPr>
        <w:ind w:firstLine="470"/>
        <w:rPr>
          <w:color w:val="auto"/>
          <w:highlight w:val="none"/>
        </w:rPr>
      </w:pPr>
      <w:r>
        <w:rPr>
          <w:rFonts w:hint="eastAsia"/>
          <w:color w:val="auto"/>
          <w:highlight w:val="none"/>
          <w:lang w:eastAsia="zh-CN"/>
        </w:rPr>
        <w:t>（</w:t>
      </w:r>
      <w:r>
        <w:rPr>
          <w:rFonts w:hint="eastAsia"/>
          <w:color w:val="auto"/>
          <w:highlight w:val="none"/>
          <w:lang w:val="en-US" w:eastAsia="zh-CN"/>
        </w:rPr>
        <w:t>1</w:t>
      </w:r>
      <w:r>
        <w:rPr>
          <w:rFonts w:hint="eastAsia"/>
          <w:color w:val="auto"/>
          <w:highlight w:val="none"/>
          <w:lang w:eastAsia="zh-CN"/>
        </w:rPr>
        <w:t>）</w:t>
      </w:r>
      <w:r>
        <w:rPr>
          <w:rFonts w:hint="eastAsia"/>
          <w:color w:val="auto"/>
          <w:highlight w:val="none"/>
        </w:rPr>
        <w:t>《</w:t>
      </w:r>
      <w:r>
        <w:rPr>
          <w:rFonts w:hint="eastAsia"/>
          <w:color w:val="auto"/>
          <w:highlight w:val="none"/>
          <w:lang w:eastAsia="zh-CN"/>
        </w:rPr>
        <w:t>庆安县</w:t>
      </w:r>
      <w:r>
        <w:rPr>
          <w:rFonts w:hint="eastAsia"/>
          <w:color w:val="auto"/>
          <w:highlight w:val="none"/>
        </w:rPr>
        <w:t>国土空间总体规划（2021-2035年）》；</w:t>
      </w:r>
    </w:p>
    <w:p w14:paraId="3B0D4664">
      <w:pPr>
        <w:ind w:firstLine="470"/>
        <w:rPr>
          <w:color w:val="auto"/>
          <w:highlight w:val="none"/>
        </w:rPr>
      </w:pPr>
      <w:r>
        <w:rPr>
          <w:rFonts w:hint="eastAsia"/>
          <w:color w:val="auto"/>
          <w:highlight w:val="none"/>
          <w:lang w:val="en-US" w:eastAsia="zh-CN"/>
        </w:rPr>
        <w:t>（2）</w:t>
      </w:r>
      <w:r>
        <w:rPr>
          <w:rFonts w:hint="eastAsia"/>
          <w:color w:val="auto"/>
          <w:highlight w:val="none"/>
        </w:rPr>
        <w:t>《黑龙江省农村供水高质量发展规划》（2023-2035年）；</w:t>
      </w:r>
    </w:p>
    <w:p w14:paraId="12940E45">
      <w:pPr>
        <w:ind w:firstLine="470"/>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w:t>
      </w:r>
      <w:r>
        <w:rPr>
          <w:rFonts w:hint="eastAsia" w:cs="Times New Roman"/>
          <w:color w:val="auto"/>
          <w:kern w:val="2"/>
          <w:sz w:val="24"/>
          <w:szCs w:val="24"/>
          <w:highlight w:val="none"/>
          <w:lang w:val="en-US" w:eastAsia="zh-CN" w:bidi="ar-SA"/>
        </w:rPr>
        <w:t>3</w:t>
      </w:r>
      <w:r>
        <w:rPr>
          <w:rFonts w:hint="eastAsia" w:ascii="Times New Roman" w:hAnsi="Times New Roman" w:eastAsia="宋体" w:cs="Times New Roman"/>
          <w:color w:val="auto"/>
          <w:kern w:val="2"/>
          <w:sz w:val="24"/>
          <w:szCs w:val="24"/>
          <w:highlight w:val="none"/>
          <w:lang w:val="en-US" w:eastAsia="zh-CN" w:bidi="ar-SA"/>
        </w:rPr>
        <w:t>）《关于印发“十四五”生态环境监测规划的通知》（环监测〔2021〕117号）；</w:t>
      </w:r>
    </w:p>
    <w:p w14:paraId="41616422">
      <w:pPr>
        <w:ind w:firstLine="470"/>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w:t>
      </w:r>
      <w:r>
        <w:rPr>
          <w:rFonts w:hint="eastAsia" w:cs="Times New Roman"/>
          <w:color w:val="auto"/>
          <w:kern w:val="2"/>
          <w:sz w:val="24"/>
          <w:szCs w:val="24"/>
          <w:highlight w:val="none"/>
          <w:lang w:val="en-US" w:eastAsia="zh-CN" w:bidi="ar-SA"/>
        </w:rPr>
        <w:t>4</w:t>
      </w:r>
      <w:r>
        <w:rPr>
          <w:rFonts w:hint="eastAsia" w:ascii="Times New Roman" w:hAnsi="Times New Roman" w:eastAsia="宋体" w:cs="Times New Roman"/>
          <w:color w:val="auto"/>
          <w:kern w:val="2"/>
          <w:sz w:val="24"/>
          <w:szCs w:val="24"/>
          <w:highlight w:val="none"/>
          <w:lang w:val="en-US" w:eastAsia="zh-CN" w:bidi="ar-SA"/>
        </w:rPr>
        <w:t>）《黑龙江省“十四五”生态环境保护规划》（黑政规〔2021〕18号）。</w:t>
      </w:r>
    </w:p>
    <w:p w14:paraId="5024C0D0">
      <w:pPr>
        <w:pStyle w:val="4"/>
        <w:rPr>
          <w:color w:val="auto"/>
          <w:highlight w:val="none"/>
        </w:rPr>
      </w:pPr>
      <w:bookmarkStart w:id="12" w:name="_Toc11785"/>
      <w:r>
        <w:rPr>
          <w:rFonts w:hint="eastAsia"/>
          <w:color w:val="auto"/>
          <w:highlight w:val="none"/>
        </w:rPr>
        <w:t>1.2.5参考资料</w:t>
      </w:r>
      <w:bookmarkEnd w:id="12"/>
    </w:p>
    <w:p w14:paraId="69782B69">
      <w:pPr>
        <w:spacing w:line="360" w:lineRule="auto"/>
        <w:ind w:firstLine="470"/>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lang w:val="en-US" w:eastAsia="zh-CN"/>
        </w:rPr>
        <w:t>1</w:t>
      </w:r>
      <w:r>
        <w:rPr>
          <w:rFonts w:hint="eastAsia" w:ascii="Times New Roman" w:hAnsi="Times New Roman" w:eastAsia="宋体" w:cs="Times New Roman"/>
          <w:color w:val="auto"/>
          <w:highlight w:val="none"/>
          <w:lang w:eastAsia="zh-CN"/>
        </w:rPr>
        <w:t>）《绥化市庆安县农村饮用水水源保护区划分技术报告》（东北林业大学，201</w:t>
      </w:r>
      <w:r>
        <w:rPr>
          <w:rFonts w:hint="eastAsia" w:ascii="Times New Roman" w:hAnsi="Times New Roman" w:eastAsia="宋体" w:cs="Times New Roman"/>
          <w:color w:val="auto"/>
          <w:highlight w:val="none"/>
          <w:lang w:val="en-US" w:eastAsia="zh-CN"/>
        </w:rPr>
        <w:t>2</w:t>
      </w:r>
      <w:r>
        <w:rPr>
          <w:rFonts w:hint="eastAsia" w:ascii="Times New Roman" w:hAnsi="Times New Roman" w:eastAsia="宋体" w:cs="Times New Roman"/>
          <w:color w:val="auto"/>
          <w:highlight w:val="none"/>
          <w:lang w:eastAsia="zh-CN"/>
        </w:rPr>
        <w:t>年</w:t>
      </w:r>
      <w:r>
        <w:rPr>
          <w:rFonts w:hint="eastAsia" w:ascii="Times New Roman" w:hAnsi="Times New Roman" w:eastAsia="宋体" w:cs="Times New Roman"/>
          <w:color w:val="auto"/>
          <w:highlight w:val="none"/>
          <w:lang w:val="en-US" w:eastAsia="zh-CN"/>
        </w:rPr>
        <w:t>9</w:t>
      </w:r>
      <w:r>
        <w:rPr>
          <w:rFonts w:hint="eastAsia" w:ascii="Times New Roman" w:hAnsi="Times New Roman" w:eastAsia="宋体" w:cs="Times New Roman"/>
          <w:color w:val="auto"/>
          <w:highlight w:val="none"/>
          <w:lang w:eastAsia="zh-CN"/>
        </w:rPr>
        <w:t>月）；</w:t>
      </w:r>
    </w:p>
    <w:p w14:paraId="0C787C74">
      <w:pPr>
        <w:spacing w:line="360" w:lineRule="auto"/>
        <w:ind w:firstLine="470"/>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lang w:val="en-US" w:eastAsia="zh-CN"/>
        </w:rPr>
        <w:t>2</w:t>
      </w:r>
      <w:r>
        <w:rPr>
          <w:rFonts w:hint="eastAsia" w:ascii="Times New Roman" w:hAnsi="Times New Roman" w:eastAsia="宋体" w:cs="Times New Roman"/>
          <w:color w:val="auto"/>
          <w:highlight w:val="none"/>
          <w:lang w:eastAsia="zh-CN"/>
        </w:rPr>
        <w:t>）《黑龙江省人民政府关于绥化市兰西县泥河水库及榆林镇等42个乡镇集中式饮用水水源保护区范围的批复》（黑政函</w:t>
      </w:r>
      <w:r>
        <w:rPr>
          <w:rFonts w:hint="eastAsia" w:ascii="Times New Roman" w:hAnsi="Times New Roman" w:eastAsia="宋体" w:cs="Times New Roman"/>
          <w:color w:val="auto"/>
          <w:highlight w:val="none"/>
          <w:lang w:val="en-US" w:eastAsia="zh-CN"/>
        </w:rPr>
        <w:t>[</w:t>
      </w:r>
      <w:r>
        <w:rPr>
          <w:rFonts w:hint="eastAsia" w:ascii="Times New Roman" w:hAnsi="Times New Roman" w:eastAsia="宋体" w:cs="Times New Roman"/>
          <w:color w:val="auto"/>
          <w:highlight w:val="none"/>
          <w:lang w:eastAsia="zh-CN"/>
        </w:rPr>
        <w:t>2013</w:t>
      </w:r>
      <w:r>
        <w:rPr>
          <w:rFonts w:hint="eastAsia" w:ascii="Times New Roman" w:hAnsi="Times New Roman" w:eastAsia="宋体" w:cs="Times New Roman"/>
          <w:color w:val="auto"/>
          <w:highlight w:val="none"/>
          <w:lang w:val="en-US" w:eastAsia="zh-CN"/>
        </w:rPr>
        <w:t>]</w:t>
      </w:r>
      <w:r>
        <w:rPr>
          <w:rFonts w:hint="eastAsia" w:ascii="Times New Roman" w:hAnsi="Times New Roman" w:eastAsia="宋体" w:cs="Times New Roman"/>
          <w:color w:val="auto"/>
          <w:highlight w:val="none"/>
          <w:lang w:eastAsia="zh-CN"/>
        </w:rPr>
        <w:t>113号）；</w:t>
      </w:r>
    </w:p>
    <w:p w14:paraId="6E24DFBA">
      <w:pPr>
        <w:spacing w:line="360" w:lineRule="auto"/>
        <w:ind w:firstLine="470"/>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lang w:val="en-US" w:eastAsia="zh-CN"/>
        </w:rPr>
        <w:t>3</w:t>
      </w:r>
      <w:r>
        <w:rPr>
          <w:rFonts w:hint="eastAsia" w:ascii="Times New Roman" w:hAnsi="Times New Roman" w:eastAsia="宋体" w:cs="Times New Roman"/>
          <w:color w:val="auto"/>
          <w:highlight w:val="none"/>
          <w:lang w:eastAsia="zh-CN"/>
        </w:rPr>
        <w:t>）《绥化市庆安县农村集中式饮用水水源保护区划分技术报告》（黑龙江东隆工程管理服务有限公司，2016年12月）；</w:t>
      </w:r>
    </w:p>
    <w:p w14:paraId="3968569D">
      <w:pPr>
        <w:spacing w:line="360" w:lineRule="auto"/>
        <w:ind w:firstLine="470"/>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lang w:val="en-US" w:eastAsia="zh-CN"/>
        </w:rPr>
        <w:t>4</w:t>
      </w:r>
      <w:r>
        <w:rPr>
          <w:rFonts w:hint="eastAsia" w:ascii="Times New Roman" w:hAnsi="Times New Roman" w:eastAsia="宋体" w:cs="Times New Roman"/>
          <w:color w:val="auto"/>
          <w:highlight w:val="none"/>
          <w:lang w:eastAsia="zh-CN"/>
        </w:rPr>
        <w:t>）《黑龙江省人民政府关于哈尔滨市、牡丹江市、黑河市、绥化市农村集中式饮用水水源地保护区划分方案的批复》（黑政函[2017]118号）；</w:t>
      </w:r>
    </w:p>
    <w:p w14:paraId="35557D6F">
      <w:pPr>
        <w:spacing w:line="360" w:lineRule="auto"/>
        <w:ind w:firstLine="470"/>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lang w:val="en-US" w:eastAsia="zh-CN"/>
        </w:rPr>
        <w:t>5</w:t>
      </w:r>
      <w:r>
        <w:rPr>
          <w:rFonts w:hint="eastAsia" w:ascii="Times New Roman" w:hAnsi="Times New Roman" w:eastAsia="宋体" w:cs="Times New Roman"/>
          <w:color w:val="auto"/>
          <w:highlight w:val="none"/>
          <w:lang w:eastAsia="zh-CN"/>
        </w:rPr>
        <w:t>）《绥化市庆安县农村集中式饮用水水源保护区划分技术报告》（黑龙江东隆工程管理服务有限公司，201</w:t>
      </w:r>
      <w:r>
        <w:rPr>
          <w:rFonts w:hint="eastAsia" w:ascii="Times New Roman" w:hAnsi="Times New Roman" w:eastAsia="宋体" w:cs="Times New Roman"/>
          <w:color w:val="auto"/>
          <w:highlight w:val="none"/>
          <w:lang w:val="en-US" w:eastAsia="zh-CN"/>
        </w:rPr>
        <w:t>7</w:t>
      </w:r>
      <w:r>
        <w:rPr>
          <w:rFonts w:hint="eastAsia" w:ascii="Times New Roman" w:hAnsi="Times New Roman" w:eastAsia="宋体" w:cs="Times New Roman"/>
          <w:color w:val="auto"/>
          <w:highlight w:val="none"/>
          <w:lang w:eastAsia="zh-CN"/>
        </w:rPr>
        <w:t>年12月）；</w:t>
      </w:r>
    </w:p>
    <w:p w14:paraId="7F938B27">
      <w:pPr>
        <w:spacing w:line="360" w:lineRule="auto"/>
        <w:ind w:firstLine="470"/>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lang w:val="en-US" w:eastAsia="zh-CN"/>
        </w:rPr>
        <w:t>6</w:t>
      </w:r>
      <w:r>
        <w:rPr>
          <w:rFonts w:hint="eastAsia" w:ascii="Times New Roman" w:hAnsi="Times New Roman" w:eastAsia="宋体" w:cs="Times New Roman"/>
          <w:color w:val="auto"/>
          <w:highlight w:val="none"/>
          <w:lang w:eastAsia="zh-CN"/>
        </w:rPr>
        <w:t>）《黑龙江省人民政府关于齐齐哈尔市、佳木斯市、鸡西市、伊春市、绥化市农村集中式饮用水水源地保护区划分方案的批复》（黑政函</w:t>
      </w:r>
      <w:r>
        <w:rPr>
          <w:rFonts w:hint="eastAsia" w:ascii="Times New Roman" w:hAnsi="Times New Roman" w:eastAsia="宋体" w:cs="Times New Roman"/>
          <w:color w:val="auto"/>
          <w:highlight w:val="none"/>
          <w:lang w:val="en-US" w:eastAsia="zh-CN"/>
        </w:rPr>
        <w:t>[</w:t>
      </w:r>
      <w:r>
        <w:rPr>
          <w:rFonts w:hint="eastAsia" w:ascii="Times New Roman" w:hAnsi="Times New Roman" w:eastAsia="宋体" w:cs="Times New Roman"/>
          <w:color w:val="auto"/>
          <w:highlight w:val="none"/>
          <w:lang w:eastAsia="zh-CN"/>
        </w:rPr>
        <w:t>2018</w:t>
      </w:r>
      <w:r>
        <w:rPr>
          <w:rFonts w:hint="eastAsia" w:ascii="Times New Roman" w:hAnsi="Times New Roman" w:eastAsia="宋体" w:cs="Times New Roman"/>
          <w:color w:val="auto"/>
          <w:highlight w:val="none"/>
          <w:lang w:val="en-US" w:eastAsia="zh-CN"/>
        </w:rPr>
        <w:t>]</w:t>
      </w:r>
      <w:r>
        <w:rPr>
          <w:rFonts w:hint="eastAsia" w:ascii="Times New Roman" w:hAnsi="Times New Roman" w:eastAsia="宋体" w:cs="Times New Roman"/>
          <w:color w:val="auto"/>
          <w:highlight w:val="none"/>
          <w:lang w:eastAsia="zh-CN"/>
        </w:rPr>
        <w:t>21号）；</w:t>
      </w:r>
    </w:p>
    <w:p w14:paraId="4A1DBD6F">
      <w:pPr>
        <w:spacing w:line="360" w:lineRule="auto"/>
        <w:ind w:firstLine="47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（7）《庆安县勤劳镇3#、4#井及丰收乡丰泰村饮用水水源保护区划分技术报告》（哈尔滨新巨环保科技有限公司，2020年10月）；</w:t>
      </w:r>
    </w:p>
    <w:p w14:paraId="0662FD91">
      <w:pPr>
        <w:spacing w:line="360" w:lineRule="auto"/>
        <w:ind w:firstLine="47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lang w:val="en-US" w:eastAsia="zh-CN"/>
        </w:rPr>
        <w:t>8</w:t>
      </w:r>
      <w:r>
        <w:rPr>
          <w:rFonts w:hint="eastAsia" w:ascii="Times New Roman" w:hAnsi="Times New Roman" w:eastAsia="宋体" w:cs="Times New Roman"/>
          <w:color w:val="auto"/>
          <w:highlight w:val="none"/>
          <w:lang w:eastAsia="zh-CN"/>
        </w:rPr>
        <w:t>）《黑龙江省人民政府关于调整撤销新建哈尔滨等市202个集中式饮用水水源保护区的批复》（黑政函</w:t>
      </w:r>
      <w:r>
        <w:rPr>
          <w:rFonts w:hint="eastAsia" w:ascii="Times New Roman" w:hAnsi="Times New Roman" w:eastAsia="宋体" w:cs="Times New Roman"/>
          <w:color w:val="auto"/>
          <w:highlight w:val="none"/>
          <w:lang w:val="en-US" w:eastAsia="zh-CN"/>
        </w:rPr>
        <w:t>[</w:t>
      </w:r>
      <w:r>
        <w:rPr>
          <w:rFonts w:hint="eastAsia" w:ascii="Times New Roman" w:hAnsi="Times New Roman" w:eastAsia="宋体" w:cs="Times New Roman"/>
          <w:color w:val="auto"/>
          <w:highlight w:val="none"/>
          <w:lang w:eastAsia="zh-CN"/>
        </w:rPr>
        <w:t>2021</w:t>
      </w:r>
      <w:r>
        <w:rPr>
          <w:rFonts w:hint="eastAsia" w:ascii="Times New Roman" w:hAnsi="Times New Roman" w:eastAsia="宋体" w:cs="Times New Roman"/>
          <w:color w:val="auto"/>
          <w:highlight w:val="none"/>
          <w:lang w:val="en-US" w:eastAsia="zh-CN"/>
        </w:rPr>
        <w:t>]</w:t>
      </w:r>
      <w:r>
        <w:rPr>
          <w:rFonts w:hint="eastAsia" w:ascii="Times New Roman" w:hAnsi="Times New Roman" w:eastAsia="宋体" w:cs="Times New Roman"/>
          <w:color w:val="auto"/>
          <w:highlight w:val="none"/>
          <w:lang w:eastAsia="zh-CN"/>
        </w:rPr>
        <w:t>51号）</w:t>
      </w:r>
      <w:r>
        <w:rPr>
          <w:rFonts w:hint="eastAsia" w:ascii="Times New Roman" w:hAnsi="Times New Roman" w:eastAsia="宋体" w:cs="Times New Roman"/>
          <w:color w:val="auto"/>
          <w:highlight w:val="none"/>
          <w:lang w:val="en-US" w:eastAsia="zh-CN"/>
        </w:rPr>
        <w:t>；</w:t>
      </w:r>
    </w:p>
    <w:p w14:paraId="377C0C2C">
      <w:pPr>
        <w:spacing w:line="360" w:lineRule="auto"/>
        <w:ind w:firstLine="47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（9）《绥化市庆安县柳河镇、大罗镇2#井及久胜镇久旺村2#井饮用水水源保护区划分技术报告》（哈尔滨新巨环保科技有限公司，2021年7月）；</w:t>
      </w:r>
    </w:p>
    <w:p w14:paraId="76BF6395">
      <w:pPr>
        <w:spacing w:line="360" w:lineRule="auto"/>
        <w:ind w:firstLine="47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（10）《黑龙江省人民政府关于调整撤销新建哈尔滨等市190个集中式饮用水水源保护区的批复》（黑政函[</w:t>
      </w:r>
      <w:r>
        <w:rPr>
          <w:rFonts w:hint="eastAsia" w:ascii="Times New Roman" w:hAnsi="Times New Roman" w:eastAsia="宋体" w:cs="Times New Roman"/>
          <w:color w:val="auto"/>
          <w:highlight w:val="none"/>
          <w:lang w:eastAsia="zh-CN"/>
        </w:rPr>
        <w:t>2021</w:t>
      </w:r>
      <w:r>
        <w:rPr>
          <w:rFonts w:hint="eastAsia" w:ascii="Times New Roman" w:hAnsi="Times New Roman" w:eastAsia="宋体" w:cs="Times New Roman"/>
          <w:color w:val="auto"/>
          <w:highlight w:val="none"/>
          <w:lang w:val="en-US" w:eastAsia="zh-CN"/>
        </w:rPr>
        <w:t>]97号）；</w:t>
      </w:r>
    </w:p>
    <w:p w14:paraId="1FFF4FD4">
      <w:pPr>
        <w:spacing w:line="360" w:lineRule="auto"/>
        <w:ind w:firstLine="47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（11）《庆安县发展乡集中供水工程水资源论证报告书》（2024年11月）；</w:t>
      </w:r>
    </w:p>
    <w:p w14:paraId="69FE6650">
      <w:pPr>
        <w:spacing w:line="360" w:lineRule="auto"/>
        <w:ind w:firstLine="470"/>
        <w:rPr>
          <w:rFonts w:hint="eastAsia"/>
          <w:color w:val="auto"/>
          <w:highlight w:val="none"/>
          <w:lang w:val="en-US" w:eastAsia="zh-CN"/>
        </w:rPr>
      </w:pPr>
      <w:r>
        <w:rPr>
          <w:rFonts w:hint="eastAsia" w:ascii="Times New Roman" w:hAnsi="Times New Roman" w:eastAsia="宋体" w:cs="Times New Roman"/>
          <w:color w:val="auto"/>
          <w:highlight w:val="none"/>
          <w:lang w:val="en-US" w:eastAsia="zh-CN"/>
        </w:rPr>
        <w:t>（12）《庆安县建民乡集中供水工程水资源论证报告书》（2024年11月）；</w:t>
      </w:r>
    </w:p>
    <w:p w14:paraId="5580317F">
      <w:pPr>
        <w:spacing w:line="360" w:lineRule="auto"/>
        <w:ind w:firstLine="47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（13）《庆安县柳河镇集中供水工程水资源论证报告书》（2024年11月）；</w:t>
      </w:r>
    </w:p>
    <w:p w14:paraId="6B0D8C34">
      <w:pPr>
        <w:spacing w:line="360" w:lineRule="auto"/>
        <w:ind w:firstLine="47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（14）《庆安县同乐镇集中供水工程水资源论证报告书》（2024年11月）；</w:t>
      </w:r>
    </w:p>
    <w:p w14:paraId="2298FBE9">
      <w:pPr>
        <w:spacing w:line="360" w:lineRule="auto"/>
        <w:ind w:firstLine="47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（15）《庆安县农村供水保障工程（丰收乡）水资源论证报告书》（2025年7月）；</w:t>
      </w:r>
    </w:p>
    <w:p w14:paraId="77C3BBA6">
      <w:pPr>
        <w:spacing w:line="360" w:lineRule="auto"/>
        <w:ind w:firstLine="47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（16）《庆安县农村供水保障工程（平安镇）水资源论证报告书》（2025年7月）。</w:t>
      </w:r>
    </w:p>
    <w:p w14:paraId="1F3EE183">
      <w:pPr>
        <w:pStyle w:val="3"/>
        <w:rPr>
          <w:color w:val="auto"/>
          <w:highlight w:val="none"/>
          <w:lang w:val="en-US"/>
        </w:rPr>
      </w:pPr>
      <w:bookmarkStart w:id="13" w:name="_Toc11968"/>
      <w:bookmarkStart w:id="14" w:name="_Toc22699"/>
      <w:r>
        <w:rPr>
          <w:color w:val="auto"/>
          <w:highlight w:val="none"/>
          <w:lang w:val="en-US"/>
        </w:rPr>
        <w:t>1.3技术路线</w:t>
      </w:r>
      <w:bookmarkEnd w:id="13"/>
      <w:bookmarkEnd w:id="14"/>
    </w:p>
    <w:p w14:paraId="6230CB59">
      <w:pPr>
        <w:ind w:firstLine="470"/>
        <w:rPr>
          <w:rFonts w:ascii="Times New Roman" w:hAnsi="Times New Roman" w:cs="Times New Roman"/>
          <w:color w:val="auto"/>
          <w:highlight w:val="none"/>
        </w:rPr>
      </w:pPr>
      <w:r>
        <w:rPr>
          <w:rFonts w:hint="eastAsia"/>
          <w:color w:val="auto"/>
          <w:highlight w:val="none"/>
        </w:rPr>
        <w:t>按照《饮用水水源保护区划分技术规范》（HJ 338-2018）要求，</w:t>
      </w:r>
      <w:r>
        <w:rPr>
          <w:rFonts w:hint="eastAsia"/>
          <w:b w:val="0"/>
          <w:bCs/>
          <w:color w:val="auto"/>
          <w:kern w:val="0"/>
          <w:highlight w:val="none"/>
        </w:rPr>
        <w:t>绥化市庆安县</w:t>
      </w:r>
      <w:r>
        <w:rPr>
          <w:rFonts w:hint="eastAsia"/>
          <w:b w:val="0"/>
          <w:bCs/>
          <w:color w:val="auto"/>
          <w:kern w:val="0"/>
          <w:highlight w:val="none"/>
          <w:lang w:eastAsia="zh-CN"/>
        </w:rPr>
        <w:t>丰收乡等</w:t>
      </w:r>
      <w:r>
        <w:rPr>
          <w:rFonts w:hint="eastAsia"/>
          <w:b w:val="0"/>
          <w:bCs/>
          <w:color w:val="auto"/>
          <w:kern w:val="0"/>
          <w:highlight w:val="none"/>
          <w:lang w:val="en-US" w:eastAsia="zh-CN"/>
        </w:rPr>
        <w:t>6个乡镇级和柳河镇新强村1个</w:t>
      </w:r>
      <w:r>
        <w:rPr>
          <w:rFonts w:hint="eastAsia"/>
          <w:b w:val="0"/>
          <w:bCs/>
          <w:color w:val="auto"/>
          <w:kern w:val="0"/>
          <w:highlight w:val="none"/>
          <w:lang w:eastAsia="zh-CN"/>
        </w:rPr>
        <w:t>村屯级</w:t>
      </w:r>
      <w:r>
        <w:rPr>
          <w:rFonts w:hint="eastAsia"/>
          <w:b w:val="0"/>
          <w:bCs/>
          <w:color w:val="auto"/>
          <w:kern w:val="0"/>
          <w:highlight w:val="none"/>
        </w:rPr>
        <w:t>集中式饮用水水源保护区</w:t>
      </w:r>
      <w:r>
        <w:rPr>
          <w:rFonts w:hint="eastAsia"/>
          <w:color w:val="auto"/>
          <w:highlight w:val="none"/>
        </w:rPr>
        <w:t>调整工作</w:t>
      </w:r>
      <w:r>
        <w:rPr>
          <w:rFonts w:ascii="Times New Roman" w:hAnsi="Times New Roman" w:cs="Times New Roman"/>
          <w:color w:val="auto"/>
          <w:highlight w:val="none"/>
        </w:rPr>
        <w:t>按照以下技术路线开展：</w:t>
      </w:r>
    </w:p>
    <w:p w14:paraId="2126B6AD">
      <w:pPr>
        <w:ind w:firstLine="470"/>
        <w:rPr>
          <w:color w:val="auto"/>
          <w:highlight w:val="none"/>
        </w:rPr>
      </w:pPr>
      <w:r>
        <w:rPr>
          <w:rFonts w:hint="eastAsia"/>
          <w:color w:val="auto"/>
          <w:highlight w:val="none"/>
        </w:rPr>
        <w:t>（1）收集资料：收集</w:t>
      </w:r>
      <w:r>
        <w:rPr>
          <w:rFonts w:hint="eastAsia"/>
          <w:color w:val="auto"/>
          <w:highlight w:val="none"/>
          <w:lang w:eastAsia="zh-CN"/>
        </w:rPr>
        <w:t>庆安</w:t>
      </w:r>
      <w:r>
        <w:rPr>
          <w:rFonts w:hint="eastAsia"/>
          <w:color w:val="auto"/>
          <w:highlight w:val="none"/>
        </w:rPr>
        <w:t>县水文地质现状、生态和环境现状、社会经济发展现状等。</w:t>
      </w:r>
    </w:p>
    <w:p w14:paraId="594FF607">
      <w:pPr>
        <w:ind w:firstLine="470"/>
        <w:rPr>
          <w:color w:val="auto"/>
          <w:highlight w:val="none"/>
        </w:rPr>
      </w:pPr>
      <w:r>
        <w:rPr>
          <w:rFonts w:hint="eastAsia"/>
          <w:color w:val="auto"/>
          <w:highlight w:val="none"/>
        </w:rPr>
        <w:t>（2）饮用水源开发利用现状调查：调查水源地具体位置、供水范围、供水人口、供水量等。</w:t>
      </w:r>
    </w:p>
    <w:p w14:paraId="75105E7D">
      <w:pPr>
        <w:ind w:firstLine="470"/>
        <w:rPr>
          <w:color w:val="auto"/>
          <w:highlight w:val="none"/>
        </w:rPr>
      </w:pPr>
      <w:r>
        <w:rPr>
          <w:rFonts w:hint="eastAsia"/>
          <w:color w:val="auto"/>
          <w:highlight w:val="none"/>
        </w:rPr>
        <w:t>（3）环境现状调查：调查饮用水水源地周围环境污染现状；分析评价其水资源数量、质量是否满足要求；识别水源地主要环境问题和环境风险情况。</w:t>
      </w:r>
    </w:p>
    <w:p w14:paraId="3FD3AA11">
      <w:pPr>
        <w:ind w:firstLine="470"/>
        <w:rPr>
          <w:color w:val="auto"/>
          <w:highlight w:val="none"/>
        </w:rPr>
      </w:pPr>
      <w:r>
        <w:rPr>
          <w:rFonts w:hint="eastAsia"/>
          <w:color w:val="auto"/>
          <w:highlight w:val="none"/>
        </w:rPr>
        <w:t>（4）水源保护区</w:t>
      </w:r>
      <w:r>
        <w:rPr>
          <w:rFonts w:hint="eastAsia"/>
          <w:color w:val="auto"/>
          <w:highlight w:val="none"/>
          <w:lang w:eastAsia="zh-CN"/>
        </w:rPr>
        <w:t>调整</w:t>
      </w:r>
      <w:r>
        <w:rPr>
          <w:rFonts w:hint="eastAsia"/>
          <w:color w:val="auto"/>
          <w:highlight w:val="none"/>
        </w:rPr>
        <w:t>：根据水文地质条件、水源地水质状况、补给条件，提出水源保护区</w:t>
      </w:r>
      <w:r>
        <w:rPr>
          <w:rFonts w:hint="eastAsia"/>
          <w:color w:val="auto"/>
          <w:highlight w:val="none"/>
          <w:lang w:eastAsia="zh-CN"/>
        </w:rPr>
        <w:t>调整</w:t>
      </w:r>
      <w:r>
        <w:rPr>
          <w:rFonts w:hint="eastAsia"/>
          <w:color w:val="auto"/>
          <w:highlight w:val="none"/>
        </w:rPr>
        <w:t>方案，合理确定各级保护区范围，并初步确定保护区边界主要拐点的经纬度坐标和边界线。</w:t>
      </w:r>
    </w:p>
    <w:p w14:paraId="311AAB4D">
      <w:pPr>
        <w:ind w:firstLine="470"/>
        <w:rPr>
          <w:color w:val="auto"/>
          <w:highlight w:val="none"/>
        </w:rPr>
      </w:pPr>
      <w:r>
        <w:rPr>
          <w:rFonts w:hint="eastAsia"/>
          <w:color w:val="auto"/>
          <w:highlight w:val="none"/>
        </w:rPr>
        <w:t>（5）编制技术报告：编制饮用水水源保护区调整技术报告。</w:t>
      </w:r>
    </w:p>
    <w:p w14:paraId="3FD6C3E8">
      <w:pPr>
        <w:ind w:firstLine="470"/>
        <w:rPr>
          <w:color w:val="auto"/>
          <w:highlight w:val="none"/>
        </w:rPr>
      </w:pPr>
      <w:r>
        <w:rPr>
          <w:rFonts w:hint="eastAsia"/>
          <w:color w:val="auto"/>
          <w:highlight w:val="none"/>
        </w:rPr>
        <w:t>（6）专家审议：组织专家对保护区</w:t>
      </w:r>
      <w:r>
        <w:rPr>
          <w:rFonts w:hint="eastAsia"/>
          <w:color w:val="auto"/>
          <w:highlight w:val="none"/>
          <w:lang w:eastAsia="zh-CN"/>
        </w:rPr>
        <w:t>调整</w:t>
      </w:r>
      <w:r>
        <w:rPr>
          <w:rFonts w:hint="eastAsia"/>
          <w:color w:val="auto"/>
          <w:highlight w:val="none"/>
        </w:rPr>
        <w:t>技术报告和方案进行审议。</w:t>
      </w:r>
    </w:p>
    <w:p w14:paraId="6D3AFDC4">
      <w:pPr>
        <w:ind w:firstLine="470"/>
        <w:rPr>
          <w:color w:val="auto"/>
          <w:highlight w:val="none"/>
        </w:rPr>
      </w:pPr>
      <w:r>
        <w:rPr>
          <w:rFonts w:hint="eastAsia"/>
          <w:color w:val="auto"/>
          <w:highlight w:val="none"/>
        </w:rPr>
        <w:t>（7）成果汇总与协调：按照专家意见最终修订边界坐标，依据</w:t>
      </w:r>
      <w:r>
        <w:rPr>
          <w:rFonts w:hint="eastAsia"/>
          <w:color w:val="auto"/>
          <w:highlight w:val="none"/>
          <w:lang w:eastAsia="zh-CN"/>
        </w:rPr>
        <w:t>调整</w:t>
      </w:r>
      <w:r>
        <w:rPr>
          <w:rFonts w:hint="eastAsia"/>
          <w:color w:val="auto"/>
          <w:highlight w:val="none"/>
        </w:rPr>
        <w:t>结果，编制饮用水源保护区</w:t>
      </w:r>
      <w:r>
        <w:rPr>
          <w:rFonts w:hint="eastAsia"/>
          <w:color w:val="auto"/>
          <w:highlight w:val="none"/>
          <w:lang w:eastAsia="zh-CN"/>
        </w:rPr>
        <w:t>调整</w:t>
      </w:r>
      <w:r>
        <w:rPr>
          <w:rFonts w:hint="eastAsia"/>
          <w:color w:val="auto"/>
          <w:highlight w:val="none"/>
        </w:rPr>
        <w:t>成果表，绘制水源保护区</w:t>
      </w:r>
      <w:r>
        <w:rPr>
          <w:rFonts w:hint="eastAsia"/>
          <w:color w:val="auto"/>
          <w:highlight w:val="none"/>
          <w:lang w:eastAsia="zh-CN"/>
        </w:rPr>
        <w:t>调整</w:t>
      </w:r>
      <w:r>
        <w:rPr>
          <w:rFonts w:hint="eastAsia"/>
          <w:color w:val="auto"/>
          <w:highlight w:val="none"/>
        </w:rPr>
        <w:t>成果图。</w:t>
      </w:r>
    </w:p>
    <w:p w14:paraId="127AB8E1">
      <w:pPr>
        <w:ind w:firstLine="470"/>
        <w:rPr>
          <w:color w:val="auto"/>
          <w:highlight w:val="none"/>
        </w:rPr>
      </w:pPr>
      <w:r>
        <w:rPr>
          <w:rFonts w:hint="eastAsia"/>
          <w:color w:val="auto"/>
          <w:highlight w:val="none"/>
        </w:rPr>
        <w:t>（8）成果上报与审批：编写饮用水源保护区</w:t>
      </w:r>
      <w:r>
        <w:rPr>
          <w:rFonts w:hint="eastAsia"/>
          <w:color w:val="auto"/>
          <w:highlight w:val="none"/>
          <w:lang w:eastAsia="zh-CN"/>
        </w:rPr>
        <w:t>调整</w:t>
      </w:r>
      <w:r>
        <w:rPr>
          <w:rFonts w:hint="eastAsia"/>
          <w:color w:val="auto"/>
          <w:highlight w:val="none"/>
        </w:rPr>
        <w:t>文字报告，完成相关图件的绘编工作，提交成果上报政府审批。</w:t>
      </w:r>
    </w:p>
    <w:p w14:paraId="1B31F411">
      <w:pPr>
        <w:ind w:firstLine="470"/>
        <w:rPr>
          <w:color w:val="auto"/>
          <w:highlight w:val="none"/>
        </w:rPr>
      </w:pPr>
      <w:r>
        <w:rPr>
          <w:color w:val="auto"/>
          <w:highlight w:val="none"/>
        </w:rPr>
        <w:t>保护区</w:t>
      </w:r>
      <w:r>
        <w:rPr>
          <w:rFonts w:hint="eastAsia"/>
          <w:color w:val="auto"/>
          <w:highlight w:val="none"/>
          <w:lang w:eastAsia="zh-CN"/>
        </w:rPr>
        <w:t>调整</w:t>
      </w:r>
      <w:r>
        <w:rPr>
          <w:color w:val="auto"/>
          <w:highlight w:val="none"/>
        </w:rPr>
        <w:t>技术路线图及主要工作内容见图1-1。</w:t>
      </w:r>
    </w:p>
    <w:p w14:paraId="4EEA6AFD">
      <w:pPr>
        <w:ind w:firstLine="0" w:firstLineChars="0"/>
        <w:jc w:val="center"/>
        <w:rPr>
          <w:color w:val="auto"/>
          <w:highlight w:val="none"/>
        </w:rPr>
      </w:pPr>
      <w:r>
        <w:rPr>
          <w:color w:val="auto"/>
          <w:sz w:val="28"/>
          <w:szCs w:val="24"/>
          <w:highlight w:val="none"/>
        </w:rPr>
        <w:object>
          <v:shape id="_x0000_i1025" o:spt="75" type="#_x0000_t75" style="height:408.4pt;width:171.35pt;" o:ole="t" filled="f" o:preferrelative="t" stroked="f" coordsize="21600,21600">
            <v:path/>
            <v:fill on="f" focussize="0,0"/>
            <v:stroke on="f"/>
            <v:imagedata r:id="rId19" o:title=""/>
            <o:lock v:ext="edit" aspectratio="t"/>
            <w10:wrap type="none"/>
            <w10:anchorlock/>
          </v:shape>
          <o:OLEObject Type="Embed" ProgID="Visio.Drawing.11" ShapeID="_x0000_i1025" DrawAspect="Content" ObjectID="_1468075725" r:id="rId18">
            <o:LockedField>false</o:LockedField>
          </o:OLEObject>
        </w:object>
      </w:r>
    </w:p>
    <w:p w14:paraId="6CD7C0AC">
      <w:pPr>
        <w:pStyle w:val="28"/>
        <w:rPr>
          <w:rFonts w:hint="default"/>
          <w:color w:val="auto"/>
          <w:highlight w:val="none"/>
        </w:rPr>
      </w:pPr>
      <w:bookmarkStart w:id="15" w:name="_Toc7187_WPSOffice_Level2"/>
      <w:bookmarkStart w:id="16" w:name="_Toc16783_WPSOffice_Level2"/>
      <w:bookmarkStart w:id="17" w:name="_Toc7214_WPSOffice_Level2"/>
      <w:r>
        <w:rPr>
          <w:color w:val="auto"/>
          <w:highlight w:val="none"/>
        </w:rPr>
        <w:t>图1-1 饮用水水源保护区</w:t>
      </w:r>
      <w:r>
        <w:rPr>
          <w:rFonts w:hint="eastAsia"/>
          <w:color w:val="auto"/>
          <w:highlight w:val="none"/>
          <w:lang w:eastAsia="zh-CN"/>
        </w:rPr>
        <w:t>调整</w:t>
      </w:r>
      <w:r>
        <w:rPr>
          <w:color w:val="auto"/>
          <w:highlight w:val="none"/>
        </w:rPr>
        <w:t>技术路线图</w:t>
      </w:r>
      <w:bookmarkEnd w:id="15"/>
      <w:bookmarkEnd w:id="16"/>
      <w:bookmarkEnd w:id="17"/>
    </w:p>
    <w:p w14:paraId="6163EFAF">
      <w:pPr>
        <w:ind w:firstLine="470"/>
        <w:rPr>
          <w:color w:val="auto"/>
          <w:highlight w:val="none"/>
        </w:rPr>
        <w:sectPr>
          <w:footerReference r:id="rId13" w:type="default"/>
          <w:pgSz w:w="11905" w:h="16838"/>
          <w:pgMar w:top="1474" w:right="1474" w:bottom="1474" w:left="1474" w:header="964" w:footer="992" w:gutter="0"/>
          <w:pgBorders>
            <w:top w:val="none" w:sz="0" w:space="0"/>
            <w:left w:val="none" w:sz="0" w:space="0"/>
            <w:bottom w:val="none" w:sz="0" w:space="0"/>
            <w:right w:val="none" w:sz="0" w:space="0"/>
          </w:pgBorders>
          <w:pgNumType w:fmt="decimal" w:start="1"/>
          <w:cols w:space="720" w:num="1"/>
          <w:docGrid w:type="linesAndChars" w:linePitch="347" w:charSpace="-1024"/>
        </w:sectPr>
      </w:pPr>
    </w:p>
    <w:p w14:paraId="01013D12">
      <w:pPr>
        <w:pStyle w:val="2"/>
        <w:keepNext/>
        <w:wordWrap w:val="0"/>
        <w:overflowPunct w:val="0"/>
        <w:autoSpaceDE w:val="0"/>
        <w:autoSpaceDN w:val="0"/>
        <w:rPr>
          <w:rFonts w:cs="黑体"/>
          <w:color w:val="auto"/>
          <w:kern w:val="0"/>
          <w:highlight w:val="none"/>
        </w:rPr>
      </w:pPr>
      <w:bookmarkStart w:id="18" w:name="_Toc9619"/>
      <w:bookmarkStart w:id="19" w:name="_Toc22482"/>
      <w:r>
        <w:rPr>
          <w:rFonts w:hint="eastAsia" w:cs="黑体"/>
          <w:color w:val="auto"/>
          <w:kern w:val="0"/>
          <w:highlight w:val="none"/>
        </w:rPr>
        <w:t>2 饮用水水源基础环境状况</w:t>
      </w:r>
      <w:bookmarkEnd w:id="18"/>
      <w:bookmarkEnd w:id="19"/>
    </w:p>
    <w:p w14:paraId="54809803">
      <w:pPr>
        <w:pStyle w:val="3"/>
        <w:rPr>
          <w:color w:val="auto"/>
          <w:highlight w:val="none"/>
          <w:lang w:val="en-US"/>
        </w:rPr>
      </w:pPr>
      <w:bookmarkStart w:id="20" w:name="_Toc9718"/>
      <w:bookmarkStart w:id="21" w:name="_Toc1704"/>
      <w:r>
        <w:rPr>
          <w:rFonts w:hint="eastAsia"/>
          <w:color w:val="auto"/>
          <w:highlight w:val="none"/>
          <w:lang w:val="en-US"/>
        </w:rPr>
        <w:t>2.1区域自然环境概况</w:t>
      </w:r>
      <w:bookmarkEnd w:id="20"/>
      <w:bookmarkEnd w:id="21"/>
    </w:p>
    <w:p w14:paraId="1C9FE50B">
      <w:pPr>
        <w:pStyle w:val="4"/>
        <w:rPr>
          <w:color w:val="auto"/>
          <w:highlight w:val="none"/>
        </w:rPr>
      </w:pPr>
      <w:bookmarkStart w:id="22" w:name="_Toc14584"/>
      <w:r>
        <w:rPr>
          <w:rFonts w:hint="eastAsia"/>
          <w:color w:val="auto"/>
          <w:highlight w:val="none"/>
        </w:rPr>
        <w:t>2.1.1地理位置</w:t>
      </w:r>
      <w:bookmarkEnd w:id="22"/>
    </w:p>
    <w:p w14:paraId="1281FC67">
      <w:pPr>
        <w:ind w:firstLine="470"/>
        <w:rPr>
          <w:rFonts w:hint="eastAsia"/>
          <w:color w:val="auto"/>
          <w:highlight w:val="none"/>
        </w:rPr>
      </w:pPr>
      <w:bookmarkStart w:id="23" w:name="_Toc28358"/>
      <w:r>
        <w:rPr>
          <w:rFonts w:hint="eastAsia"/>
          <w:color w:val="auto"/>
          <w:highlight w:val="none"/>
        </w:rPr>
        <w:t>庆安县隶属黑龙江省绥化市</w:t>
      </w:r>
      <w:r>
        <w:rPr>
          <w:rFonts w:hint="eastAsia"/>
          <w:color w:val="auto"/>
          <w:highlight w:val="none"/>
          <w:lang w:eastAsia="zh-CN"/>
        </w:rPr>
        <w:t>，</w:t>
      </w:r>
      <w:r>
        <w:rPr>
          <w:rFonts w:hint="eastAsia"/>
          <w:color w:val="auto"/>
          <w:highlight w:val="none"/>
        </w:rPr>
        <w:t>位于黑龙江省中部的松嫩平原与小兴安岭余脉的交汇地带，属呼兰河流域中上游。地理坐标东经127°30</w:t>
      </w:r>
      <w:r>
        <w:rPr>
          <w:rFonts w:hint="eastAsia"/>
          <w:color w:val="auto"/>
          <w:highlight w:val="none"/>
          <w:lang w:eastAsia="zh-CN"/>
        </w:rPr>
        <w:t>′</w:t>
      </w:r>
      <w:r>
        <w:rPr>
          <w:rFonts w:hint="eastAsia"/>
          <w:color w:val="auto"/>
          <w:highlight w:val="none"/>
        </w:rPr>
        <w:t>-128°35</w:t>
      </w:r>
      <w:r>
        <w:rPr>
          <w:rFonts w:hint="eastAsia"/>
          <w:color w:val="auto"/>
          <w:highlight w:val="none"/>
          <w:lang w:eastAsia="zh-CN"/>
        </w:rPr>
        <w:t>′，</w:t>
      </w:r>
      <w:r>
        <w:rPr>
          <w:rFonts w:hint="eastAsia"/>
          <w:color w:val="auto"/>
          <w:highlight w:val="none"/>
        </w:rPr>
        <w:t>北纬46°30</w:t>
      </w:r>
      <w:r>
        <w:rPr>
          <w:rFonts w:hint="eastAsia"/>
          <w:color w:val="auto"/>
          <w:highlight w:val="none"/>
          <w:lang w:eastAsia="zh-CN"/>
        </w:rPr>
        <w:t>′</w:t>
      </w:r>
      <w:r>
        <w:rPr>
          <w:rFonts w:hint="eastAsia"/>
          <w:color w:val="auto"/>
          <w:highlight w:val="none"/>
        </w:rPr>
        <w:t>-47°35</w:t>
      </w:r>
      <w:r>
        <w:rPr>
          <w:rFonts w:hint="eastAsia"/>
          <w:color w:val="auto"/>
          <w:highlight w:val="none"/>
          <w:lang w:eastAsia="zh-CN"/>
        </w:rPr>
        <w:t>′</w:t>
      </w:r>
      <w:r>
        <w:rPr>
          <w:rFonts w:hint="eastAsia"/>
          <w:color w:val="auto"/>
          <w:highlight w:val="none"/>
        </w:rPr>
        <w:t>。东与铁力市以安邦河及依吉密河为界，东南与通河县毗连，南与木兰县和巴彦县为邻，西接北林区，西北与绥棱县接壤，东北界伊春市。西距省会哈尔滨170</w:t>
      </w:r>
      <w:r>
        <w:rPr>
          <w:rFonts w:hint="eastAsia"/>
          <w:color w:val="auto"/>
          <w:highlight w:val="none"/>
          <w:lang w:val="en-US" w:eastAsia="zh-CN"/>
        </w:rPr>
        <w:t>千米</w:t>
      </w:r>
      <w:r>
        <w:rPr>
          <w:rFonts w:hint="eastAsia"/>
          <w:color w:val="auto"/>
          <w:highlight w:val="none"/>
        </w:rPr>
        <w:t>，东距伊春178</w:t>
      </w:r>
      <w:r>
        <w:rPr>
          <w:rFonts w:hint="eastAsia"/>
          <w:color w:val="auto"/>
          <w:highlight w:val="none"/>
          <w:lang w:val="en-US" w:eastAsia="zh-CN"/>
        </w:rPr>
        <w:t>千米</w:t>
      </w:r>
      <w:r>
        <w:rPr>
          <w:rFonts w:hint="eastAsia"/>
          <w:color w:val="auto"/>
          <w:highlight w:val="none"/>
        </w:rPr>
        <w:t>，北距开放城市黑河470</w:t>
      </w:r>
      <w:r>
        <w:rPr>
          <w:rFonts w:hint="eastAsia"/>
          <w:color w:val="auto"/>
          <w:highlight w:val="none"/>
          <w:lang w:val="en-US" w:eastAsia="zh-CN"/>
        </w:rPr>
        <w:t>千米</w:t>
      </w:r>
      <w:r>
        <w:rPr>
          <w:rFonts w:hint="eastAsia"/>
          <w:color w:val="auto"/>
          <w:highlight w:val="none"/>
        </w:rPr>
        <w:t>，距煤城鹤岗280</w:t>
      </w:r>
      <w:r>
        <w:rPr>
          <w:rFonts w:hint="eastAsia"/>
          <w:color w:val="auto"/>
          <w:highlight w:val="none"/>
          <w:lang w:val="en-US" w:eastAsia="zh-CN"/>
        </w:rPr>
        <w:t>千米</w:t>
      </w:r>
      <w:r>
        <w:rPr>
          <w:rFonts w:hint="eastAsia"/>
          <w:color w:val="auto"/>
          <w:highlight w:val="none"/>
        </w:rPr>
        <w:t>。</w:t>
      </w:r>
      <w:r>
        <w:rPr>
          <w:rFonts w:hint="eastAsia"/>
          <w:color w:val="auto"/>
          <w:highlight w:val="none"/>
          <w:lang w:eastAsia="zh-CN"/>
        </w:rPr>
        <w:t>本次对</w:t>
      </w:r>
      <w:r>
        <w:rPr>
          <w:rFonts w:hint="eastAsia"/>
          <w:b w:val="0"/>
          <w:bCs/>
          <w:color w:val="auto"/>
          <w:kern w:val="0"/>
          <w:highlight w:val="none"/>
        </w:rPr>
        <w:t>绥化市庆安县</w:t>
      </w:r>
      <w:r>
        <w:rPr>
          <w:rFonts w:hint="eastAsia"/>
          <w:b w:val="0"/>
          <w:bCs/>
          <w:color w:val="auto"/>
          <w:kern w:val="0"/>
          <w:highlight w:val="none"/>
          <w:lang w:eastAsia="zh-CN"/>
        </w:rPr>
        <w:t>丰收乡等</w:t>
      </w:r>
      <w:r>
        <w:rPr>
          <w:rFonts w:hint="eastAsia"/>
          <w:b w:val="0"/>
          <w:bCs/>
          <w:color w:val="auto"/>
          <w:kern w:val="0"/>
          <w:highlight w:val="none"/>
          <w:lang w:val="en-US" w:eastAsia="zh-CN"/>
        </w:rPr>
        <w:t>6个乡镇级和柳河镇新强村1个</w:t>
      </w:r>
      <w:r>
        <w:rPr>
          <w:rFonts w:hint="eastAsia"/>
          <w:b w:val="0"/>
          <w:bCs/>
          <w:color w:val="auto"/>
          <w:kern w:val="0"/>
          <w:highlight w:val="none"/>
          <w:lang w:eastAsia="zh-CN"/>
        </w:rPr>
        <w:t>村屯级</w:t>
      </w:r>
      <w:r>
        <w:rPr>
          <w:rFonts w:hint="eastAsia"/>
          <w:b w:val="0"/>
          <w:bCs/>
          <w:color w:val="auto"/>
          <w:kern w:val="0"/>
          <w:highlight w:val="none"/>
        </w:rPr>
        <w:t>集中式饮用水水源</w:t>
      </w:r>
      <w:r>
        <w:rPr>
          <w:rFonts w:hint="eastAsia"/>
          <w:b w:val="0"/>
          <w:bCs/>
          <w:color w:val="auto"/>
          <w:kern w:val="0"/>
          <w:highlight w:val="none"/>
          <w:lang w:eastAsia="zh-CN"/>
        </w:rPr>
        <w:t>（</w:t>
      </w:r>
      <w:r>
        <w:rPr>
          <w:rFonts w:hint="eastAsia"/>
          <w:b w:val="0"/>
          <w:bCs/>
          <w:color w:val="auto"/>
          <w:kern w:val="0"/>
          <w:highlight w:val="none"/>
          <w:lang w:val="en-US" w:eastAsia="zh-CN"/>
        </w:rPr>
        <w:t>29眼井</w:t>
      </w:r>
      <w:r>
        <w:rPr>
          <w:rFonts w:hint="eastAsia"/>
          <w:b w:val="0"/>
          <w:bCs/>
          <w:color w:val="auto"/>
          <w:kern w:val="0"/>
          <w:highlight w:val="none"/>
          <w:lang w:eastAsia="zh-CN"/>
        </w:rPr>
        <w:t>）</w:t>
      </w:r>
      <w:r>
        <w:rPr>
          <w:rFonts w:hint="eastAsia"/>
          <w:b w:val="0"/>
          <w:bCs/>
          <w:color w:val="auto"/>
          <w:kern w:val="0"/>
          <w:highlight w:val="none"/>
        </w:rPr>
        <w:t>保护区</w:t>
      </w:r>
      <w:r>
        <w:rPr>
          <w:rFonts w:hint="eastAsia"/>
          <w:b w:val="0"/>
          <w:bCs/>
          <w:color w:val="auto"/>
          <w:kern w:val="0"/>
          <w:highlight w:val="none"/>
          <w:lang w:eastAsia="zh-CN"/>
        </w:rPr>
        <w:t>进行</w:t>
      </w:r>
      <w:r>
        <w:rPr>
          <w:rFonts w:hint="eastAsia"/>
          <w:color w:val="auto"/>
          <w:highlight w:val="none"/>
        </w:rPr>
        <w:t>调整</w:t>
      </w:r>
      <w:r>
        <w:rPr>
          <w:rFonts w:hint="eastAsia" w:ascii="Times New Roman" w:hAnsi="Times New Roman" w:eastAsia="宋体" w:cs="Times New Roman"/>
          <w:color w:val="auto"/>
          <w:highlight w:val="none"/>
          <w:lang w:val="en-US" w:eastAsia="zh-CN"/>
        </w:rPr>
        <w:t>。</w:t>
      </w:r>
      <w:r>
        <w:rPr>
          <w:rFonts w:hint="eastAsia"/>
          <w:color w:val="auto"/>
          <w:highlight w:val="none"/>
        </w:rPr>
        <w:t>各乡镇</w:t>
      </w:r>
      <w:r>
        <w:rPr>
          <w:rFonts w:hint="eastAsia"/>
          <w:color w:val="auto"/>
          <w:highlight w:val="none"/>
          <w:lang w:eastAsia="zh-CN"/>
        </w:rPr>
        <w:t>、村屯</w:t>
      </w:r>
      <w:r>
        <w:rPr>
          <w:rFonts w:hint="eastAsia"/>
          <w:color w:val="auto"/>
          <w:highlight w:val="none"/>
          <w:lang w:val="en-US" w:eastAsia="zh-CN"/>
        </w:rPr>
        <w:t>水源保护区</w:t>
      </w:r>
      <w:r>
        <w:rPr>
          <w:rFonts w:hint="eastAsia"/>
          <w:color w:val="auto"/>
          <w:highlight w:val="none"/>
        </w:rPr>
        <w:t>的地理位置详见</w:t>
      </w:r>
      <w:r>
        <w:rPr>
          <w:rFonts w:hint="eastAsia"/>
          <w:color w:val="auto"/>
          <w:highlight w:val="none"/>
          <w:lang w:eastAsia="zh-CN"/>
        </w:rPr>
        <w:t>附图</w:t>
      </w:r>
      <w:r>
        <w:rPr>
          <w:rFonts w:hint="eastAsia"/>
          <w:color w:val="auto"/>
          <w:highlight w:val="none"/>
          <w:lang w:val="en-US" w:eastAsia="zh-CN"/>
        </w:rPr>
        <w:t>1</w:t>
      </w:r>
      <w:r>
        <w:rPr>
          <w:rFonts w:hint="eastAsia"/>
          <w:color w:val="auto"/>
          <w:highlight w:val="none"/>
        </w:rPr>
        <w:t>。</w:t>
      </w:r>
    </w:p>
    <w:p w14:paraId="42C81952">
      <w:pPr>
        <w:pStyle w:val="4"/>
        <w:rPr>
          <w:color w:val="auto"/>
          <w:highlight w:val="none"/>
        </w:rPr>
      </w:pPr>
      <w:r>
        <w:rPr>
          <w:rFonts w:hint="eastAsia"/>
          <w:color w:val="auto"/>
          <w:highlight w:val="none"/>
        </w:rPr>
        <w:t>2.1.2气候特征</w:t>
      </w:r>
      <w:bookmarkEnd w:id="23"/>
    </w:p>
    <w:p w14:paraId="75F08F44">
      <w:pPr>
        <w:ind w:firstLine="470"/>
        <w:rPr>
          <w:rFonts w:hint="eastAsia" w:ascii="Times New Roman" w:hAnsi="Times New Roman" w:eastAsia="宋体" w:cs="Times New Roman"/>
          <w:color w:val="auto"/>
          <w:highlight w:val="none"/>
        </w:rPr>
      </w:pPr>
      <w:r>
        <w:rPr>
          <w:rFonts w:hint="eastAsia" w:ascii="Times New Roman" w:hAnsi="Times New Roman" w:eastAsia="宋体" w:cs="Times New Roman"/>
          <w:color w:val="auto"/>
          <w:highlight w:val="none"/>
        </w:rPr>
        <w:t>庆安县属于中温带大陆性季风气候区，具有明显的季节性气候特征。春季多风少雨而干燥，冷暖多变；夏季受东南季风控制，温热多雨而短促；秋季降温急骤而早霜；冬季受西伯利亚干冷气团的影响，严寒干燥而多西北风。由于受山脉、河流等地貌类型的影响，全县分为呼兰河冲积平原温暖区、南北丘陵漫岗亚温暖区、南北低山冷凉区等3个自然气候区。</w:t>
      </w:r>
    </w:p>
    <w:p w14:paraId="6AE998F7">
      <w:pPr>
        <w:ind w:firstLine="470"/>
        <w:rPr>
          <w:rFonts w:hint="eastAsia" w:ascii="Times New Roman" w:hAnsi="Times New Roman" w:eastAsia="宋体" w:cs="Times New Roman"/>
          <w:color w:val="auto"/>
          <w:highlight w:val="none"/>
        </w:rPr>
      </w:pPr>
      <w:r>
        <w:rPr>
          <w:rFonts w:hint="eastAsia" w:ascii="Times New Roman" w:hAnsi="Times New Roman" w:eastAsia="宋体" w:cs="Times New Roman"/>
          <w:color w:val="auto"/>
          <w:highlight w:val="none"/>
        </w:rPr>
        <w:t>庆安县年平均气温为1.69℃，由于受地势、土壤和植被等条件的综合影响，地处南部的大罗镇、新胜乡、丰收乡、发展乡及同乐乡等近山区的气温比平原地区的气温低2℃左右。</w:t>
      </w:r>
    </w:p>
    <w:p w14:paraId="16E6FBC7">
      <w:pPr>
        <w:ind w:firstLine="470"/>
        <w:rPr>
          <w:rFonts w:hint="eastAsia" w:ascii="Times New Roman" w:hAnsi="Times New Roman" w:eastAsia="宋体" w:cs="Times New Roman"/>
          <w:color w:val="auto"/>
          <w:highlight w:val="none"/>
        </w:rPr>
      </w:pPr>
      <w:r>
        <w:rPr>
          <w:rFonts w:hint="eastAsia" w:ascii="Times New Roman" w:hAnsi="Times New Roman" w:eastAsia="宋体" w:cs="Times New Roman"/>
          <w:color w:val="auto"/>
          <w:highlight w:val="none"/>
        </w:rPr>
        <w:t>1月气温最低，平均气温-22.7℃，极端最低气温-44.9℃。7月气温最高，平均气温21.9℃，极端最高气温36.7℃。年平均气温最低为0.4℃，最高为3.4℃。庆安县年平均日照为2599小时，日平均日照时间为7.7小时左右，全年太阳总辐射量为110千卡/平方厘米。作物生长期的辐射量为71千卡/平方厘米，占总辐射量的64％；无霜期128天左右；靠近山区的部分乡镇，无霜期低于全县无霜期平均值，常受早霜、终霜之害。</w:t>
      </w:r>
    </w:p>
    <w:p w14:paraId="3CDAAC17">
      <w:pPr>
        <w:ind w:firstLine="470"/>
        <w:rPr>
          <w:rFonts w:hint="eastAsia" w:ascii="Times New Roman" w:hAnsi="Times New Roman" w:eastAsia="宋体" w:cs="Times New Roman"/>
          <w:color w:val="auto"/>
          <w:highlight w:val="none"/>
        </w:rPr>
      </w:pPr>
      <w:r>
        <w:rPr>
          <w:rFonts w:hint="eastAsia" w:ascii="Times New Roman" w:hAnsi="Times New Roman" w:eastAsia="宋体" w:cs="Times New Roman"/>
          <w:color w:val="auto"/>
          <w:highlight w:val="none"/>
        </w:rPr>
        <w:t>年平均降雨量577.4毫米，按季平均降水比例：春季（2～4月）降水量为32.6毫米，占全年降水量的5.6％；夏季（5～7月）降水量为284.7毫米，占全年降水量的49.2％；秋季（8～10月）降水量为243.9毫米，占全年降水量的42.2％；冬季（11～1月）降水量为17.3毫米，占全年降水量的3％。1月份最少，29年平均为2.6毫米；8月份最多，平均为157.3毫米。</w:t>
      </w:r>
    </w:p>
    <w:p w14:paraId="61C117B3">
      <w:pPr>
        <w:pStyle w:val="4"/>
        <w:rPr>
          <w:color w:val="auto"/>
          <w:highlight w:val="none"/>
        </w:rPr>
      </w:pPr>
      <w:bookmarkStart w:id="24" w:name="_Toc2960"/>
      <w:r>
        <w:rPr>
          <w:rFonts w:hint="eastAsia"/>
          <w:color w:val="auto"/>
          <w:highlight w:val="none"/>
        </w:rPr>
        <w:t>2.1.3水文条件</w:t>
      </w:r>
      <w:bookmarkEnd w:id="24"/>
    </w:p>
    <w:p w14:paraId="1C98169A">
      <w:pPr>
        <w:ind w:firstLine="470"/>
        <w:rPr>
          <w:rFonts w:hint="default"/>
          <w:color w:val="auto"/>
          <w:highlight w:val="none"/>
        </w:rPr>
      </w:pPr>
      <w:r>
        <w:rPr>
          <w:rFonts w:hint="eastAsia"/>
          <w:color w:val="auto"/>
          <w:highlight w:val="none"/>
        </w:rPr>
        <w:t>庆安县的地表水主要来源于河水和降雨集水。庆安县境内主要河流有9条，即呼兰河、</w:t>
      </w:r>
      <w:r>
        <w:rPr>
          <w:rFonts w:hint="default"/>
          <w:color w:val="auto"/>
          <w:highlight w:val="none"/>
        </w:rPr>
        <w:fldChar w:fldCharType="begin"/>
      </w:r>
      <w:r>
        <w:rPr>
          <w:rFonts w:hint="default"/>
          <w:color w:val="auto"/>
          <w:highlight w:val="none"/>
        </w:rPr>
        <w:instrText xml:space="preserve"> HYPERLINK "https://baike.so.com/doc/1420396-1501415.html" \t "https://baike.so.com/doc/_blank" </w:instrText>
      </w:r>
      <w:r>
        <w:rPr>
          <w:rFonts w:hint="default"/>
          <w:color w:val="auto"/>
          <w:highlight w:val="none"/>
        </w:rPr>
        <w:fldChar w:fldCharType="separate"/>
      </w:r>
      <w:r>
        <w:rPr>
          <w:rFonts w:hint="default"/>
          <w:color w:val="auto"/>
          <w:highlight w:val="none"/>
        </w:rPr>
        <w:t>欧根河</w:t>
      </w:r>
      <w:r>
        <w:rPr>
          <w:rFonts w:hint="default"/>
          <w:color w:val="auto"/>
          <w:highlight w:val="none"/>
        </w:rPr>
        <w:fldChar w:fldCharType="end"/>
      </w:r>
      <w:r>
        <w:rPr>
          <w:rFonts w:hint="default"/>
          <w:color w:val="auto"/>
          <w:highlight w:val="none"/>
        </w:rPr>
        <w:t>、</w:t>
      </w:r>
      <w:r>
        <w:rPr>
          <w:rFonts w:hint="default"/>
          <w:color w:val="auto"/>
          <w:highlight w:val="none"/>
        </w:rPr>
        <w:fldChar w:fldCharType="begin"/>
      </w:r>
      <w:r>
        <w:rPr>
          <w:rFonts w:hint="default"/>
          <w:color w:val="auto"/>
          <w:highlight w:val="none"/>
        </w:rPr>
        <w:instrText xml:space="preserve"> HYPERLINK "https://baike.so.com/doc/1423856-1505091.html" \t "https://baike.so.com/doc/_blank" </w:instrText>
      </w:r>
      <w:r>
        <w:rPr>
          <w:rFonts w:hint="default"/>
          <w:color w:val="auto"/>
          <w:highlight w:val="none"/>
        </w:rPr>
        <w:fldChar w:fldCharType="separate"/>
      </w:r>
      <w:r>
        <w:rPr>
          <w:rFonts w:hint="default"/>
          <w:color w:val="auto"/>
          <w:highlight w:val="none"/>
        </w:rPr>
        <w:t>格木克河</w:t>
      </w:r>
      <w:r>
        <w:rPr>
          <w:rFonts w:hint="default"/>
          <w:color w:val="auto"/>
          <w:highlight w:val="none"/>
        </w:rPr>
        <w:fldChar w:fldCharType="end"/>
      </w:r>
      <w:r>
        <w:rPr>
          <w:rFonts w:hint="default"/>
          <w:color w:val="auto"/>
          <w:highlight w:val="none"/>
        </w:rPr>
        <w:t>、伊吉密河、</w:t>
      </w:r>
      <w:r>
        <w:rPr>
          <w:rFonts w:hint="eastAsia"/>
          <w:color w:val="auto"/>
          <w:highlight w:val="none"/>
        </w:rPr>
        <w:t>安邦河</w:t>
      </w:r>
      <w:r>
        <w:rPr>
          <w:rFonts w:hint="default"/>
          <w:color w:val="auto"/>
          <w:highlight w:val="none"/>
        </w:rPr>
        <w:t>、</w:t>
      </w:r>
      <w:r>
        <w:rPr>
          <w:rFonts w:hint="eastAsia"/>
          <w:color w:val="auto"/>
          <w:highlight w:val="none"/>
        </w:rPr>
        <w:t>拉林清河</w:t>
      </w:r>
      <w:r>
        <w:rPr>
          <w:rFonts w:hint="default"/>
          <w:color w:val="auto"/>
          <w:highlight w:val="none"/>
        </w:rPr>
        <w:t>、</w:t>
      </w:r>
      <w:r>
        <w:rPr>
          <w:rFonts w:hint="eastAsia"/>
          <w:color w:val="auto"/>
          <w:highlight w:val="none"/>
          <w:lang w:eastAsia="zh-CN"/>
        </w:rPr>
        <w:t>泥</w:t>
      </w:r>
      <w:r>
        <w:rPr>
          <w:rFonts w:hint="default"/>
          <w:color w:val="auto"/>
          <w:highlight w:val="none"/>
        </w:rPr>
        <w:t>河、双银河、泥尔</w:t>
      </w:r>
      <w:r>
        <w:rPr>
          <w:rFonts w:hint="eastAsia"/>
          <w:color w:val="auto"/>
          <w:highlight w:val="none"/>
          <w:lang w:eastAsia="zh-CN"/>
        </w:rPr>
        <w:t>根</w:t>
      </w:r>
      <w:r>
        <w:rPr>
          <w:rFonts w:hint="default"/>
          <w:color w:val="auto"/>
          <w:highlight w:val="none"/>
        </w:rPr>
        <w:t>河。</w:t>
      </w:r>
    </w:p>
    <w:p w14:paraId="0D8D2718">
      <w:pPr>
        <w:ind w:firstLine="470"/>
        <w:rPr>
          <w:rFonts w:hint="default"/>
          <w:color w:val="auto"/>
          <w:highlight w:val="none"/>
        </w:rPr>
      </w:pPr>
      <w:r>
        <w:rPr>
          <w:rFonts w:hint="eastAsia"/>
          <w:color w:val="auto"/>
          <w:highlight w:val="none"/>
        </w:rPr>
        <w:t>呼兰</w:t>
      </w:r>
      <w:r>
        <w:rPr>
          <w:rFonts w:hint="eastAsia"/>
          <w:color w:val="auto"/>
          <w:highlight w:val="none"/>
          <w:lang w:eastAsia="zh-CN"/>
        </w:rPr>
        <w:t>河：</w:t>
      </w:r>
      <w:r>
        <w:rPr>
          <w:rFonts w:hint="eastAsia"/>
          <w:color w:val="auto"/>
          <w:highlight w:val="none"/>
        </w:rPr>
        <w:t>黑龙江支流松花江的支流，位于黑龙江省中部。源出小兴安岭，上游克音河、努敏河等支流汇合后称呼兰河。西南流向，与来自北面的通肯河交汇后，改向南流，进入平原区，河道变宽，曲流发育，至哈尔滨市呼兰区入松花江。全长523</w:t>
      </w:r>
      <w:r>
        <w:rPr>
          <w:rFonts w:hint="eastAsia"/>
          <w:color w:val="auto"/>
          <w:highlight w:val="none"/>
          <w:lang w:val="en-US" w:eastAsia="zh-CN"/>
        </w:rPr>
        <w:t>千米</w:t>
      </w:r>
      <w:r>
        <w:rPr>
          <w:rFonts w:hint="eastAsia"/>
          <w:color w:val="auto"/>
          <w:highlight w:val="none"/>
        </w:rPr>
        <w:t>，流域面积3.1万</w:t>
      </w:r>
      <w:r>
        <w:rPr>
          <w:rFonts w:hint="eastAsia"/>
          <w:color w:val="auto"/>
          <w:highlight w:val="none"/>
          <w:lang w:val="en-US" w:eastAsia="zh-CN"/>
        </w:rPr>
        <w:t>平方千米</w:t>
      </w:r>
      <w:r>
        <w:rPr>
          <w:rFonts w:hint="eastAsia"/>
          <w:color w:val="auto"/>
          <w:highlight w:val="none"/>
        </w:rPr>
        <w:t>。干、支流两侧一些低洼地段遍布沼泽，面积较广。流域内大部分地区无霜期较长，积温较高，土层深厚，黑土广泛分布，是黑龙江省内开发较早、最富饶的农业地带</w:t>
      </w:r>
      <w:r>
        <w:rPr>
          <w:rFonts w:hint="eastAsia"/>
          <w:color w:val="auto"/>
          <w:highlight w:val="none"/>
          <w:lang w:eastAsia="zh-CN"/>
        </w:rPr>
        <w:t>，是</w:t>
      </w:r>
      <w:r>
        <w:rPr>
          <w:rFonts w:hint="eastAsia"/>
          <w:color w:val="auto"/>
          <w:highlight w:val="none"/>
        </w:rPr>
        <w:t>重点商品粮基地之一。20世纪50年代以来对流域进行综合治理后，已成为高产稳产商品粮和亚麻、甜菜生产基地。上游山区是重要林区。</w:t>
      </w:r>
    </w:p>
    <w:p w14:paraId="4D570A0C">
      <w:pPr>
        <w:ind w:firstLine="470"/>
        <w:rPr>
          <w:rFonts w:hint="eastAsia"/>
          <w:color w:val="auto"/>
          <w:highlight w:val="none"/>
        </w:rPr>
      </w:pPr>
      <w:r>
        <w:rPr>
          <w:rFonts w:hint="default"/>
          <w:color w:val="auto"/>
          <w:highlight w:val="none"/>
        </w:rPr>
        <w:fldChar w:fldCharType="begin"/>
      </w:r>
      <w:r>
        <w:rPr>
          <w:rFonts w:hint="default"/>
          <w:color w:val="auto"/>
          <w:highlight w:val="none"/>
        </w:rPr>
        <w:instrText xml:space="preserve"> HYPERLINK "https://baike.so.com/doc/1420396-1501415.html" \t "https://baike.so.com/doc/_blank" </w:instrText>
      </w:r>
      <w:r>
        <w:rPr>
          <w:rFonts w:hint="default"/>
          <w:color w:val="auto"/>
          <w:highlight w:val="none"/>
        </w:rPr>
        <w:fldChar w:fldCharType="separate"/>
      </w:r>
      <w:r>
        <w:rPr>
          <w:rFonts w:hint="default"/>
          <w:color w:val="auto"/>
          <w:highlight w:val="none"/>
        </w:rPr>
        <w:t>欧根河</w:t>
      </w:r>
      <w:r>
        <w:rPr>
          <w:rFonts w:hint="default"/>
          <w:color w:val="auto"/>
          <w:highlight w:val="none"/>
        </w:rPr>
        <w:fldChar w:fldCharType="end"/>
      </w:r>
      <w:r>
        <w:rPr>
          <w:rFonts w:hint="eastAsia"/>
          <w:color w:val="auto"/>
          <w:highlight w:val="none"/>
          <w:lang w:eastAsia="zh-CN"/>
        </w:rPr>
        <w:t>：</w:t>
      </w:r>
      <w:r>
        <w:rPr>
          <w:rFonts w:hint="default"/>
          <w:color w:val="auto"/>
          <w:highlight w:val="none"/>
        </w:rPr>
        <w:fldChar w:fldCharType="begin"/>
      </w:r>
      <w:r>
        <w:rPr>
          <w:rFonts w:hint="default"/>
          <w:color w:val="auto"/>
          <w:highlight w:val="none"/>
        </w:rPr>
        <w:instrText xml:space="preserve"> HYPERLINK "https://baike.so.com/doc/4622371.html" \t "https://baike.so.com/doc/_blank" </w:instrText>
      </w:r>
      <w:r>
        <w:rPr>
          <w:rFonts w:hint="default"/>
          <w:color w:val="auto"/>
          <w:highlight w:val="none"/>
        </w:rPr>
        <w:fldChar w:fldCharType="separate"/>
      </w:r>
      <w:r>
        <w:rPr>
          <w:rFonts w:hint="default"/>
          <w:color w:val="auto"/>
          <w:highlight w:val="none"/>
        </w:rPr>
        <w:t>松花江</w:t>
      </w:r>
      <w:r>
        <w:rPr>
          <w:rFonts w:hint="default"/>
          <w:color w:val="auto"/>
          <w:highlight w:val="none"/>
        </w:rPr>
        <w:fldChar w:fldCharType="end"/>
      </w:r>
      <w:r>
        <w:rPr>
          <w:rFonts w:hint="default"/>
          <w:color w:val="auto"/>
          <w:highlight w:val="none"/>
        </w:rPr>
        <w:t>二级支流。位于</w:t>
      </w:r>
      <w:r>
        <w:rPr>
          <w:rFonts w:hint="default"/>
          <w:color w:val="auto"/>
          <w:highlight w:val="none"/>
        </w:rPr>
        <w:fldChar w:fldCharType="begin"/>
      </w:r>
      <w:r>
        <w:rPr>
          <w:rFonts w:hint="default"/>
          <w:color w:val="auto"/>
          <w:highlight w:val="none"/>
        </w:rPr>
        <w:instrText xml:space="preserve"> HYPERLINK "https://baike.so.com/doc/5574741.html" \t "https://baike.so.com/doc/_blank" </w:instrText>
      </w:r>
      <w:r>
        <w:rPr>
          <w:rFonts w:hint="default"/>
          <w:color w:val="auto"/>
          <w:highlight w:val="none"/>
        </w:rPr>
        <w:fldChar w:fldCharType="separate"/>
      </w:r>
      <w:r>
        <w:rPr>
          <w:rFonts w:hint="default"/>
          <w:color w:val="auto"/>
          <w:highlight w:val="none"/>
        </w:rPr>
        <w:t>黑龙江省</w:t>
      </w:r>
      <w:r>
        <w:rPr>
          <w:rFonts w:hint="default"/>
          <w:color w:val="auto"/>
          <w:highlight w:val="none"/>
        </w:rPr>
        <w:fldChar w:fldCharType="end"/>
      </w:r>
      <w:r>
        <w:rPr>
          <w:rFonts w:hint="default"/>
          <w:color w:val="auto"/>
          <w:highlight w:val="none"/>
        </w:rPr>
        <w:t>中部。发源于</w:t>
      </w:r>
      <w:r>
        <w:rPr>
          <w:rFonts w:hint="default"/>
          <w:color w:val="auto"/>
          <w:highlight w:val="none"/>
        </w:rPr>
        <w:fldChar w:fldCharType="begin"/>
      </w:r>
      <w:r>
        <w:rPr>
          <w:rFonts w:hint="default"/>
          <w:color w:val="auto"/>
          <w:highlight w:val="none"/>
        </w:rPr>
        <w:instrText xml:space="preserve"> HYPERLINK "https://baike.so.com/doc/3062759.html" \t "https://baike.so.com/doc/_blank" </w:instrText>
      </w:r>
      <w:r>
        <w:rPr>
          <w:rFonts w:hint="default"/>
          <w:color w:val="auto"/>
          <w:highlight w:val="none"/>
        </w:rPr>
        <w:fldChar w:fldCharType="separate"/>
      </w:r>
      <w:r>
        <w:rPr>
          <w:rFonts w:hint="default"/>
          <w:color w:val="auto"/>
          <w:highlight w:val="none"/>
        </w:rPr>
        <w:t>小兴安岭</w:t>
      </w:r>
      <w:r>
        <w:rPr>
          <w:rFonts w:hint="default"/>
          <w:color w:val="auto"/>
          <w:highlight w:val="none"/>
        </w:rPr>
        <w:fldChar w:fldCharType="end"/>
      </w:r>
      <w:r>
        <w:rPr>
          <w:rFonts w:hint="default"/>
          <w:color w:val="auto"/>
          <w:highlight w:val="none"/>
        </w:rPr>
        <w:t>南侧，流经</w:t>
      </w:r>
      <w:r>
        <w:rPr>
          <w:rFonts w:hint="default"/>
          <w:color w:val="auto"/>
          <w:highlight w:val="none"/>
        </w:rPr>
        <w:fldChar w:fldCharType="begin"/>
      </w:r>
      <w:r>
        <w:rPr>
          <w:rFonts w:hint="default"/>
          <w:color w:val="auto"/>
          <w:highlight w:val="none"/>
        </w:rPr>
        <w:instrText xml:space="preserve"> HYPERLINK "https://baike.so.com/doc/6123138.html" \t "https://baike.so.com/doc/_blank" </w:instrText>
      </w:r>
      <w:r>
        <w:rPr>
          <w:rFonts w:hint="default"/>
          <w:color w:val="auto"/>
          <w:highlight w:val="none"/>
        </w:rPr>
        <w:fldChar w:fldCharType="separate"/>
      </w:r>
      <w:r>
        <w:rPr>
          <w:rFonts w:hint="default"/>
          <w:color w:val="auto"/>
          <w:highlight w:val="none"/>
        </w:rPr>
        <w:t>庆安县</w:t>
      </w:r>
      <w:r>
        <w:rPr>
          <w:rFonts w:hint="default"/>
          <w:color w:val="auto"/>
          <w:highlight w:val="none"/>
        </w:rPr>
        <w:fldChar w:fldCharType="end"/>
      </w:r>
      <w:r>
        <w:rPr>
          <w:rFonts w:hint="default"/>
          <w:color w:val="auto"/>
          <w:highlight w:val="none"/>
        </w:rPr>
        <w:t>北部，在</w:t>
      </w:r>
      <w:r>
        <w:rPr>
          <w:rFonts w:hint="default"/>
          <w:color w:val="auto"/>
          <w:highlight w:val="none"/>
        </w:rPr>
        <w:fldChar w:fldCharType="begin"/>
      </w:r>
      <w:r>
        <w:rPr>
          <w:rFonts w:hint="default"/>
          <w:color w:val="auto"/>
          <w:highlight w:val="none"/>
        </w:rPr>
        <w:instrText xml:space="preserve"> HYPERLINK "https://baike.so.com/doc/1609221.html" \t "https://baike.so.com/doc/_blank" </w:instrText>
      </w:r>
      <w:r>
        <w:rPr>
          <w:rFonts w:hint="default"/>
          <w:color w:val="auto"/>
          <w:highlight w:val="none"/>
        </w:rPr>
        <w:fldChar w:fldCharType="separate"/>
      </w:r>
      <w:r>
        <w:rPr>
          <w:rFonts w:hint="default"/>
          <w:color w:val="auto"/>
          <w:highlight w:val="none"/>
        </w:rPr>
        <w:t>致富乡</w:t>
      </w:r>
      <w:r>
        <w:rPr>
          <w:rFonts w:hint="default"/>
          <w:color w:val="auto"/>
          <w:highlight w:val="none"/>
        </w:rPr>
        <w:fldChar w:fldCharType="end"/>
      </w:r>
      <w:r>
        <w:rPr>
          <w:rFonts w:hint="default"/>
          <w:color w:val="auto"/>
          <w:highlight w:val="none"/>
        </w:rPr>
        <w:t>南部注入</w:t>
      </w:r>
      <w:r>
        <w:rPr>
          <w:rFonts w:hint="default"/>
          <w:color w:val="auto"/>
          <w:highlight w:val="none"/>
        </w:rPr>
        <w:fldChar w:fldCharType="begin"/>
      </w:r>
      <w:r>
        <w:rPr>
          <w:rFonts w:hint="default"/>
          <w:color w:val="auto"/>
          <w:highlight w:val="none"/>
        </w:rPr>
        <w:instrText xml:space="preserve"> HYPERLINK "https://baike.so.com/doc/6563438.html" \t "https://baike.so.com/doc/_blank" </w:instrText>
      </w:r>
      <w:r>
        <w:rPr>
          <w:rFonts w:hint="default"/>
          <w:color w:val="auto"/>
          <w:highlight w:val="none"/>
        </w:rPr>
        <w:fldChar w:fldCharType="separate"/>
      </w:r>
      <w:r>
        <w:rPr>
          <w:rFonts w:hint="default"/>
          <w:color w:val="auto"/>
          <w:highlight w:val="none"/>
        </w:rPr>
        <w:t>呼兰河</w:t>
      </w:r>
      <w:r>
        <w:rPr>
          <w:rFonts w:hint="default"/>
          <w:color w:val="auto"/>
          <w:highlight w:val="none"/>
        </w:rPr>
        <w:fldChar w:fldCharType="end"/>
      </w:r>
      <w:r>
        <w:rPr>
          <w:rFonts w:hint="default"/>
          <w:color w:val="auto"/>
          <w:highlight w:val="none"/>
        </w:rPr>
        <w:t>。全长174</w:t>
      </w:r>
      <w:r>
        <w:rPr>
          <w:rFonts w:hint="eastAsia"/>
          <w:color w:val="auto"/>
          <w:highlight w:val="none"/>
          <w:lang w:val="en-US" w:eastAsia="zh-CN"/>
        </w:rPr>
        <w:t>千米</w:t>
      </w:r>
      <w:r>
        <w:rPr>
          <w:rFonts w:hint="default"/>
          <w:color w:val="auto"/>
          <w:highlight w:val="none"/>
        </w:rPr>
        <w:t>，河宽12</w:t>
      </w:r>
      <w:r>
        <w:rPr>
          <w:rFonts w:hint="eastAsia"/>
          <w:color w:val="auto"/>
          <w:highlight w:val="none"/>
          <w:lang w:val="en-US" w:eastAsia="zh-CN"/>
        </w:rPr>
        <w:t>-</w:t>
      </w:r>
      <w:r>
        <w:rPr>
          <w:rFonts w:hint="default"/>
          <w:color w:val="auto"/>
          <w:highlight w:val="none"/>
        </w:rPr>
        <w:t>80</w:t>
      </w:r>
      <w:r>
        <w:rPr>
          <w:rFonts w:hint="eastAsia"/>
          <w:color w:val="auto"/>
          <w:highlight w:val="none"/>
          <w:lang w:val="en-US" w:eastAsia="zh-CN"/>
        </w:rPr>
        <w:t>米</w:t>
      </w:r>
      <w:r>
        <w:rPr>
          <w:rFonts w:hint="default"/>
          <w:color w:val="auto"/>
          <w:highlight w:val="none"/>
        </w:rPr>
        <w:t>，水深</w:t>
      </w:r>
      <w:r>
        <w:rPr>
          <w:rFonts w:hint="eastAsia"/>
          <w:color w:val="auto"/>
          <w:highlight w:val="none"/>
          <w:lang w:val="en-US" w:eastAsia="zh-CN"/>
        </w:rPr>
        <w:t>0.</w:t>
      </w:r>
      <w:r>
        <w:rPr>
          <w:rFonts w:hint="default"/>
          <w:color w:val="auto"/>
          <w:highlight w:val="none"/>
        </w:rPr>
        <w:t>5</w:t>
      </w:r>
      <w:r>
        <w:rPr>
          <w:rFonts w:hint="eastAsia"/>
          <w:color w:val="auto"/>
          <w:highlight w:val="none"/>
          <w:lang w:val="en-US" w:eastAsia="zh-CN"/>
        </w:rPr>
        <w:t>-4.</w:t>
      </w:r>
      <w:r>
        <w:rPr>
          <w:rFonts w:hint="default"/>
          <w:color w:val="auto"/>
          <w:highlight w:val="none"/>
        </w:rPr>
        <w:t>0</w:t>
      </w:r>
      <w:r>
        <w:rPr>
          <w:rFonts w:hint="eastAsia"/>
          <w:color w:val="auto"/>
          <w:highlight w:val="none"/>
          <w:lang w:val="en-US" w:eastAsia="zh-CN"/>
        </w:rPr>
        <w:t>米</w:t>
      </w:r>
      <w:r>
        <w:rPr>
          <w:rFonts w:hint="default"/>
          <w:color w:val="auto"/>
          <w:highlight w:val="none"/>
        </w:rPr>
        <w:t>，</w:t>
      </w:r>
      <w:r>
        <w:rPr>
          <w:rFonts w:hint="default"/>
          <w:color w:val="auto"/>
          <w:highlight w:val="none"/>
        </w:rPr>
        <w:fldChar w:fldCharType="begin"/>
      </w:r>
      <w:r>
        <w:rPr>
          <w:rFonts w:hint="default"/>
          <w:color w:val="auto"/>
          <w:highlight w:val="none"/>
        </w:rPr>
        <w:instrText xml:space="preserve"> HYPERLINK "https://baike.so.com/doc/2260171.html" \t "https://baike.so.com/doc/_blank" </w:instrText>
      </w:r>
      <w:r>
        <w:rPr>
          <w:rFonts w:hint="default"/>
          <w:color w:val="auto"/>
          <w:highlight w:val="none"/>
        </w:rPr>
        <w:fldChar w:fldCharType="separate"/>
      </w:r>
      <w:r>
        <w:rPr>
          <w:rFonts w:hint="default"/>
          <w:color w:val="auto"/>
          <w:highlight w:val="none"/>
        </w:rPr>
        <w:t>流域面积</w:t>
      </w:r>
      <w:r>
        <w:rPr>
          <w:rFonts w:hint="default"/>
          <w:color w:val="auto"/>
          <w:highlight w:val="none"/>
        </w:rPr>
        <w:fldChar w:fldCharType="end"/>
      </w:r>
      <w:r>
        <w:rPr>
          <w:rFonts w:hint="default"/>
          <w:color w:val="auto"/>
          <w:highlight w:val="none"/>
        </w:rPr>
        <w:t>2002</w:t>
      </w:r>
      <w:r>
        <w:rPr>
          <w:rFonts w:hint="eastAsia"/>
          <w:color w:val="auto"/>
          <w:highlight w:val="none"/>
          <w:lang w:val="en-US" w:eastAsia="zh-CN"/>
        </w:rPr>
        <w:t>平方千米</w:t>
      </w:r>
      <w:r>
        <w:rPr>
          <w:rFonts w:hint="default"/>
          <w:color w:val="auto"/>
          <w:highlight w:val="none"/>
        </w:rPr>
        <w:t>。每年11月中旬至次年4月上旬为结冰期。上中游为林区，产红松、</w:t>
      </w:r>
      <w:r>
        <w:rPr>
          <w:rFonts w:hint="default"/>
          <w:color w:val="auto"/>
          <w:highlight w:val="none"/>
        </w:rPr>
        <w:fldChar w:fldCharType="begin"/>
      </w:r>
      <w:r>
        <w:rPr>
          <w:rFonts w:hint="default"/>
          <w:color w:val="auto"/>
          <w:highlight w:val="none"/>
        </w:rPr>
        <w:instrText xml:space="preserve"> HYPERLINK "https://baike.so.com/doc/5256470.html" \t "https://baike.so.com/doc/_blank" </w:instrText>
      </w:r>
      <w:r>
        <w:rPr>
          <w:rFonts w:hint="default"/>
          <w:color w:val="auto"/>
          <w:highlight w:val="none"/>
        </w:rPr>
        <w:fldChar w:fldCharType="separate"/>
      </w:r>
      <w:r>
        <w:rPr>
          <w:rFonts w:hint="default"/>
          <w:color w:val="auto"/>
          <w:highlight w:val="none"/>
        </w:rPr>
        <w:t>白桦</w:t>
      </w:r>
      <w:r>
        <w:rPr>
          <w:rFonts w:hint="default"/>
          <w:color w:val="auto"/>
          <w:highlight w:val="none"/>
        </w:rPr>
        <w:fldChar w:fldCharType="end"/>
      </w:r>
      <w:r>
        <w:rPr>
          <w:rFonts w:hint="default"/>
          <w:color w:val="auto"/>
          <w:highlight w:val="none"/>
        </w:rPr>
        <w:t>等木材；下游为农业区，产小麦、水稻等。</w:t>
      </w:r>
    </w:p>
    <w:p w14:paraId="4E0CCFAA">
      <w:pPr>
        <w:ind w:firstLine="470"/>
        <w:rPr>
          <w:rFonts w:hint="eastAsia"/>
          <w:color w:val="auto"/>
          <w:highlight w:val="none"/>
        </w:rPr>
      </w:pPr>
      <w:r>
        <w:rPr>
          <w:rFonts w:hint="default"/>
          <w:color w:val="auto"/>
          <w:highlight w:val="none"/>
        </w:rPr>
        <w:fldChar w:fldCharType="begin"/>
      </w:r>
      <w:r>
        <w:rPr>
          <w:rFonts w:hint="default"/>
          <w:color w:val="auto"/>
          <w:highlight w:val="none"/>
        </w:rPr>
        <w:instrText xml:space="preserve"> HYPERLINK "https://baike.so.com/doc/1423856-1505091.html" \t "https://baike.so.com/doc/_blank" </w:instrText>
      </w:r>
      <w:r>
        <w:rPr>
          <w:rFonts w:hint="default"/>
          <w:color w:val="auto"/>
          <w:highlight w:val="none"/>
        </w:rPr>
        <w:fldChar w:fldCharType="separate"/>
      </w:r>
      <w:r>
        <w:rPr>
          <w:rFonts w:hint="default"/>
          <w:color w:val="auto"/>
          <w:highlight w:val="none"/>
        </w:rPr>
        <w:t>格木克河</w:t>
      </w:r>
      <w:r>
        <w:rPr>
          <w:rFonts w:hint="default"/>
          <w:color w:val="auto"/>
          <w:highlight w:val="none"/>
        </w:rPr>
        <w:fldChar w:fldCharType="end"/>
      </w:r>
      <w:r>
        <w:rPr>
          <w:rFonts w:hint="eastAsia"/>
          <w:color w:val="auto"/>
          <w:highlight w:val="none"/>
          <w:lang w:eastAsia="zh-CN"/>
        </w:rPr>
        <w:t>：</w:t>
      </w:r>
      <w:r>
        <w:rPr>
          <w:rFonts w:hint="default"/>
          <w:color w:val="auto"/>
          <w:highlight w:val="none"/>
        </w:rPr>
        <w:t>发源于庆安、木兰2县交界的大顶子山，从源头南流而下，于新民乡北端的耿家屯接纳双银河后，折向西，在欢胜乡永利村腰窝堡屯西北注入呼兰河。全长92</w:t>
      </w:r>
      <w:r>
        <w:rPr>
          <w:rFonts w:hint="eastAsia"/>
          <w:color w:val="auto"/>
          <w:highlight w:val="none"/>
          <w:lang w:val="en-US" w:eastAsia="zh-CN"/>
        </w:rPr>
        <w:t>千米</w:t>
      </w:r>
      <w:r>
        <w:rPr>
          <w:rFonts w:hint="default"/>
          <w:color w:val="auto"/>
          <w:highlight w:val="none"/>
        </w:rPr>
        <w:t>，河宽12</w:t>
      </w:r>
      <w:r>
        <w:rPr>
          <w:rFonts w:hint="eastAsia"/>
          <w:color w:val="auto"/>
          <w:highlight w:val="none"/>
          <w:lang w:val="en-US" w:eastAsia="zh-CN"/>
        </w:rPr>
        <w:t>米</w:t>
      </w:r>
      <w:r>
        <w:rPr>
          <w:rFonts w:hint="default"/>
          <w:color w:val="auto"/>
          <w:highlight w:val="none"/>
        </w:rPr>
        <w:t>，水深1.3</w:t>
      </w:r>
      <w:r>
        <w:rPr>
          <w:rFonts w:hint="eastAsia"/>
          <w:color w:val="auto"/>
          <w:highlight w:val="none"/>
          <w:lang w:val="en-US" w:eastAsia="zh-CN"/>
        </w:rPr>
        <w:t>米</w:t>
      </w:r>
      <w:r>
        <w:rPr>
          <w:rFonts w:hint="default"/>
          <w:color w:val="auto"/>
          <w:highlight w:val="none"/>
        </w:rPr>
        <w:t>，流域</w:t>
      </w:r>
      <w:r>
        <w:rPr>
          <w:rFonts w:hint="eastAsia"/>
          <w:color w:val="auto"/>
          <w:highlight w:val="none"/>
          <w:lang w:eastAsia="zh-CN"/>
        </w:rPr>
        <w:t>面积</w:t>
      </w:r>
      <w:r>
        <w:rPr>
          <w:rFonts w:hint="default"/>
          <w:color w:val="auto"/>
          <w:highlight w:val="none"/>
        </w:rPr>
        <w:t>803</w:t>
      </w:r>
      <w:r>
        <w:rPr>
          <w:rFonts w:hint="eastAsia"/>
          <w:color w:val="auto"/>
          <w:highlight w:val="none"/>
          <w:lang w:val="en-US" w:eastAsia="zh-CN"/>
        </w:rPr>
        <w:t>平方千米</w:t>
      </w:r>
      <w:r>
        <w:rPr>
          <w:rFonts w:hint="default"/>
          <w:color w:val="auto"/>
          <w:highlight w:val="none"/>
        </w:rPr>
        <w:t>。山溪性河流。每年11月中旬至次年4月上旬为结冰期。流域多为农业区，上游建有小型于小铺水库。</w:t>
      </w:r>
    </w:p>
    <w:p w14:paraId="0F9FA321">
      <w:pPr>
        <w:ind w:firstLine="470"/>
        <w:rPr>
          <w:rFonts w:hint="eastAsia"/>
          <w:color w:val="auto"/>
          <w:highlight w:val="none"/>
          <w:lang w:eastAsia="zh-CN"/>
        </w:rPr>
      </w:pPr>
      <w:r>
        <w:rPr>
          <w:rFonts w:hint="eastAsia"/>
          <w:color w:val="auto"/>
          <w:highlight w:val="none"/>
        </w:rPr>
        <w:t>依吉密河：发源于太平岭北，自东向西，流经丰收乡南部地区，即沿县境内的大疙瘩山南麓西下，再西南流百里许，挟西北河、小依吉密河、小黑河等水之后，于发展乡柴德福屯西南注入呼兰河。境内流程103</w:t>
      </w:r>
      <w:r>
        <w:rPr>
          <w:rFonts w:hint="eastAsia"/>
          <w:color w:val="auto"/>
          <w:highlight w:val="none"/>
          <w:lang w:val="en-US" w:eastAsia="zh-CN"/>
        </w:rPr>
        <w:t>千米</w:t>
      </w:r>
      <w:r>
        <w:rPr>
          <w:rFonts w:hint="eastAsia"/>
          <w:color w:val="auto"/>
          <w:highlight w:val="none"/>
        </w:rPr>
        <w:t>，集水面积945</w:t>
      </w:r>
      <w:r>
        <w:rPr>
          <w:rFonts w:hint="eastAsia"/>
          <w:color w:val="auto"/>
          <w:highlight w:val="none"/>
          <w:lang w:val="en-US" w:eastAsia="zh-CN"/>
        </w:rPr>
        <w:t>平方千米</w:t>
      </w:r>
      <w:r>
        <w:rPr>
          <w:rFonts w:hint="eastAsia"/>
          <w:color w:val="auto"/>
          <w:highlight w:val="none"/>
        </w:rPr>
        <w:t>，多年平均地表径流量为5.99亿</w:t>
      </w:r>
      <w:r>
        <w:rPr>
          <w:rFonts w:hint="eastAsia"/>
          <w:color w:val="auto"/>
          <w:highlight w:val="none"/>
          <w:lang w:val="en-US" w:eastAsia="zh-CN"/>
        </w:rPr>
        <w:t>立方米</w:t>
      </w:r>
      <w:r>
        <w:rPr>
          <w:rFonts w:hint="eastAsia"/>
          <w:color w:val="auto"/>
          <w:highlight w:val="none"/>
        </w:rPr>
        <w:t>。依吉密河是庆安、铁力两地的界河。</w:t>
      </w:r>
    </w:p>
    <w:p w14:paraId="01CA0888">
      <w:pPr>
        <w:spacing w:line="360" w:lineRule="auto"/>
        <w:ind w:firstLine="472" w:firstLineChars="200"/>
        <w:rPr>
          <w:rFonts w:hint="eastAsia"/>
          <w:color w:val="auto"/>
          <w:highlight w:val="none"/>
        </w:rPr>
      </w:pPr>
      <w:r>
        <w:rPr>
          <w:rFonts w:hint="eastAsia"/>
          <w:color w:val="auto"/>
          <w:highlight w:val="none"/>
        </w:rPr>
        <w:t>安邦河：安邦河是庆安县、铁力市两地的界河，发源于小兴安岭支脉平顶山西坡，南流北下，经新胜、平安两个乡镇的东部地区，到平安镇民族村所辖老阎家屯北部注入呼兰河。境内流长102</w:t>
      </w:r>
      <w:r>
        <w:rPr>
          <w:rFonts w:hint="eastAsia"/>
          <w:color w:val="auto"/>
          <w:highlight w:val="none"/>
          <w:lang w:val="en-US" w:eastAsia="zh-CN"/>
        </w:rPr>
        <w:t>千米</w:t>
      </w:r>
      <w:r>
        <w:rPr>
          <w:rFonts w:hint="eastAsia"/>
          <w:color w:val="auto"/>
          <w:highlight w:val="none"/>
        </w:rPr>
        <w:t>，集水面积255</w:t>
      </w:r>
      <w:r>
        <w:rPr>
          <w:rFonts w:hint="eastAsia"/>
          <w:color w:val="auto"/>
          <w:highlight w:val="none"/>
          <w:lang w:val="en-US" w:eastAsia="zh-CN"/>
        </w:rPr>
        <w:t>平方千米</w:t>
      </w:r>
      <w:r>
        <w:rPr>
          <w:rFonts w:hint="eastAsia"/>
          <w:color w:val="auto"/>
          <w:highlight w:val="none"/>
        </w:rPr>
        <w:t>。平均河宽约12</w:t>
      </w:r>
      <w:r>
        <w:rPr>
          <w:rFonts w:hint="eastAsia"/>
          <w:color w:val="auto"/>
          <w:highlight w:val="none"/>
          <w:lang w:val="en-US" w:eastAsia="zh-CN"/>
        </w:rPr>
        <w:t>米</w:t>
      </w:r>
      <w:r>
        <w:rPr>
          <w:rFonts w:hint="eastAsia"/>
          <w:color w:val="auto"/>
          <w:highlight w:val="none"/>
        </w:rPr>
        <w:t>，平均水深0.5</w:t>
      </w:r>
      <w:r>
        <w:rPr>
          <w:rFonts w:hint="eastAsia"/>
          <w:color w:val="auto"/>
          <w:highlight w:val="none"/>
          <w:lang w:val="en-US" w:eastAsia="zh-CN"/>
        </w:rPr>
        <w:t>米</w:t>
      </w:r>
      <w:r>
        <w:rPr>
          <w:rFonts w:hint="eastAsia"/>
          <w:color w:val="auto"/>
          <w:highlight w:val="none"/>
        </w:rPr>
        <w:t>，平均流量30</w:t>
      </w:r>
      <w:r>
        <w:rPr>
          <w:rFonts w:hint="eastAsia"/>
          <w:color w:val="auto"/>
          <w:highlight w:val="none"/>
          <w:lang w:val="en-US" w:eastAsia="zh-CN"/>
        </w:rPr>
        <w:t>立方米</w:t>
      </w:r>
      <w:r>
        <w:rPr>
          <w:rFonts w:hint="eastAsia"/>
          <w:color w:val="auto"/>
          <w:highlight w:val="none"/>
        </w:rPr>
        <w:t>/</w:t>
      </w:r>
      <w:r>
        <w:rPr>
          <w:rFonts w:hint="eastAsia"/>
          <w:color w:val="auto"/>
          <w:highlight w:val="none"/>
          <w:lang w:val="en-US" w:eastAsia="zh-CN"/>
        </w:rPr>
        <w:t>秒</w:t>
      </w:r>
      <w:r>
        <w:rPr>
          <w:rFonts w:hint="eastAsia"/>
          <w:color w:val="auto"/>
          <w:highlight w:val="none"/>
        </w:rPr>
        <w:t>，最小流量0.9</w:t>
      </w:r>
      <w:r>
        <w:rPr>
          <w:rFonts w:hint="eastAsia"/>
          <w:color w:val="auto"/>
          <w:highlight w:val="none"/>
          <w:lang w:val="en-US" w:eastAsia="zh-CN"/>
        </w:rPr>
        <w:t>立方米</w:t>
      </w:r>
      <w:r>
        <w:rPr>
          <w:rFonts w:hint="eastAsia"/>
          <w:color w:val="auto"/>
          <w:highlight w:val="none"/>
        </w:rPr>
        <w:t>/</w:t>
      </w:r>
      <w:r>
        <w:rPr>
          <w:rFonts w:hint="eastAsia"/>
          <w:color w:val="auto"/>
          <w:highlight w:val="none"/>
          <w:lang w:val="en-US" w:eastAsia="zh-CN"/>
        </w:rPr>
        <w:t>秒</w:t>
      </w:r>
      <w:r>
        <w:rPr>
          <w:rFonts w:hint="eastAsia"/>
          <w:color w:val="auto"/>
          <w:highlight w:val="none"/>
        </w:rPr>
        <w:t>，多年平均地表径流量为1.86亿</w:t>
      </w:r>
      <w:r>
        <w:rPr>
          <w:rFonts w:hint="eastAsia"/>
          <w:color w:val="auto"/>
          <w:highlight w:val="none"/>
          <w:lang w:val="en-US" w:eastAsia="zh-CN"/>
        </w:rPr>
        <w:t>立方米</w:t>
      </w:r>
      <w:r>
        <w:rPr>
          <w:rFonts w:hint="eastAsia"/>
          <w:color w:val="auto"/>
          <w:highlight w:val="none"/>
        </w:rPr>
        <w:t>。</w:t>
      </w:r>
    </w:p>
    <w:p w14:paraId="2E51B09E">
      <w:pPr>
        <w:ind w:firstLine="470"/>
        <w:rPr>
          <w:rFonts w:hint="eastAsia"/>
          <w:color w:val="auto"/>
          <w:highlight w:val="none"/>
          <w:lang w:eastAsia="zh-CN"/>
        </w:rPr>
      </w:pPr>
      <w:r>
        <w:rPr>
          <w:rFonts w:hint="eastAsia"/>
          <w:color w:val="auto"/>
          <w:highlight w:val="none"/>
        </w:rPr>
        <w:t>拉林清河</w:t>
      </w:r>
      <w:r>
        <w:rPr>
          <w:rFonts w:hint="eastAsia"/>
          <w:color w:val="auto"/>
          <w:highlight w:val="none"/>
          <w:lang w:eastAsia="zh-CN"/>
        </w:rPr>
        <w:t>：</w:t>
      </w:r>
      <w:r>
        <w:rPr>
          <w:rFonts w:hint="default"/>
          <w:color w:val="auto"/>
          <w:highlight w:val="none"/>
        </w:rPr>
        <w:t>松花江二级支流</w:t>
      </w:r>
      <w:r>
        <w:rPr>
          <w:rFonts w:hint="eastAsia"/>
          <w:color w:val="auto"/>
          <w:highlight w:val="none"/>
          <w:lang w:eastAsia="zh-CN"/>
        </w:rPr>
        <w:t>，</w:t>
      </w:r>
      <w:r>
        <w:rPr>
          <w:rFonts w:hint="default"/>
          <w:color w:val="auto"/>
          <w:highlight w:val="none"/>
        </w:rPr>
        <w:t>发源于庆安县境东南部的官五爷大山</w:t>
      </w:r>
      <w:r>
        <w:rPr>
          <w:rFonts w:hint="eastAsia"/>
          <w:color w:val="auto"/>
          <w:highlight w:val="none"/>
          <w:lang w:eastAsia="zh-CN"/>
        </w:rPr>
        <w:t>，</w:t>
      </w:r>
      <w:r>
        <w:rPr>
          <w:rFonts w:hint="default"/>
          <w:color w:val="auto"/>
          <w:highlight w:val="none"/>
        </w:rPr>
        <w:t>向西北行，流经新胜、两利、丰收、平安、久胜等乡镇的部分地区，于平安镇和平村吴常太屯西北注入呼兰河。全长89</w:t>
      </w:r>
      <w:r>
        <w:rPr>
          <w:rFonts w:hint="eastAsia"/>
          <w:color w:val="auto"/>
          <w:highlight w:val="none"/>
          <w:lang w:val="en-US" w:eastAsia="zh-CN"/>
        </w:rPr>
        <w:t>千米</w:t>
      </w:r>
      <w:r>
        <w:rPr>
          <w:rFonts w:hint="default"/>
          <w:color w:val="auto"/>
          <w:highlight w:val="none"/>
        </w:rPr>
        <w:t>，河宽24</w:t>
      </w:r>
      <w:r>
        <w:rPr>
          <w:rFonts w:hint="eastAsia"/>
          <w:color w:val="auto"/>
          <w:highlight w:val="none"/>
          <w:lang w:val="en-US" w:eastAsia="zh-CN"/>
        </w:rPr>
        <w:t>米</w:t>
      </w:r>
      <w:r>
        <w:rPr>
          <w:rFonts w:hint="default"/>
          <w:color w:val="auto"/>
          <w:highlight w:val="none"/>
        </w:rPr>
        <w:t>，水深1.5</w:t>
      </w:r>
      <w:r>
        <w:rPr>
          <w:rFonts w:hint="eastAsia"/>
          <w:color w:val="auto"/>
          <w:highlight w:val="none"/>
          <w:lang w:val="en-US" w:eastAsia="zh-CN"/>
        </w:rPr>
        <w:t>米</w:t>
      </w:r>
      <w:r>
        <w:rPr>
          <w:rFonts w:hint="default"/>
          <w:color w:val="auto"/>
          <w:highlight w:val="none"/>
        </w:rPr>
        <w:t>，流域面积759</w:t>
      </w:r>
      <w:r>
        <w:rPr>
          <w:rFonts w:hint="eastAsia"/>
          <w:color w:val="auto"/>
          <w:highlight w:val="none"/>
          <w:lang w:val="en-US" w:eastAsia="zh-CN"/>
        </w:rPr>
        <w:t>平方千米</w:t>
      </w:r>
      <w:r>
        <w:rPr>
          <w:rFonts w:hint="default"/>
          <w:color w:val="auto"/>
          <w:highlight w:val="none"/>
        </w:rPr>
        <w:t>。属山溪性河流。每年11月中旬至次年4月上旬为结冰期。上中游多为林区，产红松、杨、桦等木材，下游为农业区。其上游支流柳河中游建有中型柳河水库</w:t>
      </w:r>
      <w:r>
        <w:rPr>
          <w:rFonts w:hint="eastAsia"/>
          <w:color w:val="auto"/>
          <w:highlight w:val="none"/>
          <w:lang w:eastAsia="zh-CN"/>
        </w:rPr>
        <w:t>。</w:t>
      </w:r>
    </w:p>
    <w:p w14:paraId="208D0ECF">
      <w:pPr>
        <w:spacing w:line="360" w:lineRule="auto"/>
        <w:ind w:firstLine="472" w:firstLineChars="200"/>
        <w:rPr>
          <w:rFonts w:hint="eastAsia"/>
          <w:color w:val="auto"/>
          <w:highlight w:val="none"/>
        </w:rPr>
      </w:pPr>
      <w:r>
        <w:rPr>
          <w:rFonts w:hint="eastAsia"/>
          <w:color w:val="auto"/>
          <w:highlight w:val="none"/>
        </w:rPr>
        <w:t>泥河：发源于庆安县南境的大顶子山。泥河从源头流向西北，经巨宝山乡西部又折而向西，再越民乐镇南部，于民乐镇前程村彭家油坊屯流入巴彦界，穿越左右两岸的绥化、巴彦、兰西等市县的部分地区汇入呼兰河。泥河在庆安县境内流程33</w:t>
      </w:r>
      <w:r>
        <w:rPr>
          <w:rFonts w:hint="eastAsia"/>
          <w:color w:val="auto"/>
          <w:highlight w:val="none"/>
          <w:lang w:val="en-US" w:eastAsia="zh-CN"/>
        </w:rPr>
        <w:t>千米</w:t>
      </w:r>
      <w:r>
        <w:rPr>
          <w:rFonts w:hint="eastAsia"/>
          <w:color w:val="auto"/>
          <w:highlight w:val="none"/>
        </w:rPr>
        <w:t>，集水面积67</w:t>
      </w:r>
      <w:r>
        <w:rPr>
          <w:rFonts w:hint="eastAsia"/>
          <w:color w:val="auto"/>
          <w:highlight w:val="none"/>
          <w:lang w:val="en-US" w:eastAsia="zh-CN"/>
        </w:rPr>
        <w:t>平方千米</w:t>
      </w:r>
      <w:r>
        <w:rPr>
          <w:rFonts w:hint="eastAsia"/>
          <w:color w:val="auto"/>
          <w:highlight w:val="none"/>
        </w:rPr>
        <w:t>，多年平均地表径流量为0.16亿</w:t>
      </w:r>
      <w:r>
        <w:rPr>
          <w:rFonts w:hint="eastAsia"/>
          <w:color w:val="auto"/>
          <w:highlight w:val="none"/>
          <w:lang w:val="en-US" w:eastAsia="zh-CN"/>
        </w:rPr>
        <w:t>立方米</w:t>
      </w:r>
      <w:r>
        <w:rPr>
          <w:rFonts w:hint="eastAsia"/>
          <w:color w:val="auto"/>
          <w:highlight w:val="none"/>
        </w:rPr>
        <w:t>。</w:t>
      </w:r>
    </w:p>
    <w:p w14:paraId="467843BF">
      <w:pPr>
        <w:spacing w:line="360" w:lineRule="auto"/>
        <w:ind w:firstLine="472" w:firstLineChars="200"/>
        <w:rPr>
          <w:rFonts w:hint="eastAsia"/>
          <w:color w:val="auto"/>
          <w:highlight w:val="none"/>
        </w:rPr>
      </w:pPr>
      <w:r>
        <w:rPr>
          <w:rFonts w:hint="eastAsia"/>
          <w:color w:val="auto"/>
          <w:highlight w:val="none"/>
        </w:rPr>
        <w:t>双银河：源头分东西二支流南流北下：东流经大泉眼水库和东风林场，分割大罗镇辖境为东西两部分，再北流成为新民乡、建民乡的界河；西流从巨宝山乡南端，经靠山水库北流，成为巨宝山、大罗镇两乡镇的界河后，进入建民乡巨源泡屯东南1.5</w:t>
      </w:r>
      <w:r>
        <w:rPr>
          <w:rFonts w:hint="eastAsia"/>
          <w:color w:val="auto"/>
          <w:highlight w:val="none"/>
          <w:lang w:val="en-US" w:eastAsia="zh-CN"/>
        </w:rPr>
        <w:t>千米</w:t>
      </w:r>
      <w:r>
        <w:rPr>
          <w:rFonts w:hint="eastAsia"/>
          <w:color w:val="auto"/>
          <w:highlight w:val="none"/>
        </w:rPr>
        <w:t>处，与东流汇为一流，共为界河，流至新民乡北端的耿家屯西部汇入格木克河。境内流程40</w:t>
      </w:r>
      <w:r>
        <w:rPr>
          <w:rFonts w:hint="eastAsia"/>
          <w:color w:val="auto"/>
          <w:highlight w:val="none"/>
          <w:lang w:val="en-US" w:eastAsia="zh-CN"/>
        </w:rPr>
        <w:t>千米</w:t>
      </w:r>
      <w:r>
        <w:rPr>
          <w:rFonts w:hint="eastAsia"/>
          <w:color w:val="auto"/>
          <w:highlight w:val="none"/>
        </w:rPr>
        <w:t>，集水面积435</w:t>
      </w:r>
      <w:r>
        <w:rPr>
          <w:rFonts w:hint="eastAsia"/>
          <w:color w:val="auto"/>
          <w:highlight w:val="none"/>
          <w:lang w:val="en-US" w:eastAsia="zh-CN"/>
        </w:rPr>
        <w:t>平方千米</w:t>
      </w:r>
      <w:r>
        <w:rPr>
          <w:rFonts w:hint="eastAsia"/>
          <w:color w:val="auto"/>
          <w:highlight w:val="none"/>
        </w:rPr>
        <w:t>，多年平均地表径流量为0.65亿</w:t>
      </w:r>
      <w:r>
        <w:rPr>
          <w:rFonts w:hint="eastAsia"/>
          <w:color w:val="auto"/>
          <w:highlight w:val="none"/>
          <w:lang w:val="en-US" w:eastAsia="zh-CN"/>
        </w:rPr>
        <w:t>立方米</w:t>
      </w:r>
      <w:r>
        <w:rPr>
          <w:rFonts w:hint="eastAsia"/>
          <w:color w:val="auto"/>
          <w:highlight w:val="none"/>
        </w:rPr>
        <w:t>。</w:t>
      </w:r>
    </w:p>
    <w:p w14:paraId="6BED9ADF">
      <w:pPr>
        <w:spacing w:line="360" w:lineRule="auto"/>
        <w:ind w:firstLine="472" w:firstLineChars="200"/>
        <w:rPr>
          <w:rFonts w:hint="eastAsia"/>
          <w:color w:val="auto"/>
          <w:highlight w:val="none"/>
        </w:rPr>
      </w:pPr>
      <w:r>
        <w:rPr>
          <w:rFonts w:hint="eastAsia"/>
          <w:color w:val="auto"/>
          <w:highlight w:val="none"/>
        </w:rPr>
        <w:t>泥尔根河：发源于县境北部的青水山，东北西南流向，流经同乐与致富两乡的西侧，于致富乡临河村所辖罗家屯西南注入呼兰河。泥尔根河是庆安县、绥棱县、绥化市区域的界河，庆安县境内流程88</w:t>
      </w:r>
      <w:r>
        <w:rPr>
          <w:rFonts w:hint="eastAsia"/>
          <w:color w:val="auto"/>
          <w:highlight w:val="none"/>
          <w:lang w:val="en-US" w:eastAsia="zh-CN"/>
        </w:rPr>
        <w:t>千米</w:t>
      </w:r>
      <w:r>
        <w:rPr>
          <w:rFonts w:hint="eastAsia"/>
          <w:color w:val="auto"/>
          <w:highlight w:val="none"/>
        </w:rPr>
        <w:t>，集水面积293</w:t>
      </w:r>
      <w:r>
        <w:rPr>
          <w:rFonts w:hint="eastAsia"/>
          <w:color w:val="auto"/>
          <w:highlight w:val="none"/>
          <w:lang w:val="en-US" w:eastAsia="zh-CN"/>
        </w:rPr>
        <w:t>平方千米</w:t>
      </w:r>
      <w:r>
        <w:rPr>
          <w:rFonts w:hint="eastAsia"/>
          <w:color w:val="auto"/>
          <w:highlight w:val="none"/>
        </w:rPr>
        <w:t>，多年平均地表径流量为0.78亿</w:t>
      </w:r>
      <w:r>
        <w:rPr>
          <w:rFonts w:hint="eastAsia"/>
          <w:color w:val="auto"/>
          <w:highlight w:val="none"/>
          <w:lang w:val="en-US" w:eastAsia="zh-CN"/>
        </w:rPr>
        <w:t>立方米</w:t>
      </w:r>
      <w:r>
        <w:rPr>
          <w:rFonts w:hint="eastAsia"/>
          <w:color w:val="auto"/>
          <w:highlight w:val="none"/>
        </w:rPr>
        <w:t>。</w:t>
      </w:r>
    </w:p>
    <w:p w14:paraId="074BA0D0">
      <w:pPr>
        <w:pStyle w:val="4"/>
        <w:rPr>
          <w:color w:val="auto"/>
          <w:highlight w:val="none"/>
        </w:rPr>
      </w:pPr>
      <w:bookmarkStart w:id="25" w:name="_Toc19779"/>
      <w:r>
        <w:rPr>
          <w:rFonts w:hint="eastAsia"/>
          <w:color w:val="auto"/>
          <w:highlight w:val="none"/>
        </w:rPr>
        <w:t>2.1.4地形地貌</w:t>
      </w:r>
      <w:bookmarkEnd w:id="25"/>
    </w:p>
    <w:p w14:paraId="06BD430D">
      <w:pPr>
        <w:spacing w:line="360" w:lineRule="auto"/>
        <w:ind w:firstLine="472" w:firstLineChars="200"/>
        <w:rPr>
          <w:rFonts w:hint="eastAsia" w:ascii="Times New Roman" w:hAnsi="Times New Roman" w:eastAsia="宋体" w:cs="Times New Roman"/>
          <w:color w:val="auto"/>
          <w:highlight w:val="none"/>
        </w:rPr>
      </w:pPr>
      <w:bookmarkStart w:id="26" w:name="_Toc16633"/>
      <w:r>
        <w:rPr>
          <w:rFonts w:hint="eastAsia" w:ascii="Times New Roman" w:hAnsi="Times New Roman" w:eastAsia="宋体" w:cs="Times New Roman"/>
          <w:color w:val="auto"/>
          <w:highlight w:val="none"/>
        </w:rPr>
        <w:t>庆安县的地形呈南北长、东西狭窄、中间凹进为“ㄑ”的形状。海拔高度在160～820米之间，平均海拔为450米左右，平原区的平均海拔为200米左右。南部和北部为山地，近山地区多丘陵漫岗，中部从东而西为呼兰河及其支流冲击而形成的平原。地形的总趋势是东陡西缓，东高西降，南北高，中间低。</w:t>
      </w:r>
    </w:p>
    <w:p w14:paraId="362648AF">
      <w:pPr>
        <w:spacing w:line="360" w:lineRule="auto"/>
        <w:ind w:firstLine="472" w:firstLineChars="200"/>
        <w:rPr>
          <w:rFonts w:hint="eastAsia" w:ascii="Times New Roman" w:hAnsi="Times New Roman" w:eastAsia="宋体" w:cs="Times New Roman"/>
          <w:color w:val="auto"/>
          <w:highlight w:val="none"/>
        </w:rPr>
      </w:pP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lang w:val="en-US" w:eastAsia="zh-CN"/>
        </w:rPr>
        <w:t>1</w:t>
      </w: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rPr>
        <w:t>侵蚀堆积地形</w:t>
      </w:r>
    </w:p>
    <w:p w14:paraId="314581A8">
      <w:pPr>
        <w:spacing w:line="360" w:lineRule="auto"/>
        <w:ind w:firstLine="472" w:firstLineChars="200"/>
        <w:rPr>
          <w:rFonts w:hint="eastAsia" w:ascii="Times New Roman" w:hAnsi="Times New Roman" w:eastAsia="宋体" w:cs="Times New Roman"/>
          <w:color w:val="auto"/>
          <w:highlight w:val="none"/>
        </w:rPr>
      </w:pPr>
      <w:r>
        <w:rPr>
          <w:rFonts w:hint="eastAsia" w:ascii="Times New Roman" w:hAnsi="Times New Roman" w:eastAsia="宋体" w:cs="Times New Roman"/>
          <w:color w:val="auto"/>
          <w:highlight w:val="none"/>
        </w:rPr>
        <w:t>二级阶地：该地貌单元分布广泛，标高为200～280米，其台面一般被沟谷切割成脊梁状，阶地前缘陡坎清晰。以15～25度的坡度与一级阶地后缘彼此相接。呼兰河右岸阶地陡坡格外明显，呈陡壁状，沿路坎有基岩裸露。台面一般高出一级阶地15～40米，高出河漫滩约30～70米。由中更新统的冲积洪积的黄土状亚粘土、亚粘土、砂砾石组成。形成时期为更新世中期。</w:t>
      </w:r>
    </w:p>
    <w:p w14:paraId="5B031FEE">
      <w:pPr>
        <w:spacing w:line="360" w:lineRule="auto"/>
        <w:ind w:firstLine="472" w:firstLineChars="200"/>
        <w:rPr>
          <w:rFonts w:hint="eastAsia" w:ascii="Times New Roman" w:hAnsi="Times New Roman" w:eastAsia="宋体" w:cs="Times New Roman"/>
          <w:color w:val="auto"/>
          <w:highlight w:val="none"/>
        </w:rPr>
      </w:pPr>
      <w:r>
        <w:rPr>
          <w:rFonts w:hint="eastAsia" w:ascii="Times New Roman" w:hAnsi="Times New Roman" w:eastAsia="宋体" w:cs="Times New Roman"/>
          <w:color w:val="auto"/>
          <w:highlight w:val="none"/>
        </w:rPr>
        <w:t>侵蚀山地位于县城南部和北部的小兴安岭支脉所属诸峰，海拔在400～820米之间。山地起伏，林深草茂，河溪纵横，土壤以暗棕壤为主，是全县林、牧、副业的主产区。</w:t>
      </w:r>
    </w:p>
    <w:p w14:paraId="34E19079">
      <w:pPr>
        <w:spacing w:line="360" w:lineRule="auto"/>
        <w:ind w:firstLine="472" w:firstLineChars="200"/>
        <w:rPr>
          <w:rFonts w:hint="eastAsia" w:ascii="Times New Roman" w:hAnsi="Times New Roman" w:eastAsia="宋体" w:cs="Times New Roman"/>
          <w:color w:val="auto"/>
          <w:highlight w:val="none"/>
        </w:rPr>
      </w:pP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lang w:val="en-US" w:eastAsia="zh-CN"/>
        </w:rPr>
        <w:t>2</w:t>
      </w: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rPr>
        <w:t>堆积地形</w:t>
      </w:r>
    </w:p>
    <w:p w14:paraId="1E5936CD">
      <w:pPr>
        <w:spacing w:line="360" w:lineRule="auto"/>
        <w:ind w:firstLine="472" w:firstLineChars="200"/>
        <w:rPr>
          <w:rFonts w:hint="eastAsia" w:ascii="Times New Roman" w:hAnsi="Times New Roman" w:eastAsia="宋体" w:cs="Times New Roman"/>
          <w:color w:val="auto"/>
          <w:highlight w:val="none"/>
        </w:rPr>
      </w:pPr>
      <w:r>
        <w:rPr>
          <w:rFonts w:hint="eastAsia" w:ascii="Times New Roman" w:hAnsi="Times New Roman" w:eastAsia="宋体" w:cs="Times New Roman"/>
          <w:color w:val="auto"/>
          <w:highlight w:val="none"/>
        </w:rPr>
        <w:t>1）一级阶地</w:t>
      </w:r>
    </w:p>
    <w:p w14:paraId="64112867">
      <w:pPr>
        <w:spacing w:line="360" w:lineRule="auto"/>
        <w:ind w:firstLine="472" w:firstLineChars="200"/>
        <w:rPr>
          <w:rFonts w:hint="eastAsia" w:ascii="Times New Roman" w:hAnsi="Times New Roman" w:eastAsia="宋体" w:cs="Times New Roman"/>
          <w:color w:val="auto"/>
          <w:highlight w:val="none"/>
        </w:rPr>
      </w:pPr>
      <w:r>
        <w:rPr>
          <w:rFonts w:hint="eastAsia" w:ascii="Times New Roman" w:hAnsi="Times New Roman" w:eastAsia="宋体" w:cs="Times New Roman"/>
          <w:color w:val="auto"/>
          <w:highlight w:val="none"/>
        </w:rPr>
        <w:t>呈不对称的条带状分布于呼兰河两侧，标高190～240米，台面平坦，微向河谷下游倾斜，西部有洼地和盐渍化现象，与漫滩界线明显，陡坡清晰，坡角为10～20度，由上更新统冲积的黄土状亚粘土及砂砾石组成，形成时期为更新世末期。</w:t>
      </w:r>
    </w:p>
    <w:p w14:paraId="20D47048">
      <w:pPr>
        <w:numPr>
          <w:ilvl w:val="0"/>
          <w:numId w:val="0"/>
        </w:numPr>
        <w:spacing w:line="360" w:lineRule="auto"/>
        <w:ind w:firstLine="472" w:firstLineChars="200"/>
        <w:rPr>
          <w:rFonts w:hint="eastAsia" w:ascii="Times New Roman" w:hAnsi="Times New Roman" w:eastAsia="宋体" w:cs="Times New Roman"/>
          <w:color w:val="auto"/>
          <w:highlight w:val="none"/>
        </w:rPr>
      </w:pPr>
      <w:r>
        <w:rPr>
          <w:rFonts w:hint="eastAsia" w:ascii="Times New Roman" w:hAnsi="Times New Roman" w:eastAsia="宋体" w:cs="Times New Roman"/>
          <w:color w:val="auto"/>
          <w:kern w:val="2"/>
          <w:sz w:val="24"/>
          <w:szCs w:val="24"/>
          <w:highlight w:val="none"/>
          <w:lang w:val="en-US" w:eastAsia="zh-CN" w:bidi="ar-SA"/>
        </w:rPr>
        <w:t>2）</w:t>
      </w:r>
      <w:r>
        <w:rPr>
          <w:rFonts w:hint="eastAsia" w:ascii="Times New Roman" w:hAnsi="Times New Roman" w:eastAsia="宋体" w:cs="Times New Roman"/>
          <w:color w:val="auto"/>
          <w:highlight w:val="none"/>
        </w:rPr>
        <w:t>高漫滩</w:t>
      </w:r>
    </w:p>
    <w:p w14:paraId="08F492B6">
      <w:pPr>
        <w:numPr>
          <w:ilvl w:val="0"/>
          <w:numId w:val="0"/>
        </w:numPr>
        <w:spacing w:line="360" w:lineRule="auto"/>
        <w:ind w:firstLine="472" w:firstLineChars="200"/>
        <w:rPr>
          <w:rFonts w:hint="eastAsia" w:ascii="Times New Roman" w:hAnsi="Times New Roman" w:eastAsia="宋体" w:cs="Times New Roman"/>
          <w:color w:val="auto"/>
          <w:highlight w:val="none"/>
        </w:rPr>
      </w:pPr>
      <w:r>
        <w:rPr>
          <w:rFonts w:hint="eastAsia" w:ascii="Times New Roman" w:hAnsi="Times New Roman" w:eastAsia="宋体" w:cs="Times New Roman"/>
          <w:color w:val="auto"/>
          <w:highlight w:val="none"/>
        </w:rPr>
        <w:t>呈条带状分布于呼兰河及其支流的两侧，宽度变化较大，由0.5-3公里，两岸不对称，一般为右岸窄不连续或缺失，标高175-210米，表面平坦，微倾向河流，其上有牛轭湖、水泡子、湖沼洼地、人工堤以及零星的砂丘分布。前缘与低漫滩界线有时不清，由全新统冲积的亚粘土、砂及砂砾石组成，形成时期为全新世末期。</w:t>
      </w:r>
    </w:p>
    <w:p w14:paraId="4FE3DE45">
      <w:pPr>
        <w:numPr>
          <w:ilvl w:val="0"/>
          <w:numId w:val="0"/>
        </w:numPr>
        <w:spacing w:line="360" w:lineRule="auto"/>
        <w:ind w:firstLine="472" w:firstLineChars="200"/>
        <w:rPr>
          <w:rFonts w:hint="eastAsia" w:ascii="Times New Roman" w:hAnsi="Times New Roman" w:eastAsia="宋体" w:cs="Times New Roman"/>
          <w:color w:val="auto"/>
          <w:highlight w:val="none"/>
        </w:rPr>
      </w:pPr>
      <w:r>
        <w:rPr>
          <w:rFonts w:hint="eastAsia" w:ascii="Times New Roman" w:hAnsi="Times New Roman" w:eastAsia="宋体" w:cs="Times New Roman"/>
          <w:color w:val="auto"/>
          <w:kern w:val="2"/>
          <w:sz w:val="24"/>
          <w:szCs w:val="24"/>
          <w:highlight w:val="none"/>
          <w:lang w:val="en-US" w:eastAsia="zh-CN" w:bidi="ar-SA"/>
        </w:rPr>
        <w:t>3）</w:t>
      </w:r>
      <w:r>
        <w:rPr>
          <w:rFonts w:hint="eastAsia" w:ascii="Times New Roman" w:hAnsi="Times New Roman" w:eastAsia="宋体" w:cs="Times New Roman"/>
          <w:color w:val="auto"/>
          <w:highlight w:val="none"/>
        </w:rPr>
        <w:t>低漫滩</w:t>
      </w:r>
    </w:p>
    <w:p w14:paraId="53D7894B">
      <w:pPr>
        <w:numPr>
          <w:ilvl w:val="0"/>
          <w:numId w:val="0"/>
        </w:numPr>
        <w:spacing w:line="360" w:lineRule="auto"/>
        <w:ind w:firstLine="472" w:firstLineChars="200"/>
        <w:rPr>
          <w:rFonts w:hint="eastAsia" w:ascii="Times New Roman" w:hAnsi="Times New Roman" w:eastAsia="宋体" w:cs="Times New Roman"/>
          <w:color w:val="auto"/>
          <w:highlight w:val="none"/>
        </w:rPr>
      </w:pPr>
      <w:r>
        <w:rPr>
          <w:rFonts w:hint="eastAsia" w:ascii="Times New Roman" w:hAnsi="Times New Roman" w:eastAsia="宋体" w:cs="Times New Roman"/>
          <w:color w:val="auto"/>
          <w:highlight w:val="none"/>
        </w:rPr>
        <w:t>呈条带状分布于各谷之中，宽窄不一。一般为1～3公里，标高为130～200米，表面平坦，其上水泡子、牛轭湖广泛发育，有些低洼处已沼泽化，滩面一般高出河水位1～3米，由全新统冲积的亚砂土及砂砾石组成，形成时期为全新世末期。</w:t>
      </w:r>
    </w:p>
    <w:p w14:paraId="4752E564">
      <w:pPr>
        <w:spacing w:line="360" w:lineRule="auto"/>
        <w:ind w:firstLine="472" w:firstLineChars="200"/>
        <w:rPr>
          <w:rFonts w:hint="eastAsia" w:ascii="Times New Roman" w:hAnsi="Times New Roman" w:eastAsia="宋体" w:cs="Times New Roman"/>
          <w:color w:val="auto"/>
          <w:highlight w:val="none"/>
          <w:lang w:val="en-US" w:eastAsia="zh-CN"/>
        </w:rPr>
      </w:pPr>
      <w:r>
        <w:rPr>
          <w:rFonts w:hint="eastAsia" w:cs="Times New Roman"/>
          <w:color w:val="auto"/>
          <w:highlight w:val="none"/>
          <w:lang w:val="en-US" w:eastAsia="zh-CN"/>
        </w:rPr>
        <w:t>4）</w:t>
      </w:r>
      <w:r>
        <w:rPr>
          <w:rFonts w:hint="eastAsia" w:ascii="Times New Roman" w:hAnsi="Times New Roman" w:eastAsia="宋体" w:cs="Times New Roman"/>
          <w:color w:val="auto"/>
          <w:highlight w:val="none"/>
          <w:lang w:val="en-US" w:eastAsia="zh-CN"/>
        </w:rPr>
        <w:t>山脉</w:t>
      </w:r>
    </w:p>
    <w:p w14:paraId="02A5E392">
      <w:pPr>
        <w:spacing w:line="360" w:lineRule="auto"/>
        <w:ind w:firstLine="472" w:firstLineChars="20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庆安县境内的山均系小兴安岭支脉，分布于县境南部和北部。</w:t>
      </w:r>
    </w:p>
    <w:p w14:paraId="7DF6E0D5">
      <w:pPr>
        <w:spacing w:line="360" w:lineRule="auto"/>
        <w:ind w:firstLine="472" w:firstLineChars="20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县境南部的黑山，又称黄闼山，亦称善音山，系小兴安岭余脉。从铁力县南境自东向西逶迤入巴彦县境，绵延50公里，南北相跨约15公里，面积约750平方公里，横卧于两利、新胜、大罗镇、巨宝山等乡镇的南部。黑山的余脉起伏，形成境内的平顶山、官五爷大山、大砬子、大顶子山、庙岭、红石砬子、青峰岭、黑峰岭诸峰。官五爷大山为黑山的主峰，位于庆安、木兰交界处，东北西南走向。长7公里，宽5公里，海拔820.3米，植被为针阔叶混交林。</w:t>
      </w:r>
    </w:p>
    <w:p w14:paraId="7E36BD0F">
      <w:pPr>
        <w:spacing w:line="360" w:lineRule="auto"/>
        <w:ind w:firstLine="472" w:firstLineChars="20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县境北部为小兴安岭支脉大青山山系，从伊春市、铁力县境延入庆安县境，横卧于丰田、发展、同乐等乡的北部。大青山余脉形成了分水山、海同山、清水山、元山、富山、望山、大疙瘩山、同水山、大砬子、棹水湖山、碾子山、三股峰、西北河尖山、平安北山诸峰。西北河尖山是庆安县北部的最高峰，海拔806米。</w:t>
      </w:r>
    </w:p>
    <w:p w14:paraId="2851E3BA">
      <w:pPr>
        <w:spacing w:line="360" w:lineRule="auto"/>
        <w:ind w:firstLine="472" w:firstLineChars="200"/>
        <w:rPr>
          <w:rFonts w:hint="eastAsia" w:ascii="Times New Roman" w:hAnsi="Times New Roman" w:eastAsia="宋体" w:cs="Times New Roman"/>
          <w:color w:val="auto"/>
          <w:highlight w:val="none"/>
        </w:rPr>
      </w:pPr>
      <w:r>
        <w:rPr>
          <w:rFonts w:hint="eastAsia" w:ascii="Times New Roman" w:hAnsi="Times New Roman" w:eastAsia="宋体" w:cs="Times New Roman"/>
          <w:color w:val="auto"/>
          <w:highlight w:val="none"/>
        </w:rPr>
        <w:t>根据地貌的不同成因类型、成因形态及形态特征将全县地貌划分为两种成因类型、两种成因形态和四种形态单元，详见表2-1。</w:t>
      </w:r>
    </w:p>
    <w:p w14:paraId="7B16DA1D">
      <w:pPr>
        <w:pStyle w:val="52"/>
        <w:spacing w:line="360" w:lineRule="auto"/>
        <w:jc w:val="center"/>
        <w:rPr>
          <w:rFonts w:hint="default" w:ascii="Times New Roman" w:hAnsi="Times New Roman" w:eastAsia="黑体" w:cs="Times New Roman"/>
          <w:b w:val="0"/>
          <w:bCs/>
          <w:i w:val="0"/>
          <w:color w:val="auto"/>
          <w:sz w:val="24"/>
          <w:szCs w:val="24"/>
          <w:highlight w:val="none"/>
        </w:rPr>
      </w:pPr>
      <w:r>
        <w:rPr>
          <w:rFonts w:hint="default" w:ascii="Times New Roman" w:hAnsi="Times New Roman" w:eastAsia="黑体" w:cs="Times New Roman"/>
          <w:b w:val="0"/>
          <w:bCs/>
          <w:i w:val="0"/>
          <w:color w:val="auto"/>
          <w:sz w:val="24"/>
          <w:szCs w:val="24"/>
          <w:highlight w:val="none"/>
        </w:rPr>
        <w:t>表2-1</w:t>
      </w:r>
      <w:r>
        <w:rPr>
          <w:rFonts w:hint="eastAsia" w:eastAsia="黑体" w:cs="Times New Roman"/>
          <w:b w:val="0"/>
          <w:bCs/>
          <w:i w:val="0"/>
          <w:color w:val="auto"/>
          <w:sz w:val="24"/>
          <w:szCs w:val="24"/>
          <w:highlight w:val="none"/>
          <w:lang w:val="en-US" w:eastAsia="zh-CN"/>
        </w:rPr>
        <w:t xml:space="preserve">  </w:t>
      </w:r>
      <w:r>
        <w:rPr>
          <w:rFonts w:hint="default" w:ascii="Times New Roman" w:hAnsi="Times New Roman" w:eastAsia="黑体" w:cs="Times New Roman"/>
          <w:b w:val="0"/>
          <w:bCs/>
          <w:i w:val="0"/>
          <w:color w:val="auto"/>
          <w:sz w:val="24"/>
          <w:szCs w:val="24"/>
          <w:highlight w:val="none"/>
        </w:rPr>
        <w:t>庆安县地貌分区表</w:t>
      </w:r>
    </w:p>
    <w:tbl>
      <w:tblPr>
        <w:tblStyle w:val="21"/>
        <w:tblW w:w="4996"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1943"/>
        <w:gridCol w:w="3691"/>
        <w:gridCol w:w="3532"/>
      </w:tblGrid>
      <w:tr w14:paraId="4E0DDA2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blHeader/>
        </w:trPr>
        <w:tc>
          <w:tcPr>
            <w:tcW w:w="1060" w:type="pct"/>
            <w:tcBorders>
              <w:tl2br w:val="nil"/>
              <w:tr2bl w:val="nil"/>
            </w:tcBorders>
            <w:noWrap w:val="0"/>
            <w:vAlign w:val="center"/>
          </w:tcPr>
          <w:p w14:paraId="754A8850">
            <w:pPr>
              <w:spacing w:line="240" w:lineRule="auto"/>
              <w:ind w:left="0" w:leftChars="0" w:firstLine="0" w:firstLineChars="0"/>
              <w:jc w:val="center"/>
              <w:rPr>
                <w:rFonts w:hint="eastAsia"/>
                <w:b w:val="0"/>
                <w:bCs/>
                <w:color w:val="auto"/>
                <w:sz w:val="21"/>
                <w:szCs w:val="21"/>
                <w:highlight w:val="none"/>
              </w:rPr>
            </w:pPr>
            <w:r>
              <w:rPr>
                <w:rFonts w:hint="eastAsia"/>
                <w:b w:val="0"/>
                <w:bCs/>
                <w:color w:val="auto"/>
                <w:sz w:val="21"/>
                <w:szCs w:val="21"/>
                <w:highlight w:val="none"/>
              </w:rPr>
              <w:t>成因类型</w:t>
            </w:r>
          </w:p>
        </w:tc>
        <w:tc>
          <w:tcPr>
            <w:tcW w:w="2013" w:type="pct"/>
            <w:tcBorders>
              <w:tl2br w:val="nil"/>
              <w:tr2bl w:val="nil"/>
            </w:tcBorders>
            <w:noWrap w:val="0"/>
            <w:vAlign w:val="center"/>
          </w:tcPr>
          <w:p w14:paraId="0EBEEED2">
            <w:pPr>
              <w:spacing w:line="240" w:lineRule="auto"/>
              <w:ind w:left="0" w:leftChars="0" w:firstLine="0" w:firstLineChars="0"/>
              <w:jc w:val="center"/>
              <w:rPr>
                <w:rFonts w:hint="eastAsia" w:ascii="Times New Roman" w:hAnsi="Times New Roman" w:eastAsia="宋体" w:cs="Times New Roman"/>
                <w:b w:val="0"/>
                <w:bCs/>
                <w:color w:val="auto"/>
                <w:sz w:val="21"/>
                <w:szCs w:val="21"/>
                <w:highlight w:val="none"/>
              </w:rPr>
            </w:pPr>
            <w:r>
              <w:rPr>
                <w:rFonts w:hint="eastAsia" w:ascii="Times New Roman" w:hAnsi="Times New Roman" w:eastAsia="宋体" w:cs="Times New Roman"/>
                <w:b w:val="0"/>
                <w:bCs/>
                <w:color w:val="auto"/>
                <w:sz w:val="21"/>
                <w:szCs w:val="21"/>
                <w:highlight w:val="none"/>
              </w:rPr>
              <w:t>成因形态</w:t>
            </w:r>
          </w:p>
        </w:tc>
        <w:tc>
          <w:tcPr>
            <w:tcW w:w="1926" w:type="pct"/>
            <w:tcBorders>
              <w:tl2br w:val="nil"/>
              <w:tr2bl w:val="nil"/>
            </w:tcBorders>
            <w:noWrap w:val="0"/>
            <w:vAlign w:val="center"/>
          </w:tcPr>
          <w:p w14:paraId="497A243D">
            <w:pPr>
              <w:spacing w:line="240" w:lineRule="auto"/>
              <w:ind w:left="0" w:leftChars="0" w:firstLine="0" w:firstLineChars="0"/>
              <w:jc w:val="center"/>
              <w:rPr>
                <w:rFonts w:hint="eastAsia" w:ascii="Times New Roman" w:hAnsi="Times New Roman" w:eastAsia="宋体" w:cs="Times New Roman"/>
                <w:b w:val="0"/>
                <w:bCs/>
                <w:color w:val="auto"/>
                <w:sz w:val="21"/>
                <w:szCs w:val="21"/>
                <w:highlight w:val="none"/>
              </w:rPr>
            </w:pPr>
            <w:r>
              <w:rPr>
                <w:rFonts w:hint="eastAsia" w:ascii="Times New Roman" w:hAnsi="Times New Roman" w:eastAsia="宋体" w:cs="Times New Roman"/>
                <w:b w:val="0"/>
                <w:bCs/>
                <w:color w:val="auto"/>
                <w:sz w:val="21"/>
                <w:szCs w:val="21"/>
                <w:highlight w:val="none"/>
              </w:rPr>
              <w:t>形态单元</w:t>
            </w:r>
          </w:p>
        </w:tc>
      </w:tr>
      <w:tr w14:paraId="3BA0C66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1060" w:type="pct"/>
            <w:tcBorders>
              <w:tl2br w:val="nil"/>
              <w:tr2bl w:val="nil"/>
            </w:tcBorders>
            <w:noWrap w:val="0"/>
            <w:vAlign w:val="center"/>
          </w:tcPr>
          <w:p w14:paraId="0F74670C">
            <w:pPr>
              <w:spacing w:line="240" w:lineRule="auto"/>
              <w:ind w:left="0" w:leftChars="0" w:firstLine="0" w:firstLineChars="0"/>
              <w:jc w:val="center"/>
              <w:rPr>
                <w:rFonts w:hint="eastAsia" w:ascii="Times New Roman" w:hAnsi="Times New Roman" w:eastAsia="宋体" w:cs="Times New Roman"/>
                <w:b w:val="0"/>
                <w:bCs/>
                <w:color w:val="auto"/>
                <w:sz w:val="21"/>
                <w:szCs w:val="21"/>
                <w:highlight w:val="none"/>
              </w:rPr>
            </w:pPr>
            <w:r>
              <w:rPr>
                <w:rFonts w:hint="eastAsia" w:ascii="Times New Roman" w:hAnsi="Times New Roman" w:eastAsia="宋体" w:cs="Times New Roman"/>
                <w:b w:val="0"/>
                <w:bCs/>
                <w:color w:val="auto"/>
                <w:sz w:val="21"/>
                <w:szCs w:val="21"/>
                <w:highlight w:val="none"/>
              </w:rPr>
              <w:t>侵蚀堆积地形</w:t>
            </w:r>
          </w:p>
        </w:tc>
        <w:tc>
          <w:tcPr>
            <w:tcW w:w="2013" w:type="pct"/>
            <w:tcBorders>
              <w:tl2br w:val="nil"/>
              <w:tr2bl w:val="nil"/>
            </w:tcBorders>
            <w:noWrap w:val="0"/>
            <w:vAlign w:val="center"/>
          </w:tcPr>
          <w:p w14:paraId="65B078C8">
            <w:pPr>
              <w:spacing w:line="240" w:lineRule="auto"/>
              <w:ind w:left="0" w:leftChars="0" w:firstLine="0" w:firstLineChars="0"/>
              <w:jc w:val="center"/>
              <w:rPr>
                <w:rFonts w:hint="eastAsia" w:ascii="Times New Roman" w:hAnsi="Times New Roman" w:eastAsia="宋体" w:cs="Times New Roman"/>
                <w:b w:val="0"/>
                <w:bCs/>
                <w:color w:val="auto"/>
                <w:sz w:val="21"/>
                <w:szCs w:val="21"/>
                <w:highlight w:val="none"/>
              </w:rPr>
            </w:pPr>
            <w:r>
              <w:rPr>
                <w:rFonts w:hint="eastAsia" w:ascii="Times New Roman" w:hAnsi="Times New Roman" w:eastAsia="宋体" w:cs="Times New Roman"/>
                <w:b w:val="0"/>
                <w:bCs/>
                <w:color w:val="auto"/>
                <w:sz w:val="21"/>
                <w:szCs w:val="21"/>
                <w:highlight w:val="none"/>
              </w:rPr>
              <w:t>侵蚀堆积台地</w:t>
            </w:r>
          </w:p>
        </w:tc>
        <w:tc>
          <w:tcPr>
            <w:tcW w:w="1926" w:type="pct"/>
            <w:tcBorders>
              <w:tl2br w:val="nil"/>
              <w:tr2bl w:val="nil"/>
            </w:tcBorders>
            <w:noWrap w:val="0"/>
            <w:vAlign w:val="center"/>
          </w:tcPr>
          <w:p w14:paraId="67B8AF93">
            <w:pPr>
              <w:spacing w:line="240" w:lineRule="auto"/>
              <w:ind w:left="0" w:leftChars="0" w:firstLine="0" w:firstLineChars="0"/>
              <w:jc w:val="center"/>
              <w:rPr>
                <w:rFonts w:hint="eastAsia" w:ascii="Times New Roman" w:hAnsi="Times New Roman" w:eastAsia="宋体" w:cs="Times New Roman"/>
                <w:b w:val="0"/>
                <w:bCs/>
                <w:color w:val="auto"/>
                <w:sz w:val="21"/>
                <w:szCs w:val="21"/>
                <w:highlight w:val="none"/>
              </w:rPr>
            </w:pPr>
            <w:r>
              <w:rPr>
                <w:rFonts w:hint="eastAsia" w:ascii="Times New Roman" w:hAnsi="Times New Roman" w:eastAsia="宋体" w:cs="Times New Roman"/>
                <w:b w:val="0"/>
                <w:bCs/>
                <w:color w:val="auto"/>
                <w:sz w:val="21"/>
                <w:szCs w:val="21"/>
                <w:highlight w:val="none"/>
              </w:rPr>
              <w:t>二级阶地</w:t>
            </w:r>
          </w:p>
        </w:tc>
      </w:tr>
      <w:tr w14:paraId="6453A47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1060" w:type="pct"/>
            <w:vMerge w:val="restart"/>
            <w:tcBorders>
              <w:tl2br w:val="nil"/>
              <w:tr2bl w:val="nil"/>
            </w:tcBorders>
            <w:noWrap w:val="0"/>
            <w:vAlign w:val="center"/>
          </w:tcPr>
          <w:p w14:paraId="2BEBB965">
            <w:pPr>
              <w:spacing w:line="240" w:lineRule="auto"/>
              <w:ind w:left="0" w:leftChars="0" w:firstLine="0" w:firstLineChars="0"/>
              <w:jc w:val="center"/>
              <w:rPr>
                <w:rFonts w:hint="eastAsia" w:ascii="Times New Roman" w:hAnsi="Times New Roman" w:eastAsia="宋体" w:cs="Times New Roman"/>
                <w:b w:val="0"/>
                <w:bCs/>
                <w:color w:val="auto"/>
                <w:sz w:val="21"/>
                <w:szCs w:val="21"/>
                <w:highlight w:val="none"/>
              </w:rPr>
            </w:pPr>
            <w:r>
              <w:rPr>
                <w:rFonts w:hint="eastAsia" w:ascii="Times New Roman" w:hAnsi="Times New Roman" w:eastAsia="宋体" w:cs="Times New Roman"/>
                <w:b w:val="0"/>
                <w:bCs/>
                <w:color w:val="auto"/>
                <w:sz w:val="21"/>
                <w:szCs w:val="21"/>
                <w:highlight w:val="none"/>
              </w:rPr>
              <w:t>堆积地形</w:t>
            </w:r>
          </w:p>
        </w:tc>
        <w:tc>
          <w:tcPr>
            <w:tcW w:w="2013" w:type="pct"/>
            <w:vMerge w:val="restart"/>
            <w:tcBorders>
              <w:tl2br w:val="nil"/>
              <w:tr2bl w:val="nil"/>
            </w:tcBorders>
            <w:noWrap w:val="0"/>
            <w:vAlign w:val="center"/>
          </w:tcPr>
          <w:p w14:paraId="43011301">
            <w:pPr>
              <w:spacing w:line="240" w:lineRule="auto"/>
              <w:ind w:left="0" w:leftChars="0" w:firstLine="0" w:firstLineChars="0"/>
              <w:jc w:val="center"/>
              <w:rPr>
                <w:rFonts w:hint="eastAsia" w:ascii="Times New Roman" w:hAnsi="Times New Roman" w:eastAsia="宋体" w:cs="Times New Roman"/>
                <w:b w:val="0"/>
                <w:bCs/>
                <w:color w:val="auto"/>
                <w:sz w:val="21"/>
                <w:szCs w:val="21"/>
                <w:highlight w:val="none"/>
              </w:rPr>
            </w:pPr>
            <w:r>
              <w:rPr>
                <w:rFonts w:hint="eastAsia" w:ascii="Times New Roman" w:hAnsi="Times New Roman" w:eastAsia="宋体" w:cs="Times New Roman"/>
                <w:b w:val="0"/>
                <w:bCs/>
                <w:color w:val="auto"/>
                <w:sz w:val="21"/>
                <w:szCs w:val="21"/>
                <w:highlight w:val="none"/>
              </w:rPr>
              <w:t>河谷平原</w:t>
            </w:r>
          </w:p>
        </w:tc>
        <w:tc>
          <w:tcPr>
            <w:tcW w:w="1926" w:type="pct"/>
            <w:tcBorders>
              <w:tl2br w:val="nil"/>
              <w:tr2bl w:val="nil"/>
            </w:tcBorders>
            <w:noWrap w:val="0"/>
            <w:vAlign w:val="center"/>
          </w:tcPr>
          <w:p w14:paraId="23574F98">
            <w:pPr>
              <w:spacing w:line="240" w:lineRule="auto"/>
              <w:ind w:left="0" w:leftChars="0" w:firstLine="0" w:firstLineChars="0"/>
              <w:jc w:val="center"/>
              <w:rPr>
                <w:rFonts w:hint="eastAsia" w:ascii="Times New Roman" w:hAnsi="Times New Roman" w:eastAsia="宋体" w:cs="Times New Roman"/>
                <w:b w:val="0"/>
                <w:bCs/>
                <w:color w:val="auto"/>
                <w:sz w:val="21"/>
                <w:szCs w:val="21"/>
                <w:highlight w:val="none"/>
              </w:rPr>
            </w:pPr>
            <w:r>
              <w:rPr>
                <w:rFonts w:hint="eastAsia" w:ascii="Times New Roman" w:hAnsi="Times New Roman" w:eastAsia="宋体" w:cs="Times New Roman"/>
                <w:b w:val="0"/>
                <w:bCs/>
                <w:color w:val="auto"/>
                <w:sz w:val="21"/>
                <w:szCs w:val="21"/>
                <w:highlight w:val="none"/>
              </w:rPr>
              <w:t>一级阶地</w:t>
            </w:r>
          </w:p>
        </w:tc>
      </w:tr>
      <w:tr w14:paraId="63F0AE2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1060" w:type="pct"/>
            <w:vMerge w:val="continue"/>
            <w:tcBorders>
              <w:tl2br w:val="nil"/>
              <w:tr2bl w:val="nil"/>
            </w:tcBorders>
            <w:noWrap w:val="0"/>
            <w:vAlign w:val="center"/>
          </w:tcPr>
          <w:p w14:paraId="41CDA877">
            <w:pPr>
              <w:spacing w:line="240" w:lineRule="auto"/>
              <w:ind w:left="0" w:leftChars="0" w:firstLine="0" w:firstLineChars="0"/>
              <w:jc w:val="center"/>
              <w:rPr>
                <w:rFonts w:hint="eastAsia" w:ascii="Times New Roman" w:hAnsi="Times New Roman" w:eastAsia="宋体" w:cs="Times New Roman"/>
                <w:b w:val="0"/>
                <w:bCs/>
                <w:color w:val="auto"/>
                <w:sz w:val="21"/>
                <w:szCs w:val="21"/>
                <w:highlight w:val="none"/>
              </w:rPr>
            </w:pPr>
          </w:p>
        </w:tc>
        <w:tc>
          <w:tcPr>
            <w:tcW w:w="2013" w:type="pct"/>
            <w:vMerge w:val="continue"/>
            <w:tcBorders>
              <w:tl2br w:val="nil"/>
              <w:tr2bl w:val="nil"/>
            </w:tcBorders>
            <w:noWrap w:val="0"/>
            <w:vAlign w:val="center"/>
          </w:tcPr>
          <w:p w14:paraId="50143637">
            <w:pPr>
              <w:spacing w:line="240" w:lineRule="auto"/>
              <w:ind w:left="0" w:leftChars="0" w:firstLine="0" w:firstLineChars="0"/>
              <w:jc w:val="center"/>
              <w:rPr>
                <w:rFonts w:hint="eastAsia" w:ascii="Times New Roman" w:hAnsi="Times New Roman" w:eastAsia="宋体" w:cs="Times New Roman"/>
                <w:b w:val="0"/>
                <w:bCs/>
                <w:color w:val="auto"/>
                <w:sz w:val="21"/>
                <w:szCs w:val="21"/>
                <w:highlight w:val="none"/>
              </w:rPr>
            </w:pPr>
          </w:p>
        </w:tc>
        <w:tc>
          <w:tcPr>
            <w:tcW w:w="1926" w:type="pct"/>
            <w:tcBorders>
              <w:tl2br w:val="nil"/>
              <w:tr2bl w:val="nil"/>
            </w:tcBorders>
            <w:noWrap w:val="0"/>
            <w:vAlign w:val="center"/>
          </w:tcPr>
          <w:p w14:paraId="523BEF6F">
            <w:pPr>
              <w:spacing w:line="240" w:lineRule="auto"/>
              <w:ind w:left="0" w:leftChars="0" w:firstLine="0" w:firstLineChars="0"/>
              <w:jc w:val="center"/>
              <w:rPr>
                <w:rFonts w:hint="eastAsia" w:ascii="Times New Roman" w:hAnsi="Times New Roman" w:eastAsia="宋体" w:cs="Times New Roman"/>
                <w:b w:val="0"/>
                <w:bCs/>
                <w:color w:val="auto"/>
                <w:sz w:val="21"/>
                <w:szCs w:val="21"/>
                <w:highlight w:val="none"/>
              </w:rPr>
            </w:pPr>
            <w:r>
              <w:rPr>
                <w:rFonts w:hint="eastAsia" w:ascii="Times New Roman" w:hAnsi="Times New Roman" w:eastAsia="宋体" w:cs="Times New Roman"/>
                <w:b w:val="0"/>
                <w:bCs/>
                <w:color w:val="auto"/>
                <w:sz w:val="21"/>
                <w:szCs w:val="21"/>
                <w:highlight w:val="none"/>
              </w:rPr>
              <w:t>高漫滩</w:t>
            </w:r>
          </w:p>
        </w:tc>
      </w:tr>
      <w:tr w14:paraId="2D37153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1060" w:type="pct"/>
            <w:vMerge w:val="continue"/>
            <w:tcBorders>
              <w:tl2br w:val="nil"/>
              <w:tr2bl w:val="nil"/>
            </w:tcBorders>
            <w:noWrap w:val="0"/>
            <w:vAlign w:val="center"/>
          </w:tcPr>
          <w:p w14:paraId="68C24B68">
            <w:pPr>
              <w:spacing w:line="240" w:lineRule="auto"/>
              <w:ind w:left="0" w:leftChars="0" w:firstLine="0" w:firstLineChars="0"/>
              <w:jc w:val="center"/>
              <w:rPr>
                <w:rFonts w:hint="eastAsia" w:ascii="Times New Roman" w:hAnsi="Times New Roman" w:eastAsia="宋体" w:cs="Times New Roman"/>
                <w:b w:val="0"/>
                <w:bCs/>
                <w:color w:val="auto"/>
                <w:sz w:val="21"/>
                <w:szCs w:val="21"/>
                <w:highlight w:val="none"/>
              </w:rPr>
            </w:pPr>
          </w:p>
        </w:tc>
        <w:tc>
          <w:tcPr>
            <w:tcW w:w="2013" w:type="pct"/>
            <w:vMerge w:val="continue"/>
            <w:tcBorders>
              <w:tl2br w:val="nil"/>
              <w:tr2bl w:val="nil"/>
            </w:tcBorders>
            <w:noWrap w:val="0"/>
            <w:vAlign w:val="center"/>
          </w:tcPr>
          <w:p w14:paraId="2FF3C7DC">
            <w:pPr>
              <w:spacing w:line="240" w:lineRule="auto"/>
              <w:ind w:left="0" w:leftChars="0" w:firstLine="0" w:firstLineChars="0"/>
              <w:jc w:val="center"/>
              <w:rPr>
                <w:rFonts w:hint="eastAsia" w:ascii="Times New Roman" w:hAnsi="Times New Roman" w:eastAsia="宋体" w:cs="Times New Roman"/>
                <w:b w:val="0"/>
                <w:bCs/>
                <w:color w:val="auto"/>
                <w:sz w:val="21"/>
                <w:szCs w:val="21"/>
                <w:highlight w:val="none"/>
              </w:rPr>
            </w:pPr>
          </w:p>
        </w:tc>
        <w:tc>
          <w:tcPr>
            <w:tcW w:w="1926" w:type="pct"/>
            <w:tcBorders>
              <w:tl2br w:val="nil"/>
              <w:tr2bl w:val="nil"/>
            </w:tcBorders>
            <w:noWrap w:val="0"/>
            <w:vAlign w:val="center"/>
          </w:tcPr>
          <w:p w14:paraId="66B53D7F">
            <w:pPr>
              <w:spacing w:line="240" w:lineRule="auto"/>
              <w:ind w:left="0" w:leftChars="0" w:firstLine="0" w:firstLineChars="0"/>
              <w:jc w:val="center"/>
              <w:rPr>
                <w:rFonts w:hint="eastAsia" w:ascii="Times New Roman" w:hAnsi="Times New Roman" w:eastAsia="宋体" w:cs="Times New Roman"/>
                <w:b w:val="0"/>
                <w:bCs/>
                <w:color w:val="auto"/>
                <w:sz w:val="21"/>
                <w:szCs w:val="21"/>
                <w:highlight w:val="none"/>
              </w:rPr>
            </w:pPr>
            <w:r>
              <w:rPr>
                <w:rFonts w:hint="eastAsia" w:ascii="Times New Roman" w:hAnsi="Times New Roman" w:eastAsia="宋体" w:cs="Times New Roman"/>
                <w:b w:val="0"/>
                <w:bCs/>
                <w:color w:val="auto"/>
                <w:sz w:val="21"/>
                <w:szCs w:val="21"/>
                <w:highlight w:val="none"/>
              </w:rPr>
              <w:t>低漫滩</w:t>
            </w:r>
          </w:p>
        </w:tc>
      </w:tr>
      <w:tr w14:paraId="2B6711A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1060" w:type="pct"/>
            <w:tcBorders>
              <w:tl2br w:val="nil"/>
              <w:tr2bl w:val="nil"/>
            </w:tcBorders>
            <w:noWrap w:val="0"/>
            <w:vAlign w:val="center"/>
          </w:tcPr>
          <w:p w14:paraId="352105C4">
            <w:pPr>
              <w:spacing w:line="240" w:lineRule="auto"/>
              <w:ind w:left="0" w:leftChars="0" w:firstLine="0" w:firstLineChars="0"/>
              <w:jc w:val="center"/>
              <w:rPr>
                <w:rFonts w:hint="eastAsia" w:ascii="Times New Roman" w:hAnsi="Times New Roman" w:eastAsia="宋体" w:cs="Times New Roman"/>
                <w:b w:val="0"/>
                <w:bCs/>
                <w:color w:val="auto"/>
                <w:sz w:val="21"/>
                <w:szCs w:val="21"/>
                <w:highlight w:val="none"/>
                <w:lang w:val="en-US" w:eastAsia="zh-CN"/>
              </w:rPr>
            </w:pPr>
            <w:r>
              <w:rPr>
                <w:rFonts w:hint="eastAsia" w:ascii="Times New Roman" w:hAnsi="Times New Roman" w:eastAsia="宋体" w:cs="Times New Roman"/>
                <w:b w:val="0"/>
                <w:bCs/>
                <w:color w:val="auto"/>
                <w:sz w:val="21"/>
                <w:szCs w:val="21"/>
                <w:highlight w:val="none"/>
                <w:lang w:val="en-US" w:eastAsia="zh-CN"/>
              </w:rPr>
              <w:t>山脉地貌</w:t>
            </w:r>
          </w:p>
        </w:tc>
        <w:tc>
          <w:tcPr>
            <w:tcW w:w="2013" w:type="pct"/>
            <w:tcBorders>
              <w:tl2br w:val="nil"/>
              <w:tr2bl w:val="nil"/>
            </w:tcBorders>
            <w:noWrap w:val="0"/>
            <w:vAlign w:val="center"/>
          </w:tcPr>
          <w:p w14:paraId="096D7D78">
            <w:pPr>
              <w:spacing w:line="240" w:lineRule="auto"/>
              <w:ind w:left="0" w:leftChars="0" w:firstLine="0" w:firstLineChars="0"/>
              <w:jc w:val="center"/>
              <w:rPr>
                <w:rFonts w:hint="eastAsia" w:ascii="Times New Roman" w:hAnsi="Times New Roman" w:eastAsia="宋体" w:cs="Times New Roman"/>
                <w:b w:val="0"/>
                <w:bCs/>
                <w:color w:val="auto"/>
                <w:sz w:val="21"/>
                <w:szCs w:val="21"/>
                <w:highlight w:val="none"/>
              </w:rPr>
            </w:pPr>
            <w:r>
              <w:rPr>
                <w:rFonts w:hint="eastAsia" w:ascii="Times New Roman" w:hAnsi="Times New Roman" w:eastAsia="宋体" w:cs="Times New Roman"/>
                <w:b w:val="0"/>
                <w:bCs/>
                <w:color w:val="auto"/>
                <w:sz w:val="21"/>
                <w:szCs w:val="21"/>
                <w:highlight w:val="none"/>
              </w:rPr>
              <w:t>低山丘陵地形</w:t>
            </w:r>
          </w:p>
        </w:tc>
        <w:tc>
          <w:tcPr>
            <w:tcW w:w="1926" w:type="pct"/>
            <w:tcBorders>
              <w:tl2br w:val="nil"/>
              <w:tr2bl w:val="nil"/>
            </w:tcBorders>
            <w:noWrap w:val="0"/>
            <w:vAlign w:val="center"/>
          </w:tcPr>
          <w:p w14:paraId="788C1355">
            <w:pPr>
              <w:spacing w:line="240" w:lineRule="auto"/>
              <w:ind w:left="0" w:leftChars="0" w:firstLine="0" w:firstLineChars="0"/>
              <w:jc w:val="center"/>
              <w:rPr>
                <w:rFonts w:hint="eastAsia" w:ascii="Times New Roman" w:hAnsi="Times New Roman" w:eastAsia="宋体" w:cs="Times New Roman"/>
                <w:b w:val="0"/>
                <w:bCs/>
                <w:color w:val="auto"/>
                <w:sz w:val="21"/>
                <w:szCs w:val="21"/>
                <w:highlight w:val="none"/>
                <w:lang w:val="en-US" w:eastAsia="zh-CN"/>
              </w:rPr>
            </w:pPr>
            <w:r>
              <w:rPr>
                <w:rFonts w:hint="eastAsia" w:ascii="Times New Roman" w:hAnsi="Times New Roman" w:eastAsia="宋体" w:cs="Times New Roman"/>
                <w:b w:val="0"/>
                <w:bCs/>
                <w:color w:val="auto"/>
                <w:sz w:val="21"/>
                <w:szCs w:val="21"/>
                <w:highlight w:val="none"/>
                <w:lang w:val="en-US" w:eastAsia="zh-CN"/>
              </w:rPr>
              <w:t>山地</w:t>
            </w:r>
          </w:p>
        </w:tc>
      </w:tr>
    </w:tbl>
    <w:p w14:paraId="5BBE63BC">
      <w:pPr>
        <w:pStyle w:val="4"/>
        <w:rPr>
          <w:color w:val="auto"/>
          <w:highlight w:val="none"/>
        </w:rPr>
      </w:pPr>
      <w:bookmarkStart w:id="27" w:name="_Toc6346"/>
      <w:r>
        <w:rPr>
          <w:rFonts w:hint="eastAsia"/>
          <w:color w:val="auto"/>
          <w:highlight w:val="none"/>
        </w:rPr>
        <w:t>2.1.</w:t>
      </w:r>
      <w:r>
        <w:rPr>
          <w:rFonts w:hint="eastAsia"/>
          <w:color w:val="auto"/>
          <w:highlight w:val="none"/>
          <w:lang w:val="en-US" w:eastAsia="zh-CN"/>
        </w:rPr>
        <w:t>5</w:t>
      </w:r>
      <w:r>
        <w:rPr>
          <w:color w:val="auto"/>
          <w:highlight w:val="none"/>
        </w:rPr>
        <w:t xml:space="preserve"> </w:t>
      </w:r>
      <w:r>
        <w:rPr>
          <w:rFonts w:hint="eastAsia"/>
          <w:color w:val="auto"/>
          <w:highlight w:val="none"/>
        </w:rPr>
        <w:t>土壤与植被资源</w:t>
      </w:r>
      <w:bookmarkEnd w:id="27"/>
    </w:p>
    <w:p w14:paraId="78FAD775">
      <w:pPr>
        <w:spacing w:line="360" w:lineRule="auto"/>
        <w:ind w:firstLine="472" w:firstLineChars="200"/>
        <w:rPr>
          <w:rFonts w:hint="eastAsia" w:ascii="Times New Roman" w:hAnsi="Times New Roman" w:eastAsia="宋体" w:cs="Times New Roman"/>
          <w:color w:val="auto"/>
          <w:highlight w:val="none"/>
        </w:rPr>
      </w:pPr>
      <w:r>
        <w:rPr>
          <w:rFonts w:hint="eastAsia" w:ascii="Times New Roman" w:hAnsi="Times New Roman" w:eastAsia="宋体" w:cs="Times New Roman"/>
          <w:color w:val="auto"/>
          <w:highlight w:val="none"/>
        </w:rPr>
        <w:t>庆安县的土壤，从侵蚀山地、侵蚀堆积台地到堆积河谷平原，呈有规律地分布着暗棕壤、白浆土及黑土等地带性土壤，并在这些地带性土壤中分布着草甸土、沼泽土及泥炭土等非地带性土壤。</w:t>
      </w:r>
    </w:p>
    <w:p w14:paraId="0C1356C6">
      <w:pPr>
        <w:spacing w:line="360" w:lineRule="auto"/>
        <w:ind w:firstLine="472" w:firstLineChars="200"/>
        <w:rPr>
          <w:rFonts w:hint="eastAsia" w:ascii="Times New Roman" w:hAnsi="Times New Roman" w:eastAsia="宋体" w:cs="Times New Roman"/>
          <w:color w:val="auto"/>
          <w:highlight w:val="none"/>
        </w:rPr>
      </w:pPr>
      <w:r>
        <w:rPr>
          <w:rFonts w:hint="eastAsia" w:ascii="Times New Roman" w:hAnsi="Times New Roman" w:eastAsia="宋体" w:cs="Times New Roman"/>
          <w:color w:val="auto"/>
          <w:highlight w:val="none"/>
        </w:rPr>
        <w:t>庆安县植被有3种类型。第一种类型为自然植被，即森林、草甸植被，位居侵蚀山地，地处县境南北两端的林业地区，总面积484.3万亩。</w:t>
      </w:r>
    </w:p>
    <w:p w14:paraId="7A738D53">
      <w:pPr>
        <w:spacing w:line="360" w:lineRule="auto"/>
        <w:ind w:firstLine="472" w:firstLineChars="200"/>
        <w:rPr>
          <w:rFonts w:hint="eastAsia" w:ascii="Times New Roman" w:hAnsi="Times New Roman" w:eastAsia="宋体" w:cs="Times New Roman"/>
          <w:color w:val="auto"/>
          <w:highlight w:val="none"/>
        </w:rPr>
      </w:pPr>
      <w:r>
        <w:rPr>
          <w:rFonts w:hint="eastAsia" w:ascii="Times New Roman" w:hAnsi="Times New Roman" w:eastAsia="宋体" w:cs="Times New Roman"/>
          <w:color w:val="auto"/>
          <w:highlight w:val="none"/>
        </w:rPr>
        <w:t>第二种类型为半自然、半人工植被，即草甸、灌丛及农作物植被。位于堆积台地，介于侵蚀山地与堆积平原之间，即南北近山区地带。</w:t>
      </w:r>
    </w:p>
    <w:p w14:paraId="064DA137">
      <w:pPr>
        <w:spacing w:line="360" w:lineRule="auto"/>
        <w:ind w:firstLine="472" w:firstLineChars="200"/>
        <w:rPr>
          <w:rFonts w:hint="eastAsia" w:ascii="Times New Roman" w:hAnsi="Times New Roman" w:eastAsia="宋体" w:cs="Times New Roman"/>
          <w:color w:val="auto"/>
          <w:highlight w:val="none"/>
          <w:lang w:val="en-US"/>
        </w:rPr>
      </w:pPr>
      <w:r>
        <w:rPr>
          <w:rFonts w:hint="eastAsia" w:ascii="Times New Roman" w:hAnsi="Times New Roman" w:eastAsia="宋体" w:cs="Times New Roman"/>
          <w:color w:val="auto"/>
          <w:highlight w:val="none"/>
        </w:rPr>
        <w:t>第三种类型为人工植被，位居沟谷堆积平原。其范围包括上述两种类型之外的广大农业区、城乡建筑群及道路旁，总面积为242万亩。</w:t>
      </w:r>
    </w:p>
    <w:p w14:paraId="2398C410">
      <w:pPr>
        <w:pStyle w:val="4"/>
        <w:rPr>
          <w:color w:val="auto"/>
          <w:highlight w:val="none"/>
        </w:rPr>
      </w:pPr>
      <w:bookmarkStart w:id="28" w:name="_Toc13178"/>
      <w:r>
        <w:rPr>
          <w:rFonts w:hint="eastAsia"/>
          <w:color w:val="auto"/>
          <w:highlight w:val="none"/>
        </w:rPr>
        <w:t>2.1.</w:t>
      </w:r>
      <w:r>
        <w:rPr>
          <w:color w:val="auto"/>
          <w:highlight w:val="none"/>
        </w:rPr>
        <w:t xml:space="preserve">6 </w:t>
      </w:r>
      <w:r>
        <w:rPr>
          <w:rFonts w:hint="eastAsia"/>
          <w:color w:val="auto"/>
          <w:highlight w:val="none"/>
        </w:rPr>
        <w:t>地质构造及地下水条件</w:t>
      </w:r>
      <w:bookmarkEnd w:id="28"/>
    </w:p>
    <w:p w14:paraId="1ABE83B7">
      <w:pPr>
        <w:pStyle w:val="5"/>
        <w:bidi w:val="0"/>
        <w:rPr>
          <w:rFonts w:hint="default" w:ascii="Times New Roman" w:hAnsi="Times New Roman" w:eastAsia="黑体" w:cs="Times New Roman"/>
          <w:color w:val="auto"/>
          <w:highlight w:val="none"/>
        </w:rPr>
      </w:pPr>
      <w:r>
        <w:rPr>
          <w:rFonts w:hint="default" w:ascii="Times New Roman" w:hAnsi="Times New Roman" w:eastAsia="黑体" w:cs="Times New Roman"/>
          <w:color w:val="auto"/>
          <w:highlight w:val="none"/>
        </w:rPr>
        <w:t>2.1.6.1地质构造</w:t>
      </w:r>
    </w:p>
    <w:p w14:paraId="0B692417">
      <w:pPr>
        <w:spacing w:line="360" w:lineRule="auto"/>
        <w:ind w:firstLine="472" w:firstLineChars="200"/>
        <w:rPr>
          <w:color w:val="auto"/>
          <w:szCs w:val="28"/>
          <w:highlight w:val="none"/>
        </w:rPr>
      </w:pPr>
      <w:r>
        <w:rPr>
          <w:color w:val="auto"/>
          <w:szCs w:val="28"/>
          <w:highlight w:val="none"/>
        </w:rPr>
        <w:t>本区大部</w:t>
      </w:r>
      <w:r>
        <w:rPr>
          <w:rFonts w:hint="eastAsia"/>
          <w:color w:val="auto"/>
          <w:szCs w:val="28"/>
          <w:highlight w:val="none"/>
          <w:lang w:eastAsia="zh-CN"/>
        </w:rPr>
        <w:t>分</w:t>
      </w:r>
      <w:r>
        <w:rPr>
          <w:color w:val="auto"/>
          <w:szCs w:val="28"/>
          <w:highlight w:val="none"/>
        </w:rPr>
        <w:t>由第四系松散岩层组成，仅西北部丘陵区出露有花岗岩</w:t>
      </w:r>
      <w:r>
        <w:rPr>
          <w:rFonts w:hint="eastAsia"/>
          <w:color w:val="auto"/>
          <w:szCs w:val="28"/>
          <w:highlight w:val="none"/>
        </w:rPr>
        <w:t>、</w:t>
      </w:r>
      <w:r>
        <w:rPr>
          <w:color w:val="auto"/>
          <w:szCs w:val="28"/>
          <w:highlight w:val="none"/>
        </w:rPr>
        <w:t>火山岩及变质岩，现将地层由老至新描述如下。</w:t>
      </w:r>
    </w:p>
    <w:p w14:paraId="2FAE1A6F">
      <w:pPr>
        <w:spacing w:line="360" w:lineRule="auto"/>
        <w:ind w:firstLine="472" w:firstLineChars="200"/>
        <w:rPr>
          <w:color w:val="auto"/>
          <w:szCs w:val="28"/>
          <w:highlight w:val="none"/>
        </w:rPr>
      </w:pPr>
      <w:r>
        <w:rPr>
          <w:rFonts w:hint="eastAsia"/>
          <w:color w:val="auto"/>
          <w:szCs w:val="28"/>
          <w:highlight w:val="none"/>
          <w:lang w:eastAsia="zh-CN"/>
        </w:rPr>
        <w:t>（</w:t>
      </w:r>
      <w:r>
        <w:rPr>
          <w:rFonts w:hint="eastAsia"/>
          <w:color w:val="auto"/>
          <w:szCs w:val="28"/>
          <w:highlight w:val="none"/>
          <w:lang w:val="en-US" w:eastAsia="zh-CN"/>
        </w:rPr>
        <w:t>1</w:t>
      </w:r>
      <w:r>
        <w:rPr>
          <w:rFonts w:hint="eastAsia"/>
          <w:color w:val="auto"/>
          <w:szCs w:val="28"/>
          <w:highlight w:val="none"/>
          <w:lang w:eastAsia="zh-CN"/>
        </w:rPr>
        <w:t>）</w:t>
      </w:r>
      <w:r>
        <w:rPr>
          <w:color w:val="auto"/>
          <w:szCs w:val="28"/>
          <w:highlight w:val="none"/>
        </w:rPr>
        <w:t>前第四系地层</w:t>
      </w:r>
    </w:p>
    <w:p w14:paraId="643E0C58">
      <w:pPr>
        <w:spacing w:line="360" w:lineRule="auto"/>
        <w:ind w:firstLine="472" w:firstLineChars="200"/>
        <w:rPr>
          <w:color w:val="auto"/>
          <w:szCs w:val="28"/>
          <w:highlight w:val="none"/>
        </w:rPr>
      </w:pPr>
      <w:r>
        <w:rPr>
          <w:rFonts w:hint="eastAsia"/>
          <w:color w:val="auto"/>
          <w:szCs w:val="28"/>
          <w:highlight w:val="none"/>
        </w:rPr>
        <w:t>1）</w:t>
      </w:r>
      <w:r>
        <w:rPr>
          <w:color w:val="auto"/>
          <w:szCs w:val="28"/>
          <w:highlight w:val="none"/>
        </w:rPr>
        <w:t>中生界白垩系地层：</w:t>
      </w:r>
    </w:p>
    <w:p w14:paraId="3FB3D04D">
      <w:pPr>
        <w:spacing w:line="360" w:lineRule="auto"/>
        <w:ind w:firstLine="472" w:firstLineChars="200"/>
        <w:rPr>
          <w:rFonts w:hint="eastAsia"/>
          <w:color w:val="auto"/>
          <w:szCs w:val="28"/>
          <w:highlight w:val="none"/>
        </w:rPr>
      </w:pPr>
      <w:r>
        <w:rPr>
          <w:rFonts w:hint="eastAsia" w:ascii="宋体" w:hAnsi="宋体"/>
          <w:color w:val="auto"/>
          <w:szCs w:val="28"/>
          <w:highlight w:val="none"/>
        </w:rPr>
        <w:t>①</w:t>
      </w:r>
      <w:r>
        <w:rPr>
          <w:color w:val="auto"/>
          <w:szCs w:val="28"/>
          <w:highlight w:val="none"/>
        </w:rPr>
        <w:t>下白垩统姚家组（K</w:t>
      </w:r>
      <w:r>
        <w:rPr>
          <w:color w:val="auto"/>
          <w:szCs w:val="28"/>
          <w:highlight w:val="none"/>
          <w:vertAlign w:val="subscript"/>
        </w:rPr>
        <w:t>1</w:t>
      </w:r>
      <w:r>
        <w:rPr>
          <w:color w:val="auto"/>
          <w:szCs w:val="28"/>
          <w:highlight w:val="none"/>
        </w:rPr>
        <w:t>c）</w:t>
      </w:r>
    </w:p>
    <w:p w14:paraId="1A00FC22">
      <w:pPr>
        <w:spacing w:line="360" w:lineRule="auto"/>
        <w:ind w:firstLine="472" w:firstLineChars="200"/>
        <w:rPr>
          <w:color w:val="auto"/>
          <w:szCs w:val="28"/>
          <w:highlight w:val="none"/>
        </w:rPr>
      </w:pPr>
      <w:r>
        <w:rPr>
          <w:color w:val="auto"/>
          <w:szCs w:val="28"/>
          <w:highlight w:val="none"/>
        </w:rPr>
        <w:t>本层主要见于钻孔中，地面露头很少，其岩性主要为砖红色砂质泥岩，块状，含少量砂质</w:t>
      </w:r>
      <w:r>
        <w:rPr>
          <w:rFonts w:hint="eastAsia"/>
          <w:color w:val="auto"/>
          <w:szCs w:val="28"/>
          <w:highlight w:val="none"/>
          <w:lang w:eastAsia="zh-CN"/>
        </w:rPr>
        <w:t>成分</w:t>
      </w:r>
      <w:r>
        <w:rPr>
          <w:color w:val="auto"/>
          <w:szCs w:val="28"/>
          <w:highlight w:val="none"/>
        </w:rPr>
        <w:t>，局部有钙质结核和少量的方解石细脉，其间夹棕红色及灰绿色粉细砂岩、砂砾岩及砂质泥岩薄层。岩石颗粒由北向南，由粗逐渐变细，而邻近盆地边缘地带砂质</w:t>
      </w:r>
      <w:r>
        <w:rPr>
          <w:rFonts w:hint="eastAsia"/>
          <w:color w:val="auto"/>
          <w:szCs w:val="28"/>
          <w:highlight w:val="none"/>
          <w:lang w:eastAsia="zh-CN"/>
        </w:rPr>
        <w:t>成分</w:t>
      </w:r>
      <w:r>
        <w:rPr>
          <w:color w:val="auto"/>
          <w:szCs w:val="28"/>
          <w:highlight w:val="none"/>
        </w:rPr>
        <w:t>增多，并超覆不整合于老地层之上，与上伏地层（伏龙泉组）在局部地区呈超覆不整合接触。</w:t>
      </w:r>
    </w:p>
    <w:p w14:paraId="17F8AA72">
      <w:pPr>
        <w:spacing w:line="360" w:lineRule="auto"/>
        <w:ind w:firstLine="472" w:firstLineChars="200"/>
        <w:rPr>
          <w:color w:val="auto"/>
          <w:szCs w:val="28"/>
          <w:highlight w:val="none"/>
        </w:rPr>
      </w:pPr>
      <w:r>
        <w:rPr>
          <w:color w:val="auto"/>
          <w:szCs w:val="28"/>
          <w:highlight w:val="none"/>
        </w:rPr>
        <w:t>现以庆安县十四道岗农场钻孔剖面为例，自上而下进行叙述：</w:t>
      </w:r>
    </w:p>
    <w:p w14:paraId="39A94FA5">
      <w:pPr>
        <w:spacing w:line="360" w:lineRule="auto"/>
        <w:ind w:firstLine="472" w:firstLineChars="200"/>
        <w:rPr>
          <w:color w:val="auto"/>
          <w:szCs w:val="28"/>
          <w:highlight w:val="none"/>
        </w:rPr>
      </w:pPr>
      <w:r>
        <w:rPr>
          <w:color w:val="auto"/>
          <w:szCs w:val="28"/>
          <w:highlight w:val="none"/>
        </w:rPr>
        <w:t>灰色粗砂岩</w:t>
      </w:r>
      <w:r>
        <w:rPr>
          <w:rFonts w:hint="eastAsia"/>
          <w:color w:val="auto"/>
          <w:szCs w:val="28"/>
          <w:highlight w:val="none"/>
          <w:lang w:eastAsia="zh-CN"/>
        </w:rPr>
        <w:t>、</w:t>
      </w:r>
      <w:r>
        <w:rPr>
          <w:color w:val="auto"/>
          <w:szCs w:val="28"/>
          <w:highlight w:val="none"/>
        </w:rPr>
        <w:t>高岭土胶结，块状较坚硬，砂粒分选性差，粗砂占70%，</w:t>
      </w:r>
      <w:r>
        <w:rPr>
          <w:rFonts w:hint="eastAsia"/>
          <w:color w:val="auto"/>
          <w:szCs w:val="28"/>
          <w:highlight w:val="none"/>
          <w:lang w:eastAsia="zh-CN"/>
        </w:rPr>
        <w:t>成分</w:t>
      </w:r>
      <w:r>
        <w:rPr>
          <w:color w:val="auto"/>
          <w:szCs w:val="28"/>
          <w:highlight w:val="none"/>
        </w:rPr>
        <w:t>以石英、长石为主，黑色矿物次之，中</w:t>
      </w:r>
      <w:r>
        <w:rPr>
          <w:rFonts w:hint="eastAsia"/>
          <w:color w:val="auto"/>
          <w:szCs w:val="28"/>
          <w:highlight w:val="none"/>
          <w:lang w:val="en-US" w:eastAsia="zh-CN"/>
        </w:rPr>
        <w:t xml:space="preserve"> </w:t>
      </w:r>
      <w:r>
        <w:rPr>
          <w:color w:val="auto"/>
          <w:szCs w:val="28"/>
          <w:highlight w:val="none"/>
        </w:rPr>
        <w:t>夹薄层紫红色泥质粉砂岩，厚5.99米。</w:t>
      </w:r>
    </w:p>
    <w:p w14:paraId="20E45A6A">
      <w:pPr>
        <w:spacing w:line="360" w:lineRule="auto"/>
        <w:ind w:firstLine="472" w:firstLineChars="200"/>
        <w:rPr>
          <w:color w:val="auto"/>
          <w:szCs w:val="28"/>
          <w:highlight w:val="none"/>
        </w:rPr>
      </w:pPr>
      <w:r>
        <w:rPr>
          <w:color w:val="auto"/>
          <w:szCs w:val="28"/>
          <w:highlight w:val="none"/>
        </w:rPr>
        <w:t>棕红色细砂岩，具灰色斑点，泥质胶结坚硬块状，夹薄层深灰色含小砾石</w:t>
      </w:r>
      <w:r>
        <w:rPr>
          <w:rFonts w:hint="eastAsia"/>
          <w:color w:val="auto"/>
          <w:szCs w:val="28"/>
          <w:highlight w:val="none"/>
          <w:lang w:val="en-US" w:eastAsia="zh-CN"/>
        </w:rPr>
        <w:t>的</w:t>
      </w:r>
      <w:r>
        <w:rPr>
          <w:color w:val="auto"/>
          <w:szCs w:val="28"/>
          <w:highlight w:val="none"/>
        </w:rPr>
        <w:t>砂质泥岩，厚6.3米。</w:t>
      </w:r>
    </w:p>
    <w:p w14:paraId="58BDC69B">
      <w:pPr>
        <w:spacing w:line="360" w:lineRule="auto"/>
        <w:ind w:firstLine="472" w:firstLineChars="200"/>
        <w:rPr>
          <w:color w:val="auto"/>
          <w:szCs w:val="28"/>
          <w:highlight w:val="none"/>
        </w:rPr>
      </w:pPr>
      <w:r>
        <w:rPr>
          <w:color w:val="auto"/>
          <w:szCs w:val="28"/>
          <w:highlight w:val="none"/>
        </w:rPr>
        <w:t>灰红褐色中细砂岩、粉砂岩</w:t>
      </w:r>
      <w:r>
        <w:rPr>
          <w:rFonts w:hint="eastAsia"/>
          <w:color w:val="auto"/>
          <w:szCs w:val="28"/>
          <w:highlight w:val="none"/>
          <w:lang w:eastAsia="zh-CN"/>
        </w:rPr>
        <w:t>、</w:t>
      </w:r>
      <w:r>
        <w:rPr>
          <w:color w:val="auto"/>
          <w:szCs w:val="28"/>
          <w:highlight w:val="none"/>
        </w:rPr>
        <w:t>泥质粉砂岩互层，致密块状，底部夹少量的小砾石和粗砂，厚11</w:t>
      </w:r>
      <w:r>
        <w:rPr>
          <w:rFonts w:hint="eastAsia"/>
          <w:color w:val="auto"/>
          <w:szCs w:val="28"/>
          <w:highlight w:val="none"/>
          <w:lang w:val="en-US" w:eastAsia="zh-CN"/>
        </w:rPr>
        <w:t>.</w:t>
      </w:r>
      <w:r>
        <w:rPr>
          <w:color w:val="auto"/>
          <w:szCs w:val="28"/>
          <w:highlight w:val="none"/>
        </w:rPr>
        <w:t>02米。</w:t>
      </w:r>
    </w:p>
    <w:p w14:paraId="1DCFF746">
      <w:pPr>
        <w:spacing w:line="360" w:lineRule="auto"/>
        <w:ind w:firstLine="472" w:firstLineChars="200"/>
        <w:rPr>
          <w:color w:val="auto"/>
          <w:szCs w:val="28"/>
          <w:highlight w:val="none"/>
        </w:rPr>
      </w:pPr>
      <w:r>
        <w:rPr>
          <w:color w:val="auto"/>
          <w:szCs w:val="28"/>
          <w:highlight w:val="none"/>
        </w:rPr>
        <w:t>棕红色、灰绿色粉砂质泥岩，块状，含砂量不均，下部夹少量粗砂和小砾石，厚11.96米。</w:t>
      </w:r>
    </w:p>
    <w:p w14:paraId="604FB36B">
      <w:pPr>
        <w:spacing w:line="360" w:lineRule="auto"/>
        <w:ind w:firstLine="472" w:firstLineChars="200"/>
        <w:rPr>
          <w:color w:val="auto"/>
          <w:szCs w:val="28"/>
          <w:highlight w:val="none"/>
        </w:rPr>
      </w:pPr>
      <w:r>
        <w:rPr>
          <w:color w:val="auto"/>
          <w:szCs w:val="28"/>
          <w:highlight w:val="none"/>
        </w:rPr>
        <w:t>灰色、微红色中细砂岩，泥质胶结，分选不佳，厚242米。</w:t>
      </w:r>
    </w:p>
    <w:p w14:paraId="27D53392">
      <w:pPr>
        <w:spacing w:line="360" w:lineRule="auto"/>
        <w:ind w:firstLine="472" w:firstLineChars="200"/>
        <w:rPr>
          <w:color w:val="auto"/>
          <w:szCs w:val="28"/>
          <w:highlight w:val="none"/>
        </w:rPr>
      </w:pPr>
      <w:r>
        <w:rPr>
          <w:color w:val="auto"/>
          <w:szCs w:val="28"/>
          <w:highlight w:val="none"/>
        </w:rPr>
        <w:t>棕红色泥质粉砂岩，其间夹灰色条带，致密块状，下部夹薄层中细砂岩，厚1</w:t>
      </w:r>
      <w:r>
        <w:rPr>
          <w:rFonts w:hint="eastAsia"/>
          <w:color w:val="auto"/>
          <w:szCs w:val="28"/>
          <w:highlight w:val="none"/>
          <w:lang w:val="en-US" w:eastAsia="zh-CN"/>
        </w:rPr>
        <w:t>4.</w:t>
      </w:r>
      <w:r>
        <w:rPr>
          <w:color w:val="auto"/>
          <w:szCs w:val="28"/>
          <w:highlight w:val="none"/>
        </w:rPr>
        <w:t>37米。</w:t>
      </w:r>
    </w:p>
    <w:p w14:paraId="34F5AB01">
      <w:pPr>
        <w:spacing w:line="360" w:lineRule="auto"/>
        <w:ind w:firstLine="472" w:firstLineChars="200"/>
        <w:rPr>
          <w:color w:val="auto"/>
          <w:szCs w:val="28"/>
          <w:highlight w:val="none"/>
        </w:rPr>
      </w:pPr>
      <w:r>
        <w:rPr>
          <w:color w:val="auto"/>
          <w:szCs w:val="28"/>
          <w:highlight w:val="none"/>
        </w:rPr>
        <w:t>灰白色细砂岩，高岭土胶结，坚硬块状，厚21米。</w:t>
      </w:r>
    </w:p>
    <w:p w14:paraId="3E398B01">
      <w:pPr>
        <w:spacing w:line="360" w:lineRule="auto"/>
        <w:ind w:firstLine="472" w:firstLineChars="200"/>
        <w:rPr>
          <w:color w:val="auto"/>
          <w:szCs w:val="28"/>
          <w:highlight w:val="none"/>
        </w:rPr>
      </w:pPr>
      <w:r>
        <w:rPr>
          <w:color w:val="auto"/>
          <w:szCs w:val="28"/>
          <w:highlight w:val="none"/>
        </w:rPr>
        <w:t>棕红色粉砂质泥岩，块状较致密，其间夹薄层粉砂岩，厚14.37米。</w:t>
      </w:r>
    </w:p>
    <w:p w14:paraId="54BE6E02">
      <w:pPr>
        <w:spacing w:line="360" w:lineRule="auto"/>
        <w:ind w:firstLine="472" w:firstLineChars="200"/>
        <w:rPr>
          <w:color w:val="auto"/>
          <w:szCs w:val="28"/>
          <w:highlight w:val="none"/>
        </w:rPr>
      </w:pPr>
      <w:r>
        <w:rPr>
          <w:color w:val="auto"/>
          <w:szCs w:val="28"/>
          <w:highlight w:val="none"/>
        </w:rPr>
        <w:t>灰白色微显肉红色砂砾岩，钙质胶结，质地坚硬，砾石占60%，磨</w:t>
      </w:r>
      <w:r>
        <w:rPr>
          <w:rFonts w:hint="eastAsia"/>
          <w:color w:val="auto"/>
          <w:szCs w:val="28"/>
          <w:highlight w:val="none"/>
        </w:rPr>
        <w:t>圆度</w:t>
      </w:r>
      <w:r>
        <w:rPr>
          <w:color w:val="auto"/>
          <w:szCs w:val="28"/>
          <w:highlight w:val="none"/>
        </w:rPr>
        <w:t>不佳，呈棱角状及半棱角状，</w:t>
      </w:r>
      <w:r>
        <w:rPr>
          <w:rFonts w:hint="eastAsia"/>
          <w:color w:val="auto"/>
          <w:szCs w:val="28"/>
          <w:highlight w:val="none"/>
          <w:lang w:eastAsia="zh-CN"/>
        </w:rPr>
        <w:t>成分</w:t>
      </w:r>
      <w:r>
        <w:rPr>
          <w:color w:val="auto"/>
          <w:szCs w:val="28"/>
          <w:highlight w:val="none"/>
        </w:rPr>
        <w:t>为石英质，中酸性火山岩及变质岩等，厚0.5米。</w:t>
      </w:r>
    </w:p>
    <w:p w14:paraId="46B100D3">
      <w:pPr>
        <w:spacing w:line="360" w:lineRule="auto"/>
        <w:ind w:firstLine="472" w:firstLineChars="200"/>
        <w:rPr>
          <w:color w:val="auto"/>
          <w:szCs w:val="28"/>
          <w:highlight w:val="none"/>
        </w:rPr>
      </w:pPr>
      <w:r>
        <w:rPr>
          <w:color w:val="auto"/>
          <w:szCs w:val="28"/>
          <w:highlight w:val="none"/>
        </w:rPr>
        <w:t>棕红色泥质粉砂岩，块状，岩质松软，泥质含量不均，夹灰色粉砂岩碎块，厚0.72米。</w:t>
      </w:r>
    </w:p>
    <w:p w14:paraId="7265FFD2">
      <w:pPr>
        <w:spacing w:line="360" w:lineRule="auto"/>
        <w:ind w:firstLine="472" w:firstLineChars="200"/>
        <w:rPr>
          <w:rFonts w:ascii="宋体" w:hAnsi="宋体"/>
          <w:color w:val="auto"/>
          <w:szCs w:val="28"/>
          <w:highlight w:val="none"/>
        </w:rPr>
      </w:pPr>
      <w:r>
        <w:rPr>
          <w:color w:val="auto"/>
          <w:szCs w:val="28"/>
          <w:highlight w:val="none"/>
        </w:rPr>
        <w:t>上伏第四系堆积物，厚34.23米。</w:t>
      </w:r>
    </w:p>
    <w:p w14:paraId="5ACE9B79">
      <w:pPr>
        <w:spacing w:line="360" w:lineRule="auto"/>
        <w:ind w:firstLine="472" w:firstLineChars="200"/>
        <w:rPr>
          <w:rFonts w:hint="eastAsia"/>
          <w:color w:val="auto"/>
          <w:szCs w:val="28"/>
          <w:highlight w:val="none"/>
        </w:rPr>
      </w:pPr>
      <w:r>
        <w:rPr>
          <w:rFonts w:hint="eastAsia" w:ascii="宋体" w:hAnsi="宋体"/>
          <w:color w:val="auto"/>
          <w:szCs w:val="28"/>
          <w:highlight w:val="none"/>
        </w:rPr>
        <w:t>②</w:t>
      </w:r>
      <w:r>
        <w:rPr>
          <w:color w:val="auto"/>
          <w:szCs w:val="28"/>
          <w:highlight w:val="none"/>
        </w:rPr>
        <w:t>下白垩统伏龙泉组（K</w:t>
      </w:r>
      <w:r>
        <w:rPr>
          <w:color w:val="auto"/>
          <w:szCs w:val="28"/>
          <w:highlight w:val="none"/>
          <w:vertAlign w:val="subscript"/>
        </w:rPr>
        <w:t>1</w:t>
      </w:r>
      <w:r>
        <w:rPr>
          <w:color w:val="auto"/>
          <w:szCs w:val="28"/>
          <w:highlight w:val="none"/>
        </w:rPr>
        <w:t>d）</w:t>
      </w:r>
    </w:p>
    <w:p w14:paraId="4D29DD24">
      <w:pPr>
        <w:spacing w:line="360" w:lineRule="auto"/>
        <w:ind w:firstLine="472" w:firstLineChars="200"/>
        <w:rPr>
          <w:color w:val="auto"/>
          <w:szCs w:val="28"/>
          <w:highlight w:val="none"/>
        </w:rPr>
      </w:pPr>
      <w:r>
        <w:rPr>
          <w:color w:val="auto"/>
          <w:szCs w:val="28"/>
          <w:highlight w:val="none"/>
        </w:rPr>
        <w:t>主要为深灰色、灰黑色的块状泥岩，粉砂岩、砂质泥岩、泥页岩，其间夹有棕红色的粉砂质泥岩泥石薄层，岩石颗粒由下向上逐渐变粗，化石含量较丰富，常聚集成化石层，其中见有黄铁矿小晶体及结核，局部含钙质。此层分布广，厚度大，产状平缓，一般为3</w:t>
      </w:r>
      <w:r>
        <w:rPr>
          <w:rFonts w:hint="eastAsia" w:ascii="宋体" w:hAnsi="宋体"/>
          <w:color w:val="auto"/>
          <w:szCs w:val="28"/>
          <w:highlight w:val="none"/>
        </w:rPr>
        <w:t>～</w:t>
      </w:r>
      <w:r>
        <w:rPr>
          <w:color w:val="auto"/>
          <w:szCs w:val="28"/>
          <w:highlight w:val="none"/>
        </w:rPr>
        <w:t>10度。沉积环境较稳定，为还原条件下的产物，厚度为400</w:t>
      </w:r>
      <w:r>
        <w:rPr>
          <w:rFonts w:hint="eastAsia" w:ascii="宋体" w:hAnsi="宋体"/>
          <w:color w:val="auto"/>
          <w:szCs w:val="28"/>
          <w:highlight w:val="none"/>
        </w:rPr>
        <w:t>～</w:t>
      </w:r>
      <w:r>
        <w:rPr>
          <w:color w:val="auto"/>
          <w:szCs w:val="28"/>
          <w:highlight w:val="none"/>
        </w:rPr>
        <w:t>500米。与下伏古老地层呈超覆不整合接触，特别是靠近东部山前地带更为明显。该组地层自下而上有着明显的变化规律性，现将其划分成三个段（即K</w:t>
      </w:r>
      <w:r>
        <w:rPr>
          <w:color w:val="auto"/>
          <w:szCs w:val="28"/>
          <w:highlight w:val="none"/>
          <w:vertAlign w:val="subscript"/>
        </w:rPr>
        <w:t>1</w:t>
      </w:r>
      <w:r>
        <w:rPr>
          <w:color w:val="auto"/>
          <w:szCs w:val="28"/>
          <w:highlight w:val="none"/>
        </w:rPr>
        <w:t xml:space="preserve"> d</w:t>
      </w:r>
      <w:r>
        <w:rPr>
          <w:color w:val="auto"/>
          <w:szCs w:val="28"/>
          <w:highlight w:val="none"/>
          <w:vertAlign w:val="subscript"/>
        </w:rPr>
        <w:t>1+2</w:t>
      </w:r>
      <w:r>
        <w:rPr>
          <w:color w:val="auto"/>
          <w:szCs w:val="28"/>
          <w:highlight w:val="none"/>
        </w:rPr>
        <w:t>，K</w:t>
      </w:r>
      <w:r>
        <w:rPr>
          <w:color w:val="auto"/>
          <w:szCs w:val="28"/>
          <w:highlight w:val="none"/>
          <w:vertAlign w:val="subscript"/>
        </w:rPr>
        <w:t>1</w:t>
      </w:r>
      <w:r>
        <w:rPr>
          <w:color w:val="auto"/>
          <w:szCs w:val="28"/>
          <w:highlight w:val="none"/>
        </w:rPr>
        <w:t xml:space="preserve"> d</w:t>
      </w:r>
      <w:r>
        <w:rPr>
          <w:color w:val="auto"/>
          <w:szCs w:val="28"/>
          <w:highlight w:val="none"/>
          <w:vertAlign w:val="subscript"/>
        </w:rPr>
        <w:t>3</w:t>
      </w:r>
      <w:r>
        <w:rPr>
          <w:color w:val="auto"/>
          <w:szCs w:val="28"/>
          <w:highlight w:val="none"/>
        </w:rPr>
        <w:t>，K</w:t>
      </w:r>
      <w:r>
        <w:rPr>
          <w:color w:val="auto"/>
          <w:szCs w:val="28"/>
          <w:highlight w:val="none"/>
          <w:vertAlign w:val="subscript"/>
        </w:rPr>
        <w:t>1</w:t>
      </w:r>
      <w:r>
        <w:rPr>
          <w:color w:val="auto"/>
          <w:szCs w:val="28"/>
          <w:highlight w:val="none"/>
        </w:rPr>
        <w:t xml:space="preserve"> d</w:t>
      </w:r>
      <w:r>
        <w:rPr>
          <w:color w:val="auto"/>
          <w:szCs w:val="28"/>
          <w:highlight w:val="none"/>
          <w:vertAlign w:val="subscript"/>
        </w:rPr>
        <w:t>4</w:t>
      </w:r>
      <w:r>
        <w:rPr>
          <w:color w:val="auto"/>
          <w:szCs w:val="28"/>
          <w:highlight w:val="none"/>
        </w:rPr>
        <w:t>）分述如下：</w:t>
      </w:r>
    </w:p>
    <w:p w14:paraId="60AFCC10">
      <w:pPr>
        <w:spacing w:line="360" w:lineRule="auto"/>
        <w:ind w:firstLine="472" w:firstLineChars="200"/>
        <w:rPr>
          <w:color w:val="auto"/>
          <w:szCs w:val="28"/>
          <w:highlight w:val="none"/>
        </w:rPr>
      </w:pPr>
      <w:r>
        <w:rPr>
          <w:color w:val="auto"/>
          <w:szCs w:val="28"/>
          <w:highlight w:val="none"/>
        </w:rPr>
        <w:t>伏龙泉组下部（K</w:t>
      </w:r>
      <w:r>
        <w:rPr>
          <w:color w:val="auto"/>
          <w:szCs w:val="28"/>
          <w:highlight w:val="none"/>
          <w:vertAlign w:val="subscript"/>
        </w:rPr>
        <w:t>1</w:t>
      </w:r>
      <w:r>
        <w:rPr>
          <w:color w:val="auto"/>
          <w:szCs w:val="28"/>
          <w:highlight w:val="none"/>
        </w:rPr>
        <w:t>d</w:t>
      </w:r>
      <w:r>
        <w:rPr>
          <w:color w:val="auto"/>
          <w:szCs w:val="28"/>
          <w:highlight w:val="none"/>
          <w:vertAlign w:val="subscript"/>
        </w:rPr>
        <w:t>1+2</w:t>
      </w:r>
      <w:r>
        <w:rPr>
          <w:color w:val="auto"/>
          <w:szCs w:val="28"/>
          <w:highlight w:val="none"/>
        </w:rPr>
        <w:t>）：地表无露头。主要为灰黑及灰绿色的块状或层状泥页岩、粉砂质泥岩组成，间夹灰色粉砂岩及泥质粉砂岩薄层。岩层中富含岩屑、叶肢介、介形虫及大个螺蚌化石，间夹薄层化石层。局部见黄铁矿小晶体及结核，含少量的钙质结核，厚度大于100米。</w:t>
      </w:r>
    </w:p>
    <w:p w14:paraId="21CEE239">
      <w:pPr>
        <w:spacing w:line="360" w:lineRule="auto"/>
        <w:ind w:firstLine="472" w:firstLineChars="200"/>
        <w:rPr>
          <w:color w:val="auto"/>
          <w:szCs w:val="28"/>
          <w:highlight w:val="none"/>
        </w:rPr>
      </w:pPr>
      <w:r>
        <w:rPr>
          <w:color w:val="auto"/>
          <w:szCs w:val="28"/>
          <w:highlight w:val="none"/>
        </w:rPr>
        <w:t>伏龙泉组中部（K</w:t>
      </w:r>
      <w:r>
        <w:rPr>
          <w:color w:val="auto"/>
          <w:szCs w:val="28"/>
          <w:highlight w:val="none"/>
          <w:vertAlign w:val="subscript"/>
        </w:rPr>
        <w:t>1</w:t>
      </w:r>
      <w:r>
        <w:rPr>
          <w:color w:val="auto"/>
          <w:szCs w:val="28"/>
          <w:highlight w:val="none"/>
        </w:rPr>
        <w:t>d</w:t>
      </w:r>
      <w:r>
        <w:rPr>
          <w:color w:val="auto"/>
          <w:szCs w:val="28"/>
          <w:highlight w:val="none"/>
          <w:vertAlign w:val="subscript"/>
        </w:rPr>
        <w:t>3</w:t>
      </w:r>
      <w:r>
        <w:rPr>
          <w:color w:val="auto"/>
          <w:szCs w:val="28"/>
          <w:highlight w:val="none"/>
        </w:rPr>
        <w:t>）：呈北东南西向条带状分布，地表仅有零星出露，主要由深灰色、灰黑色的块状泥岩、粉砂质泥岩组成。其间夹片状及薄展状泥页岩及粉砂岩，底部见薄层紫红色泥岩，化石较丰富，主要为叶肢介、介形虫及塔形螺、鱼化石，并见有黄铁矿小晶体及结核</w:t>
      </w:r>
      <w:r>
        <w:rPr>
          <w:rFonts w:hint="eastAsia"/>
          <w:color w:val="auto"/>
          <w:szCs w:val="28"/>
          <w:highlight w:val="none"/>
          <w:lang w:eastAsia="zh-CN"/>
        </w:rPr>
        <w:t>，</w:t>
      </w:r>
      <w:r>
        <w:rPr>
          <w:color w:val="auto"/>
          <w:szCs w:val="28"/>
          <w:highlight w:val="none"/>
        </w:rPr>
        <w:t>厚度100</w:t>
      </w:r>
      <w:r>
        <w:rPr>
          <w:rFonts w:hint="eastAsia" w:ascii="宋体" w:hAnsi="宋体"/>
          <w:color w:val="auto"/>
          <w:szCs w:val="28"/>
          <w:highlight w:val="none"/>
        </w:rPr>
        <w:t>～</w:t>
      </w:r>
      <w:r>
        <w:rPr>
          <w:color w:val="auto"/>
          <w:szCs w:val="28"/>
          <w:highlight w:val="none"/>
        </w:rPr>
        <w:t>150米。</w:t>
      </w:r>
    </w:p>
    <w:p w14:paraId="340EA4FA">
      <w:pPr>
        <w:spacing w:line="360" w:lineRule="auto"/>
        <w:ind w:firstLine="472" w:firstLineChars="200"/>
        <w:rPr>
          <w:color w:val="auto"/>
          <w:szCs w:val="28"/>
          <w:highlight w:val="none"/>
        </w:rPr>
      </w:pPr>
      <w:r>
        <w:rPr>
          <w:color w:val="auto"/>
          <w:szCs w:val="28"/>
          <w:highlight w:val="none"/>
        </w:rPr>
        <w:t>伏龙泉组上部（K</w:t>
      </w:r>
      <w:r>
        <w:rPr>
          <w:color w:val="auto"/>
          <w:szCs w:val="28"/>
          <w:highlight w:val="none"/>
          <w:vertAlign w:val="subscript"/>
        </w:rPr>
        <w:t>1</w:t>
      </w:r>
      <w:r>
        <w:rPr>
          <w:color w:val="auto"/>
          <w:szCs w:val="28"/>
          <w:highlight w:val="none"/>
        </w:rPr>
        <w:t>d</w:t>
      </w:r>
      <w:r>
        <w:rPr>
          <w:color w:val="auto"/>
          <w:szCs w:val="28"/>
          <w:highlight w:val="none"/>
          <w:vertAlign w:val="subscript"/>
        </w:rPr>
        <w:t>4</w:t>
      </w:r>
      <w:r>
        <w:rPr>
          <w:color w:val="auto"/>
          <w:szCs w:val="28"/>
          <w:highlight w:val="none"/>
        </w:rPr>
        <w:t>）：地表零星出露，多见于钻孔中，为浅灰、灰黑及灰黄绿色的块状粉砂岩及粉砂层泥岩、泥岩组成。局部夹灰白色钙质中粒砂岩及泥页岩薄层。其中含有黄铁矿水晶体及结核，化石主要有介形虫及斧足类化石，厚度为200</w:t>
      </w:r>
      <w:r>
        <w:rPr>
          <w:rFonts w:hint="eastAsia" w:ascii="宋体" w:hAnsi="宋体"/>
          <w:color w:val="auto"/>
          <w:szCs w:val="28"/>
          <w:highlight w:val="none"/>
        </w:rPr>
        <w:t>～</w:t>
      </w:r>
      <w:r>
        <w:rPr>
          <w:color w:val="auto"/>
          <w:szCs w:val="28"/>
          <w:highlight w:val="none"/>
        </w:rPr>
        <w:t>250米。</w:t>
      </w:r>
    </w:p>
    <w:p w14:paraId="6E75E29E">
      <w:pPr>
        <w:spacing w:line="360" w:lineRule="auto"/>
        <w:ind w:firstLine="472" w:firstLineChars="200"/>
        <w:rPr>
          <w:color w:val="auto"/>
          <w:szCs w:val="28"/>
          <w:highlight w:val="none"/>
        </w:rPr>
      </w:pPr>
      <w:r>
        <w:rPr>
          <w:color w:val="auto"/>
          <w:szCs w:val="28"/>
          <w:highlight w:val="none"/>
        </w:rPr>
        <w:t>综上所述，伏龙泉组岩性、化石类别及其形态趋于一致，在沉积颗粒上有着由细到粗的渐变规律，北部邻近山区岩石颗粒较粗，砂质</w:t>
      </w:r>
      <w:r>
        <w:rPr>
          <w:rFonts w:hint="eastAsia"/>
          <w:color w:val="auto"/>
          <w:szCs w:val="28"/>
          <w:highlight w:val="none"/>
          <w:lang w:eastAsia="zh-CN"/>
        </w:rPr>
        <w:t>成分</w:t>
      </w:r>
      <w:r>
        <w:rPr>
          <w:color w:val="auto"/>
          <w:szCs w:val="28"/>
          <w:highlight w:val="none"/>
        </w:rPr>
        <w:t>增多，愈向平原中心颗粒较细，且泥质</w:t>
      </w:r>
      <w:r>
        <w:rPr>
          <w:rFonts w:hint="eastAsia"/>
          <w:color w:val="auto"/>
          <w:szCs w:val="28"/>
          <w:highlight w:val="none"/>
          <w:lang w:eastAsia="zh-CN"/>
        </w:rPr>
        <w:t>成分</w:t>
      </w:r>
      <w:r>
        <w:rPr>
          <w:color w:val="auto"/>
          <w:szCs w:val="28"/>
          <w:highlight w:val="none"/>
        </w:rPr>
        <w:t>增加，地层厚度增大。因而决定了本组地层在储水条件上有着相当大的差别，</w:t>
      </w:r>
      <w:r>
        <w:rPr>
          <w:rFonts w:hint="eastAsia"/>
          <w:color w:val="auto"/>
          <w:szCs w:val="28"/>
          <w:highlight w:val="none"/>
          <w:lang w:eastAsia="zh-CN"/>
        </w:rPr>
        <w:t>即</w:t>
      </w:r>
      <w:r>
        <w:rPr>
          <w:color w:val="auto"/>
          <w:szCs w:val="28"/>
          <w:highlight w:val="none"/>
        </w:rPr>
        <w:t>愈往上部富水性就愈强，其下部就很弱。</w:t>
      </w:r>
    </w:p>
    <w:p w14:paraId="15D5C825">
      <w:pPr>
        <w:spacing w:line="360" w:lineRule="auto"/>
        <w:ind w:firstLine="472" w:firstLineChars="200"/>
        <w:rPr>
          <w:rFonts w:hint="eastAsia"/>
          <w:color w:val="auto"/>
          <w:szCs w:val="28"/>
          <w:highlight w:val="none"/>
        </w:rPr>
      </w:pPr>
      <w:r>
        <w:rPr>
          <w:rFonts w:hint="eastAsia" w:ascii="宋体" w:hAnsi="宋体"/>
          <w:color w:val="auto"/>
          <w:szCs w:val="28"/>
          <w:highlight w:val="none"/>
        </w:rPr>
        <w:t>③</w:t>
      </w:r>
      <w:r>
        <w:rPr>
          <w:color w:val="auto"/>
          <w:szCs w:val="28"/>
          <w:highlight w:val="none"/>
        </w:rPr>
        <w:t>上白垩统四方台组</w:t>
      </w:r>
    </w:p>
    <w:p w14:paraId="0D60EC18">
      <w:pPr>
        <w:spacing w:line="360" w:lineRule="auto"/>
        <w:ind w:firstLine="472" w:firstLineChars="200"/>
        <w:rPr>
          <w:color w:val="auto"/>
          <w:szCs w:val="28"/>
          <w:highlight w:val="none"/>
        </w:rPr>
      </w:pPr>
      <w:r>
        <w:rPr>
          <w:color w:val="auto"/>
          <w:szCs w:val="28"/>
          <w:highlight w:val="none"/>
        </w:rPr>
        <w:t>沿呼兰河右岸断续出露，多见于钻孔中，主要为浅棕红色、暗红色及灰绿色的块状粉砂岩，粉砂质泥岩、泥质粉砂岩，其间夹泥灰岩及泥砾岩薄层（厚1</w:t>
      </w:r>
      <w:r>
        <w:rPr>
          <w:rFonts w:hint="eastAsia" w:ascii="宋体" w:hAnsi="宋体"/>
          <w:color w:val="auto"/>
          <w:szCs w:val="28"/>
          <w:highlight w:val="none"/>
        </w:rPr>
        <w:t>～</w:t>
      </w:r>
      <w:r>
        <w:rPr>
          <w:color w:val="auto"/>
          <w:szCs w:val="28"/>
          <w:highlight w:val="none"/>
        </w:rPr>
        <w:t>10米）。该组地层上部有黄铁矿小晶体及结核，并含较丰富的植物化石及蚌类化石，地层厚度为1000米左右，厚度为300</w:t>
      </w:r>
      <w:r>
        <w:rPr>
          <w:rFonts w:hint="eastAsia" w:ascii="宋体" w:hAnsi="宋体"/>
          <w:color w:val="auto"/>
          <w:szCs w:val="28"/>
          <w:highlight w:val="none"/>
        </w:rPr>
        <w:t>～</w:t>
      </w:r>
      <w:r>
        <w:rPr>
          <w:color w:val="auto"/>
          <w:szCs w:val="28"/>
          <w:highlight w:val="none"/>
        </w:rPr>
        <w:t>400米。将本区地层划分两段进行叙述：</w:t>
      </w:r>
    </w:p>
    <w:p w14:paraId="63700B7F">
      <w:pPr>
        <w:spacing w:line="360" w:lineRule="auto"/>
        <w:ind w:firstLine="472" w:firstLineChars="200"/>
        <w:rPr>
          <w:color w:val="auto"/>
          <w:szCs w:val="28"/>
          <w:highlight w:val="none"/>
        </w:rPr>
      </w:pPr>
      <w:r>
        <w:rPr>
          <w:rFonts w:hint="eastAsia"/>
          <w:color w:val="auto"/>
          <w:szCs w:val="28"/>
          <w:highlight w:val="none"/>
          <w:lang w:val="en-US" w:eastAsia="zh-CN"/>
        </w:rPr>
        <w:t>a</w:t>
      </w:r>
      <w:r>
        <w:rPr>
          <w:rFonts w:hint="eastAsia"/>
          <w:color w:val="auto"/>
          <w:szCs w:val="28"/>
          <w:highlight w:val="none"/>
          <w:lang w:eastAsia="zh-CN"/>
        </w:rPr>
        <w:t>）</w:t>
      </w:r>
      <w:r>
        <w:rPr>
          <w:color w:val="auto"/>
          <w:szCs w:val="28"/>
          <w:highlight w:val="none"/>
        </w:rPr>
        <w:t>四方合组中部（K</w:t>
      </w:r>
      <w:r>
        <w:rPr>
          <w:color w:val="auto"/>
          <w:szCs w:val="28"/>
          <w:highlight w:val="none"/>
          <w:vertAlign w:val="subscript"/>
        </w:rPr>
        <w:t>2</w:t>
      </w:r>
      <w:r>
        <w:rPr>
          <w:color w:val="auto"/>
          <w:szCs w:val="28"/>
          <w:highlight w:val="none"/>
        </w:rPr>
        <w:t>e</w:t>
      </w:r>
      <w:r>
        <w:rPr>
          <w:color w:val="auto"/>
          <w:szCs w:val="28"/>
          <w:highlight w:val="none"/>
          <w:vertAlign w:val="subscript"/>
        </w:rPr>
        <w:t>2</w:t>
      </w:r>
      <w:r>
        <w:rPr>
          <w:color w:val="auto"/>
          <w:szCs w:val="28"/>
          <w:highlight w:val="none"/>
        </w:rPr>
        <w:t>）：为棕红色及暗红色的块状泥质粉砂岩、粉砂质泥岩，其间夹有深灰及灰白色的粉细砂岩，砂砾岩（厚0.4</w:t>
      </w:r>
      <w:r>
        <w:rPr>
          <w:rFonts w:hint="eastAsia" w:ascii="宋体" w:hAnsi="宋体"/>
          <w:color w:val="auto"/>
          <w:szCs w:val="28"/>
          <w:highlight w:val="none"/>
        </w:rPr>
        <w:t>～</w:t>
      </w:r>
      <w:r>
        <w:rPr>
          <w:color w:val="auto"/>
          <w:szCs w:val="28"/>
          <w:highlight w:val="none"/>
        </w:rPr>
        <w:t>1米）及泥页岩薄层。地层总的厚度为150</w:t>
      </w:r>
      <w:r>
        <w:rPr>
          <w:rFonts w:hint="eastAsia" w:ascii="宋体" w:hAnsi="宋体"/>
          <w:color w:val="auto"/>
          <w:szCs w:val="28"/>
          <w:highlight w:val="none"/>
        </w:rPr>
        <w:t>～</w:t>
      </w:r>
      <w:r>
        <w:rPr>
          <w:color w:val="auto"/>
          <w:szCs w:val="28"/>
          <w:highlight w:val="none"/>
        </w:rPr>
        <w:t>240米。现就呼兰河右岸陡坡的剖面为例（自下而上）：</w:t>
      </w:r>
    </w:p>
    <w:p w14:paraId="230677A9">
      <w:pPr>
        <w:spacing w:line="360" w:lineRule="auto"/>
        <w:ind w:firstLine="472" w:firstLineChars="200"/>
        <w:rPr>
          <w:color w:val="auto"/>
          <w:szCs w:val="28"/>
          <w:highlight w:val="none"/>
        </w:rPr>
      </w:pPr>
      <w:r>
        <w:rPr>
          <w:color w:val="auto"/>
          <w:szCs w:val="28"/>
          <w:highlight w:val="none"/>
        </w:rPr>
        <w:t>紫红色块状的砂质泥岩，厚25米</w:t>
      </w:r>
      <w:r>
        <w:rPr>
          <w:rFonts w:hint="eastAsia"/>
          <w:color w:val="auto"/>
          <w:szCs w:val="28"/>
          <w:highlight w:val="none"/>
          <w:lang w:eastAsia="zh-CN"/>
        </w:rPr>
        <w:t>；</w:t>
      </w:r>
      <w:r>
        <w:rPr>
          <w:color w:val="auto"/>
          <w:szCs w:val="28"/>
          <w:highlight w:val="none"/>
        </w:rPr>
        <w:t>灰白色细砂岩，含钙质及钙质结核，具交错层理，厚10米</w:t>
      </w:r>
      <w:r>
        <w:rPr>
          <w:rFonts w:hint="eastAsia"/>
          <w:color w:val="auto"/>
          <w:szCs w:val="28"/>
          <w:highlight w:val="none"/>
          <w:lang w:eastAsia="zh-CN"/>
        </w:rPr>
        <w:t>；</w:t>
      </w:r>
      <w:r>
        <w:rPr>
          <w:color w:val="auto"/>
          <w:szCs w:val="28"/>
          <w:highlight w:val="none"/>
        </w:rPr>
        <w:t>紫红色块状砂质泥岩，厚10</w:t>
      </w:r>
      <w:r>
        <w:rPr>
          <w:rFonts w:hint="eastAsia" w:ascii="宋体" w:hAnsi="宋体"/>
          <w:color w:val="auto"/>
          <w:szCs w:val="28"/>
          <w:highlight w:val="none"/>
        </w:rPr>
        <w:t>～</w:t>
      </w:r>
      <w:r>
        <w:rPr>
          <w:color w:val="auto"/>
          <w:szCs w:val="28"/>
          <w:highlight w:val="none"/>
        </w:rPr>
        <w:t>15米</w:t>
      </w:r>
      <w:r>
        <w:rPr>
          <w:rFonts w:hint="eastAsia"/>
          <w:color w:val="auto"/>
          <w:szCs w:val="28"/>
          <w:highlight w:val="none"/>
          <w:lang w:eastAsia="zh-CN"/>
        </w:rPr>
        <w:t>；</w:t>
      </w:r>
    </w:p>
    <w:p w14:paraId="63802A0B">
      <w:pPr>
        <w:spacing w:line="360" w:lineRule="auto"/>
        <w:ind w:firstLine="472" w:firstLineChars="200"/>
        <w:rPr>
          <w:color w:val="auto"/>
          <w:szCs w:val="28"/>
          <w:highlight w:val="none"/>
        </w:rPr>
      </w:pPr>
      <w:r>
        <w:rPr>
          <w:color w:val="auto"/>
          <w:szCs w:val="28"/>
          <w:highlight w:val="none"/>
        </w:rPr>
        <w:t>上覆第四系堆积物的厚度为0.5</w:t>
      </w:r>
      <w:r>
        <w:rPr>
          <w:rFonts w:hint="eastAsia" w:ascii="宋体" w:hAnsi="宋体"/>
          <w:color w:val="auto"/>
          <w:szCs w:val="28"/>
          <w:highlight w:val="none"/>
        </w:rPr>
        <w:t>～</w:t>
      </w:r>
      <w:r>
        <w:rPr>
          <w:color w:val="auto"/>
          <w:szCs w:val="28"/>
          <w:highlight w:val="none"/>
        </w:rPr>
        <w:t>15米。</w:t>
      </w:r>
    </w:p>
    <w:p w14:paraId="256F7ACF">
      <w:pPr>
        <w:spacing w:line="360" w:lineRule="auto"/>
        <w:ind w:firstLine="472" w:firstLineChars="200"/>
        <w:rPr>
          <w:rFonts w:hint="eastAsia"/>
          <w:color w:val="auto"/>
          <w:szCs w:val="28"/>
          <w:highlight w:val="none"/>
        </w:rPr>
      </w:pPr>
      <w:r>
        <w:rPr>
          <w:rFonts w:hint="eastAsia"/>
          <w:color w:val="auto"/>
          <w:szCs w:val="28"/>
          <w:highlight w:val="none"/>
          <w:lang w:val="en-US" w:eastAsia="zh-CN"/>
        </w:rPr>
        <w:t>b</w:t>
      </w:r>
      <w:r>
        <w:rPr>
          <w:rFonts w:hint="eastAsia"/>
          <w:color w:val="auto"/>
          <w:szCs w:val="28"/>
          <w:highlight w:val="none"/>
          <w:lang w:eastAsia="zh-CN"/>
        </w:rPr>
        <w:t>）</w:t>
      </w:r>
      <w:r>
        <w:rPr>
          <w:color w:val="auto"/>
          <w:szCs w:val="28"/>
          <w:highlight w:val="none"/>
        </w:rPr>
        <w:t>四方台组上部（K</w:t>
      </w:r>
      <w:r>
        <w:rPr>
          <w:color w:val="auto"/>
          <w:szCs w:val="28"/>
          <w:highlight w:val="none"/>
          <w:vertAlign w:val="subscript"/>
        </w:rPr>
        <w:t>2</w:t>
      </w:r>
      <w:r>
        <w:rPr>
          <w:color w:val="auto"/>
          <w:szCs w:val="28"/>
          <w:highlight w:val="none"/>
        </w:rPr>
        <w:t>e</w:t>
      </w:r>
      <w:r>
        <w:rPr>
          <w:color w:val="auto"/>
          <w:szCs w:val="28"/>
          <w:highlight w:val="none"/>
          <w:vertAlign w:val="subscript"/>
        </w:rPr>
        <w:t>3</w:t>
      </w:r>
      <w:r>
        <w:rPr>
          <w:color w:val="auto"/>
          <w:szCs w:val="28"/>
          <w:highlight w:val="none"/>
        </w:rPr>
        <w:t>）：为浅灰色、灰绿色块状泥质粉砂岩、泥岩。其中含植物化石及蚌类化石，并且有黄铁矿结核，厚度大于150米。该组地层在北</w:t>
      </w:r>
      <w:r>
        <w:rPr>
          <w:rFonts w:hint="eastAsia"/>
          <w:color w:val="auto"/>
          <w:szCs w:val="28"/>
          <w:highlight w:val="none"/>
        </w:rPr>
        <w:t>部地区，岩石颗粒较粗，砂质</w:t>
      </w:r>
      <w:r>
        <w:rPr>
          <w:rFonts w:hint="eastAsia"/>
          <w:color w:val="auto"/>
          <w:szCs w:val="28"/>
          <w:highlight w:val="none"/>
          <w:lang w:eastAsia="zh-CN"/>
        </w:rPr>
        <w:t>成分</w:t>
      </w:r>
      <w:r>
        <w:rPr>
          <w:rFonts w:hint="eastAsia"/>
          <w:color w:val="auto"/>
          <w:szCs w:val="28"/>
          <w:highlight w:val="none"/>
        </w:rPr>
        <w:t>增多，南部地区岩石颗粒较细而泥质</w:t>
      </w:r>
      <w:r>
        <w:rPr>
          <w:rFonts w:hint="eastAsia"/>
          <w:color w:val="auto"/>
          <w:szCs w:val="28"/>
          <w:highlight w:val="none"/>
          <w:lang w:eastAsia="zh-CN"/>
        </w:rPr>
        <w:t>成分</w:t>
      </w:r>
      <w:r>
        <w:rPr>
          <w:rFonts w:hint="eastAsia"/>
          <w:color w:val="auto"/>
          <w:szCs w:val="28"/>
          <w:highlight w:val="none"/>
        </w:rPr>
        <w:t>增多。</w:t>
      </w:r>
    </w:p>
    <w:p w14:paraId="4A0AF59D">
      <w:pPr>
        <w:spacing w:line="360" w:lineRule="auto"/>
        <w:ind w:firstLine="472" w:firstLineChars="200"/>
        <w:rPr>
          <w:rFonts w:hint="eastAsia"/>
          <w:color w:val="auto"/>
          <w:szCs w:val="28"/>
          <w:highlight w:val="none"/>
        </w:rPr>
      </w:pPr>
      <w:r>
        <w:rPr>
          <w:rFonts w:hint="eastAsia"/>
          <w:color w:val="auto"/>
          <w:szCs w:val="28"/>
          <w:highlight w:val="none"/>
        </w:rPr>
        <w:t>2）火成岩：本区仅见海西期花岗岩，为肉红色及灰白色，其中粒状，</w:t>
      </w:r>
      <w:r>
        <w:rPr>
          <w:rFonts w:hint="eastAsia"/>
          <w:color w:val="auto"/>
          <w:szCs w:val="28"/>
          <w:highlight w:val="none"/>
          <w:lang w:eastAsia="zh-CN"/>
        </w:rPr>
        <w:t>成分</w:t>
      </w:r>
      <w:r>
        <w:rPr>
          <w:rFonts w:hint="eastAsia"/>
          <w:color w:val="auto"/>
          <w:szCs w:val="28"/>
          <w:highlight w:val="none"/>
        </w:rPr>
        <w:t>为石英、长石、黑云母、辉石矿物。</w:t>
      </w:r>
    </w:p>
    <w:p w14:paraId="31CDFAB7">
      <w:pPr>
        <w:spacing w:line="360" w:lineRule="auto"/>
        <w:ind w:firstLine="472" w:firstLineChars="200"/>
        <w:rPr>
          <w:color w:val="auto"/>
          <w:szCs w:val="28"/>
          <w:highlight w:val="none"/>
        </w:rPr>
      </w:pPr>
      <w:r>
        <w:rPr>
          <w:rFonts w:hint="eastAsia"/>
          <w:color w:val="auto"/>
          <w:szCs w:val="28"/>
          <w:highlight w:val="none"/>
          <w:lang w:eastAsia="zh-CN"/>
        </w:rPr>
        <w:t>（</w:t>
      </w:r>
      <w:r>
        <w:rPr>
          <w:rFonts w:hint="eastAsia"/>
          <w:color w:val="auto"/>
          <w:szCs w:val="28"/>
          <w:highlight w:val="none"/>
          <w:lang w:val="en-US" w:eastAsia="zh-CN"/>
        </w:rPr>
        <w:t>2</w:t>
      </w:r>
      <w:r>
        <w:rPr>
          <w:rFonts w:hint="eastAsia"/>
          <w:color w:val="auto"/>
          <w:szCs w:val="28"/>
          <w:highlight w:val="none"/>
          <w:lang w:eastAsia="zh-CN"/>
        </w:rPr>
        <w:t>）</w:t>
      </w:r>
      <w:r>
        <w:rPr>
          <w:color w:val="auto"/>
          <w:szCs w:val="28"/>
          <w:highlight w:val="none"/>
        </w:rPr>
        <w:t>第四系地层</w:t>
      </w:r>
    </w:p>
    <w:p w14:paraId="35620D78">
      <w:pPr>
        <w:spacing w:line="360" w:lineRule="auto"/>
        <w:ind w:firstLine="472" w:firstLineChars="200"/>
        <w:rPr>
          <w:color w:val="auto"/>
          <w:szCs w:val="28"/>
          <w:highlight w:val="none"/>
        </w:rPr>
      </w:pPr>
      <w:r>
        <w:rPr>
          <w:rFonts w:hint="eastAsia"/>
          <w:color w:val="auto"/>
          <w:szCs w:val="28"/>
          <w:highlight w:val="none"/>
        </w:rPr>
        <w:t>1）</w:t>
      </w:r>
      <w:r>
        <w:rPr>
          <w:color w:val="auto"/>
          <w:szCs w:val="28"/>
          <w:highlight w:val="none"/>
        </w:rPr>
        <w:t>中更新统冲积洪积层（a</w:t>
      </w:r>
      <w:r>
        <w:rPr>
          <w:color w:val="auto"/>
          <w:szCs w:val="28"/>
          <w:highlight w:val="none"/>
          <w:vertAlign w:val="baseline"/>
        </w:rPr>
        <w:t>l</w:t>
      </w:r>
      <w:r>
        <w:rPr>
          <w:color w:val="auto"/>
          <w:szCs w:val="28"/>
          <w:highlight w:val="none"/>
        </w:rPr>
        <w:t>+</w:t>
      </w:r>
      <w:r>
        <w:rPr>
          <w:rFonts w:hint="eastAsia"/>
          <w:color w:val="auto"/>
          <w:szCs w:val="28"/>
          <w:highlight w:val="none"/>
        </w:rPr>
        <w:t>p</w:t>
      </w:r>
      <w:r>
        <w:rPr>
          <w:rFonts w:hint="eastAsia"/>
          <w:color w:val="auto"/>
          <w:szCs w:val="28"/>
          <w:highlight w:val="none"/>
          <w:vertAlign w:val="baseline"/>
        </w:rPr>
        <w:t>l</w:t>
      </w:r>
      <w:r>
        <w:rPr>
          <w:color w:val="auto"/>
          <w:szCs w:val="28"/>
          <w:highlight w:val="none"/>
        </w:rPr>
        <w:t>Q</w:t>
      </w:r>
      <w:r>
        <w:rPr>
          <w:color w:val="auto"/>
          <w:szCs w:val="28"/>
          <w:highlight w:val="none"/>
          <w:vertAlign w:val="subscript"/>
        </w:rPr>
        <w:t>2</w:t>
      </w:r>
      <w:r>
        <w:rPr>
          <w:color w:val="auto"/>
          <w:szCs w:val="28"/>
          <w:highlight w:val="none"/>
        </w:rPr>
        <w:t>）：</w:t>
      </w:r>
    </w:p>
    <w:p w14:paraId="66AFDDBB">
      <w:pPr>
        <w:spacing w:line="360" w:lineRule="auto"/>
        <w:ind w:firstLine="472" w:firstLineChars="200"/>
        <w:rPr>
          <w:color w:val="auto"/>
          <w:szCs w:val="28"/>
          <w:highlight w:val="none"/>
        </w:rPr>
      </w:pPr>
      <w:r>
        <w:rPr>
          <w:color w:val="auto"/>
          <w:szCs w:val="28"/>
          <w:highlight w:val="none"/>
        </w:rPr>
        <w:t>此层为分布最广泛的地层，且厚度较大。该层上部普遍有一层黄土状亚粘土，下为厚度较大的亚粘土层，底部为砂砾石层，此层厚度变化甚大。有些地区缺失，各区详细描述如下：</w:t>
      </w:r>
    </w:p>
    <w:p w14:paraId="25743864">
      <w:pPr>
        <w:spacing w:line="360" w:lineRule="auto"/>
        <w:ind w:firstLine="472" w:firstLineChars="200"/>
        <w:rPr>
          <w:rFonts w:ascii="宋体" w:hAnsi="宋体"/>
          <w:color w:val="auto"/>
          <w:szCs w:val="28"/>
          <w:highlight w:val="none"/>
        </w:rPr>
      </w:pPr>
      <w:r>
        <w:rPr>
          <w:rFonts w:hint="eastAsia" w:ascii="宋体" w:hAnsi="宋体"/>
          <w:color w:val="auto"/>
          <w:szCs w:val="28"/>
          <w:highlight w:val="none"/>
        </w:rPr>
        <w:t>①</w:t>
      </w:r>
      <w:r>
        <w:rPr>
          <w:color w:val="auto"/>
          <w:szCs w:val="28"/>
          <w:highlight w:val="none"/>
        </w:rPr>
        <w:t>黄土状亚粘土：黄色、黄褐色，结构较紧密，上部呈块状，具大孔隙，垂直节理发育异常，含有钙质结核及铁锰结核，且有铁质浸染现象。厚度2</w:t>
      </w:r>
      <w:r>
        <w:rPr>
          <w:rFonts w:hint="eastAsia" w:ascii="宋体" w:hAnsi="宋体"/>
          <w:color w:val="auto"/>
          <w:szCs w:val="28"/>
          <w:highlight w:val="none"/>
        </w:rPr>
        <w:t>～</w:t>
      </w:r>
      <w:r>
        <w:rPr>
          <w:color w:val="auto"/>
          <w:szCs w:val="28"/>
          <w:highlight w:val="none"/>
        </w:rPr>
        <w:t>12米。</w:t>
      </w:r>
    </w:p>
    <w:p w14:paraId="4A7B6FC8">
      <w:pPr>
        <w:spacing w:line="360" w:lineRule="auto"/>
        <w:ind w:firstLine="472" w:firstLineChars="200"/>
        <w:rPr>
          <w:rFonts w:ascii="宋体" w:hAnsi="宋体"/>
          <w:color w:val="auto"/>
          <w:szCs w:val="28"/>
          <w:highlight w:val="none"/>
        </w:rPr>
      </w:pPr>
      <w:r>
        <w:rPr>
          <w:rFonts w:hint="eastAsia" w:ascii="宋体" w:hAnsi="宋体"/>
          <w:color w:val="auto"/>
          <w:szCs w:val="28"/>
          <w:highlight w:val="none"/>
        </w:rPr>
        <w:t>②</w:t>
      </w:r>
      <w:r>
        <w:rPr>
          <w:color w:val="auto"/>
          <w:szCs w:val="28"/>
          <w:highlight w:val="none"/>
        </w:rPr>
        <w:t>亚粘土：深黄色、棕黄或黄褐色，块状，较致密，含有粒径为3</w:t>
      </w:r>
      <w:r>
        <w:rPr>
          <w:rFonts w:hint="eastAsia"/>
          <w:color w:val="auto"/>
          <w:szCs w:val="28"/>
          <w:highlight w:val="none"/>
          <w:lang w:val="en-US" w:eastAsia="zh-CN"/>
        </w:rPr>
        <w:t>毫米</w:t>
      </w:r>
      <w:r>
        <w:rPr>
          <w:color w:val="auto"/>
          <w:szCs w:val="28"/>
          <w:highlight w:val="none"/>
        </w:rPr>
        <w:t>左右的铁锰质结核，局部地区含有少量</w:t>
      </w:r>
      <w:r>
        <w:rPr>
          <w:rFonts w:hint="eastAsia"/>
          <w:color w:val="auto"/>
          <w:szCs w:val="28"/>
          <w:highlight w:val="none"/>
        </w:rPr>
        <w:t>圆度</w:t>
      </w:r>
      <w:r>
        <w:rPr>
          <w:color w:val="auto"/>
          <w:szCs w:val="28"/>
          <w:highlight w:val="none"/>
        </w:rPr>
        <w:t>不好的带棱角的小砾石及红色石英粒。并有铁质浸染现象及铁质斑点，具有微细层理，此层厚度变化较大，厚度为2</w:t>
      </w:r>
      <w:r>
        <w:rPr>
          <w:rFonts w:hint="eastAsia" w:ascii="宋体" w:hAnsi="宋体"/>
          <w:color w:val="auto"/>
          <w:szCs w:val="28"/>
          <w:highlight w:val="none"/>
        </w:rPr>
        <w:t>～</w:t>
      </w:r>
      <w:r>
        <w:rPr>
          <w:color w:val="auto"/>
          <w:szCs w:val="28"/>
          <w:highlight w:val="none"/>
        </w:rPr>
        <w:t>35米。其间夹有薄层淤泥质亚粘土透镜体，厚1</w:t>
      </w:r>
      <w:r>
        <w:rPr>
          <w:rFonts w:hint="eastAsia" w:ascii="宋体" w:hAnsi="宋体"/>
          <w:color w:val="auto"/>
          <w:szCs w:val="28"/>
          <w:highlight w:val="none"/>
        </w:rPr>
        <w:t>～</w:t>
      </w:r>
      <w:r>
        <w:rPr>
          <w:color w:val="auto"/>
          <w:szCs w:val="28"/>
          <w:highlight w:val="none"/>
        </w:rPr>
        <w:t>3米。</w:t>
      </w:r>
    </w:p>
    <w:p w14:paraId="16A574FA">
      <w:pPr>
        <w:spacing w:line="360" w:lineRule="auto"/>
        <w:ind w:firstLine="472" w:firstLineChars="200"/>
        <w:rPr>
          <w:color w:val="auto"/>
          <w:szCs w:val="28"/>
          <w:highlight w:val="none"/>
        </w:rPr>
      </w:pPr>
      <w:r>
        <w:rPr>
          <w:rFonts w:hint="eastAsia" w:ascii="宋体" w:hAnsi="宋体"/>
          <w:color w:val="auto"/>
          <w:szCs w:val="28"/>
          <w:highlight w:val="none"/>
        </w:rPr>
        <w:t>③</w:t>
      </w:r>
      <w:r>
        <w:rPr>
          <w:color w:val="auto"/>
          <w:szCs w:val="28"/>
          <w:highlight w:val="none"/>
        </w:rPr>
        <w:t>中细砂层，为灰、灰黄及黄褐色，松散分选不佳，颗粒不均，厚1</w:t>
      </w:r>
      <w:r>
        <w:rPr>
          <w:rFonts w:hint="eastAsia" w:ascii="宋体" w:hAnsi="宋体"/>
          <w:color w:val="auto"/>
          <w:szCs w:val="28"/>
          <w:highlight w:val="none"/>
        </w:rPr>
        <w:t>～</w:t>
      </w:r>
      <w:r>
        <w:rPr>
          <w:color w:val="auto"/>
          <w:szCs w:val="28"/>
          <w:highlight w:val="none"/>
        </w:rPr>
        <w:t>10米。</w:t>
      </w:r>
    </w:p>
    <w:p w14:paraId="519A79A1">
      <w:pPr>
        <w:spacing w:line="360" w:lineRule="auto"/>
        <w:ind w:firstLine="472" w:firstLineChars="200"/>
        <w:rPr>
          <w:color w:val="auto"/>
          <w:szCs w:val="28"/>
          <w:highlight w:val="none"/>
        </w:rPr>
      </w:pPr>
      <w:r>
        <w:rPr>
          <w:rFonts w:hint="eastAsia"/>
          <w:color w:val="auto"/>
          <w:szCs w:val="28"/>
          <w:highlight w:val="none"/>
        </w:rPr>
        <w:t>④</w:t>
      </w:r>
      <w:r>
        <w:rPr>
          <w:color w:val="auto"/>
          <w:szCs w:val="28"/>
          <w:highlight w:val="none"/>
        </w:rPr>
        <w:t>砂砾石层，</w:t>
      </w:r>
      <w:r>
        <w:rPr>
          <w:rFonts w:hint="eastAsia"/>
          <w:color w:val="auto"/>
          <w:szCs w:val="28"/>
          <w:highlight w:val="none"/>
          <w:lang w:val="en-US" w:eastAsia="zh-CN"/>
        </w:rPr>
        <w:t>为</w:t>
      </w:r>
      <w:r>
        <w:rPr>
          <w:color w:val="auto"/>
          <w:szCs w:val="28"/>
          <w:highlight w:val="none"/>
        </w:rPr>
        <w:t>灰、灰白及棕色，松散，分选不佳，磨</w:t>
      </w:r>
      <w:r>
        <w:rPr>
          <w:rFonts w:hint="eastAsia"/>
          <w:color w:val="auto"/>
          <w:szCs w:val="28"/>
          <w:highlight w:val="none"/>
        </w:rPr>
        <w:t>圆度</w:t>
      </w:r>
      <w:r>
        <w:rPr>
          <w:color w:val="auto"/>
          <w:szCs w:val="28"/>
          <w:highlight w:val="none"/>
        </w:rPr>
        <w:t>不好，砾石含量为30%</w:t>
      </w:r>
      <w:r>
        <w:rPr>
          <w:rFonts w:hint="eastAsia" w:ascii="宋体" w:hAnsi="宋体"/>
          <w:color w:val="auto"/>
          <w:szCs w:val="28"/>
          <w:highlight w:val="none"/>
        </w:rPr>
        <w:t>～</w:t>
      </w:r>
      <w:r>
        <w:rPr>
          <w:color w:val="auto"/>
          <w:szCs w:val="28"/>
          <w:highlight w:val="none"/>
        </w:rPr>
        <w:t>60%，直径一般为0.2</w:t>
      </w:r>
      <w:r>
        <w:rPr>
          <w:rFonts w:hint="eastAsia" w:ascii="宋体" w:hAnsi="宋体"/>
          <w:color w:val="auto"/>
          <w:szCs w:val="28"/>
          <w:highlight w:val="none"/>
        </w:rPr>
        <w:t>～</w:t>
      </w:r>
      <w:r>
        <w:rPr>
          <w:color w:val="auto"/>
          <w:szCs w:val="28"/>
          <w:highlight w:val="none"/>
        </w:rPr>
        <w:t>3公分，大者达3公分以上，呈半棱角状及全棱角状，</w:t>
      </w:r>
      <w:r>
        <w:rPr>
          <w:rFonts w:hint="eastAsia"/>
          <w:color w:val="auto"/>
          <w:szCs w:val="28"/>
          <w:highlight w:val="none"/>
          <w:lang w:eastAsia="zh-CN"/>
        </w:rPr>
        <w:t>成分</w:t>
      </w:r>
      <w:r>
        <w:rPr>
          <w:color w:val="auto"/>
          <w:szCs w:val="28"/>
          <w:highlight w:val="none"/>
        </w:rPr>
        <w:t>为石英及暗色中酸性火山岩及变质岩。该层呈</w:t>
      </w:r>
      <w:r>
        <w:rPr>
          <w:rFonts w:hint="eastAsia"/>
          <w:color w:val="auto"/>
          <w:szCs w:val="28"/>
          <w:highlight w:val="none"/>
          <w:lang w:val="en-US" w:eastAsia="zh-CN"/>
        </w:rPr>
        <w:t>东北</w:t>
      </w:r>
      <w:r>
        <w:rPr>
          <w:color w:val="auto"/>
          <w:szCs w:val="28"/>
          <w:highlight w:val="none"/>
        </w:rPr>
        <w:t>向条带状分布</w:t>
      </w:r>
      <w:r>
        <w:rPr>
          <w:rFonts w:hint="eastAsia"/>
          <w:color w:val="auto"/>
          <w:szCs w:val="28"/>
          <w:highlight w:val="none"/>
          <w:lang w:eastAsia="zh-CN"/>
        </w:rPr>
        <w:t>，</w:t>
      </w:r>
      <w:r>
        <w:rPr>
          <w:color w:val="auto"/>
          <w:szCs w:val="28"/>
          <w:highlight w:val="none"/>
        </w:rPr>
        <w:t>厚1</w:t>
      </w:r>
      <w:r>
        <w:rPr>
          <w:rFonts w:hint="eastAsia" w:ascii="宋体" w:hAnsi="宋体"/>
          <w:color w:val="auto"/>
          <w:szCs w:val="28"/>
          <w:highlight w:val="none"/>
        </w:rPr>
        <w:t>～</w:t>
      </w:r>
      <w:r>
        <w:rPr>
          <w:color w:val="auto"/>
          <w:szCs w:val="28"/>
          <w:highlight w:val="none"/>
        </w:rPr>
        <w:t>15米。</w:t>
      </w:r>
    </w:p>
    <w:p w14:paraId="375BE609">
      <w:pPr>
        <w:spacing w:line="360" w:lineRule="auto"/>
        <w:ind w:firstLine="472" w:firstLineChars="200"/>
        <w:rPr>
          <w:color w:val="auto"/>
          <w:szCs w:val="28"/>
          <w:highlight w:val="none"/>
        </w:rPr>
      </w:pPr>
      <w:r>
        <w:rPr>
          <w:color w:val="auto"/>
          <w:szCs w:val="28"/>
          <w:highlight w:val="none"/>
        </w:rPr>
        <w:t>本地层岩性在水平及垂直方向上的变化规律性均较强，由东北向西南是由粗变细，南部地区砂砾石粒径较大，岩层增厚。此地层分布于二级阶地上，总厚度为10</w:t>
      </w:r>
      <w:r>
        <w:rPr>
          <w:rFonts w:hint="eastAsia" w:ascii="宋体" w:hAnsi="宋体"/>
          <w:color w:val="auto"/>
          <w:szCs w:val="28"/>
          <w:highlight w:val="none"/>
        </w:rPr>
        <w:t>～</w:t>
      </w:r>
      <w:r>
        <w:rPr>
          <w:color w:val="auto"/>
          <w:szCs w:val="28"/>
          <w:highlight w:val="none"/>
        </w:rPr>
        <w:t>54米。</w:t>
      </w:r>
    </w:p>
    <w:p w14:paraId="6782D420">
      <w:pPr>
        <w:spacing w:line="360" w:lineRule="auto"/>
        <w:ind w:firstLine="472" w:firstLineChars="200"/>
        <w:rPr>
          <w:color w:val="auto"/>
          <w:szCs w:val="28"/>
          <w:highlight w:val="none"/>
        </w:rPr>
      </w:pPr>
      <w:r>
        <w:rPr>
          <w:rFonts w:hint="eastAsia"/>
          <w:color w:val="auto"/>
          <w:szCs w:val="28"/>
          <w:highlight w:val="none"/>
        </w:rPr>
        <w:t>2</w:t>
      </w:r>
      <w:r>
        <w:rPr>
          <w:color w:val="auto"/>
          <w:szCs w:val="28"/>
          <w:highlight w:val="none"/>
        </w:rPr>
        <w:t>）上更新统冲积层（a</w:t>
      </w:r>
      <w:r>
        <w:rPr>
          <w:color w:val="auto"/>
          <w:szCs w:val="28"/>
          <w:highlight w:val="none"/>
          <w:vertAlign w:val="baseline"/>
        </w:rPr>
        <w:t>l</w:t>
      </w:r>
      <w:r>
        <w:rPr>
          <w:color w:val="auto"/>
          <w:szCs w:val="28"/>
          <w:highlight w:val="none"/>
        </w:rPr>
        <w:t>Q</w:t>
      </w:r>
      <w:r>
        <w:rPr>
          <w:color w:val="auto"/>
          <w:szCs w:val="28"/>
          <w:highlight w:val="none"/>
          <w:vertAlign w:val="subscript"/>
        </w:rPr>
        <w:t>3</w:t>
      </w:r>
      <w:r>
        <w:rPr>
          <w:color w:val="auto"/>
          <w:szCs w:val="28"/>
          <w:highlight w:val="none"/>
        </w:rPr>
        <w:t>）：</w:t>
      </w:r>
    </w:p>
    <w:p w14:paraId="368766DE">
      <w:pPr>
        <w:spacing w:line="360" w:lineRule="auto"/>
        <w:ind w:firstLine="472" w:firstLineChars="200"/>
        <w:rPr>
          <w:color w:val="auto"/>
          <w:szCs w:val="28"/>
          <w:highlight w:val="none"/>
        </w:rPr>
      </w:pPr>
      <w:r>
        <w:rPr>
          <w:color w:val="auto"/>
          <w:szCs w:val="28"/>
          <w:highlight w:val="none"/>
        </w:rPr>
        <w:t>广泛分布于一级阶地上，在岩性及组成物厚度上的变化均较明显，一般由黄土状亚粘土、</w:t>
      </w:r>
      <w:r>
        <w:rPr>
          <w:rFonts w:hint="eastAsia"/>
          <w:color w:val="auto"/>
          <w:szCs w:val="28"/>
          <w:highlight w:val="none"/>
          <w:lang w:val="en-US" w:eastAsia="zh-CN"/>
        </w:rPr>
        <w:t>亚黏土、</w:t>
      </w:r>
      <w:r>
        <w:rPr>
          <w:color w:val="auto"/>
          <w:szCs w:val="28"/>
          <w:highlight w:val="none"/>
        </w:rPr>
        <w:t>砂及砂砾石组成，厚度7</w:t>
      </w:r>
      <w:r>
        <w:rPr>
          <w:rFonts w:hint="eastAsia" w:ascii="宋体" w:hAnsi="宋体"/>
          <w:color w:val="auto"/>
          <w:szCs w:val="28"/>
          <w:highlight w:val="none"/>
        </w:rPr>
        <w:t>～</w:t>
      </w:r>
      <w:r>
        <w:rPr>
          <w:color w:val="auto"/>
          <w:szCs w:val="28"/>
          <w:highlight w:val="none"/>
        </w:rPr>
        <w:t>25米。</w:t>
      </w:r>
    </w:p>
    <w:p w14:paraId="5EA68E62">
      <w:pPr>
        <w:spacing w:line="360" w:lineRule="auto"/>
        <w:ind w:firstLine="472" w:firstLineChars="200"/>
        <w:rPr>
          <w:color w:val="auto"/>
          <w:szCs w:val="28"/>
          <w:highlight w:val="none"/>
        </w:rPr>
      </w:pPr>
      <w:r>
        <w:rPr>
          <w:rFonts w:hint="eastAsia" w:ascii="宋体" w:hAnsi="宋体"/>
          <w:color w:val="auto"/>
          <w:szCs w:val="28"/>
          <w:highlight w:val="none"/>
        </w:rPr>
        <w:t>①</w:t>
      </w:r>
      <w:r>
        <w:rPr>
          <w:color w:val="auto"/>
          <w:szCs w:val="28"/>
          <w:highlight w:val="none"/>
        </w:rPr>
        <w:t>黄土状亚粘土：淡黄或棕黄色，较紧密，具大孔隙及不明显的垂直节理，含少量的铁锰质结核，厚度约5米。</w:t>
      </w:r>
    </w:p>
    <w:p w14:paraId="2BA9CF3F">
      <w:pPr>
        <w:spacing w:line="360" w:lineRule="auto"/>
        <w:ind w:firstLine="472" w:firstLineChars="200"/>
        <w:rPr>
          <w:color w:val="auto"/>
          <w:szCs w:val="28"/>
          <w:highlight w:val="none"/>
        </w:rPr>
      </w:pPr>
      <w:r>
        <w:rPr>
          <w:rFonts w:hint="eastAsia" w:ascii="宋体" w:hAnsi="宋体"/>
          <w:color w:val="auto"/>
          <w:szCs w:val="28"/>
          <w:highlight w:val="none"/>
        </w:rPr>
        <w:t>②</w:t>
      </w:r>
      <w:r>
        <w:rPr>
          <w:color w:val="auto"/>
          <w:szCs w:val="28"/>
          <w:highlight w:val="none"/>
        </w:rPr>
        <w:t>亚粘土：灰黄色，结构紧密，粘性大，具微细层理，并含少量的铁质结核，此层分布不均，厚度小于12米。灰黑色的淤泥质亚粘土，质细腻，具微细层理，含少量的铁质结核及半腐烂的植物残体，具嗅味，此层为透镜体状夹于亚粘土层之中。</w:t>
      </w:r>
    </w:p>
    <w:p w14:paraId="3660A62B">
      <w:pPr>
        <w:spacing w:line="360" w:lineRule="auto"/>
        <w:ind w:firstLine="472" w:firstLineChars="200"/>
        <w:rPr>
          <w:color w:val="auto"/>
          <w:szCs w:val="28"/>
          <w:highlight w:val="none"/>
        </w:rPr>
      </w:pPr>
      <w:r>
        <w:rPr>
          <w:rFonts w:hint="eastAsia" w:ascii="宋体" w:hAnsi="宋体"/>
          <w:color w:val="auto"/>
          <w:szCs w:val="28"/>
          <w:highlight w:val="none"/>
        </w:rPr>
        <w:t>③</w:t>
      </w:r>
      <w:r>
        <w:rPr>
          <w:color w:val="auto"/>
          <w:szCs w:val="28"/>
          <w:highlight w:val="none"/>
        </w:rPr>
        <w:t>砂及砂砾石：棕及淡黄色，松散，砾石占50%以上，分选不佳，砾石磨</w:t>
      </w:r>
      <w:r>
        <w:rPr>
          <w:rFonts w:hint="eastAsia"/>
          <w:color w:val="auto"/>
          <w:szCs w:val="28"/>
          <w:highlight w:val="none"/>
        </w:rPr>
        <w:t>圆度</w:t>
      </w:r>
      <w:r>
        <w:rPr>
          <w:color w:val="auto"/>
          <w:szCs w:val="28"/>
          <w:highlight w:val="none"/>
        </w:rPr>
        <w:t>较好，粒径以0.2</w:t>
      </w:r>
      <w:r>
        <w:rPr>
          <w:rFonts w:hint="eastAsia" w:ascii="宋体" w:hAnsi="宋体"/>
          <w:color w:val="auto"/>
          <w:szCs w:val="28"/>
          <w:highlight w:val="none"/>
        </w:rPr>
        <w:t>～</w:t>
      </w:r>
      <w:r>
        <w:rPr>
          <w:color w:val="auto"/>
          <w:szCs w:val="28"/>
          <w:highlight w:val="none"/>
        </w:rPr>
        <w:t>3公分者甚多，大者达5公分以上，</w:t>
      </w:r>
      <w:r>
        <w:rPr>
          <w:rFonts w:hint="eastAsia"/>
          <w:color w:val="auto"/>
          <w:szCs w:val="28"/>
          <w:highlight w:val="none"/>
          <w:lang w:eastAsia="zh-CN"/>
        </w:rPr>
        <w:t>成分</w:t>
      </w:r>
      <w:r>
        <w:rPr>
          <w:color w:val="auto"/>
          <w:szCs w:val="28"/>
          <w:highlight w:val="none"/>
        </w:rPr>
        <w:t>以石英为主，</w:t>
      </w:r>
      <w:r>
        <w:rPr>
          <w:rFonts w:hint="eastAsia"/>
          <w:color w:val="auto"/>
          <w:szCs w:val="28"/>
          <w:highlight w:val="none"/>
          <w:lang w:eastAsia="zh-CN"/>
        </w:rPr>
        <w:t>其</w:t>
      </w:r>
      <w:r>
        <w:rPr>
          <w:color w:val="auto"/>
          <w:szCs w:val="28"/>
          <w:highlight w:val="none"/>
        </w:rPr>
        <w:t>次为长石及黑色矿物和少量的暗色中酸性火山岩，厚3</w:t>
      </w:r>
      <w:r>
        <w:rPr>
          <w:rFonts w:hint="eastAsia" w:ascii="宋体" w:hAnsi="宋体"/>
          <w:color w:val="auto"/>
          <w:szCs w:val="28"/>
          <w:highlight w:val="none"/>
        </w:rPr>
        <w:t>～</w:t>
      </w:r>
      <w:r>
        <w:rPr>
          <w:color w:val="auto"/>
          <w:szCs w:val="28"/>
          <w:highlight w:val="none"/>
        </w:rPr>
        <w:t>10米。</w:t>
      </w:r>
    </w:p>
    <w:p w14:paraId="79BC750E">
      <w:pPr>
        <w:spacing w:line="360" w:lineRule="auto"/>
        <w:ind w:firstLine="472" w:firstLineChars="200"/>
        <w:rPr>
          <w:rFonts w:hint="eastAsia"/>
          <w:color w:val="auto"/>
          <w:szCs w:val="28"/>
          <w:highlight w:val="none"/>
        </w:rPr>
      </w:pPr>
      <w:r>
        <w:rPr>
          <w:color w:val="auto"/>
          <w:szCs w:val="28"/>
          <w:highlight w:val="none"/>
        </w:rPr>
        <w:t>本区内普遍分布有两种不同时代和成因类型的黄土状亚粘土，即上更新统冲积层黄土状亚粘土及中更新统冲积洪积层黄土状亚粘土</w:t>
      </w:r>
      <w:r>
        <w:rPr>
          <w:rFonts w:hint="eastAsia"/>
          <w:color w:val="auto"/>
          <w:szCs w:val="28"/>
          <w:highlight w:val="none"/>
        </w:rPr>
        <w:t>。</w:t>
      </w:r>
    </w:p>
    <w:p w14:paraId="333D522B">
      <w:pPr>
        <w:spacing w:line="360" w:lineRule="auto"/>
        <w:ind w:firstLine="472" w:firstLineChars="200"/>
        <w:rPr>
          <w:color w:val="auto"/>
          <w:szCs w:val="28"/>
          <w:highlight w:val="none"/>
        </w:rPr>
      </w:pPr>
      <w:r>
        <w:rPr>
          <w:rFonts w:hint="eastAsia"/>
          <w:color w:val="auto"/>
          <w:szCs w:val="28"/>
          <w:highlight w:val="none"/>
        </w:rPr>
        <w:t>3</w:t>
      </w:r>
      <w:r>
        <w:rPr>
          <w:color w:val="auto"/>
          <w:szCs w:val="28"/>
          <w:highlight w:val="none"/>
        </w:rPr>
        <w:t>）全新统</w:t>
      </w:r>
    </w:p>
    <w:p w14:paraId="17F9DF9D">
      <w:pPr>
        <w:spacing w:line="360" w:lineRule="auto"/>
        <w:ind w:firstLine="472" w:firstLineChars="200"/>
        <w:rPr>
          <w:color w:val="auto"/>
          <w:szCs w:val="28"/>
          <w:highlight w:val="none"/>
        </w:rPr>
      </w:pPr>
      <w:r>
        <w:rPr>
          <w:rFonts w:hint="eastAsia" w:ascii="宋体" w:hAnsi="宋体"/>
          <w:color w:val="auto"/>
          <w:szCs w:val="28"/>
          <w:highlight w:val="none"/>
        </w:rPr>
        <w:t>①</w:t>
      </w:r>
      <w:r>
        <w:rPr>
          <w:color w:val="auto"/>
          <w:szCs w:val="28"/>
          <w:highlight w:val="none"/>
        </w:rPr>
        <w:t>全新统下部冲积层（a</w:t>
      </w:r>
      <w:r>
        <w:rPr>
          <w:color w:val="auto"/>
          <w:szCs w:val="28"/>
          <w:highlight w:val="none"/>
          <w:vertAlign w:val="baseline"/>
        </w:rPr>
        <w:t>l</w:t>
      </w:r>
      <w:r>
        <w:rPr>
          <w:color w:val="auto"/>
          <w:szCs w:val="28"/>
          <w:highlight w:val="none"/>
        </w:rPr>
        <w:t>Q</w:t>
      </w:r>
      <w:r>
        <w:rPr>
          <w:color w:val="auto"/>
          <w:szCs w:val="28"/>
          <w:highlight w:val="none"/>
          <w:vertAlign w:val="subscript"/>
        </w:rPr>
        <w:t>4</w:t>
      </w:r>
      <w:r>
        <w:rPr>
          <w:color w:val="auto"/>
          <w:szCs w:val="28"/>
          <w:highlight w:val="none"/>
          <w:vertAlign w:val="superscript"/>
        </w:rPr>
        <w:t>1</w:t>
      </w:r>
      <w:r>
        <w:rPr>
          <w:color w:val="auto"/>
          <w:szCs w:val="28"/>
          <w:highlight w:val="none"/>
        </w:rPr>
        <w:t>）：</w:t>
      </w:r>
    </w:p>
    <w:p w14:paraId="3FBF86BD">
      <w:pPr>
        <w:spacing w:line="360" w:lineRule="auto"/>
        <w:ind w:firstLine="472" w:firstLineChars="200"/>
        <w:rPr>
          <w:color w:val="auto"/>
          <w:szCs w:val="28"/>
          <w:highlight w:val="none"/>
        </w:rPr>
      </w:pPr>
      <w:r>
        <w:rPr>
          <w:color w:val="auto"/>
          <w:szCs w:val="28"/>
          <w:highlight w:val="none"/>
        </w:rPr>
        <w:t>分布于呼兰河及其支流两岸高漫滩处，厚度10</w:t>
      </w:r>
      <w:r>
        <w:rPr>
          <w:rFonts w:hint="eastAsia" w:ascii="宋体" w:hAnsi="宋体"/>
          <w:color w:val="auto"/>
          <w:szCs w:val="28"/>
          <w:highlight w:val="none"/>
        </w:rPr>
        <w:t>～</w:t>
      </w:r>
      <w:r>
        <w:rPr>
          <w:color w:val="auto"/>
          <w:szCs w:val="28"/>
          <w:highlight w:val="none"/>
        </w:rPr>
        <w:t>30米。其岩性上部为淡黄色、黄褐色亚粘土、亚砂土及灰黑色的淤泥质亚粘土透镜体，其厚度为1</w:t>
      </w:r>
      <w:r>
        <w:rPr>
          <w:rFonts w:hint="eastAsia" w:ascii="宋体" w:hAnsi="宋体"/>
          <w:color w:val="auto"/>
          <w:szCs w:val="28"/>
          <w:highlight w:val="none"/>
        </w:rPr>
        <w:t>～</w:t>
      </w:r>
      <w:r>
        <w:rPr>
          <w:color w:val="auto"/>
          <w:szCs w:val="28"/>
          <w:highlight w:val="none"/>
        </w:rPr>
        <w:t>5米。下部为淡黄色、黄褐色的砂和砂砾石，松散，分选性及磨</w:t>
      </w:r>
      <w:r>
        <w:rPr>
          <w:rFonts w:hint="eastAsia"/>
          <w:color w:val="auto"/>
          <w:szCs w:val="28"/>
          <w:highlight w:val="none"/>
        </w:rPr>
        <w:t>圆度</w:t>
      </w:r>
      <w:r>
        <w:rPr>
          <w:color w:val="auto"/>
          <w:szCs w:val="28"/>
          <w:highlight w:val="none"/>
        </w:rPr>
        <w:t>均不佳，在垂直方向上是由上往下颗粒变粗，粒径一般为0.2</w:t>
      </w:r>
      <w:r>
        <w:rPr>
          <w:rFonts w:hint="eastAsia" w:ascii="宋体" w:hAnsi="宋体"/>
          <w:color w:val="auto"/>
          <w:szCs w:val="28"/>
          <w:highlight w:val="none"/>
        </w:rPr>
        <w:t>～</w:t>
      </w:r>
      <w:r>
        <w:rPr>
          <w:color w:val="auto"/>
          <w:szCs w:val="28"/>
          <w:highlight w:val="none"/>
        </w:rPr>
        <w:t>2公分，大者达3</w:t>
      </w:r>
      <w:r>
        <w:rPr>
          <w:rFonts w:hint="eastAsia" w:ascii="宋体" w:hAnsi="宋体"/>
          <w:color w:val="auto"/>
          <w:szCs w:val="28"/>
          <w:highlight w:val="none"/>
        </w:rPr>
        <w:t>～</w:t>
      </w:r>
      <w:r>
        <w:rPr>
          <w:color w:val="auto"/>
          <w:szCs w:val="28"/>
          <w:highlight w:val="none"/>
        </w:rPr>
        <w:t>5公分，呈半棱角状，</w:t>
      </w:r>
      <w:r>
        <w:rPr>
          <w:rFonts w:hint="eastAsia"/>
          <w:color w:val="auto"/>
          <w:szCs w:val="28"/>
          <w:highlight w:val="none"/>
          <w:lang w:eastAsia="zh-CN"/>
        </w:rPr>
        <w:t>成分</w:t>
      </w:r>
      <w:r>
        <w:rPr>
          <w:color w:val="auto"/>
          <w:szCs w:val="28"/>
          <w:highlight w:val="none"/>
        </w:rPr>
        <w:t>主要为石英及暗色的中酸性火山岩。</w:t>
      </w:r>
    </w:p>
    <w:p w14:paraId="1A151D27">
      <w:pPr>
        <w:spacing w:line="360" w:lineRule="auto"/>
        <w:ind w:firstLine="472" w:firstLineChars="200"/>
        <w:rPr>
          <w:color w:val="auto"/>
          <w:szCs w:val="28"/>
          <w:highlight w:val="none"/>
        </w:rPr>
      </w:pPr>
      <w:r>
        <w:rPr>
          <w:rFonts w:hint="eastAsia" w:ascii="宋体" w:hAnsi="宋体"/>
          <w:color w:val="auto"/>
          <w:szCs w:val="28"/>
          <w:highlight w:val="none"/>
        </w:rPr>
        <w:t>②</w:t>
      </w:r>
      <w:r>
        <w:rPr>
          <w:color w:val="auto"/>
          <w:szCs w:val="28"/>
          <w:highlight w:val="none"/>
        </w:rPr>
        <w:t>全新统上部冲积层（a</w:t>
      </w:r>
      <w:r>
        <w:rPr>
          <w:color w:val="auto"/>
          <w:szCs w:val="28"/>
          <w:highlight w:val="none"/>
          <w:vertAlign w:val="baseline"/>
        </w:rPr>
        <w:t>l</w:t>
      </w:r>
      <w:r>
        <w:rPr>
          <w:color w:val="auto"/>
          <w:szCs w:val="28"/>
          <w:highlight w:val="none"/>
        </w:rPr>
        <w:t>Q</w:t>
      </w:r>
      <w:r>
        <w:rPr>
          <w:color w:val="auto"/>
          <w:szCs w:val="28"/>
          <w:highlight w:val="none"/>
          <w:vertAlign w:val="subscript"/>
        </w:rPr>
        <w:t>4</w:t>
      </w:r>
      <w:r>
        <w:rPr>
          <w:color w:val="auto"/>
          <w:szCs w:val="28"/>
          <w:highlight w:val="none"/>
          <w:vertAlign w:val="superscript"/>
        </w:rPr>
        <w:t>2</w:t>
      </w:r>
      <w:r>
        <w:rPr>
          <w:color w:val="auto"/>
          <w:szCs w:val="28"/>
          <w:highlight w:val="none"/>
        </w:rPr>
        <w:t>）：</w:t>
      </w:r>
    </w:p>
    <w:p w14:paraId="6550EF0A">
      <w:pPr>
        <w:spacing w:line="360" w:lineRule="auto"/>
        <w:ind w:firstLine="472" w:firstLineChars="200"/>
        <w:rPr>
          <w:color w:val="auto"/>
          <w:szCs w:val="28"/>
          <w:highlight w:val="none"/>
        </w:rPr>
      </w:pPr>
      <w:r>
        <w:rPr>
          <w:color w:val="auto"/>
          <w:szCs w:val="28"/>
          <w:highlight w:val="none"/>
        </w:rPr>
        <w:t>分布于各河流的低漫滩上，厚度约10</w:t>
      </w:r>
      <w:r>
        <w:rPr>
          <w:rFonts w:hint="eastAsia" w:ascii="宋体" w:hAnsi="宋体"/>
          <w:color w:val="auto"/>
          <w:szCs w:val="28"/>
          <w:highlight w:val="none"/>
        </w:rPr>
        <w:t>～</w:t>
      </w:r>
      <w:r>
        <w:rPr>
          <w:color w:val="auto"/>
          <w:szCs w:val="28"/>
          <w:highlight w:val="none"/>
        </w:rPr>
        <w:t>30米。主要由砂及砂砾石组成，表面有时覆盖一薄层的黄褐色亚粘土及亚砂土，其厚约0.5</w:t>
      </w:r>
      <w:r>
        <w:rPr>
          <w:rFonts w:hint="eastAsia" w:ascii="宋体" w:hAnsi="宋体"/>
          <w:color w:val="auto"/>
          <w:szCs w:val="28"/>
          <w:highlight w:val="none"/>
        </w:rPr>
        <w:t>～</w:t>
      </w:r>
      <w:r>
        <w:rPr>
          <w:color w:val="auto"/>
          <w:szCs w:val="28"/>
          <w:highlight w:val="none"/>
        </w:rPr>
        <w:t>1.5米，砂砾石的矿物</w:t>
      </w:r>
      <w:r>
        <w:rPr>
          <w:rFonts w:hint="eastAsia"/>
          <w:color w:val="auto"/>
          <w:szCs w:val="28"/>
          <w:highlight w:val="none"/>
          <w:lang w:eastAsia="zh-CN"/>
        </w:rPr>
        <w:t>成分</w:t>
      </w:r>
      <w:r>
        <w:rPr>
          <w:color w:val="auto"/>
          <w:szCs w:val="28"/>
          <w:highlight w:val="none"/>
        </w:rPr>
        <w:t>主要为石英，次为长石及暗色矿物组成。其磨</w:t>
      </w:r>
      <w:r>
        <w:rPr>
          <w:rFonts w:hint="eastAsia"/>
          <w:color w:val="auto"/>
          <w:szCs w:val="28"/>
          <w:highlight w:val="none"/>
        </w:rPr>
        <w:t>圆度</w:t>
      </w:r>
      <w:r>
        <w:rPr>
          <w:color w:val="auto"/>
          <w:szCs w:val="28"/>
          <w:highlight w:val="none"/>
        </w:rPr>
        <w:t>和分选性较差，呈半棱角状。</w:t>
      </w:r>
    </w:p>
    <w:p w14:paraId="51EA2203">
      <w:pPr>
        <w:spacing w:line="360" w:lineRule="auto"/>
        <w:ind w:firstLine="472" w:firstLineChars="200"/>
        <w:rPr>
          <w:color w:val="auto"/>
          <w:szCs w:val="28"/>
          <w:highlight w:val="none"/>
        </w:rPr>
      </w:pPr>
      <w:r>
        <w:rPr>
          <w:rFonts w:hint="eastAsia" w:ascii="宋体" w:hAnsi="宋体"/>
          <w:color w:val="auto"/>
          <w:szCs w:val="28"/>
          <w:highlight w:val="none"/>
        </w:rPr>
        <w:t>③</w:t>
      </w:r>
      <w:r>
        <w:rPr>
          <w:color w:val="auto"/>
          <w:szCs w:val="28"/>
          <w:highlight w:val="none"/>
        </w:rPr>
        <w:t>冲积沼泽沉积层（a</w:t>
      </w:r>
      <w:r>
        <w:rPr>
          <w:color w:val="auto"/>
          <w:szCs w:val="28"/>
          <w:highlight w:val="none"/>
          <w:vertAlign w:val="baseline"/>
        </w:rPr>
        <w:t>l</w:t>
      </w:r>
      <w:r>
        <w:rPr>
          <w:color w:val="auto"/>
          <w:szCs w:val="28"/>
          <w:highlight w:val="none"/>
        </w:rPr>
        <w:t>+hQ</w:t>
      </w:r>
      <w:r>
        <w:rPr>
          <w:color w:val="auto"/>
          <w:szCs w:val="28"/>
          <w:highlight w:val="none"/>
          <w:vertAlign w:val="subscript"/>
        </w:rPr>
        <w:t>4</w:t>
      </w:r>
      <w:r>
        <w:rPr>
          <w:color w:val="auto"/>
          <w:szCs w:val="28"/>
          <w:highlight w:val="none"/>
        </w:rPr>
        <w:t>）：</w:t>
      </w:r>
    </w:p>
    <w:p w14:paraId="294B0472">
      <w:pPr>
        <w:spacing w:line="360" w:lineRule="auto"/>
        <w:ind w:firstLine="472" w:firstLineChars="200"/>
        <w:rPr>
          <w:color w:val="auto"/>
          <w:szCs w:val="28"/>
          <w:highlight w:val="none"/>
        </w:rPr>
      </w:pPr>
      <w:r>
        <w:rPr>
          <w:color w:val="auto"/>
          <w:szCs w:val="28"/>
          <w:highlight w:val="none"/>
        </w:rPr>
        <w:t>分布于丘陵前缘地带之宽谷中，其厚度一般为1</w:t>
      </w:r>
      <w:r>
        <w:rPr>
          <w:rFonts w:hint="eastAsia" w:ascii="宋体" w:hAnsi="宋体"/>
          <w:color w:val="auto"/>
          <w:szCs w:val="28"/>
          <w:highlight w:val="none"/>
        </w:rPr>
        <w:t>～</w:t>
      </w:r>
      <w:r>
        <w:rPr>
          <w:color w:val="auto"/>
          <w:szCs w:val="28"/>
          <w:highlight w:val="none"/>
        </w:rPr>
        <w:t>5米，由灰黑色淤泥质亚粘土及淤泥质亚砂土组成。其中富含有机质及半腐烂的植物残体，具嗅味，局部见有泥炭。此</w:t>
      </w:r>
      <w:r>
        <w:rPr>
          <w:rFonts w:hint="eastAsia"/>
          <w:color w:val="auto"/>
          <w:szCs w:val="28"/>
          <w:highlight w:val="none"/>
          <w:lang w:val="en-US" w:eastAsia="zh-CN"/>
        </w:rPr>
        <w:t>外</w:t>
      </w:r>
      <w:r>
        <w:rPr>
          <w:color w:val="auto"/>
          <w:szCs w:val="28"/>
          <w:highlight w:val="none"/>
        </w:rPr>
        <w:t>，在</w:t>
      </w:r>
      <w:r>
        <w:rPr>
          <w:rFonts w:hint="eastAsia"/>
          <w:color w:val="auto"/>
          <w:szCs w:val="28"/>
          <w:highlight w:val="none"/>
          <w:lang w:val="en-US" w:eastAsia="zh-CN"/>
        </w:rPr>
        <w:t>极</w:t>
      </w:r>
      <w:r>
        <w:rPr>
          <w:color w:val="auto"/>
          <w:szCs w:val="28"/>
          <w:highlight w:val="none"/>
        </w:rPr>
        <w:t>少数的宽谷中，有薄层的全新统冲积层（a</w:t>
      </w:r>
      <w:r>
        <w:rPr>
          <w:color w:val="auto"/>
          <w:szCs w:val="28"/>
          <w:highlight w:val="none"/>
          <w:vertAlign w:val="baseline"/>
        </w:rPr>
        <w:t>l</w:t>
      </w:r>
      <w:r>
        <w:rPr>
          <w:color w:val="auto"/>
          <w:szCs w:val="28"/>
          <w:highlight w:val="none"/>
        </w:rPr>
        <w:t>Q</w:t>
      </w:r>
      <w:r>
        <w:rPr>
          <w:color w:val="auto"/>
          <w:szCs w:val="28"/>
          <w:highlight w:val="none"/>
          <w:vertAlign w:val="subscript"/>
        </w:rPr>
        <w:t>4</w:t>
      </w:r>
      <w:r>
        <w:rPr>
          <w:color w:val="auto"/>
          <w:szCs w:val="28"/>
          <w:highlight w:val="none"/>
        </w:rPr>
        <w:t>）分布，因厚度很小，在此不进行叙述。</w:t>
      </w:r>
    </w:p>
    <w:p w14:paraId="696F0D93">
      <w:pPr>
        <w:spacing w:line="360" w:lineRule="auto"/>
        <w:ind w:firstLine="472" w:firstLineChars="200"/>
        <w:rPr>
          <w:color w:val="auto"/>
          <w:szCs w:val="28"/>
          <w:highlight w:val="none"/>
        </w:rPr>
      </w:pPr>
      <w:r>
        <w:rPr>
          <w:rFonts w:hint="eastAsia"/>
          <w:color w:val="auto"/>
          <w:szCs w:val="28"/>
          <w:highlight w:val="none"/>
        </w:rPr>
        <w:t>4</w:t>
      </w:r>
      <w:r>
        <w:rPr>
          <w:color w:val="auto"/>
          <w:szCs w:val="28"/>
          <w:highlight w:val="none"/>
        </w:rPr>
        <w:t>）第四纪残积被积未分层（e</w:t>
      </w:r>
      <w:r>
        <w:rPr>
          <w:color w:val="auto"/>
          <w:szCs w:val="28"/>
          <w:highlight w:val="none"/>
          <w:vertAlign w:val="baseline"/>
        </w:rPr>
        <w:t>l</w:t>
      </w:r>
      <w:r>
        <w:rPr>
          <w:color w:val="auto"/>
          <w:szCs w:val="28"/>
          <w:highlight w:val="none"/>
        </w:rPr>
        <w:t>+d</w:t>
      </w:r>
      <w:r>
        <w:rPr>
          <w:color w:val="auto"/>
          <w:szCs w:val="28"/>
          <w:highlight w:val="none"/>
          <w:vertAlign w:val="baseline"/>
        </w:rPr>
        <w:t>l</w:t>
      </w:r>
      <w:r>
        <w:rPr>
          <w:color w:val="auto"/>
          <w:szCs w:val="28"/>
          <w:highlight w:val="none"/>
        </w:rPr>
        <w:t>Q）</w:t>
      </w:r>
    </w:p>
    <w:p w14:paraId="2BD68202">
      <w:pPr>
        <w:spacing w:line="360" w:lineRule="auto"/>
        <w:ind w:firstLine="472" w:firstLineChars="200"/>
        <w:rPr>
          <w:rFonts w:hint="eastAsia"/>
          <w:color w:val="auto"/>
          <w:highlight w:val="none"/>
        </w:rPr>
      </w:pPr>
      <w:r>
        <w:rPr>
          <w:color w:val="auto"/>
          <w:szCs w:val="28"/>
          <w:highlight w:val="none"/>
        </w:rPr>
        <w:t>主要为分布于丘陵区的第四纪残积坡积层，其岩性，由黄褐色及黑色的亚粘土夹碎石块组成，碎石呈棱角状，直径一般为0.5</w:t>
      </w:r>
      <w:r>
        <w:rPr>
          <w:rFonts w:hint="eastAsia" w:ascii="宋体" w:hAnsi="宋体"/>
          <w:color w:val="auto"/>
          <w:szCs w:val="28"/>
          <w:highlight w:val="none"/>
        </w:rPr>
        <w:t>～</w:t>
      </w:r>
      <w:r>
        <w:rPr>
          <w:color w:val="auto"/>
          <w:szCs w:val="28"/>
          <w:highlight w:val="none"/>
        </w:rPr>
        <w:t>5公分，</w:t>
      </w:r>
      <w:r>
        <w:rPr>
          <w:rFonts w:hint="eastAsia"/>
          <w:color w:val="auto"/>
          <w:szCs w:val="28"/>
          <w:highlight w:val="none"/>
          <w:lang w:eastAsia="zh-CN"/>
        </w:rPr>
        <w:t>成分</w:t>
      </w:r>
      <w:r>
        <w:rPr>
          <w:color w:val="auto"/>
          <w:szCs w:val="28"/>
          <w:highlight w:val="none"/>
        </w:rPr>
        <w:t>为花岗岩及泥页岩碎片，厚度0.5</w:t>
      </w:r>
      <w:r>
        <w:rPr>
          <w:rFonts w:hint="eastAsia" w:ascii="宋体" w:hAnsi="宋体"/>
          <w:color w:val="auto"/>
          <w:szCs w:val="28"/>
          <w:highlight w:val="none"/>
        </w:rPr>
        <w:t>～</w:t>
      </w:r>
      <w:r>
        <w:rPr>
          <w:color w:val="auto"/>
          <w:szCs w:val="28"/>
          <w:highlight w:val="none"/>
        </w:rPr>
        <w:t>10米左右。</w:t>
      </w:r>
    </w:p>
    <w:p w14:paraId="27BBE89C">
      <w:pPr>
        <w:pStyle w:val="5"/>
        <w:bidi w:val="0"/>
        <w:rPr>
          <w:rFonts w:hint="default" w:ascii="Times New Roman" w:hAnsi="Times New Roman" w:eastAsia="黑体" w:cs="Times New Roman"/>
          <w:color w:val="auto"/>
          <w:highlight w:val="none"/>
        </w:rPr>
      </w:pPr>
      <w:r>
        <w:rPr>
          <w:rFonts w:hint="eastAsia" w:ascii="Times New Roman" w:hAnsi="Times New Roman" w:eastAsia="黑体" w:cs="Times New Roman"/>
          <w:color w:val="auto"/>
          <w:highlight w:val="none"/>
        </w:rPr>
        <w:t>2.1.6.2 地下水赋存条件及分布规律</w:t>
      </w:r>
    </w:p>
    <w:p w14:paraId="0A89D0C0">
      <w:pPr>
        <w:spacing w:line="360" w:lineRule="auto"/>
        <w:ind w:firstLine="472" w:firstLineChars="200"/>
        <w:rPr>
          <w:rFonts w:hint="eastAsia"/>
          <w:color w:val="auto"/>
          <w:highlight w:val="none"/>
        </w:rPr>
      </w:pPr>
      <w:r>
        <w:rPr>
          <w:rFonts w:hint="eastAsia"/>
          <w:color w:val="auto"/>
          <w:highlight w:val="none"/>
        </w:rPr>
        <w:t>庆安县山区广泛分布着岩浆岩（玄武岩、花岗岩）沉积岩（页岩、泥岩、粉砂岩、砾石岩）及变质岩（沸石、大理岩、石膏等），这些地区以基岩裂隙水为主，丘陵、台地及河谷平原区则以第四系孔隙水为主，部分地区为更新统风积黄土孔隙水及沉积岩孔隙裂隙水。第四系之下普遍分布着白垩系地层，其间存在有基岩裂隙水、孔隙水。</w:t>
      </w:r>
    </w:p>
    <w:p w14:paraId="6102BBEF">
      <w:pPr>
        <w:spacing w:line="360" w:lineRule="auto"/>
        <w:ind w:firstLine="472" w:firstLineChars="200"/>
        <w:rPr>
          <w:rFonts w:hint="eastAsia"/>
          <w:color w:val="auto"/>
          <w:highlight w:val="none"/>
        </w:rPr>
      </w:pPr>
      <w:r>
        <w:rPr>
          <w:rFonts w:hint="eastAsia"/>
          <w:color w:val="auto"/>
          <w:highlight w:val="none"/>
        </w:rPr>
        <w:t>呼兰河及其支流河谷平原区，分布着大面积的具有一定厚度的第四系地层，由于其间无稳定隔水层，构成了一个统一的第四系含水岩层组。贮存第四系孔隙潜水及部分弱承压水。</w:t>
      </w:r>
    </w:p>
    <w:p w14:paraId="3145DCA2">
      <w:pPr>
        <w:spacing w:line="360" w:lineRule="auto"/>
        <w:ind w:firstLine="472" w:firstLineChars="200"/>
        <w:rPr>
          <w:rFonts w:hint="eastAsia"/>
          <w:color w:val="auto"/>
          <w:highlight w:val="none"/>
        </w:rPr>
      </w:pPr>
      <w:r>
        <w:rPr>
          <w:rFonts w:hint="eastAsia"/>
          <w:color w:val="auto"/>
          <w:highlight w:val="none"/>
        </w:rPr>
        <w:t>各河漫滩区，有较厚的粗颗粒含水层，地下水丰富，由于各河流的含水层厚度、粒径大小有差异，因此，富水程度也不相同，而各河流本身自上游到下游普遍存有水层变厚、分布范围变大、水量增大的变化规律。地下水类型为孔隙水。</w:t>
      </w:r>
    </w:p>
    <w:p w14:paraId="70DC1896">
      <w:pPr>
        <w:spacing w:line="360" w:lineRule="auto"/>
        <w:ind w:firstLine="472" w:firstLineChars="200"/>
        <w:rPr>
          <w:rFonts w:hint="eastAsia"/>
          <w:color w:val="auto"/>
          <w:highlight w:val="none"/>
        </w:rPr>
      </w:pPr>
      <w:r>
        <w:rPr>
          <w:rFonts w:hint="eastAsia"/>
          <w:color w:val="auto"/>
          <w:highlight w:val="none"/>
        </w:rPr>
        <w:t>一级阶地，含水量水层变薄，赋水量少于漫滩地区，其上覆盖着厚度为5</w:t>
      </w:r>
      <w:r>
        <w:rPr>
          <w:rFonts w:hint="eastAsia" w:ascii="宋体" w:hAnsi="宋体"/>
          <w:color w:val="auto"/>
          <w:szCs w:val="28"/>
          <w:highlight w:val="none"/>
        </w:rPr>
        <w:t>～</w:t>
      </w:r>
      <w:r>
        <w:rPr>
          <w:rFonts w:hint="eastAsia"/>
          <w:color w:val="auto"/>
          <w:highlight w:val="none"/>
        </w:rPr>
        <w:t>10米的粉质粘土，地下水类型为孔隙潜水和弱承压水。</w:t>
      </w:r>
    </w:p>
    <w:p w14:paraId="7BBF8145">
      <w:pPr>
        <w:spacing w:line="360" w:lineRule="auto"/>
        <w:ind w:firstLine="472" w:firstLineChars="200"/>
        <w:rPr>
          <w:rFonts w:hint="eastAsia"/>
          <w:color w:val="auto"/>
          <w:highlight w:val="none"/>
        </w:rPr>
      </w:pPr>
      <w:r>
        <w:rPr>
          <w:rFonts w:hint="eastAsia"/>
          <w:color w:val="auto"/>
          <w:highlight w:val="none"/>
        </w:rPr>
        <w:t>台地区，含水层上部覆盖着厚度10</w:t>
      </w:r>
      <w:r>
        <w:rPr>
          <w:rFonts w:hint="eastAsia" w:ascii="宋体" w:hAnsi="宋体"/>
          <w:color w:val="auto"/>
          <w:szCs w:val="28"/>
          <w:highlight w:val="none"/>
        </w:rPr>
        <w:t>～</w:t>
      </w:r>
      <w:r>
        <w:rPr>
          <w:rFonts w:hint="eastAsia"/>
          <w:color w:val="auto"/>
          <w:highlight w:val="none"/>
        </w:rPr>
        <w:t>30米的粉质粘土，含水层为颗粒不均和粗砂及砂砾石，贮存第四系孔隙承压水。第四系地层下广泛分布着白垩系砂，砂砾岩层，该层中赋有孔隙、裂隙承压水。该层顶板埋深40</w:t>
      </w:r>
      <w:r>
        <w:rPr>
          <w:rFonts w:hint="eastAsia" w:ascii="宋体" w:hAnsi="宋体"/>
          <w:color w:val="auto"/>
          <w:szCs w:val="28"/>
          <w:highlight w:val="none"/>
        </w:rPr>
        <w:t>～</w:t>
      </w:r>
      <w:r>
        <w:rPr>
          <w:rFonts w:hint="eastAsia"/>
          <w:color w:val="auto"/>
          <w:highlight w:val="none"/>
        </w:rPr>
        <w:t>90米，含水层厚度20米左右，有较丰富的地下水。</w:t>
      </w:r>
    </w:p>
    <w:p w14:paraId="16701F3A">
      <w:pPr>
        <w:spacing w:line="360" w:lineRule="auto"/>
        <w:ind w:firstLine="472" w:firstLineChars="200"/>
        <w:rPr>
          <w:rFonts w:hint="eastAsia"/>
          <w:color w:val="auto"/>
          <w:highlight w:val="none"/>
        </w:rPr>
      </w:pPr>
      <w:r>
        <w:rPr>
          <w:rFonts w:hint="eastAsia"/>
          <w:color w:val="auto"/>
          <w:highlight w:val="none"/>
        </w:rPr>
        <w:t>庆安县地下水补给主要</w:t>
      </w:r>
      <w:r>
        <w:rPr>
          <w:rFonts w:hint="eastAsia"/>
          <w:color w:val="auto"/>
          <w:highlight w:val="none"/>
          <w:lang w:eastAsia="zh-CN"/>
        </w:rPr>
        <w:t>以</w:t>
      </w:r>
      <w:r>
        <w:rPr>
          <w:rFonts w:hint="eastAsia"/>
          <w:color w:val="auto"/>
          <w:highlight w:val="none"/>
        </w:rPr>
        <w:t>大气降水为主。河谷平原区的补给除大气降水外还接受台地地下水径流补给，河滩地区的地下水补给除上述补给外，在丰水期也接受地表水补给。</w:t>
      </w:r>
    </w:p>
    <w:p w14:paraId="1DEED7B2">
      <w:pPr>
        <w:spacing w:line="360" w:lineRule="auto"/>
        <w:ind w:firstLine="472" w:firstLineChars="200"/>
        <w:rPr>
          <w:rFonts w:hint="eastAsia"/>
          <w:color w:val="auto"/>
          <w:highlight w:val="none"/>
        </w:rPr>
      </w:pPr>
      <w:r>
        <w:rPr>
          <w:rFonts w:hint="eastAsia"/>
          <w:color w:val="auto"/>
          <w:highlight w:val="none"/>
        </w:rPr>
        <w:t>大面积台地地区，地下水含水层上覆盖着较厚的粉质粘土，渗透量较小，地下水补给，主要是靠低山丘陵区的地下径流补给。</w:t>
      </w:r>
    </w:p>
    <w:p w14:paraId="70503F6E">
      <w:pPr>
        <w:spacing w:line="360" w:lineRule="auto"/>
        <w:ind w:firstLine="472" w:firstLineChars="200"/>
        <w:rPr>
          <w:rFonts w:hint="eastAsia"/>
          <w:color w:val="auto"/>
          <w:highlight w:val="none"/>
        </w:rPr>
      </w:pPr>
      <w:r>
        <w:rPr>
          <w:rFonts w:hint="eastAsia"/>
          <w:color w:val="auto"/>
          <w:highlight w:val="none"/>
        </w:rPr>
        <w:t>第四系含水层与其下伏的白垩系承压含水层之间，由于存有较厚的泥岩及泥页岩，虽然该层有断裂构造存在，但尚不能全部沟通，故两个含水层的水力联系较差，</w:t>
      </w:r>
      <w:r>
        <w:rPr>
          <w:rFonts w:hint="eastAsia"/>
          <w:color w:val="auto"/>
          <w:highlight w:val="none"/>
          <w:lang w:eastAsia="zh-CN"/>
        </w:rPr>
        <w:t>径流</w:t>
      </w:r>
      <w:r>
        <w:rPr>
          <w:rFonts w:hint="eastAsia"/>
          <w:color w:val="auto"/>
          <w:highlight w:val="none"/>
        </w:rPr>
        <w:t>补给量较少。</w:t>
      </w:r>
    </w:p>
    <w:p w14:paraId="43423819">
      <w:pPr>
        <w:pStyle w:val="5"/>
        <w:bidi w:val="0"/>
        <w:rPr>
          <w:rFonts w:hint="eastAsia" w:ascii="Times New Roman" w:hAnsi="Times New Roman" w:eastAsia="黑体" w:cs="Times New Roman"/>
          <w:color w:val="auto"/>
          <w:highlight w:val="none"/>
        </w:rPr>
      </w:pPr>
      <w:r>
        <w:rPr>
          <w:rFonts w:hint="eastAsia" w:ascii="Times New Roman" w:hAnsi="Times New Roman" w:eastAsia="黑体" w:cs="Times New Roman"/>
          <w:color w:val="auto"/>
          <w:highlight w:val="none"/>
        </w:rPr>
        <w:t>2.1.6.3 地下水类型及含水层特征</w:t>
      </w:r>
    </w:p>
    <w:p w14:paraId="3680070D">
      <w:pPr>
        <w:spacing w:line="360" w:lineRule="auto"/>
        <w:ind w:firstLine="472" w:firstLineChars="200"/>
        <w:rPr>
          <w:rFonts w:hint="eastAsia"/>
          <w:color w:val="auto"/>
          <w:highlight w:val="none"/>
        </w:rPr>
      </w:pPr>
      <w:r>
        <w:rPr>
          <w:rFonts w:hint="eastAsia"/>
          <w:color w:val="auto"/>
          <w:highlight w:val="none"/>
        </w:rPr>
        <w:t>庆安县地下水总储量为24.49亿立方米，年平均总补给量3.63亿立方米。根据地下水埋藏条件、含水层结构、富水性等，将庆安地下水划分以下几个含水岩层。</w:t>
      </w:r>
    </w:p>
    <w:p w14:paraId="3C0CA9AA">
      <w:pPr>
        <w:spacing w:line="360" w:lineRule="auto"/>
        <w:ind w:firstLine="472" w:firstLineChars="200"/>
        <w:rPr>
          <w:rFonts w:hint="eastAsia"/>
          <w:color w:val="auto"/>
          <w:highlight w:val="none"/>
        </w:rPr>
      </w:pPr>
      <w:r>
        <w:rPr>
          <w:rFonts w:hint="eastAsia"/>
          <w:color w:val="auto"/>
          <w:highlight w:val="none"/>
        </w:rPr>
        <w:t>（1）前第四纪孔隙裂隙水</w:t>
      </w:r>
    </w:p>
    <w:p w14:paraId="5174DEA1">
      <w:pPr>
        <w:spacing w:line="360" w:lineRule="auto"/>
        <w:ind w:firstLine="472" w:firstLineChars="200"/>
        <w:rPr>
          <w:rFonts w:hint="eastAsia"/>
          <w:color w:val="auto"/>
          <w:highlight w:val="none"/>
        </w:rPr>
      </w:pPr>
      <w:r>
        <w:rPr>
          <w:rFonts w:hint="eastAsia"/>
          <w:color w:val="auto"/>
          <w:highlight w:val="none"/>
        </w:rPr>
        <w:t>根据岩层时代、含水性质等因素，将其划分以下各含水岩层（系）进行分别叙述：</w:t>
      </w:r>
    </w:p>
    <w:p w14:paraId="3CB63F98">
      <w:pPr>
        <w:spacing w:line="360" w:lineRule="auto"/>
        <w:ind w:firstLine="472" w:firstLineChars="200"/>
        <w:rPr>
          <w:rFonts w:hint="eastAsia"/>
          <w:color w:val="auto"/>
          <w:highlight w:val="none"/>
        </w:rPr>
      </w:pPr>
      <w:r>
        <w:rPr>
          <w:rFonts w:hint="eastAsia"/>
          <w:color w:val="auto"/>
          <w:highlight w:val="none"/>
          <w:lang w:val="en-US" w:eastAsia="zh-CN"/>
        </w:rPr>
        <w:t>1</w:t>
      </w:r>
      <w:r>
        <w:rPr>
          <w:rFonts w:hint="eastAsia"/>
          <w:color w:val="auto"/>
          <w:highlight w:val="none"/>
          <w:lang w:eastAsia="zh-CN"/>
        </w:rPr>
        <w:t>）</w:t>
      </w:r>
      <w:r>
        <w:rPr>
          <w:rFonts w:hint="eastAsia"/>
          <w:color w:val="auto"/>
          <w:highlight w:val="none"/>
        </w:rPr>
        <w:t>上白垩统四方台组中部承压水（K</w:t>
      </w:r>
      <w:r>
        <w:rPr>
          <w:rFonts w:hint="eastAsia"/>
          <w:color w:val="auto"/>
          <w:highlight w:val="none"/>
          <w:vertAlign w:val="subscript"/>
        </w:rPr>
        <w:t>2</w:t>
      </w:r>
      <w:r>
        <w:rPr>
          <w:rFonts w:hint="eastAsia"/>
          <w:color w:val="auto"/>
          <w:highlight w:val="none"/>
          <w:vertAlign w:val="baseline"/>
        </w:rPr>
        <w:t>e</w:t>
      </w:r>
      <w:r>
        <w:rPr>
          <w:rFonts w:hint="eastAsia"/>
          <w:color w:val="auto"/>
          <w:highlight w:val="none"/>
          <w:vertAlign w:val="subscript"/>
        </w:rPr>
        <w:t>2</w:t>
      </w:r>
      <w:r>
        <w:rPr>
          <w:rFonts w:hint="eastAsia"/>
          <w:color w:val="auto"/>
          <w:highlight w:val="none"/>
        </w:rPr>
        <w:t>）：</w:t>
      </w:r>
    </w:p>
    <w:p w14:paraId="7627B69E">
      <w:pPr>
        <w:spacing w:line="360" w:lineRule="auto"/>
        <w:ind w:firstLine="472" w:firstLineChars="200"/>
        <w:rPr>
          <w:rFonts w:hint="eastAsia"/>
          <w:color w:val="auto"/>
          <w:highlight w:val="none"/>
        </w:rPr>
      </w:pPr>
      <w:r>
        <w:rPr>
          <w:rFonts w:hint="eastAsia"/>
          <w:color w:val="auto"/>
          <w:highlight w:val="none"/>
        </w:rPr>
        <w:t>分布于四方台向斜的轴部，含水层为粉砂岩和砾质砂岩，其顶板为泥岩、粉砂质泥岩，含水层厚度为10-20米，王朝佐附近泉水流量4.43升/秒，其补给来源主要为伏龙泉组地下水，在其边缘部分可能接受一些第四纪地下水的补给。</w:t>
      </w:r>
    </w:p>
    <w:p w14:paraId="5F8B5876">
      <w:pPr>
        <w:spacing w:line="360" w:lineRule="auto"/>
        <w:ind w:firstLine="472" w:firstLineChars="200"/>
        <w:rPr>
          <w:rFonts w:hint="eastAsia"/>
          <w:color w:val="auto"/>
          <w:highlight w:val="none"/>
        </w:rPr>
      </w:pPr>
      <w:r>
        <w:rPr>
          <w:rFonts w:hint="eastAsia"/>
          <w:color w:val="auto"/>
          <w:highlight w:val="none"/>
          <w:lang w:val="en-US" w:eastAsia="zh-CN"/>
        </w:rPr>
        <w:t>2</w:t>
      </w:r>
      <w:r>
        <w:rPr>
          <w:rFonts w:hint="eastAsia"/>
          <w:color w:val="auto"/>
          <w:highlight w:val="none"/>
          <w:lang w:eastAsia="zh-CN"/>
        </w:rPr>
        <w:t>）</w:t>
      </w:r>
      <w:r>
        <w:rPr>
          <w:rFonts w:hint="eastAsia"/>
          <w:color w:val="auto"/>
          <w:highlight w:val="none"/>
        </w:rPr>
        <w:t>下白垩统伏龙泉组上部承压水（K</w:t>
      </w:r>
      <w:r>
        <w:rPr>
          <w:rFonts w:hint="eastAsia"/>
          <w:color w:val="auto"/>
          <w:highlight w:val="none"/>
          <w:vertAlign w:val="subscript"/>
        </w:rPr>
        <w:t>1</w:t>
      </w:r>
      <w:r>
        <w:rPr>
          <w:rFonts w:hint="eastAsia"/>
          <w:color w:val="auto"/>
          <w:highlight w:val="none"/>
          <w:vertAlign w:val="baseline"/>
        </w:rPr>
        <w:t>d</w:t>
      </w:r>
      <w:r>
        <w:rPr>
          <w:rFonts w:hint="eastAsia"/>
          <w:color w:val="auto"/>
          <w:highlight w:val="none"/>
          <w:vertAlign w:val="subscript"/>
        </w:rPr>
        <w:t>4</w:t>
      </w:r>
      <w:r>
        <w:rPr>
          <w:rFonts w:hint="eastAsia"/>
          <w:color w:val="auto"/>
          <w:highlight w:val="none"/>
        </w:rPr>
        <w:t>）：</w:t>
      </w:r>
    </w:p>
    <w:p w14:paraId="2BC6C95C">
      <w:pPr>
        <w:spacing w:line="360" w:lineRule="auto"/>
        <w:ind w:firstLine="472" w:firstLineChars="200"/>
        <w:rPr>
          <w:rFonts w:hint="eastAsia"/>
          <w:color w:val="auto"/>
          <w:highlight w:val="none"/>
        </w:rPr>
      </w:pPr>
      <w:r>
        <w:rPr>
          <w:rFonts w:hint="eastAsia"/>
          <w:color w:val="auto"/>
          <w:highlight w:val="none"/>
        </w:rPr>
        <w:t>在构造上多组成向斜，因此，一般造成较高的承压水头，甚至高出地表而自流。含水层主要为细砂岩和粉砂岩，一般厚度为10</w:t>
      </w:r>
      <w:r>
        <w:rPr>
          <w:rFonts w:hint="eastAsia"/>
          <w:color w:val="auto"/>
          <w:highlight w:val="none"/>
          <w:lang w:val="en-US" w:eastAsia="zh-CN"/>
        </w:rPr>
        <w:t>~</w:t>
      </w:r>
      <w:r>
        <w:rPr>
          <w:rFonts w:hint="eastAsia"/>
          <w:color w:val="auto"/>
          <w:highlight w:val="none"/>
        </w:rPr>
        <w:t>20米，埋藏深度在30</w:t>
      </w:r>
      <w:r>
        <w:rPr>
          <w:rFonts w:hint="eastAsia"/>
          <w:color w:val="auto"/>
          <w:highlight w:val="none"/>
          <w:lang w:val="en-US" w:eastAsia="zh-CN"/>
        </w:rPr>
        <w:t>~</w:t>
      </w:r>
      <w:r>
        <w:rPr>
          <w:rFonts w:hint="eastAsia"/>
          <w:color w:val="auto"/>
          <w:highlight w:val="none"/>
        </w:rPr>
        <w:t>50米以下，涌水量变化较大，其具体情况见表十八，总之，伏龙泉组上部地下水是较丰富的，并且在分布上也是比较广泛的，在补给条件上是良好的，一方面可直接的接受山区基岩裂隙水的补给，</w:t>
      </w:r>
      <w:r>
        <w:rPr>
          <w:rFonts w:hint="eastAsia"/>
          <w:color w:val="auto"/>
          <w:highlight w:val="none"/>
          <w:lang w:eastAsia="zh-CN"/>
        </w:rPr>
        <w:t>另一</w:t>
      </w:r>
      <w:r>
        <w:rPr>
          <w:rFonts w:hint="eastAsia"/>
          <w:color w:val="auto"/>
          <w:highlight w:val="none"/>
        </w:rPr>
        <w:t>方面与第四纪地下水有着密切的水力联系，因其补给区可接受一部分第四纪地下水的补给，因此说水文地质条件是较良好的。</w:t>
      </w:r>
    </w:p>
    <w:p w14:paraId="5DFE5F4A">
      <w:pPr>
        <w:spacing w:line="360" w:lineRule="auto"/>
        <w:ind w:firstLine="472" w:firstLineChars="200"/>
        <w:rPr>
          <w:rFonts w:hint="eastAsia"/>
          <w:color w:val="auto"/>
          <w:highlight w:val="none"/>
        </w:rPr>
      </w:pPr>
      <w:r>
        <w:rPr>
          <w:rFonts w:hint="eastAsia"/>
          <w:color w:val="auto"/>
          <w:highlight w:val="none"/>
          <w:lang w:val="en-US" w:eastAsia="zh-CN"/>
        </w:rPr>
        <w:t>3</w:t>
      </w:r>
      <w:r>
        <w:rPr>
          <w:rFonts w:hint="eastAsia"/>
          <w:color w:val="auto"/>
          <w:highlight w:val="none"/>
          <w:lang w:eastAsia="zh-CN"/>
        </w:rPr>
        <w:t>）</w:t>
      </w:r>
      <w:r>
        <w:rPr>
          <w:rFonts w:hint="eastAsia"/>
          <w:color w:val="auto"/>
          <w:highlight w:val="none"/>
        </w:rPr>
        <w:t>下白垩统伏龙泉组下部含水岩系（K</w:t>
      </w:r>
      <w:r>
        <w:rPr>
          <w:rFonts w:hint="eastAsia"/>
          <w:color w:val="auto"/>
          <w:highlight w:val="none"/>
          <w:vertAlign w:val="subscript"/>
        </w:rPr>
        <w:t>1</w:t>
      </w:r>
      <w:r>
        <w:rPr>
          <w:rFonts w:hint="eastAsia"/>
          <w:color w:val="auto"/>
          <w:highlight w:val="none"/>
          <w:vertAlign w:val="baseline"/>
        </w:rPr>
        <w:t>d</w:t>
      </w:r>
      <w:r>
        <w:rPr>
          <w:rFonts w:hint="eastAsia"/>
          <w:color w:val="auto"/>
          <w:highlight w:val="none"/>
          <w:vertAlign w:val="subscript"/>
        </w:rPr>
        <w:t>1+2+3</w:t>
      </w:r>
      <w:r>
        <w:rPr>
          <w:rFonts w:hint="eastAsia"/>
          <w:color w:val="auto"/>
          <w:highlight w:val="none"/>
        </w:rPr>
        <w:t>）</w:t>
      </w:r>
    </w:p>
    <w:p w14:paraId="5101B7A8">
      <w:pPr>
        <w:spacing w:line="360" w:lineRule="auto"/>
        <w:ind w:firstLine="472" w:firstLineChars="200"/>
        <w:rPr>
          <w:rFonts w:hint="eastAsia"/>
          <w:color w:val="auto"/>
          <w:highlight w:val="none"/>
        </w:rPr>
      </w:pPr>
      <w:r>
        <w:rPr>
          <w:rFonts w:hint="eastAsia"/>
          <w:color w:val="auto"/>
          <w:highlight w:val="none"/>
        </w:rPr>
        <w:t>在构造位置上多处于背斜部位，因此，造成不利的蓄水条件，不仅影响含水层的水量，使含水层的承压水头有较大的降低，一般为15</w:t>
      </w:r>
      <w:r>
        <w:rPr>
          <w:rFonts w:hint="eastAsia"/>
          <w:color w:val="auto"/>
          <w:highlight w:val="none"/>
          <w:lang w:val="en-US" w:eastAsia="zh-CN"/>
        </w:rPr>
        <w:t>~</w:t>
      </w:r>
      <w:r>
        <w:rPr>
          <w:rFonts w:hint="eastAsia"/>
          <w:color w:val="auto"/>
          <w:highlight w:val="none"/>
        </w:rPr>
        <w:t>30米。含水层岩性主要为粉细砂岩，其厚度一般为10</w:t>
      </w:r>
      <w:r>
        <w:rPr>
          <w:rFonts w:hint="eastAsia"/>
          <w:color w:val="auto"/>
          <w:highlight w:val="none"/>
          <w:lang w:val="en-US" w:eastAsia="zh-CN"/>
        </w:rPr>
        <w:t>~</w:t>
      </w:r>
      <w:r>
        <w:rPr>
          <w:rFonts w:hint="eastAsia"/>
          <w:color w:val="auto"/>
          <w:highlight w:val="none"/>
        </w:rPr>
        <w:t>20米，少部分地区达30余米，在埋藏深度上变化较大。涌水量一般小于1升/秒，</w:t>
      </w:r>
      <w:r>
        <w:rPr>
          <w:rFonts w:hint="eastAsia"/>
          <w:color w:val="auto"/>
          <w:highlight w:val="none"/>
          <w:lang w:eastAsia="zh-CN"/>
        </w:rPr>
        <w:t>其</w:t>
      </w:r>
      <w:r>
        <w:rPr>
          <w:rFonts w:hint="eastAsia"/>
          <w:color w:val="auto"/>
          <w:highlight w:val="none"/>
        </w:rPr>
        <w:t>补给来源主要为基岩裂隙水。</w:t>
      </w:r>
    </w:p>
    <w:p w14:paraId="0EC139F7">
      <w:pPr>
        <w:spacing w:line="360" w:lineRule="auto"/>
        <w:ind w:firstLine="472" w:firstLineChars="200"/>
        <w:rPr>
          <w:rFonts w:hint="eastAsia"/>
          <w:color w:val="auto"/>
          <w:highlight w:val="none"/>
        </w:rPr>
      </w:pPr>
      <w:r>
        <w:rPr>
          <w:rFonts w:hint="eastAsia"/>
          <w:color w:val="auto"/>
          <w:highlight w:val="none"/>
          <w:lang w:val="en-US" w:eastAsia="zh-CN"/>
        </w:rPr>
        <w:t>4</w:t>
      </w:r>
      <w:r>
        <w:rPr>
          <w:rFonts w:hint="eastAsia"/>
          <w:color w:val="auto"/>
          <w:highlight w:val="none"/>
          <w:lang w:eastAsia="zh-CN"/>
        </w:rPr>
        <w:t>）</w:t>
      </w:r>
      <w:r>
        <w:rPr>
          <w:rFonts w:hint="eastAsia"/>
          <w:color w:val="auto"/>
          <w:highlight w:val="none"/>
        </w:rPr>
        <w:t>下白垩统姚家组含水岩系（K</w:t>
      </w:r>
      <w:r>
        <w:rPr>
          <w:rFonts w:hint="eastAsia"/>
          <w:color w:val="auto"/>
          <w:highlight w:val="none"/>
          <w:vertAlign w:val="subscript"/>
        </w:rPr>
        <w:t>1</w:t>
      </w:r>
      <w:r>
        <w:rPr>
          <w:rFonts w:hint="eastAsia"/>
          <w:color w:val="auto"/>
          <w:highlight w:val="none"/>
        </w:rPr>
        <w:t>C）：</w:t>
      </w:r>
    </w:p>
    <w:p w14:paraId="61B845EE">
      <w:pPr>
        <w:spacing w:line="360" w:lineRule="auto"/>
        <w:ind w:firstLine="472" w:firstLineChars="200"/>
        <w:rPr>
          <w:rFonts w:hint="eastAsia"/>
          <w:color w:val="auto"/>
          <w:highlight w:val="none"/>
        </w:rPr>
      </w:pPr>
      <w:r>
        <w:rPr>
          <w:rFonts w:hint="eastAsia"/>
          <w:color w:val="auto"/>
          <w:highlight w:val="none"/>
        </w:rPr>
        <w:t>含水层主要由粉细砂岩组成，其厚度20米左右，埋藏深度为40-75米，地下水位10</w:t>
      </w:r>
      <w:r>
        <w:rPr>
          <w:rFonts w:hint="eastAsia"/>
          <w:color w:val="auto"/>
          <w:highlight w:val="none"/>
          <w:lang w:val="en-US" w:eastAsia="zh-CN"/>
        </w:rPr>
        <w:t>~</w:t>
      </w:r>
      <w:r>
        <w:rPr>
          <w:rFonts w:hint="eastAsia"/>
          <w:color w:val="auto"/>
          <w:highlight w:val="none"/>
        </w:rPr>
        <w:t>20米，承压水头高度20米左右，涌水量为0.6升/秒，最大涌水量可达15升/秒。其补给主要为山区基岩裂隙水。因其本身分布范围较小，与上伏含水岩层（伏龙泉组含水岩层）的水力联系不大。</w:t>
      </w:r>
    </w:p>
    <w:p w14:paraId="316B70EE">
      <w:pPr>
        <w:spacing w:line="360" w:lineRule="auto"/>
        <w:ind w:firstLine="472" w:firstLineChars="200"/>
        <w:rPr>
          <w:rFonts w:hint="eastAsia"/>
          <w:color w:val="auto"/>
          <w:highlight w:val="none"/>
        </w:rPr>
      </w:pPr>
      <w:r>
        <w:rPr>
          <w:rFonts w:hint="eastAsia"/>
          <w:color w:val="auto"/>
          <w:highlight w:val="none"/>
          <w:lang w:val="en-US" w:eastAsia="zh-CN"/>
        </w:rPr>
        <w:t>5</w:t>
      </w:r>
      <w:r>
        <w:rPr>
          <w:rFonts w:hint="eastAsia"/>
          <w:color w:val="auto"/>
          <w:highlight w:val="none"/>
          <w:lang w:eastAsia="zh-CN"/>
        </w:rPr>
        <w:t>）</w:t>
      </w:r>
      <w:r>
        <w:rPr>
          <w:rFonts w:hint="eastAsia"/>
          <w:color w:val="auto"/>
          <w:highlight w:val="none"/>
        </w:rPr>
        <w:t>白垩系地层表面风化裂隙带潜水：</w:t>
      </w:r>
    </w:p>
    <w:p w14:paraId="6A47E8E8">
      <w:pPr>
        <w:spacing w:line="360" w:lineRule="auto"/>
        <w:ind w:firstLine="472" w:firstLineChars="200"/>
        <w:rPr>
          <w:rFonts w:hint="eastAsia"/>
          <w:color w:val="auto"/>
          <w:highlight w:val="none"/>
        </w:rPr>
      </w:pPr>
      <w:r>
        <w:rPr>
          <w:rFonts w:hint="eastAsia"/>
          <w:color w:val="auto"/>
          <w:highlight w:val="none"/>
        </w:rPr>
        <w:t>广泛分布的白垩系地层表面，均有一层厚度不大的风化裂隙带，其中含有少量的地下水。</w:t>
      </w:r>
    </w:p>
    <w:p w14:paraId="01AE10C3">
      <w:pPr>
        <w:spacing w:line="360" w:lineRule="auto"/>
        <w:ind w:firstLine="472" w:firstLineChars="200"/>
        <w:rPr>
          <w:rFonts w:hint="eastAsia"/>
          <w:color w:val="auto"/>
          <w:highlight w:val="none"/>
        </w:rPr>
      </w:pPr>
      <w:r>
        <w:rPr>
          <w:rFonts w:hint="eastAsia"/>
          <w:color w:val="auto"/>
          <w:highlight w:val="none"/>
        </w:rPr>
        <w:t>（2）第四纪岩层含水性</w:t>
      </w:r>
    </w:p>
    <w:p w14:paraId="48AA8DA7">
      <w:pPr>
        <w:spacing w:line="360" w:lineRule="auto"/>
        <w:ind w:firstLine="472" w:firstLineChars="200"/>
        <w:rPr>
          <w:rFonts w:hint="eastAsia"/>
          <w:color w:val="auto"/>
          <w:highlight w:val="none"/>
        </w:rPr>
      </w:pPr>
      <w:r>
        <w:rPr>
          <w:rFonts w:hint="eastAsia"/>
          <w:color w:val="auto"/>
          <w:highlight w:val="none"/>
          <w:lang w:val="en-US" w:eastAsia="zh-CN"/>
        </w:rPr>
        <w:t>1</w:t>
      </w:r>
      <w:r>
        <w:rPr>
          <w:rFonts w:hint="eastAsia"/>
          <w:color w:val="auto"/>
          <w:highlight w:val="none"/>
          <w:lang w:eastAsia="zh-CN"/>
        </w:rPr>
        <w:t>）</w:t>
      </w:r>
      <w:r>
        <w:rPr>
          <w:rFonts w:hint="eastAsia"/>
          <w:color w:val="auto"/>
          <w:highlight w:val="none"/>
        </w:rPr>
        <w:t>全新统冲积沼泽沉积的砂砾石含水层（a</w:t>
      </w:r>
      <w:r>
        <w:rPr>
          <w:rFonts w:hint="eastAsia"/>
          <w:color w:val="auto"/>
          <w:highlight w:val="none"/>
          <w:vertAlign w:val="baseline"/>
        </w:rPr>
        <w:t>l</w:t>
      </w:r>
      <w:r>
        <w:rPr>
          <w:rFonts w:hint="eastAsia"/>
          <w:color w:val="auto"/>
          <w:highlight w:val="none"/>
        </w:rPr>
        <w:t>+hQ</w:t>
      </w:r>
      <w:r>
        <w:rPr>
          <w:rFonts w:hint="eastAsia"/>
          <w:color w:val="auto"/>
          <w:highlight w:val="none"/>
          <w:vertAlign w:val="subscript"/>
        </w:rPr>
        <w:t>4</w:t>
      </w:r>
      <w:r>
        <w:rPr>
          <w:rFonts w:hint="eastAsia"/>
          <w:color w:val="auto"/>
          <w:highlight w:val="none"/>
        </w:rPr>
        <w:t>）：</w:t>
      </w:r>
    </w:p>
    <w:p w14:paraId="4EFEA82E">
      <w:pPr>
        <w:spacing w:line="360" w:lineRule="auto"/>
        <w:ind w:firstLine="472" w:firstLineChars="200"/>
        <w:rPr>
          <w:rFonts w:hint="eastAsia"/>
          <w:color w:val="auto"/>
          <w:highlight w:val="none"/>
        </w:rPr>
      </w:pPr>
      <w:r>
        <w:rPr>
          <w:rFonts w:hint="eastAsia"/>
          <w:color w:val="auto"/>
          <w:highlight w:val="none"/>
        </w:rPr>
        <w:t>分布在低漫滩区，上伏l</w:t>
      </w:r>
      <w:r>
        <w:rPr>
          <w:rFonts w:hint="eastAsia"/>
          <w:color w:val="auto"/>
          <w:highlight w:val="none"/>
          <w:lang w:val="en-US" w:eastAsia="zh-CN"/>
        </w:rPr>
        <w:t>~</w:t>
      </w:r>
      <w:r>
        <w:rPr>
          <w:rFonts w:hint="eastAsia"/>
          <w:color w:val="auto"/>
          <w:highlight w:val="none"/>
        </w:rPr>
        <w:t>3米厚的淤泥质亚砂土，下为砂砾石层，厚为0.5</w:t>
      </w:r>
      <w:r>
        <w:rPr>
          <w:rFonts w:hint="eastAsia"/>
          <w:color w:val="auto"/>
          <w:highlight w:val="none"/>
          <w:lang w:val="en-US" w:eastAsia="zh-CN"/>
        </w:rPr>
        <w:t>~</w:t>
      </w:r>
      <w:r>
        <w:rPr>
          <w:rFonts w:hint="eastAsia"/>
          <w:color w:val="auto"/>
          <w:highlight w:val="none"/>
        </w:rPr>
        <w:t>5米，其最大涌水量较小，一般为0.1</w:t>
      </w:r>
      <w:r>
        <w:rPr>
          <w:rFonts w:hint="eastAsia"/>
          <w:color w:val="auto"/>
          <w:highlight w:val="none"/>
          <w:lang w:val="en-US" w:eastAsia="zh-CN"/>
        </w:rPr>
        <w:t>~</w:t>
      </w:r>
      <w:r>
        <w:rPr>
          <w:rFonts w:hint="eastAsia"/>
          <w:color w:val="auto"/>
          <w:highlight w:val="none"/>
        </w:rPr>
        <w:t>1升/秒，自河流的上游向下其涌水量增大，其埋藏深度为0-2米。补给来源主要为大气降水及河水。</w:t>
      </w:r>
    </w:p>
    <w:p w14:paraId="74897355">
      <w:pPr>
        <w:spacing w:line="360" w:lineRule="auto"/>
        <w:ind w:firstLine="472" w:firstLineChars="200"/>
        <w:rPr>
          <w:rFonts w:hint="eastAsia"/>
          <w:color w:val="auto"/>
          <w:highlight w:val="none"/>
        </w:rPr>
      </w:pPr>
      <w:r>
        <w:rPr>
          <w:rFonts w:hint="eastAsia"/>
          <w:color w:val="auto"/>
          <w:highlight w:val="none"/>
          <w:lang w:val="en-US" w:eastAsia="zh-CN"/>
        </w:rPr>
        <w:t>2</w:t>
      </w:r>
      <w:r>
        <w:rPr>
          <w:rFonts w:hint="eastAsia"/>
          <w:color w:val="auto"/>
          <w:highlight w:val="none"/>
          <w:lang w:eastAsia="zh-CN"/>
        </w:rPr>
        <w:t>）</w:t>
      </w:r>
      <w:r>
        <w:rPr>
          <w:rFonts w:hint="eastAsia"/>
          <w:color w:val="auto"/>
          <w:highlight w:val="none"/>
        </w:rPr>
        <w:t>全新统上部冲积砂砾石层中潜水（a</w:t>
      </w:r>
      <w:r>
        <w:rPr>
          <w:rFonts w:hint="eastAsia"/>
          <w:color w:val="auto"/>
          <w:highlight w:val="none"/>
          <w:vertAlign w:val="baseline"/>
        </w:rPr>
        <w:t>l</w:t>
      </w:r>
      <w:r>
        <w:rPr>
          <w:rFonts w:hint="eastAsia"/>
          <w:color w:val="auto"/>
          <w:highlight w:val="none"/>
        </w:rPr>
        <w:t>Q</w:t>
      </w:r>
      <w:r>
        <w:rPr>
          <w:rFonts w:hint="eastAsia"/>
          <w:color w:val="auto"/>
          <w:highlight w:val="none"/>
          <w:vertAlign w:val="subscript"/>
        </w:rPr>
        <w:t>24</w:t>
      </w:r>
      <w:r>
        <w:rPr>
          <w:rFonts w:hint="eastAsia"/>
          <w:color w:val="auto"/>
          <w:highlight w:val="none"/>
        </w:rPr>
        <w:t>）：</w:t>
      </w:r>
    </w:p>
    <w:p w14:paraId="7500519F">
      <w:pPr>
        <w:spacing w:line="360" w:lineRule="auto"/>
        <w:ind w:firstLine="472" w:firstLineChars="200"/>
        <w:rPr>
          <w:rFonts w:hint="eastAsia"/>
          <w:color w:val="auto"/>
          <w:highlight w:val="none"/>
        </w:rPr>
      </w:pPr>
      <w:r>
        <w:rPr>
          <w:rFonts w:hint="eastAsia"/>
          <w:color w:val="auto"/>
          <w:highlight w:val="none"/>
        </w:rPr>
        <w:t>分布在各河流的低漫滩区，岩性主要为砂砾石，其支流含水层表面覆盖有厚l</w:t>
      </w:r>
      <w:r>
        <w:rPr>
          <w:rFonts w:hint="eastAsia"/>
          <w:color w:val="auto"/>
          <w:highlight w:val="none"/>
          <w:lang w:val="en-US" w:eastAsia="zh-CN"/>
        </w:rPr>
        <w:t>~</w:t>
      </w:r>
      <w:r>
        <w:rPr>
          <w:rFonts w:hint="eastAsia"/>
          <w:color w:val="auto"/>
          <w:highlight w:val="none"/>
        </w:rPr>
        <w:t>2米的亚砂土层，含水层埋藏深度为0</w:t>
      </w:r>
      <w:r>
        <w:rPr>
          <w:rFonts w:hint="eastAsia"/>
          <w:color w:val="auto"/>
          <w:highlight w:val="none"/>
          <w:lang w:val="en-US" w:eastAsia="zh-CN"/>
        </w:rPr>
        <w:t>~</w:t>
      </w:r>
      <w:r>
        <w:rPr>
          <w:rFonts w:hint="eastAsia"/>
          <w:color w:val="auto"/>
          <w:highlight w:val="none"/>
        </w:rPr>
        <w:t>l米，含水层的厚度及涌水量均有自上游向下游增大的变化。主要受大气降水及高漫滩地下水的补给，在洪水期也受到河水的补给作用。其排泄主要通道为河流。此外，蒸发对该区地下水的消耗量也是很大的。</w:t>
      </w:r>
    </w:p>
    <w:p w14:paraId="11BACD32">
      <w:pPr>
        <w:spacing w:line="360" w:lineRule="auto"/>
        <w:ind w:firstLine="472" w:firstLineChars="200"/>
        <w:rPr>
          <w:rFonts w:hint="eastAsia"/>
          <w:color w:val="auto"/>
          <w:highlight w:val="none"/>
        </w:rPr>
      </w:pPr>
      <w:r>
        <w:rPr>
          <w:rFonts w:hint="eastAsia"/>
          <w:color w:val="auto"/>
          <w:highlight w:val="none"/>
          <w:lang w:val="en-US" w:eastAsia="zh-CN"/>
        </w:rPr>
        <w:t>3</w:t>
      </w:r>
      <w:r>
        <w:rPr>
          <w:rFonts w:hint="eastAsia"/>
          <w:color w:val="auto"/>
          <w:highlight w:val="none"/>
          <w:lang w:eastAsia="zh-CN"/>
        </w:rPr>
        <w:t>）</w:t>
      </w:r>
      <w:r>
        <w:rPr>
          <w:rFonts w:hint="eastAsia"/>
          <w:color w:val="auto"/>
          <w:highlight w:val="none"/>
        </w:rPr>
        <w:t>全新统下部冲积砂砾石层中潜水（a</w:t>
      </w:r>
      <w:r>
        <w:rPr>
          <w:rFonts w:hint="eastAsia"/>
          <w:color w:val="auto"/>
          <w:highlight w:val="none"/>
          <w:vertAlign w:val="baseline"/>
        </w:rPr>
        <w:t>l</w:t>
      </w:r>
      <w:r>
        <w:rPr>
          <w:rFonts w:hint="eastAsia"/>
          <w:color w:val="auto"/>
          <w:highlight w:val="none"/>
        </w:rPr>
        <w:t>Q</w:t>
      </w:r>
      <w:r>
        <w:rPr>
          <w:rFonts w:hint="eastAsia"/>
          <w:color w:val="auto"/>
          <w:highlight w:val="none"/>
          <w:vertAlign w:val="subscript"/>
        </w:rPr>
        <w:t>1</w:t>
      </w:r>
      <w:r>
        <w:rPr>
          <w:rFonts w:hint="eastAsia"/>
          <w:color w:val="auto"/>
          <w:highlight w:val="none"/>
          <w:vertAlign w:val="superscript"/>
        </w:rPr>
        <w:t>4</w:t>
      </w:r>
      <w:r>
        <w:rPr>
          <w:rFonts w:hint="eastAsia"/>
          <w:color w:val="auto"/>
          <w:highlight w:val="none"/>
        </w:rPr>
        <w:t>）：</w:t>
      </w:r>
    </w:p>
    <w:p w14:paraId="0E7EC132">
      <w:pPr>
        <w:spacing w:line="360" w:lineRule="auto"/>
        <w:ind w:firstLine="472" w:firstLineChars="200"/>
        <w:rPr>
          <w:rFonts w:hint="eastAsia"/>
          <w:color w:val="auto"/>
          <w:highlight w:val="none"/>
        </w:rPr>
      </w:pPr>
      <w:r>
        <w:rPr>
          <w:rFonts w:hint="eastAsia"/>
          <w:color w:val="auto"/>
          <w:highlight w:val="none"/>
        </w:rPr>
        <w:t>分布在各河流的高漫滩区，顶部有1</w:t>
      </w:r>
      <w:r>
        <w:rPr>
          <w:rFonts w:hint="eastAsia"/>
          <w:color w:val="auto"/>
          <w:highlight w:val="none"/>
          <w:lang w:val="en-US" w:eastAsia="zh-CN"/>
        </w:rPr>
        <w:t>~</w:t>
      </w:r>
      <w:r>
        <w:rPr>
          <w:rFonts w:hint="eastAsia"/>
          <w:color w:val="auto"/>
          <w:highlight w:val="none"/>
        </w:rPr>
        <w:t>3米厚的亚砂土或亚粘土层，下部为砂砾石层，厚5</w:t>
      </w:r>
      <w:r>
        <w:rPr>
          <w:rFonts w:hint="eastAsia"/>
          <w:color w:val="auto"/>
          <w:highlight w:val="none"/>
          <w:lang w:val="en-US" w:eastAsia="zh-CN"/>
        </w:rPr>
        <w:t>~</w:t>
      </w:r>
      <w:r>
        <w:rPr>
          <w:rFonts w:hint="eastAsia"/>
          <w:color w:val="auto"/>
          <w:highlight w:val="none"/>
        </w:rPr>
        <w:t>20米，一般是自上游向河流下游厚度增大。最大涌水量在河流上游为1</w:t>
      </w:r>
      <w:r>
        <w:rPr>
          <w:rFonts w:hint="eastAsia"/>
          <w:color w:val="auto"/>
          <w:highlight w:val="none"/>
          <w:lang w:val="en-US" w:eastAsia="zh-CN"/>
        </w:rPr>
        <w:t>~</w:t>
      </w:r>
      <w:r>
        <w:rPr>
          <w:rFonts w:hint="eastAsia"/>
          <w:color w:val="auto"/>
          <w:highlight w:val="none"/>
        </w:rPr>
        <w:t>10升/秒，下游增至10</w:t>
      </w:r>
      <w:r>
        <w:rPr>
          <w:rFonts w:hint="eastAsia"/>
          <w:color w:val="auto"/>
          <w:highlight w:val="none"/>
          <w:lang w:val="en-US" w:eastAsia="zh-CN"/>
        </w:rPr>
        <w:t>~</w:t>
      </w:r>
      <w:r>
        <w:rPr>
          <w:rFonts w:hint="eastAsia"/>
          <w:color w:val="auto"/>
          <w:highlight w:val="none"/>
        </w:rPr>
        <w:t>50升/秒。地下水埋藏深度0</w:t>
      </w:r>
      <w:r>
        <w:rPr>
          <w:rFonts w:hint="eastAsia"/>
          <w:color w:val="auto"/>
          <w:highlight w:val="none"/>
          <w:lang w:val="en-US" w:eastAsia="zh-CN"/>
        </w:rPr>
        <w:t>~</w:t>
      </w:r>
      <w:r>
        <w:rPr>
          <w:rFonts w:hint="eastAsia"/>
          <w:color w:val="auto"/>
          <w:highlight w:val="none"/>
        </w:rPr>
        <w:t>2米，矿化度小于0.5克/升。主要接受大气降水的补给，以及一级阶地上地下水的补给，排泄于低漫滩补给地表水。</w:t>
      </w:r>
    </w:p>
    <w:p w14:paraId="7DB9AD6E">
      <w:pPr>
        <w:spacing w:line="360" w:lineRule="auto"/>
        <w:ind w:firstLine="472" w:firstLineChars="200"/>
        <w:rPr>
          <w:rFonts w:hint="eastAsia"/>
          <w:color w:val="auto"/>
          <w:highlight w:val="none"/>
        </w:rPr>
      </w:pPr>
      <w:r>
        <w:rPr>
          <w:rFonts w:hint="eastAsia"/>
          <w:color w:val="auto"/>
          <w:highlight w:val="none"/>
          <w:lang w:val="en-US" w:eastAsia="zh-CN"/>
        </w:rPr>
        <w:t>4</w:t>
      </w:r>
      <w:r>
        <w:rPr>
          <w:rFonts w:hint="eastAsia"/>
          <w:color w:val="auto"/>
          <w:highlight w:val="none"/>
          <w:lang w:eastAsia="zh-CN"/>
        </w:rPr>
        <w:t>）</w:t>
      </w:r>
      <w:r>
        <w:rPr>
          <w:rFonts w:hint="eastAsia"/>
          <w:color w:val="auto"/>
          <w:highlight w:val="none"/>
        </w:rPr>
        <w:t>上更新统冲积层砂砾石含水岩系（a</w:t>
      </w:r>
      <w:r>
        <w:rPr>
          <w:rFonts w:hint="eastAsia"/>
          <w:color w:val="auto"/>
          <w:highlight w:val="none"/>
          <w:vertAlign w:val="baseline"/>
        </w:rPr>
        <w:t>l</w:t>
      </w:r>
      <w:r>
        <w:rPr>
          <w:rFonts w:hint="eastAsia"/>
          <w:color w:val="auto"/>
          <w:highlight w:val="none"/>
        </w:rPr>
        <w:t>Q</w:t>
      </w:r>
      <w:r>
        <w:rPr>
          <w:rFonts w:hint="eastAsia"/>
          <w:color w:val="auto"/>
          <w:highlight w:val="none"/>
          <w:vertAlign w:val="subscript"/>
        </w:rPr>
        <w:t>3</w:t>
      </w:r>
      <w:r>
        <w:rPr>
          <w:rFonts w:hint="eastAsia"/>
          <w:color w:val="auto"/>
          <w:highlight w:val="none"/>
        </w:rPr>
        <w:t>）：</w:t>
      </w:r>
    </w:p>
    <w:p w14:paraId="624B5405">
      <w:pPr>
        <w:spacing w:line="360" w:lineRule="auto"/>
        <w:ind w:firstLine="472" w:firstLineChars="200"/>
        <w:rPr>
          <w:rFonts w:hint="eastAsia"/>
          <w:color w:val="auto"/>
          <w:highlight w:val="none"/>
        </w:rPr>
      </w:pPr>
      <w:r>
        <w:rPr>
          <w:rFonts w:hint="eastAsia"/>
          <w:color w:val="auto"/>
          <w:highlight w:val="none"/>
        </w:rPr>
        <w:t>分布于一级阶地区，表层为3</w:t>
      </w:r>
      <w:r>
        <w:rPr>
          <w:rFonts w:hint="eastAsia"/>
          <w:color w:val="auto"/>
          <w:highlight w:val="none"/>
          <w:lang w:val="en-US" w:eastAsia="zh-CN"/>
        </w:rPr>
        <w:t>~</w:t>
      </w:r>
      <w:r>
        <w:rPr>
          <w:rFonts w:hint="eastAsia"/>
          <w:color w:val="auto"/>
          <w:highlight w:val="none"/>
        </w:rPr>
        <w:t>10米厚的黄土状亚粘土，下为中细砂及砂砾石，在个别地段砂砾石顶部有亚粘土或淤泥质亚粘土薄层分布，因此，形成局部的微弱承压性，含水层岩性在垂直方向上，具有自上而下变粗，从上游往下游厚度增大的变化规律。地下水埋藏深度游2</w:t>
      </w:r>
      <w:r>
        <w:rPr>
          <w:rFonts w:hint="eastAsia"/>
          <w:color w:val="auto"/>
          <w:highlight w:val="none"/>
          <w:lang w:val="en-US" w:eastAsia="zh-CN"/>
        </w:rPr>
        <w:t>~</w:t>
      </w:r>
      <w:r>
        <w:rPr>
          <w:rFonts w:hint="eastAsia"/>
          <w:color w:val="auto"/>
          <w:highlight w:val="none"/>
        </w:rPr>
        <w:t>5米，最大涌水量变化较大，呼兰河一级阶地水量，在上游为l</w:t>
      </w:r>
      <w:r>
        <w:rPr>
          <w:rFonts w:hint="eastAsia"/>
          <w:color w:val="auto"/>
          <w:highlight w:val="none"/>
          <w:lang w:val="en-US" w:eastAsia="zh-CN"/>
        </w:rPr>
        <w:t>~</w:t>
      </w:r>
      <w:r>
        <w:rPr>
          <w:rFonts w:hint="eastAsia"/>
          <w:color w:val="auto"/>
          <w:highlight w:val="none"/>
        </w:rPr>
        <w:t>10升/秒，向下游增至10</w:t>
      </w:r>
      <w:r>
        <w:rPr>
          <w:rFonts w:hint="eastAsia"/>
          <w:color w:val="auto"/>
          <w:highlight w:val="none"/>
          <w:lang w:val="en-US" w:eastAsia="zh-CN"/>
        </w:rPr>
        <w:t>~</w:t>
      </w:r>
      <w:r>
        <w:rPr>
          <w:rFonts w:hint="eastAsia"/>
          <w:color w:val="auto"/>
          <w:highlight w:val="none"/>
        </w:rPr>
        <w:t>50升/秒，渗透系数 l</w:t>
      </w:r>
      <w:r>
        <w:rPr>
          <w:rFonts w:hint="eastAsia"/>
          <w:color w:val="auto"/>
          <w:highlight w:val="none"/>
          <w:lang w:val="en-US" w:eastAsia="zh-CN"/>
        </w:rPr>
        <w:t>~</w:t>
      </w:r>
      <w:r>
        <w:rPr>
          <w:rFonts w:hint="eastAsia"/>
          <w:color w:val="auto"/>
          <w:highlight w:val="none"/>
        </w:rPr>
        <w:t>5米/昼夜。矿化度0.l</w:t>
      </w:r>
      <w:r>
        <w:rPr>
          <w:rFonts w:hint="eastAsia"/>
          <w:color w:val="auto"/>
          <w:highlight w:val="none"/>
          <w:lang w:val="en-US" w:eastAsia="zh-CN"/>
        </w:rPr>
        <w:t>~</w:t>
      </w:r>
      <w:r>
        <w:rPr>
          <w:rFonts w:hint="eastAsia"/>
          <w:color w:val="auto"/>
          <w:highlight w:val="none"/>
        </w:rPr>
        <w:t>0.5克/升。其补给来源，主要为大气降水及二级阶地上地下水的补给，以地下</w:t>
      </w:r>
      <w:r>
        <w:rPr>
          <w:rFonts w:hint="eastAsia"/>
          <w:color w:val="auto"/>
          <w:highlight w:val="none"/>
          <w:lang w:eastAsia="zh-CN"/>
        </w:rPr>
        <w:t>径流</w:t>
      </w:r>
      <w:r>
        <w:rPr>
          <w:rFonts w:hint="eastAsia"/>
          <w:color w:val="auto"/>
          <w:highlight w:val="none"/>
        </w:rPr>
        <w:t>的形式排泄于河流漫滩地带。</w:t>
      </w:r>
    </w:p>
    <w:p w14:paraId="52E9353F">
      <w:pPr>
        <w:spacing w:line="360" w:lineRule="auto"/>
        <w:ind w:firstLine="472" w:firstLineChars="200"/>
        <w:rPr>
          <w:rFonts w:hint="eastAsia"/>
          <w:color w:val="auto"/>
          <w:highlight w:val="none"/>
        </w:rPr>
      </w:pPr>
      <w:r>
        <w:rPr>
          <w:rFonts w:hint="eastAsia"/>
          <w:color w:val="auto"/>
          <w:highlight w:val="none"/>
          <w:lang w:val="en-US" w:eastAsia="zh-CN"/>
        </w:rPr>
        <w:t>5</w:t>
      </w:r>
      <w:r>
        <w:rPr>
          <w:rFonts w:hint="eastAsia"/>
          <w:color w:val="auto"/>
          <w:highlight w:val="none"/>
          <w:lang w:eastAsia="zh-CN"/>
        </w:rPr>
        <w:t>）</w:t>
      </w:r>
      <w:r>
        <w:rPr>
          <w:rFonts w:hint="eastAsia"/>
          <w:color w:val="auto"/>
          <w:highlight w:val="none"/>
        </w:rPr>
        <w:t>中更新统冲积、洪积层含水岩系（a</w:t>
      </w:r>
      <w:r>
        <w:rPr>
          <w:rFonts w:hint="eastAsia"/>
          <w:color w:val="auto"/>
          <w:highlight w:val="none"/>
          <w:vertAlign w:val="baseline"/>
        </w:rPr>
        <w:t>l</w:t>
      </w:r>
      <w:r>
        <w:rPr>
          <w:rFonts w:hint="eastAsia"/>
          <w:color w:val="auto"/>
          <w:highlight w:val="none"/>
        </w:rPr>
        <w:t>+P</w:t>
      </w:r>
      <w:r>
        <w:rPr>
          <w:rFonts w:hint="eastAsia"/>
          <w:color w:val="auto"/>
          <w:highlight w:val="none"/>
          <w:vertAlign w:val="subscript"/>
        </w:rPr>
        <w:t>l</w:t>
      </w:r>
      <w:r>
        <w:rPr>
          <w:rFonts w:hint="eastAsia"/>
          <w:color w:val="auto"/>
          <w:highlight w:val="none"/>
        </w:rPr>
        <w:t>Q</w:t>
      </w:r>
      <w:r>
        <w:rPr>
          <w:rFonts w:hint="eastAsia"/>
          <w:color w:val="auto"/>
          <w:highlight w:val="none"/>
          <w:vertAlign w:val="subscript"/>
        </w:rPr>
        <w:t>2</w:t>
      </w:r>
      <w:r>
        <w:rPr>
          <w:rFonts w:hint="eastAsia"/>
          <w:color w:val="auto"/>
          <w:highlight w:val="none"/>
        </w:rPr>
        <w:t>）：</w:t>
      </w:r>
    </w:p>
    <w:p w14:paraId="2AD46A4C">
      <w:pPr>
        <w:spacing w:line="360" w:lineRule="auto"/>
        <w:ind w:firstLine="472" w:firstLineChars="200"/>
        <w:rPr>
          <w:rFonts w:hint="eastAsia"/>
          <w:color w:val="auto"/>
          <w:highlight w:val="none"/>
        </w:rPr>
      </w:pPr>
      <w:r>
        <w:rPr>
          <w:rFonts w:hint="eastAsia"/>
          <w:color w:val="auto"/>
          <w:highlight w:val="none"/>
        </w:rPr>
        <w:t>分布在二级阶地上，面积很广，分布在呼兰河及其支流二级阶地上，其含水岩系的岩性组成为：上</w:t>
      </w:r>
      <w:r>
        <w:rPr>
          <w:rFonts w:hint="eastAsia"/>
          <w:color w:val="auto"/>
          <w:highlight w:val="none"/>
          <w:lang w:eastAsia="zh-CN"/>
        </w:rPr>
        <w:t>部为</w:t>
      </w:r>
      <w:r>
        <w:rPr>
          <w:rFonts w:hint="eastAsia"/>
          <w:color w:val="auto"/>
          <w:highlight w:val="none"/>
        </w:rPr>
        <w:t>黄土状亚粘土，厚5</w:t>
      </w:r>
      <w:r>
        <w:rPr>
          <w:rFonts w:hint="eastAsia"/>
          <w:color w:val="auto"/>
          <w:highlight w:val="none"/>
          <w:lang w:val="en-US" w:eastAsia="zh-CN"/>
        </w:rPr>
        <w:t>~</w:t>
      </w:r>
      <w:r>
        <w:rPr>
          <w:rFonts w:hint="eastAsia"/>
          <w:color w:val="auto"/>
          <w:highlight w:val="none"/>
        </w:rPr>
        <w:t>10米，下为亚粘土，厚10</w:t>
      </w:r>
      <w:r>
        <w:rPr>
          <w:rFonts w:hint="eastAsia"/>
          <w:color w:val="auto"/>
          <w:highlight w:val="none"/>
          <w:lang w:val="en-US" w:eastAsia="zh-CN"/>
        </w:rPr>
        <w:t>~</w:t>
      </w:r>
      <w:r>
        <w:rPr>
          <w:rFonts w:hint="eastAsia"/>
          <w:color w:val="auto"/>
          <w:highlight w:val="none"/>
        </w:rPr>
        <w:t>30米，局部地区夹淤泥质亚粘土薄层或透镜体，此层一般的起着较好的隔水作用，底部为砂砾石层，厚l</w:t>
      </w:r>
      <w:r>
        <w:rPr>
          <w:rFonts w:hint="eastAsia"/>
          <w:color w:val="auto"/>
          <w:highlight w:val="none"/>
          <w:lang w:val="en-US" w:eastAsia="zh-CN"/>
        </w:rPr>
        <w:t>~</w:t>
      </w:r>
      <w:r>
        <w:rPr>
          <w:rFonts w:hint="eastAsia"/>
          <w:color w:val="auto"/>
          <w:highlight w:val="none"/>
        </w:rPr>
        <w:t>30米，构成较好的承压含水层，水头高度可达10</w:t>
      </w:r>
      <w:r>
        <w:rPr>
          <w:rFonts w:hint="eastAsia"/>
          <w:color w:val="auto"/>
          <w:highlight w:val="none"/>
          <w:lang w:val="en-US" w:eastAsia="zh-CN"/>
        </w:rPr>
        <w:t>~</w:t>
      </w:r>
      <w:r>
        <w:rPr>
          <w:rFonts w:hint="eastAsia"/>
          <w:color w:val="auto"/>
          <w:highlight w:val="none"/>
        </w:rPr>
        <w:t>20米，此含水层在厚度上及砾石含量上均有较大的变化，由东北向西南够深，砾石含量减少。在十四道岗至高老以东地区最大涌水量为l</w:t>
      </w:r>
      <w:r>
        <w:rPr>
          <w:rFonts w:hint="eastAsia"/>
          <w:color w:val="auto"/>
          <w:highlight w:val="none"/>
          <w:lang w:val="en-US" w:eastAsia="zh-CN"/>
        </w:rPr>
        <w:t>~</w:t>
      </w:r>
      <w:r>
        <w:rPr>
          <w:rFonts w:hint="eastAsia"/>
          <w:color w:val="auto"/>
          <w:highlight w:val="none"/>
        </w:rPr>
        <w:t>10升/秒，而以西地区增加到10</w:t>
      </w:r>
      <w:r>
        <w:rPr>
          <w:rFonts w:hint="eastAsia"/>
          <w:color w:val="auto"/>
          <w:highlight w:val="none"/>
          <w:lang w:val="en-US" w:eastAsia="zh-CN"/>
        </w:rPr>
        <w:t>~</w:t>
      </w:r>
      <w:r>
        <w:rPr>
          <w:rFonts w:hint="eastAsia"/>
          <w:color w:val="auto"/>
          <w:highlight w:val="none"/>
        </w:rPr>
        <w:t>50升/秒，含水层渗透系数一般为10</w:t>
      </w:r>
      <w:r>
        <w:rPr>
          <w:rFonts w:hint="eastAsia"/>
          <w:color w:val="auto"/>
          <w:highlight w:val="none"/>
          <w:lang w:val="en-US" w:eastAsia="zh-CN"/>
        </w:rPr>
        <w:t>~</w:t>
      </w:r>
      <w:r>
        <w:rPr>
          <w:rFonts w:hint="eastAsia"/>
          <w:color w:val="auto"/>
          <w:highlight w:val="none"/>
        </w:rPr>
        <w:t>40米/昼夜，个别地区减小到0.5</w:t>
      </w:r>
      <w:r>
        <w:rPr>
          <w:rFonts w:hint="eastAsia"/>
          <w:color w:val="auto"/>
          <w:highlight w:val="none"/>
          <w:lang w:val="en-US" w:eastAsia="zh-CN"/>
        </w:rPr>
        <w:t>~</w:t>
      </w:r>
      <w:r>
        <w:rPr>
          <w:rFonts w:hint="eastAsia"/>
          <w:color w:val="auto"/>
          <w:highlight w:val="none"/>
        </w:rPr>
        <w:t>10米/昼夜，矿化度为0.1</w:t>
      </w:r>
      <w:r>
        <w:rPr>
          <w:rFonts w:hint="eastAsia"/>
          <w:color w:val="auto"/>
          <w:highlight w:val="none"/>
          <w:lang w:val="en-US" w:eastAsia="zh-CN"/>
        </w:rPr>
        <w:t>~</w:t>
      </w:r>
      <w:r>
        <w:rPr>
          <w:rFonts w:hint="eastAsia"/>
          <w:color w:val="auto"/>
          <w:highlight w:val="none"/>
        </w:rPr>
        <w:t>0.5克/升。此含水岩层由于受到沟谷的强烈切割，因此某些沟谷中出现泉水或自流水井（俗称透眼井），其补给来源，除接受一部分大气降水补给外，山区基岩裂隙水也给予一定的补给，在循环排泄上，一部分是以地下</w:t>
      </w:r>
      <w:r>
        <w:rPr>
          <w:rFonts w:hint="eastAsia"/>
          <w:color w:val="auto"/>
          <w:highlight w:val="none"/>
          <w:lang w:eastAsia="zh-CN"/>
        </w:rPr>
        <w:t>径流</w:t>
      </w:r>
      <w:r>
        <w:rPr>
          <w:rFonts w:hint="eastAsia"/>
          <w:color w:val="auto"/>
          <w:highlight w:val="none"/>
        </w:rPr>
        <w:t>的方式补给了一级阶地上的地下水，另外，沟谷两侧的泉水也对此将起到积极的排泄作用。</w:t>
      </w:r>
    </w:p>
    <w:p w14:paraId="70417402">
      <w:pPr>
        <w:pStyle w:val="5"/>
        <w:bidi w:val="0"/>
        <w:rPr>
          <w:rFonts w:hint="eastAsia" w:ascii="Times New Roman" w:hAnsi="Times New Roman" w:eastAsia="黑体" w:cs="Times New Roman"/>
          <w:color w:val="auto"/>
          <w:highlight w:val="none"/>
        </w:rPr>
      </w:pPr>
      <w:r>
        <w:rPr>
          <w:rFonts w:hint="eastAsia" w:ascii="Times New Roman" w:hAnsi="Times New Roman" w:eastAsia="黑体" w:cs="Times New Roman"/>
          <w:color w:val="auto"/>
          <w:highlight w:val="none"/>
        </w:rPr>
        <w:t>2.1.6.4 地下水补给、径流与排泄条件</w:t>
      </w:r>
    </w:p>
    <w:p w14:paraId="4A485425">
      <w:pPr>
        <w:spacing w:line="360" w:lineRule="auto"/>
        <w:ind w:firstLine="480" w:firstLineChars="0"/>
        <w:rPr>
          <w:color w:val="auto"/>
          <w:highlight w:val="none"/>
        </w:rPr>
      </w:pPr>
      <w:r>
        <w:rPr>
          <w:color w:val="auto"/>
          <w:highlight w:val="none"/>
        </w:rPr>
        <w:t>庆安县地处绥化凹陷的中心，地下水</w:t>
      </w:r>
      <w:r>
        <w:rPr>
          <w:rFonts w:hint="eastAsia"/>
          <w:color w:val="auto"/>
          <w:highlight w:val="none"/>
          <w:lang w:eastAsia="zh-CN"/>
        </w:rPr>
        <w:t>相对来说</w:t>
      </w:r>
      <w:r>
        <w:rPr>
          <w:color w:val="auto"/>
          <w:highlight w:val="none"/>
        </w:rPr>
        <w:t>比较</w:t>
      </w:r>
      <w:r>
        <w:rPr>
          <w:rFonts w:hint="eastAsia"/>
          <w:color w:val="auto"/>
          <w:highlight w:val="none"/>
          <w:lang w:eastAsia="zh-CN"/>
        </w:rPr>
        <w:t>丰富</w:t>
      </w:r>
      <w:r>
        <w:rPr>
          <w:color w:val="auto"/>
          <w:highlight w:val="none"/>
        </w:rPr>
        <w:t>，其补给、径流、排泄条件也很好。潜水以接受大气降水入渗补给为主，漫滩区潜水丰水期可以接受河水补给，同时还可以接受台地、一级阶地地下水的侧向径流补给。承压水除接受大气降水入渗补给外，以侧向径流补给为主，还接受其他含水层的</w:t>
      </w:r>
      <w:r>
        <w:rPr>
          <w:rFonts w:hint="eastAsia"/>
          <w:color w:val="auto"/>
          <w:highlight w:val="none"/>
          <w:lang w:eastAsia="zh-CN"/>
        </w:rPr>
        <w:t>径流</w:t>
      </w:r>
      <w:r>
        <w:rPr>
          <w:color w:val="auto"/>
          <w:highlight w:val="none"/>
        </w:rPr>
        <w:t>补给。水田区地下水还可接受灌溉水的入渗补给。</w:t>
      </w:r>
    </w:p>
    <w:p w14:paraId="14F64D71">
      <w:pPr>
        <w:spacing w:line="360" w:lineRule="auto"/>
        <w:ind w:firstLine="480" w:firstLineChars="0"/>
        <w:rPr>
          <w:color w:val="auto"/>
          <w:highlight w:val="none"/>
        </w:rPr>
      </w:pPr>
      <w:r>
        <w:rPr>
          <w:color w:val="auto"/>
          <w:highlight w:val="none"/>
        </w:rPr>
        <w:t>绥化市众多的河流，以及东北高，西南低的地势，有利于地下水的水平交替，因此其径流条件好。台地区潜水由于水力坡度大，径流通畅；漫滩区潜水与河水互补互排，补排迅速，径流条件较好；承压水埋深较大，水力坡度小，但含水岩层颗粒粗，地下径流条件也很好。</w:t>
      </w:r>
    </w:p>
    <w:p w14:paraId="5B481EDE">
      <w:pPr>
        <w:spacing w:line="360" w:lineRule="auto"/>
        <w:ind w:firstLine="354" w:firstLineChars="150"/>
        <w:rPr>
          <w:color w:val="auto"/>
          <w:highlight w:val="none"/>
        </w:rPr>
      </w:pPr>
      <w:r>
        <w:rPr>
          <w:color w:val="auto"/>
          <w:highlight w:val="none"/>
        </w:rPr>
        <w:t>地下水的排泄条件因地而异。台地区潜水以侧向径流方式排向一级阶地、漫滩及临近的</w:t>
      </w:r>
      <w:r>
        <w:rPr>
          <w:rFonts w:hint="eastAsia"/>
          <w:color w:val="auto"/>
          <w:highlight w:val="none"/>
          <w:lang w:eastAsia="zh-CN"/>
        </w:rPr>
        <w:t>河流</w:t>
      </w:r>
      <w:r>
        <w:rPr>
          <w:color w:val="auto"/>
          <w:highlight w:val="none"/>
        </w:rPr>
        <w:t>，而漫滩除主要以蒸发形式排泄地下水外，枯水期还以侧向径流的方式排向河流；第四系孔隙承压水则主要以侧向径流方式向其下游排泄地下水。另外由于当地地下水开发利用程度较高，人工开采也是地下水的主要排泄途径之一。</w:t>
      </w:r>
    </w:p>
    <w:p w14:paraId="2968FC4E">
      <w:pPr>
        <w:pStyle w:val="5"/>
        <w:bidi w:val="0"/>
        <w:rPr>
          <w:rFonts w:hint="eastAsia" w:ascii="Times New Roman" w:hAnsi="Times New Roman" w:eastAsia="黑体" w:cs="Times New Roman"/>
          <w:color w:val="auto"/>
          <w:highlight w:val="none"/>
        </w:rPr>
      </w:pPr>
      <w:r>
        <w:rPr>
          <w:rFonts w:hint="eastAsia" w:ascii="Times New Roman" w:hAnsi="Times New Roman" w:eastAsia="黑体" w:cs="Times New Roman"/>
          <w:color w:val="auto"/>
          <w:highlight w:val="none"/>
        </w:rPr>
        <w:t>2.1.6.5 地下水动态变化规律</w:t>
      </w:r>
    </w:p>
    <w:p w14:paraId="041C5E3F">
      <w:pPr>
        <w:spacing w:line="360" w:lineRule="auto"/>
        <w:ind w:firstLine="472" w:firstLineChars="200"/>
        <w:rPr>
          <w:rFonts w:hint="eastAsia"/>
          <w:color w:val="auto"/>
          <w:highlight w:val="none"/>
        </w:rPr>
      </w:pPr>
      <w:r>
        <w:rPr>
          <w:rFonts w:hint="eastAsia"/>
          <w:color w:val="auto"/>
          <w:highlight w:val="none"/>
        </w:rPr>
        <w:t>由于地下水的补给、径流和排泄条件不同，地下水的动态类型也各不相同，庆安县地下水动态类型可概括为渗入—径流—蒸发、渗入—蒸发型、降水渗入—径流型、径流—越流—径流型。</w:t>
      </w:r>
    </w:p>
    <w:p w14:paraId="332BC535">
      <w:pPr>
        <w:spacing w:line="360" w:lineRule="auto"/>
        <w:ind w:firstLine="472" w:firstLineChars="200"/>
        <w:rPr>
          <w:rFonts w:hint="eastAsia"/>
          <w:color w:val="auto"/>
          <w:highlight w:val="none"/>
        </w:rPr>
      </w:pPr>
      <w:r>
        <w:rPr>
          <w:rFonts w:hint="eastAsia"/>
          <w:color w:val="auto"/>
          <w:highlight w:val="none"/>
          <w:lang w:eastAsia="zh-CN"/>
        </w:rPr>
        <w:t>（</w:t>
      </w:r>
      <w:r>
        <w:rPr>
          <w:rFonts w:hint="eastAsia"/>
          <w:color w:val="auto"/>
          <w:highlight w:val="none"/>
          <w:lang w:val="en-US" w:eastAsia="zh-CN"/>
        </w:rPr>
        <w:t>1</w:t>
      </w:r>
      <w:r>
        <w:rPr>
          <w:rFonts w:hint="eastAsia"/>
          <w:color w:val="auto"/>
          <w:highlight w:val="none"/>
          <w:lang w:eastAsia="zh-CN"/>
        </w:rPr>
        <w:t>）</w:t>
      </w:r>
      <w:r>
        <w:rPr>
          <w:rFonts w:hint="eastAsia"/>
          <w:color w:val="auto"/>
          <w:highlight w:val="none"/>
        </w:rPr>
        <w:t>渗入—径流—蒸发</w:t>
      </w:r>
    </w:p>
    <w:p w14:paraId="284B0548">
      <w:pPr>
        <w:spacing w:line="360" w:lineRule="auto"/>
        <w:ind w:firstLine="472" w:firstLineChars="200"/>
        <w:rPr>
          <w:rFonts w:hint="eastAsia"/>
          <w:color w:val="auto"/>
          <w:highlight w:val="none"/>
        </w:rPr>
      </w:pPr>
      <w:r>
        <w:rPr>
          <w:rFonts w:hint="eastAsia"/>
          <w:color w:val="auto"/>
          <w:highlight w:val="none"/>
        </w:rPr>
        <w:t>分布在通肯河漫滩，地下水主要接受降水渗入和丰水期河水补给。以地下径流和蒸发为主要排泄途径，地下水与地表水互补互排，补排迅速，其动态随季节与河水变化明显。</w:t>
      </w:r>
    </w:p>
    <w:p w14:paraId="14263471">
      <w:pPr>
        <w:spacing w:line="360" w:lineRule="auto"/>
        <w:ind w:firstLine="472" w:firstLineChars="200"/>
        <w:rPr>
          <w:rFonts w:hint="eastAsia"/>
          <w:color w:val="auto"/>
          <w:highlight w:val="none"/>
        </w:rPr>
      </w:pPr>
      <w:r>
        <w:rPr>
          <w:rFonts w:hint="eastAsia"/>
          <w:color w:val="auto"/>
          <w:highlight w:val="none"/>
          <w:lang w:eastAsia="zh-CN"/>
        </w:rPr>
        <w:t>（</w:t>
      </w:r>
      <w:r>
        <w:rPr>
          <w:rFonts w:hint="eastAsia"/>
          <w:color w:val="auto"/>
          <w:highlight w:val="none"/>
          <w:lang w:val="en-US" w:eastAsia="zh-CN"/>
        </w:rPr>
        <w:t>2</w:t>
      </w:r>
      <w:r>
        <w:rPr>
          <w:rFonts w:hint="eastAsia"/>
          <w:color w:val="auto"/>
          <w:highlight w:val="none"/>
          <w:lang w:eastAsia="zh-CN"/>
        </w:rPr>
        <w:t>）</w:t>
      </w:r>
      <w:r>
        <w:rPr>
          <w:rFonts w:hint="eastAsia"/>
          <w:color w:val="auto"/>
          <w:highlight w:val="none"/>
        </w:rPr>
        <w:t>渗入—蒸发型</w:t>
      </w:r>
    </w:p>
    <w:p w14:paraId="7E759415">
      <w:pPr>
        <w:spacing w:line="360" w:lineRule="auto"/>
        <w:ind w:firstLine="472" w:firstLineChars="200"/>
        <w:rPr>
          <w:rFonts w:hint="eastAsia"/>
          <w:color w:val="auto"/>
          <w:highlight w:val="none"/>
        </w:rPr>
      </w:pPr>
      <w:r>
        <w:rPr>
          <w:rFonts w:hint="eastAsia"/>
          <w:color w:val="auto"/>
          <w:highlight w:val="none"/>
        </w:rPr>
        <w:t>分布在西部低平原孔隙弱承压水区。由于地下水径流条件差，地下水以蒸发排泄为主。主要接受大气降水渗入补给，地下水动态随季节变化明显。</w:t>
      </w:r>
    </w:p>
    <w:p w14:paraId="6C1B61F7">
      <w:pPr>
        <w:spacing w:line="360" w:lineRule="auto"/>
        <w:ind w:firstLine="472" w:firstLineChars="200"/>
        <w:rPr>
          <w:rFonts w:hint="eastAsia"/>
          <w:color w:val="auto"/>
          <w:highlight w:val="none"/>
        </w:rPr>
      </w:pPr>
      <w:r>
        <w:rPr>
          <w:rFonts w:hint="eastAsia"/>
          <w:color w:val="auto"/>
          <w:highlight w:val="none"/>
          <w:lang w:eastAsia="zh-CN"/>
        </w:rPr>
        <w:t>（</w:t>
      </w:r>
      <w:r>
        <w:rPr>
          <w:rFonts w:hint="eastAsia"/>
          <w:color w:val="auto"/>
          <w:highlight w:val="none"/>
          <w:lang w:val="en-US" w:eastAsia="zh-CN"/>
        </w:rPr>
        <w:t>3</w:t>
      </w:r>
      <w:r>
        <w:rPr>
          <w:rFonts w:hint="eastAsia"/>
          <w:color w:val="auto"/>
          <w:highlight w:val="none"/>
          <w:lang w:eastAsia="zh-CN"/>
        </w:rPr>
        <w:t>）</w:t>
      </w:r>
      <w:r>
        <w:rPr>
          <w:rFonts w:hint="eastAsia"/>
          <w:color w:val="auto"/>
          <w:highlight w:val="none"/>
        </w:rPr>
        <w:t>降水渗入—径流型</w:t>
      </w:r>
    </w:p>
    <w:p w14:paraId="70BF215B">
      <w:pPr>
        <w:spacing w:line="360" w:lineRule="auto"/>
        <w:ind w:firstLine="472" w:firstLineChars="200"/>
        <w:rPr>
          <w:rFonts w:hint="eastAsia"/>
          <w:color w:val="auto"/>
          <w:highlight w:val="none"/>
        </w:rPr>
      </w:pPr>
      <w:r>
        <w:rPr>
          <w:rFonts w:hint="eastAsia"/>
          <w:color w:val="auto"/>
          <w:highlight w:val="none"/>
        </w:rPr>
        <w:t>分布在台地潜水区，地下水以接受降水渗入补给为主，主要通过径流排泄，辅以蒸发排泄，地下水埋深小于3米，丰水期多出现在7、8、9、10月，与降雨中的7、8、9月相对应，枯水期多出现在4、5、6月，可见其地下水动态随季节变化明显。</w:t>
      </w:r>
    </w:p>
    <w:p w14:paraId="63B79CF6">
      <w:pPr>
        <w:spacing w:line="360" w:lineRule="auto"/>
        <w:ind w:firstLine="472" w:firstLineChars="200"/>
        <w:rPr>
          <w:rFonts w:hint="eastAsia"/>
          <w:color w:val="auto"/>
          <w:highlight w:val="none"/>
        </w:rPr>
      </w:pPr>
      <w:r>
        <w:rPr>
          <w:rFonts w:hint="eastAsia"/>
          <w:color w:val="auto"/>
          <w:highlight w:val="none"/>
          <w:lang w:eastAsia="zh-CN"/>
        </w:rPr>
        <w:t>（</w:t>
      </w:r>
      <w:r>
        <w:rPr>
          <w:rFonts w:hint="eastAsia"/>
          <w:color w:val="auto"/>
          <w:highlight w:val="none"/>
          <w:lang w:val="en-US" w:eastAsia="zh-CN"/>
        </w:rPr>
        <w:t>4</w:t>
      </w:r>
      <w:r>
        <w:rPr>
          <w:rFonts w:hint="eastAsia"/>
          <w:color w:val="auto"/>
          <w:highlight w:val="none"/>
          <w:lang w:eastAsia="zh-CN"/>
        </w:rPr>
        <w:t>）</w:t>
      </w:r>
      <w:r>
        <w:rPr>
          <w:rFonts w:hint="eastAsia"/>
          <w:color w:val="auto"/>
          <w:highlight w:val="none"/>
        </w:rPr>
        <w:t>径流—越流—径流型</w:t>
      </w:r>
    </w:p>
    <w:p w14:paraId="21C9B36F">
      <w:pPr>
        <w:spacing w:line="360" w:lineRule="auto"/>
        <w:ind w:firstLine="472" w:firstLineChars="200"/>
        <w:rPr>
          <w:rFonts w:hint="eastAsia"/>
          <w:color w:val="auto"/>
          <w:highlight w:val="none"/>
        </w:rPr>
      </w:pPr>
      <w:r>
        <w:rPr>
          <w:rFonts w:hint="eastAsia"/>
          <w:color w:val="auto"/>
          <w:highlight w:val="none"/>
        </w:rPr>
        <w:t>分布在台地承压水区。</w:t>
      </w:r>
      <w:r>
        <w:rPr>
          <w:rFonts w:hint="eastAsia"/>
          <w:color w:val="auto"/>
          <w:highlight w:val="none"/>
          <w:lang w:eastAsia="zh-CN"/>
        </w:rPr>
        <w:t>地下水</w:t>
      </w:r>
      <w:r>
        <w:rPr>
          <w:rFonts w:hint="eastAsia"/>
          <w:color w:val="auto"/>
          <w:highlight w:val="none"/>
        </w:rPr>
        <w:t>以侧向径流和</w:t>
      </w:r>
      <w:r>
        <w:rPr>
          <w:rFonts w:hint="eastAsia"/>
          <w:color w:val="auto"/>
          <w:highlight w:val="none"/>
          <w:lang w:eastAsia="zh-CN"/>
        </w:rPr>
        <w:t>其他</w:t>
      </w:r>
      <w:r>
        <w:rPr>
          <w:rFonts w:hint="eastAsia"/>
          <w:color w:val="auto"/>
          <w:highlight w:val="none"/>
        </w:rPr>
        <w:t>含水层</w:t>
      </w:r>
      <w:r>
        <w:rPr>
          <w:rFonts w:hint="eastAsia"/>
          <w:color w:val="auto"/>
          <w:highlight w:val="none"/>
          <w:lang w:eastAsia="zh-CN"/>
        </w:rPr>
        <w:t>径流</w:t>
      </w:r>
      <w:r>
        <w:rPr>
          <w:rFonts w:hint="eastAsia"/>
          <w:color w:val="auto"/>
          <w:highlight w:val="none"/>
        </w:rPr>
        <w:t>补给为主，并通过径流排泄。靠近径流补给边界的其动态变化明显，接受潜水补给的其动态变化受潜水影响。</w:t>
      </w:r>
    </w:p>
    <w:p w14:paraId="010CCF28">
      <w:pPr>
        <w:pStyle w:val="5"/>
        <w:bidi w:val="0"/>
        <w:rPr>
          <w:rFonts w:hint="eastAsia" w:ascii="Times New Roman" w:hAnsi="Times New Roman" w:eastAsia="黑体" w:cs="Times New Roman"/>
          <w:color w:val="auto"/>
          <w:highlight w:val="none"/>
        </w:rPr>
      </w:pPr>
      <w:r>
        <w:rPr>
          <w:rFonts w:hint="eastAsia" w:ascii="Times New Roman" w:hAnsi="Times New Roman" w:eastAsia="黑体" w:cs="Times New Roman"/>
          <w:color w:val="auto"/>
          <w:highlight w:val="none"/>
        </w:rPr>
        <w:t>2.1.6.6 地下水水质特征</w:t>
      </w:r>
    </w:p>
    <w:p w14:paraId="66AB09CD">
      <w:pPr>
        <w:spacing w:line="360" w:lineRule="auto"/>
        <w:ind w:firstLine="472" w:firstLineChars="200"/>
        <w:rPr>
          <w:rFonts w:hint="eastAsia"/>
          <w:color w:val="auto"/>
          <w:highlight w:val="none"/>
        </w:rPr>
      </w:pPr>
      <w:r>
        <w:rPr>
          <w:rFonts w:hint="eastAsia"/>
          <w:color w:val="auto"/>
          <w:highlight w:val="none"/>
        </w:rPr>
        <w:t>庆安县地下水取水化验结果显示，庆安县地下水的矿化度较低，一般小于1克/升，以0.5克/升为界，矿化度小于0.5克/升，占测区面积的90%以上。而矿化度在0.5克/升至0.7克/升之间，均属低矿化度淡水。pH值在6.5</w:t>
      </w:r>
      <w:r>
        <w:rPr>
          <w:color w:val="auto"/>
          <w:highlight w:val="none"/>
        </w:rPr>
        <w:t>~</w:t>
      </w:r>
      <w:r>
        <w:rPr>
          <w:rFonts w:hint="eastAsia"/>
          <w:color w:val="auto"/>
          <w:highlight w:val="none"/>
        </w:rPr>
        <w:t>7.0之间，占取样的90%以上，仅有不足10%的水样在6.0</w:t>
      </w:r>
      <w:r>
        <w:rPr>
          <w:color w:val="auto"/>
          <w:highlight w:val="none"/>
        </w:rPr>
        <w:t>~</w:t>
      </w:r>
      <w:r>
        <w:rPr>
          <w:rFonts w:hint="eastAsia"/>
          <w:color w:val="auto"/>
          <w:highlight w:val="none"/>
        </w:rPr>
        <w:t>6.5之间，地下水多呈中性或弱酸性。</w:t>
      </w:r>
    </w:p>
    <w:p w14:paraId="5AAEE1F2">
      <w:pPr>
        <w:pStyle w:val="5"/>
        <w:bidi w:val="0"/>
        <w:rPr>
          <w:rFonts w:hint="eastAsia" w:ascii="Times New Roman" w:hAnsi="Times New Roman" w:eastAsia="黑体" w:cs="Times New Roman"/>
          <w:color w:val="auto"/>
          <w:highlight w:val="none"/>
        </w:rPr>
      </w:pPr>
      <w:r>
        <w:rPr>
          <w:rFonts w:hint="eastAsia" w:ascii="Times New Roman" w:hAnsi="Times New Roman" w:eastAsia="黑体" w:cs="Times New Roman"/>
          <w:color w:val="auto"/>
          <w:highlight w:val="none"/>
        </w:rPr>
        <w:t>2.1.6.7 地下水水资源量</w:t>
      </w:r>
    </w:p>
    <w:p w14:paraId="3E102CC5">
      <w:pPr>
        <w:spacing w:line="360" w:lineRule="auto"/>
        <w:ind w:firstLine="472" w:firstLineChars="200"/>
        <w:rPr>
          <w:rFonts w:hint="eastAsia"/>
          <w:color w:val="auto"/>
          <w:highlight w:val="none"/>
        </w:rPr>
      </w:pPr>
      <w:r>
        <w:rPr>
          <w:rFonts w:hint="eastAsia"/>
          <w:color w:val="auto"/>
          <w:highlight w:val="none"/>
        </w:rPr>
        <w:t>全县境内山区广泛分布着岩浆岩、沉积岩及变质岩，这些地区以基岩裂隙水为主；丘陵、山地及河谷平原以第四系孔隙水为主，第四系之下普遍分布着白垩系地层，其间存有基岩裂隙、孔隙水，顶板埋深40</w:t>
      </w:r>
      <w:r>
        <w:rPr>
          <w:color w:val="auto"/>
          <w:highlight w:val="none"/>
        </w:rPr>
        <w:t>~</w:t>
      </w:r>
      <w:r>
        <w:rPr>
          <w:rFonts w:hint="eastAsia"/>
          <w:color w:val="auto"/>
          <w:highlight w:val="none"/>
        </w:rPr>
        <w:t>90米，含有丰富的地下水，含水层厚度为20米左右。</w:t>
      </w:r>
    </w:p>
    <w:p w14:paraId="0417B5CF">
      <w:pPr>
        <w:spacing w:line="360" w:lineRule="auto"/>
        <w:ind w:firstLine="472" w:firstLineChars="200"/>
        <w:rPr>
          <w:rFonts w:hint="eastAsia"/>
          <w:color w:val="auto"/>
          <w:highlight w:val="none"/>
        </w:rPr>
      </w:pPr>
      <w:r>
        <w:rPr>
          <w:rFonts w:hint="eastAsia"/>
          <w:color w:val="auto"/>
          <w:highlight w:val="none"/>
        </w:rPr>
        <w:t>庆安县地下水资源较丰富，根据黑龙江省绥化市水文局编制的《庆安县地下水资源开发利用规划报告》，庆安县平原区地下水多年平均总补给量为29835</w:t>
      </w:r>
      <w:r>
        <w:rPr>
          <w:rFonts w:ascii="Arial" w:hAnsi="Arial" w:cs="Arial"/>
          <w:color w:val="auto"/>
          <w:highlight w:val="none"/>
        </w:rPr>
        <w:t>×</w:t>
      </w:r>
      <w:r>
        <w:rPr>
          <w:rFonts w:hint="eastAsia"/>
          <w:color w:val="auto"/>
          <w:highlight w:val="none"/>
        </w:rPr>
        <w:t>10</w:t>
      </w:r>
      <w:r>
        <w:rPr>
          <w:rFonts w:hint="eastAsia"/>
          <w:color w:val="auto"/>
          <w:highlight w:val="none"/>
          <w:vertAlign w:val="superscript"/>
        </w:rPr>
        <w:t>4</w:t>
      </w:r>
      <w:r>
        <w:rPr>
          <w:rFonts w:hint="eastAsia"/>
          <w:color w:val="auto"/>
          <w:highlight w:val="none"/>
        </w:rPr>
        <w:t>立方米/年，总补给模数为10.53</w:t>
      </w:r>
      <w:r>
        <w:rPr>
          <w:rFonts w:ascii="Arial" w:hAnsi="Arial" w:cs="Arial"/>
          <w:color w:val="auto"/>
          <w:highlight w:val="none"/>
        </w:rPr>
        <w:t>×</w:t>
      </w:r>
      <w:r>
        <w:rPr>
          <w:rFonts w:hint="eastAsia"/>
          <w:color w:val="auto"/>
          <w:highlight w:val="none"/>
        </w:rPr>
        <w:t>10</w:t>
      </w:r>
      <w:r>
        <w:rPr>
          <w:rFonts w:hint="eastAsia"/>
          <w:color w:val="auto"/>
          <w:highlight w:val="none"/>
          <w:vertAlign w:val="superscript"/>
        </w:rPr>
        <w:t>4</w:t>
      </w:r>
      <w:r>
        <w:rPr>
          <w:rFonts w:hint="eastAsia"/>
          <w:color w:val="auto"/>
          <w:highlight w:val="none"/>
        </w:rPr>
        <w:t>立方米/平方公里</w:t>
      </w:r>
      <w:r>
        <w:rPr>
          <w:rFonts w:ascii="Calibri" w:hAnsi="Calibri" w:cs="Calibri"/>
          <w:color w:val="auto"/>
          <w:highlight w:val="none"/>
        </w:rPr>
        <w:t>·</w:t>
      </w:r>
      <w:r>
        <w:rPr>
          <w:rFonts w:hint="eastAsia"/>
          <w:color w:val="auto"/>
          <w:highlight w:val="none"/>
        </w:rPr>
        <w:t>年，其中大气降水入渗补给量23987</w:t>
      </w:r>
      <w:r>
        <w:rPr>
          <w:rFonts w:ascii="Arial" w:hAnsi="Arial" w:cs="Arial"/>
          <w:color w:val="auto"/>
          <w:highlight w:val="none"/>
        </w:rPr>
        <w:t>×</w:t>
      </w:r>
      <w:r>
        <w:rPr>
          <w:rFonts w:hint="eastAsia"/>
          <w:color w:val="auto"/>
          <w:highlight w:val="none"/>
        </w:rPr>
        <w:t>10</w:t>
      </w:r>
      <w:r>
        <w:rPr>
          <w:rFonts w:hint="eastAsia"/>
          <w:color w:val="auto"/>
          <w:highlight w:val="none"/>
          <w:vertAlign w:val="superscript"/>
        </w:rPr>
        <w:t>4</w:t>
      </w:r>
      <w:r>
        <w:rPr>
          <w:rFonts w:hint="eastAsia"/>
          <w:color w:val="auto"/>
          <w:highlight w:val="none"/>
        </w:rPr>
        <w:t>立方米/年，占总补给量的80.4%；地表水体入渗补给量为5516</w:t>
      </w:r>
      <w:r>
        <w:rPr>
          <w:rFonts w:ascii="Arial" w:hAnsi="Arial" w:cs="Arial"/>
          <w:color w:val="auto"/>
          <w:highlight w:val="none"/>
        </w:rPr>
        <w:t>×</w:t>
      </w:r>
      <w:r>
        <w:rPr>
          <w:rFonts w:hint="eastAsia"/>
          <w:color w:val="auto"/>
          <w:highlight w:val="none"/>
        </w:rPr>
        <w:t>10</w:t>
      </w:r>
      <w:r>
        <w:rPr>
          <w:rFonts w:hint="eastAsia"/>
          <w:color w:val="auto"/>
          <w:highlight w:val="none"/>
          <w:vertAlign w:val="superscript"/>
          <w:lang w:val="en-US" w:eastAsia="zh-CN"/>
        </w:rPr>
        <w:t>4</w:t>
      </w:r>
      <w:r>
        <w:rPr>
          <w:rFonts w:hint="eastAsia"/>
          <w:color w:val="auto"/>
          <w:highlight w:val="none"/>
        </w:rPr>
        <w:t>立方米/年，占总补给量的18.5%；山前侧向补给量为332</w:t>
      </w:r>
      <w:r>
        <w:rPr>
          <w:rFonts w:ascii="Arial" w:hAnsi="Arial" w:cs="Arial"/>
          <w:color w:val="auto"/>
          <w:highlight w:val="none"/>
        </w:rPr>
        <w:t>×</w:t>
      </w:r>
      <w:r>
        <w:rPr>
          <w:rFonts w:hint="eastAsia"/>
          <w:color w:val="auto"/>
          <w:highlight w:val="none"/>
        </w:rPr>
        <w:t>10</w:t>
      </w:r>
      <w:r>
        <w:rPr>
          <w:rFonts w:hint="eastAsia"/>
          <w:color w:val="auto"/>
          <w:highlight w:val="none"/>
          <w:vertAlign w:val="superscript"/>
        </w:rPr>
        <w:t>4</w:t>
      </w:r>
      <w:r>
        <w:rPr>
          <w:rFonts w:hint="eastAsia"/>
          <w:color w:val="auto"/>
          <w:highlight w:val="none"/>
        </w:rPr>
        <w:t>立方米/年，占地表水补给量的1.1%。因此，庆安县地下水的主要补给源来自大气降水，地表水补给所占比重不大。</w:t>
      </w:r>
    </w:p>
    <w:p w14:paraId="57D4895E">
      <w:pPr>
        <w:rPr>
          <w:color w:val="auto"/>
          <w:highlight w:val="none"/>
          <w:lang w:val="en-US"/>
        </w:rPr>
      </w:pPr>
      <w:r>
        <w:rPr>
          <w:rFonts w:hint="eastAsia"/>
          <w:color w:val="auto"/>
          <w:highlight w:val="none"/>
        </w:rPr>
        <w:t>多年平均地下水可开采量为23471</w:t>
      </w:r>
      <w:r>
        <w:rPr>
          <w:rFonts w:ascii="Arial" w:hAnsi="Arial" w:cs="Arial"/>
          <w:color w:val="auto"/>
          <w:highlight w:val="none"/>
        </w:rPr>
        <w:t>×</w:t>
      </w:r>
      <w:r>
        <w:rPr>
          <w:rFonts w:hint="eastAsia"/>
          <w:color w:val="auto"/>
          <w:highlight w:val="none"/>
        </w:rPr>
        <w:t>10</w:t>
      </w:r>
      <w:r>
        <w:rPr>
          <w:rFonts w:hint="eastAsia"/>
          <w:color w:val="auto"/>
          <w:highlight w:val="none"/>
          <w:vertAlign w:val="superscript"/>
        </w:rPr>
        <w:t>4</w:t>
      </w:r>
      <w:r>
        <w:rPr>
          <w:rFonts w:hint="eastAsia"/>
          <w:color w:val="auto"/>
          <w:highlight w:val="none"/>
        </w:rPr>
        <w:t>立方米/年。可开采模数为8.29</w:t>
      </w:r>
      <w:r>
        <w:rPr>
          <w:rFonts w:ascii="Arial" w:hAnsi="Arial" w:cs="Arial"/>
          <w:color w:val="auto"/>
          <w:highlight w:val="none"/>
        </w:rPr>
        <w:t>×</w:t>
      </w:r>
      <w:r>
        <w:rPr>
          <w:rFonts w:hint="eastAsia"/>
          <w:color w:val="auto"/>
          <w:highlight w:val="none"/>
        </w:rPr>
        <w:t>10</w:t>
      </w:r>
      <w:r>
        <w:rPr>
          <w:rFonts w:hint="eastAsia"/>
          <w:color w:val="auto"/>
          <w:highlight w:val="none"/>
          <w:vertAlign w:val="superscript"/>
        </w:rPr>
        <w:t>4</w:t>
      </w:r>
      <w:r>
        <w:rPr>
          <w:rFonts w:hint="eastAsia"/>
          <w:color w:val="auto"/>
          <w:highlight w:val="none"/>
        </w:rPr>
        <w:t>立方米/平方公里</w:t>
      </w:r>
      <w:r>
        <w:rPr>
          <w:rFonts w:ascii="Calibri" w:hAnsi="Calibri" w:cs="Calibri"/>
          <w:color w:val="auto"/>
          <w:highlight w:val="none"/>
        </w:rPr>
        <w:t>·</w:t>
      </w:r>
      <w:r>
        <w:rPr>
          <w:rFonts w:hint="eastAsia"/>
          <w:color w:val="auto"/>
          <w:highlight w:val="none"/>
        </w:rPr>
        <w:t>年。</w:t>
      </w:r>
    </w:p>
    <w:p w14:paraId="620C2CE0">
      <w:pPr>
        <w:pStyle w:val="3"/>
        <w:rPr>
          <w:color w:val="auto"/>
          <w:highlight w:val="none"/>
          <w:lang w:val="en-US"/>
        </w:rPr>
      </w:pPr>
      <w:bookmarkStart w:id="29" w:name="_Toc16423"/>
      <w:r>
        <w:rPr>
          <w:rFonts w:hint="eastAsia"/>
          <w:color w:val="auto"/>
          <w:highlight w:val="none"/>
          <w:lang w:val="en-US"/>
        </w:rPr>
        <w:t>2.2区域社会经济概况</w:t>
      </w:r>
      <w:bookmarkEnd w:id="26"/>
      <w:bookmarkEnd w:id="29"/>
    </w:p>
    <w:p w14:paraId="75CCA007">
      <w:pPr>
        <w:pStyle w:val="4"/>
        <w:rPr>
          <w:rFonts w:hint="eastAsia"/>
          <w:color w:val="auto"/>
          <w:highlight w:val="none"/>
        </w:rPr>
      </w:pPr>
      <w:bookmarkStart w:id="30" w:name="_Toc25149"/>
      <w:r>
        <w:rPr>
          <w:rFonts w:hint="eastAsia"/>
          <w:color w:val="auto"/>
          <w:highlight w:val="none"/>
        </w:rPr>
        <w:t>2.2.1行政区划</w:t>
      </w:r>
      <w:bookmarkEnd w:id="30"/>
    </w:p>
    <w:p w14:paraId="4CD657F3">
      <w:pPr>
        <w:ind w:firstLine="470"/>
        <w:rPr>
          <w:rFonts w:hint="eastAsia"/>
          <w:color w:val="auto"/>
          <w:highlight w:val="none"/>
        </w:rPr>
      </w:pPr>
      <w:r>
        <w:rPr>
          <w:rFonts w:hint="eastAsia"/>
          <w:color w:val="auto"/>
          <w:highlight w:val="none"/>
        </w:rPr>
        <w:t>全县共辖14个乡镇，93个行政村，13个社区和1个社管委，8个国有林场，17个伊春森工林场、2个农场、6个自然保护区</w:t>
      </w:r>
      <w:r>
        <w:rPr>
          <w:rFonts w:hint="eastAsia"/>
          <w:color w:val="auto"/>
          <w:highlight w:val="none"/>
          <w:lang w:eastAsia="zh-CN"/>
        </w:rPr>
        <w:t>，庆安县人</w:t>
      </w:r>
      <w:r>
        <w:rPr>
          <w:rFonts w:hint="eastAsia" w:ascii="Times New Roman" w:hAnsi="Times New Roman" w:eastAsia="宋体" w:cs="Times New Roman"/>
          <w:color w:val="auto"/>
          <w:highlight w:val="none"/>
          <w:lang w:eastAsia="zh-CN"/>
        </w:rPr>
        <w:t>民政府位于</w:t>
      </w:r>
      <w:r>
        <w:rPr>
          <w:rFonts w:hint="eastAsia" w:ascii="Times New Roman" w:hAnsi="Times New Roman" w:eastAsia="宋体" w:cs="Times New Roman"/>
          <w:color w:val="auto"/>
          <w:highlight w:val="none"/>
        </w:rPr>
        <w:t>绥化市庆安县吉康街道中央东大街18号</w:t>
      </w: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rPr>
        <w:t>庆安居住着汉族、朝鲜族、满族、回族、</w:t>
      </w:r>
      <w:r>
        <w:rPr>
          <w:rFonts w:hint="eastAsia"/>
          <w:color w:val="auto"/>
          <w:highlight w:val="none"/>
        </w:rPr>
        <w:t>蒙古族、鄂伦春族、壮族、瑶族、白族、高山族、锡伯族、布依族、乌孜别克族、鄂温克族等14个民族。截至2024年末</w:t>
      </w:r>
      <w:r>
        <w:rPr>
          <w:rFonts w:hint="eastAsia"/>
          <w:color w:val="auto"/>
          <w:highlight w:val="none"/>
          <w:lang w:eastAsia="zh-CN"/>
        </w:rPr>
        <w:t>，</w:t>
      </w:r>
      <w:r>
        <w:rPr>
          <w:rFonts w:hint="eastAsia"/>
          <w:color w:val="auto"/>
          <w:highlight w:val="none"/>
        </w:rPr>
        <w:t>全县总人口数为347330人，乡村人口数为279324人。</w:t>
      </w:r>
    </w:p>
    <w:p w14:paraId="63BF7D65">
      <w:pPr>
        <w:ind w:firstLine="470"/>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val="en-US" w:eastAsia="zh-CN"/>
        </w:rPr>
        <w:t>发展乡集中供水工程主要解决发展乡</w:t>
      </w:r>
      <w:r>
        <w:rPr>
          <w:rFonts w:hint="eastAsia" w:ascii="Times New Roman" w:hAnsi="Times New Roman" w:eastAsia="宋体" w:cs="Times New Roman"/>
          <w:color w:val="auto"/>
          <w:highlight w:val="none"/>
        </w:rPr>
        <w:t>4个行政村41个自然屯、1个奶牛场及1个农业队</w:t>
      </w:r>
      <w:r>
        <w:rPr>
          <w:rFonts w:hint="eastAsia" w:ascii="Times New Roman" w:hAnsi="Times New Roman" w:eastAsia="宋体" w:cs="Times New Roman"/>
          <w:color w:val="auto"/>
          <w:highlight w:val="none"/>
          <w:lang w:val="en-US" w:eastAsia="zh-CN"/>
        </w:rPr>
        <w:t>的饮水问题，户籍人口</w:t>
      </w:r>
      <w:r>
        <w:rPr>
          <w:rFonts w:hint="default" w:ascii="Times New Roman" w:hAnsi="Times New Roman" w:eastAsia="宋体" w:cs="Times New Roman"/>
          <w:color w:val="auto"/>
          <w:highlight w:val="none"/>
          <w:lang w:val="en-US" w:eastAsia="zh-CN"/>
        </w:rPr>
        <w:t>16207</w:t>
      </w:r>
      <w:r>
        <w:rPr>
          <w:rFonts w:hint="eastAsia" w:ascii="Times New Roman" w:hAnsi="Times New Roman" w:eastAsia="宋体" w:cs="Times New Roman"/>
          <w:color w:val="auto"/>
          <w:highlight w:val="none"/>
          <w:lang w:val="en-US" w:eastAsia="zh-CN"/>
        </w:rPr>
        <w:t>人，实际常住</w:t>
      </w:r>
      <w:r>
        <w:rPr>
          <w:rFonts w:hint="default" w:ascii="Times New Roman" w:hAnsi="Times New Roman" w:eastAsia="宋体" w:cs="Times New Roman"/>
          <w:color w:val="auto"/>
          <w:highlight w:val="none"/>
          <w:lang w:val="en-US" w:eastAsia="zh-CN"/>
        </w:rPr>
        <w:t>9865</w:t>
      </w:r>
      <w:r>
        <w:rPr>
          <w:rFonts w:hint="eastAsia" w:ascii="Times New Roman" w:hAnsi="Times New Roman" w:eastAsia="宋体" w:cs="Times New Roman"/>
          <w:color w:val="auto"/>
          <w:highlight w:val="none"/>
          <w:lang w:val="en-US" w:eastAsia="zh-CN"/>
        </w:rPr>
        <w:t>人；建民乡集中供水工程主要解决</w:t>
      </w:r>
      <w:r>
        <w:rPr>
          <w:rFonts w:hint="eastAsia" w:ascii="Times New Roman" w:hAnsi="Times New Roman" w:eastAsia="宋体" w:cs="Times New Roman"/>
          <w:color w:val="auto"/>
          <w:highlight w:val="none"/>
        </w:rPr>
        <w:t>6个行政村61个自然屯</w:t>
      </w:r>
      <w:r>
        <w:rPr>
          <w:rFonts w:hint="eastAsia" w:ascii="Times New Roman" w:hAnsi="Times New Roman" w:eastAsia="宋体" w:cs="Times New Roman"/>
          <w:color w:val="auto"/>
          <w:highlight w:val="none"/>
          <w:lang w:val="en-US" w:eastAsia="zh-CN"/>
        </w:rPr>
        <w:t>的饮水问题，户籍人口</w:t>
      </w:r>
      <w:r>
        <w:rPr>
          <w:rFonts w:hint="default" w:ascii="Times New Roman" w:hAnsi="Times New Roman" w:eastAsia="宋体" w:cs="Times New Roman"/>
          <w:color w:val="auto"/>
          <w:highlight w:val="none"/>
          <w:lang w:val="en-US" w:eastAsia="zh-CN"/>
        </w:rPr>
        <w:t>17844</w:t>
      </w:r>
      <w:r>
        <w:rPr>
          <w:rFonts w:hint="eastAsia" w:ascii="Times New Roman" w:hAnsi="Times New Roman" w:eastAsia="宋体" w:cs="Times New Roman"/>
          <w:color w:val="auto"/>
          <w:highlight w:val="none"/>
          <w:lang w:val="en-US" w:eastAsia="zh-CN"/>
        </w:rPr>
        <w:t>人，实际常住</w:t>
      </w:r>
      <w:r>
        <w:rPr>
          <w:rFonts w:hint="default" w:ascii="Times New Roman" w:hAnsi="Times New Roman" w:eastAsia="宋体" w:cs="Times New Roman"/>
          <w:color w:val="auto"/>
          <w:highlight w:val="none"/>
          <w:lang w:val="en-US" w:eastAsia="zh-CN"/>
        </w:rPr>
        <w:t>9891</w:t>
      </w:r>
      <w:r>
        <w:rPr>
          <w:rFonts w:hint="eastAsia" w:ascii="Times New Roman" w:hAnsi="Times New Roman" w:eastAsia="宋体" w:cs="Times New Roman"/>
          <w:color w:val="auto"/>
          <w:highlight w:val="none"/>
          <w:lang w:val="en-US" w:eastAsia="zh-CN"/>
        </w:rPr>
        <w:t>人；同乐镇集中供水工程主要解决同乐镇</w:t>
      </w:r>
      <w:r>
        <w:rPr>
          <w:rFonts w:hint="eastAsia" w:ascii="Times New Roman" w:hAnsi="Times New Roman" w:eastAsia="宋体" w:cs="Times New Roman"/>
          <w:color w:val="auto"/>
          <w:highlight w:val="none"/>
        </w:rPr>
        <w:t>5个行政村41个自然屯</w:t>
      </w:r>
      <w:r>
        <w:rPr>
          <w:rFonts w:hint="eastAsia" w:ascii="Times New Roman" w:hAnsi="Times New Roman" w:eastAsia="宋体" w:cs="Times New Roman"/>
          <w:color w:val="auto"/>
          <w:highlight w:val="none"/>
          <w:lang w:val="en-US" w:eastAsia="zh-CN"/>
        </w:rPr>
        <w:t>的饮水问题，户籍人口</w:t>
      </w:r>
      <w:r>
        <w:rPr>
          <w:rFonts w:hint="default" w:ascii="Times New Roman" w:hAnsi="Times New Roman" w:eastAsia="宋体" w:cs="Times New Roman"/>
          <w:color w:val="auto"/>
          <w:highlight w:val="none"/>
          <w:lang w:val="en-US" w:eastAsia="zh-CN"/>
        </w:rPr>
        <w:t>17844</w:t>
      </w:r>
      <w:r>
        <w:rPr>
          <w:rFonts w:hint="eastAsia" w:ascii="Times New Roman" w:hAnsi="Times New Roman" w:eastAsia="宋体" w:cs="Times New Roman"/>
          <w:color w:val="auto"/>
          <w:highlight w:val="none"/>
          <w:lang w:val="en-US" w:eastAsia="zh-CN"/>
        </w:rPr>
        <w:t>人，实际常住</w:t>
      </w:r>
      <w:r>
        <w:rPr>
          <w:rFonts w:hint="default" w:ascii="Times New Roman" w:hAnsi="Times New Roman" w:eastAsia="宋体" w:cs="Times New Roman"/>
          <w:color w:val="auto"/>
          <w:highlight w:val="none"/>
          <w:lang w:val="en-US" w:eastAsia="zh-CN"/>
        </w:rPr>
        <w:t>9891</w:t>
      </w:r>
      <w:r>
        <w:rPr>
          <w:rFonts w:hint="eastAsia" w:ascii="Times New Roman" w:hAnsi="Times New Roman" w:eastAsia="宋体" w:cs="Times New Roman"/>
          <w:color w:val="auto"/>
          <w:highlight w:val="none"/>
          <w:lang w:val="en-US" w:eastAsia="zh-CN"/>
        </w:rPr>
        <w:t>人；庆安县柳河镇建设农村集中供水工程</w:t>
      </w:r>
      <w:r>
        <w:rPr>
          <w:rFonts w:hint="default" w:ascii="Times New Roman" w:hAnsi="Times New Roman" w:eastAsia="宋体" w:cs="Times New Roman"/>
          <w:color w:val="auto"/>
          <w:highlight w:val="none"/>
          <w:lang w:val="en-US" w:eastAsia="zh-CN"/>
        </w:rPr>
        <w:t>2</w:t>
      </w:r>
      <w:r>
        <w:rPr>
          <w:rFonts w:hint="eastAsia" w:ascii="Times New Roman" w:hAnsi="Times New Roman" w:eastAsia="宋体" w:cs="Times New Roman"/>
          <w:color w:val="auto"/>
          <w:highlight w:val="none"/>
          <w:lang w:val="en-US" w:eastAsia="zh-CN"/>
        </w:rPr>
        <w:t>处，主要解决柳河镇</w:t>
      </w:r>
      <w:r>
        <w:rPr>
          <w:rFonts w:hint="default" w:ascii="Times New Roman" w:hAnsi="Times New Roman" w:eastAsia="宋体" w:cs="Times New Roman"/>
          <w:color w:val="auto"/>
          <w:highlight w:val="none"/>
          <w:lang w:val="en-US" w:eastAsia="zh-CN"/>
        </w:rPr>
        <w:t>10</w:t>
      </w:r>
      <w:r>
        <w:rPr>
          <w:rFonts w:hint="eastAsia" w:ascii="Times New Roman" w:hAnsi="Times New Roman" w:eastAsia="宋体" w:cs="Times New Roman"/>
          <w:color w:val="auto"/>
          <w:highlight w:val="none"/>
          <w:lang w:val="en-US" w:eastAsia="zh-CN"/>
        </w:rPr>
        <w:t>个村，86个屯的饮水问题，户籍人口</w:t>
      </w:r>
      <w:r>
        <w:rPr>
          <w:rFonts w:hint="default" w:ascii="Times New Roman" w:hAnsi="Times New Roman" w:eastAsia="宋体" w:cs="Times New Roman"/>
          <w:color w:val="auto"/>
          <w:highlight w:val="none"/>
          <w:lang w:val="en-US" w:eastAsia="zh-CN"/>
        </w:rPr>
        <w:t>34501</w:t>
      </w:r>
      <w:r>
        <w:rPr>
          <w:rFonts w:hint="eastAsia" w:ascii="Times New Roman" w:hAnsi="Times New Roman" w:eastAsia="宋体" w:cs="Times New Roman"/>
          <w:color w:val="auto"/>
          <w:highlight w:val="none"/>
          <w:lang w:val="en-US" w:eastAsia="zh-CN"/>
        </w:rPr>
        <w:t>人，常住人口</w:t>
      </w:r>
      <w:r>
        <w:rPr>
          <w:rFonts w:hint="default" w:ascii="Times New Roman" w:hAnsi="Times New Roman" w:eastAsia="宋体" w:cs="Times New Roman"/>
          <w:color w:val="auto"/>
          <w:highlight w:val="none"/>
          <w:lang w:val="en-US" w:eastAsia="zh-CN"/>
        </w:rPr>
        <w:t>18485</w:t>
      </w:r>
      <w:r>
        <w:rPr>
          <w:rFonts w:hint="eastAsia" w:ascii="Times New Roman" w:hAnsi="Times New Roman" w:eastAsia="宋体" w:cs="Times New Roman"/>
          <w:color w:val="auto"/>
          <w:highlight w:val="none"/>
          <w:lang w:val="en-US" w:eastAsia="zh-CN"/>
        </w:rPr>
        <w:t>人；</w:t>
      </w:r>
      <w:r>
        <w:rPr>
          <w:rFonts w:hint="eastAsia" w:ascii="Times New Roman" w:hAnsi="Times New Roman" w:eastAsia="宋体" w:cs="Times New Roman"/>
          <w:color w:val="auto"/>
          <w:highlight w:val="none"/>
        </w:rPr>
        <w:t>庆安县</w:t>
      </w:r>
      <w:r>
        <w:rPr>
          <w:rFonts w:hint="eastAsia" w:ascii="Times New Roman" w:hAnsi="Times New Roman" w:eastAsia="宋体" w:cs="Times New Roman"/>
          <w:color w:val="auto"/>
          <w:highlight w:val="none"/>
          <w:lang w:eastAsia="zh-CN"/>
        </w:rPr>
        <w:t>平安镇</w:t>
      </w:r>
      <w:r>
        <w:rPr>
          <w:rFonts w:hint="eastAsia" w:ascii="Times New Roman" w:hAnsi="Times New Roman" w:eastAsia="宋体" w:cs="Times New Roman"/>
          <w:color w:val="auto"/>
          <w:highlight w:val="none"/>
        </w:rPr>
        <w:t>建设农村集中供水工程</w:t>
      </w:r>
      <w:r>
        <w:rPr>
          <w:rFonts w:hint="eastAsia" w:ascii="Times New Roman" w:hAnsi="Times New Roman" w:eastAsia="宋体" w:cs="Times New Roman"/>
          <w:color w:val="auto"/>
          <w:highlight w:val="none"/>
          <w:lang w:val="en-US" w:eastAsia="zh-CN"/>
        </w:rPr>
        <w:t>主要解决</w:t>
      </w:r>
      <w:r>
        <w:rPr>
          <w:rFonts w:hint="eastAsia" w:ascii="Times New Roman" w:hAnsi="Times New Roman" w:eastAsia="宋体" w:cs="Times New Roman"/>
          <w:color w:val="auto"/>
          <w:highlight w:val="none"/>
          <w:lang w:eastAsia="zh-CN"/>
        </w:rPr>
        <w:t>平安镇</w:t>
      </w:r>
      <w:r>
        <w:rPr>
          <w:rFonts w:hint="eastAsia" w:ascii="Times New Roman" w:hAnsi="Times New Roman" w:eastAsia="宋体" w:cs="Times New Roman"/>
          <w:color w:val="auto"/>
          <w:highlight w:val="none"/>
          <w:lang w:val="en-US" w:eastAsia="zh-CN"/>
        </w:rPr>
        <w:t>5个行政村46个自然屯的饮水问题</w:t>
      </w:r>
      <w:r>
        <w:rPr>
          <w:rFonts w:hint="eastAsia" w:ascii="Times New Roman" w:hAnsi="Times New Roman" w:eastAsia="宋体" w:cs="Times New Roman"/>
          <w:color w:val="auto"/>
          <w:highlight w:val="none"/>
        </w:rPr>
        <w:t>，户籍</w:t>
      </w:r>
      <w:r>
        <w:rPr>
          <w:rFonts w:hint="eastAsia" w:ascii="Times New Roman" w:hAnsi="Times New Roman" w:eastAsia="宋体" w:cs="Times New Roman"/>
          <w:color w:val="auto"/>
          <w:highlight w:val="none"/>
          <w:lang w:val="en-US" w:eastAsia="zh-CN"/>
        </w:rPr>
        <w:t>人口15600</w:t>
      </w:r>
      <w:r>
        <w:rPr>
          <w:rFonts w:hint="eastAsia" w:ascii="Times New Roman" w:hAnsi="Times New Roman" w:eastAsia="宋体" w:cs="Times New Roman"/>
          <w:color w:val="auto"/>
          <w:highlight w:val="none"/>
        </w:rPr>
        <w:t>人，</w:t>
      </w:r>
      <w:r>
        <w:rPr>
          <w:rFonts w:hint="eastAsia" w:ascii="Times New Roman" w:hAnsi="Times New Roman" w:eastAsia="宋体" w:cs="Times New Roman"/>
          <w:color w:val="auto"/>
          <w:highlight w:val="none"/>
          <w:lang w:val="en-US" w:eastAsia="zh-CN"/>
        </w:rPr>
        <w:t>实际常住5200人；</w:t>
      </w:r>
      <w:r>
        <w:rPr>
          <w:rFonts w:hint="eastAsia" w:ascii="Times New Roman" w:hAnsi="Times New Roman" w:eastAsia="宋体" w:cs="Times New Roman"/>
          <w:color w:val="auto"/>
          <w:highlight w:val="none"/>
        </w:rPr>
        <w:t>建设农村集中供水工程</w:t>
      </w:r>
      <w:r>
        <w:rPr>
          <w:rFonts w:hint="eastAsia" w:ascii="Times New Roman" w:hAnsi="Times New Roman" w:eastAsia="宋体" w:cs="Times New Roman"/>
          <w:color w:val="auto"/>
          <w:highlight w:val="none"/>
          <w:lang w:val="en-US" w:eastAsia="zh-CN"/>
        </w:rPr>
        <w:t>主要解决12个行政村村86个自然屯的饮水问题</w:t>
      </w:r>
      <w:r>
        <w:rPr>
          <w:rFonts w:hint="eastAsia" w:ascii="Times New Roman" w:hAnsi="Times New Roman" w:eastAsia="宋体" w:cs="Times New Roman"/>
          <w:color w:val="auto"/>
          <w:highlight w:val="none"/>
        </w:rPr>
        <w:t>，户籍</w:t>
      </w:r>
      <w:r>
        <w:rPr>
          <w:rFonts w:hint="eastAsia" w:ascii="Times New Roman" w:hAnsi="Times New Roman" w:eastAsia="宋体" w:cs="Times New Roman"/>
          <w:color w:val="auto"/>
          <w:highlight w:val="none"/>
          <w:lang w:val="en-US" w:eastAsia="zh-CN"/>
        </w:rPr>
        <w:t>27389</w:t>
      </w:r>
      <w:r>
        <w:rPr>
          <w:rFonts w:hint="eastAsia" w:ascii="Times New Roman" w:hAnsi="Times New Roman" w:eastAsia="宋体" w:cs="Times New Roman"/>
          <w:color w:val="auto"/>
          <w:highlight w:val="none"/>
        </w:rPr>
        <w:t>人</w:t>
      </w: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lang w:val="en-US" w:eastAsia="zh-CN"/>
        </w:rPr>
        <w:t>实际常住9130人</w:t>
      </w:r>
      <w:r>
        <w:rPr>
          <w:rFonts w:hint="eastAsia" w:ascii="Times New Roman" w:hAnsi="Times New Roman" w:eastAsia="宋体" w:cs="Times New Roman"/>
          <w:color w:val="auto"/>
          <w:highlight w:val="none"/>
          <w:lang w:eastAsia="zh-CN"/>
        </w:rPr>
        <w:t>。</w:t>
      </w:r>
    </w:p>
    <w:p w14:paraId="68AF397E">
      <w:pPr>
        <w:pStyle w:val="4"/>
        <w:rPr>
          <w:rFonts w:hint="eastAsia"/>
          <w:color w:val="auto"/>
          <w:highlight w:val="none"/>
        </w:rPr>
      </w:pPr>
      <w:bookmarkStart w:id="31" w:name="_Toc17063"/>
      <w:r>
        <w:rPr>
          <w:rFonts w:hint="eastAsia"/>
          <w:color w:val="auto"/>
          <w:highlight w:val="none"/>
        </w:rPr>
        <w:t>2.2.2经济社会</w:t>
      </w:r>
      <w:bookmarkEnd w:id="31"/>
    </w:p>
    <w:p w14:paraId="5B1CAF83">
      <w:pPr>
        <w:ind w:firstLine="470"/>
        <w:rPr>
          <w:rFonts w:hint="eastAsia"/>
          <w:color w:val="auto"/>
          <w:highlight w:val="none"/>
        </w:rPr>
      </w:pPr>
      <w:r>
        <w:rPr>
          <w:rFonts w:hint="eastAsia"/>
          <w:color w:val="auto"/>
          <w:highlight w:val="none"/>
        </w:rPr>
        <w:t>2024年地区生产总值实现96.1亿元，同比增长2.9%</w:t>
      </w:r>
      <w:r>
        <w:rPr>
          <w:rFonts w:hint="eastAsia"/>
          <w:color w:val="auto"/>
          <w:highlight w:val="none"/>
          <w:lang w:eastAsia="zh-CN"/>
        </w:rPr>
        <w:t>；</w:t>
      </w:r>
      <w:r>
        <w:rPr>
          <w:rFonts w:hint="eastAsia"/>
          <w:color w:val="auto"/>
          <w:highlight w:val="none"/>
        </w:rPr>
        <w:t>规上工业增加值同比增长4.1%；农林牧渔业总产值88.7亿元，同比增长2.2%；固定资产投资同比增长28.1%；一般公共预算收入6.1亿元，同比增长8.7%</w:t>
      </w:r>
      <w:r>
        <w:rPr>
          <w:rFonts w:hint="eastAsia"/>
          <w:color w:val="auto"/>
          <w:highlight w:val="none"/>
          <w:lang w:eastAsia="zh-CN"/>
        </w:rPr>
        <w:t>；</w:t>
      </w:r>
      <w:r>
        <w:rPr>
          <w:rFonts w:hint="eastAsia"/>
          <w:color w:val="auto"/>
          <w:highlight w:val="none"/>
        </w:rPr>
        <w:t>实际利用内资28.5亿元，同比增长36.36%；社会消费品零售总额19.7亿元，同比增长0.2%；外贸进出口总额144万元。</w:t>
      </w:r>
    </w:p>
    <w:p w14:paraId="1AE7F411">
      <w:pPr>
        <w:pStyle w:val="3"/>
        <w:rPr>
          <w:color w:val="auto"/>
          <w:highlight w:val="none"/>
          <w:lang w:val="en-US"/>
        </w:rPr>
      </w:pPr>
      <w:bookmarkStart w:id="32" w:name="_Toc28020"/>
      <w:bookmarkStart w:id="33" w:name="_Toc6076"/>
      <w:r>
        <w:rPr>
          <w:rFonts w:hint="eastAsia"/>
          <w:color w:val="auto"/>
          <w:highlight w:val="none"/>
          <w:lang w:val="en-US"/>
        </w:rPr>
        <w:t>2.3饮用水水源地周边城乡土地使用现状及规划情况</w:t>
      </w:r>
      <w:bookmarkEnd w:id="32"/>
      <w:bookmarkEnd w:id="33"/>
    </w:p>
    <w:p w14:paraId="411DB487">
      <w:pPr>
        <w:pStyle w:val="4"/>
        <w:rPr>
          <w:color w:val="auto"/>
          <w:highlight w:val="none"/>
        </w:rPr>
      </w:pPr>
      <w:bookmarkStart w:id="34" w:name="_Toc11442"/>
      <w:r>
        <w:rPr>
          <w:rFonts w:hint="eastAsia"/>
          <w:color w:val="auto"/>
          <w:highlight w:val="none"/>
        </w:rPr>
        <w:t>2.3.1土地使用现状</w:t>
      </w:r>
      <w:bookmarkEnd w:id="34"/>
    </w:p>
    <w:p w14:paraId="17DD024D">
      <w:pPr>
        <w:spacing w:line="360" w:lineRule="auto"/>
        <w:ind w:firstLine="472" w:firstLineChars="200"/>
        <w:rPr>
          <w:rFonts w:hint="eastAsia"/>
          <w:color w:val="auto"/>
          <w:sz w:val="24"/>
          <w:szCs w:val="24"/>
          <w:highlight w:val="none"/>
        </w:rPr>
      </w:pPr>
      <w:r>
        <w:rPr>
          <w:rFonts w:hint="eastAsia"/>
          <w:color w:val="auto"/>
          <w:sz w:val="24"/>
          <w:szCs w:val="24"/>
          <w:highlight w:val="none"/>
        </w:rPr>
        <w:t>本项目取水井及周边土地利用现状见图2-</w:t>
      </w:r>
      <w:r>
        <w:rPr>
          <w:rFonts w:hint="eastAsia"/>
          <w:color w:val="auto"/>
          <w:sz w:val="24"/>
          <w:szCs w:val="24"/>
          <w:highlight w:val="none"/>
          <w:lang w:val="en-US" w:eastAsia="zh-CN"/>
        </w:rPr>
        <w:t>1</w:t>
      </w:r>
      <w:r>
        <w:rPr>
          <w:rFonts w:hint="eastAsia"/>
          <w:color w:val="auto"/>
          <w:sz w:val="24"/>
          <w:szCs w:val="24"/>
          <w:highlight w:val="none"/>
        </w:rPr>
        <w:t>～图2</w:t>
      </w:r>
      <w:r>
        <w:rPr>
          <w:rFonts w:hint="eastAsia"/>
          <w:color w:val="auto"/>
          <w:sz w:val="24"/>
          <w:szCs w:val="24"/>
          <w:highlight w:val="none"/>
          <w:lang w:val="en-US" w:eastAsia="zh-CN"/>
        </w:rPr>
        <w:t>-7</w:t>
      </w:r>
      <w:r>
        <w:rPr>
          <w:rFonts w:hint="eastAsia"/>
          <w:color w:val="auto"/>
          <w:sz w:val="24"/>
          <w:szCs w:val="24"/>
          <w:highlight w:val="none"/>
        </w:rPr>
        <w:t>。</w:t>
      </w:r>
    </w:p>
    <w:p w14:paraId="6E6500D4">
      <w:pPr>
        <w:pStyle w:val="28"/>
        <w:jc w:val="both"/>
        <w:rPr>
          <w:rFonts w:hint="default"/>
          <w:color w:val="auto"/>
          <w:highlight w:val="none"/>
        </w:rPr>
        <w:sectPr>
          <w:footerReference r:id="rId14" w:type="default"/>
          <w:pgSz w:w="11905" w:h="16838"/>
          <w:pgMar w:top="1474" w:right="1474" w:bottom="1474" w:left="1474" w:header="850" w:footer="992" w:gutter="0"/>
          <w:pgBorders>
            <w:top w:val="none" w:sz="0" w:space="0"/>
            <w:left w:val="none" w:sz="0" w:space="0"/>
            <w:bottom w:val="none" w:sz="0" w:space="0"/>
            <w:right w:val="none" w:sz="0" w:space="0"/>
          </w:pgBorders>
          <w:pgNumType w:fmt="decimal"/>
          <w:cols w:space="720" w:num="1"/>
          <w:docGrid w:type="linesAndChars" w:linePitch="347" w:charSpace="-1024"/>
        </w:sectPr>
      </w:pPr>
    </w:p>
    <w:p w14:paraId="6D29621C">
      <w:pPr>
        <w:pStyle w:val="5"/>
        <w:bidi w:val="0"/>
        <w:ind w:firstLine="472" w:firstLineChars="200"/>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（1）绥化市庆安县发展乡饮用水水源地</w:t>
      </w:r>
    </w:p>
    <w:p w14:paraId="276F3876">
      <w:pPr>
        <w:pStyle w:val="28"/>
        <w:spacing w:line="360" w:lineRule="auto"/>
        <w:jc w:val="center"/>
        <w:rPr>
          <w:rFonts w:hint="eastAsia" w:eastAsia="黑体"/>
          <w:color w:val="auto"/>
          <w:highlight w:val="none"/>
          <w:lang w:eastAsia="zh-CN"/>
        </w:rPr>
      </w:pPr>
      <w:r>
        <w:rPr>
          <w:rFonts w:hint="eastAsia" w:ascii="Times New Roman" w:hAnsi="Times New Roman" w:eastAsia="宋体" w:cs="Times New Roman"/>
          <w:color w:val="auto"/>
          <w:highlight w:val="none"/>
          <w:lang w:val="en-US" w:eastAsia="zh-CN"/>
        </w:rPr>
        <w:t>绥化市庆安县发展乡</w:t>
      </w:r>
      <w:r>
        <w:rPr>
          <w:rFonts w:hint="eastAsia" w:ascii="Times New Roman" w:hAnsi="Times New Roman" w:eastAsia="宋体" w:cs="Times New Roman"/>
          <w:color w:val="auto"/>
          <w:highlight w:val="none"/>
        </w:rPr>
        <w:t>饮用水水源地取水井周围主要用地性质为</w:t>
      </w:r>
      <w:r>
        <w:rPr>
          <w:rFonts w:hint="eastAsia" w:ascii="Times New Roman" w:hAnsi="Times New Roman" w:eastAsia="宋体" w:cs="Times New Roman"/>
          <w:color w:val="auto"/>
          <w:highlight w:val="none"/>
          <w:lang w:eastAsia="zh-CN"/>
        </w:rPr>
        <w:t>乔木林地、旱地</w:t>
      </w:r>
      <w:r>
        <w:rPr>
          <w:rFonts w:hint="eastAsia" w:eastAsia="宋体" w:cs="Times New Roman"/>
          <w:color w:val="auto"/>
          <w:highlight w:val="none"/>
          <w:lang w:eastAsia="zh-CN"/>
        </w:rPr>
        <w:t>、农村宅基地等</w:t>
      </w:r>
      <w:r>
        <w:rPr>
          <w:rFonts w:hint="eastAsia" w:cs="Times New Roman"/>
          <w:color w:val="auto"/>
          <w:highlight w:val="none"/>
          <w:lang w:eastAsia="zh-CN"/>
        </w:rPr>
        <w:t>。</w:t>
      </w:r>
      <w:r>
        <w:rPr>
          <w:rFonts w:hint="eastAsia" w:eastAsia="黑体"/>
          <w:color w:val="auto"/>
          <w:highlight w:val="none"/>
          <w:lang w:eastAsia="zh-CN"/>
        </w:rPr>
        <w:drawing>
          <wp:inline distT="0" distB="0" distL="114300" distR="114300">
            <wp:extent cx="6435725" cy="4549775"/>
            <wp:effectExtent l="0" t="0" r="3175" b="3175"/>
            <wp:docPr id="46" name="图片 46" descr="发展乡土地利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发展乡土地利用"/>
                    <pic:cNvPicPr>
                      <a:picLocks noChangeAspect="1"/>
                    </pic:cNvPicPr>
                  </pic:nvPicPr>
                  <pic:blipFill>
                    <a:blip r:embed="rId20"/>
                    <a:stretch>
                      <a:fillRect/>
                    </a:stretch>
                  </pic:blipFill>
                  <pic:spPr>
                    <a:xfrm>
                      <a:off x="0" y="0"/>
                      <a:ext cx="6435725" cy="4549775"/>
                    </a:xfrm>
                    <a:prstGeom prst="rect">
                      <a:avLst/>
                    </a:prstGeom>
                  </pic:spPr>
                </pic:pic>
              </a:graphicData>
            </a:graphic>
          </wp:inline>
        </w:drawing>
      </w:r>
    </w:p>
    <w:p w14:paraId="49040626">
      <w:pPr>
        <w:pStyle w:val="28"/>
        <w:spacing w:line="360" w:lineRule="auto"/>
        <w:rPr>
          <w:color w:val="auto"/>
          <w:highlight w:val="none"/>
        </w:rPr>
      </w:pPr>
      <w:r>
        <w:rPr>
          <w:rFonts w:hint="default"/>
          <w:color w:val="auto"/>
          <w:highlight w:val="none"/>
        </w:rPr>
        <w:t>图2</w:t>
      </w:r>
      <w:r>
        <w:rPr>
          <w:color w:val="auto"/>
          <w:highlight w:val="none"/>
        </w:rPr>
        <w:t>-</w:t>
      </w:r>
      <w:r>
        <w:rPr>
          <w:rFonts w:hint="eastAsia"/>
          <w:color w:val="auto"/>
          <w:highlight w:val="none"/>
          <w:lang w:val="en-US" w:eastAsia="zh-CN"/>
        </w:rPr>
        <w:t>1</w:t>
      </w:r>
      <w:r>
        <w:rPr>
          <w:rFonts w:hint="default"/>
          <w:color w:val="auto"/>
          <w:highlight w:val="none"/>
        </w:rPr>
        <w:t xml:space="preserve"> </w:t>
      </w:r>
      <w:r>
        <w:rPr>
          <w:rFonts w:hint="eastAsia"/>
          <w:color w:val="auto"/>
          <w:highlight w:val="none"/>
          <w:lang w:eastAsia="zh-CN"/>
        </w:rPr>
        <w:t>发展乡</w:t>
      </w:r>
      <w:r>
        <w:rPr>
          <w:rFonts w:hint="default"/>
          <w:color w:val="auto"/>
          <w:highlight w:val="none"/>
        </w:rPr>
        <w:t>水井</w:t>
      </w:r>
      <w:r>
        <w:rPr>
          <w:rFonts w:hint="eastAsia"/>
          <w:color w:val="auto"/>
          <w:highlight w:val="none"/>
          <w:lang w:eastAsia="zh-CN"/>
        </w:rPr>
        <w:t>及</w:t>
      </w:r>
      <w:r>
        <w:rPr>
          <w:rFonts w:hint="default"/>
          <w:color w:val="auto"/>
          <w:highlight w:val="none"/>
        </w:rPr>
        <w:t>周边土地利用现状图</w:t>
      </w:r>
    </w:p>
    <w:p w14:paraId="7C3A3812">
      <w:pPr>
        <w:pStyle w:val="5"/>
        <w:bidi w:val="0"/>
        <w:ind w:firstLine="472" w:firstLineChars="200"/>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（2）绥化市庆安县建民乡饮用水水源地</w:t>
      </w:r>
    </w:p>
    <w:p w14:paraId="4A6F4C2F">
      <w:pPr>
        <w:spacing w:line="360" w:lineRule="auto"/>
        <w:ind w:firstLine="470"/>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val="en-US" w:eastAsia="zh-CN"/>
        </w:rPr>
        <w:t>绥化市庆安县建民乡</w:t>
      </w:r>
      <w:r>
        <w:rPr>
          <w:rFonts w:hint="eastAsia" w:ascii="Times New Roman" w:hAnsi="Times New Roman" w:eastAsia="宋体" w:cs="Times New Roman"/>
          <w:color w:val="auto"/>
          <w:highlight w:val="none"/>
          <w:lang w:eastAsia="zh-CN"/>
        </w:rPr>
        <w:t>饮用水水源地</w:t>
      </w:r>
      <w:r>
        <w:rPr>
          <w:rFonts w:hint="eastAsia" w:ascii="Times New Roman" w:hAnsi="Times New Roman" w:eastAsia="宋体" w:cs="Times New Roman"/>
          <w:color w:val="auto"/>
          <w:highlight w:val="none"/>
        </w:rPr>
        <w:t>取水井</w:t>
      </w:r>
      <w:r>
        <w:rPr>
          <w:rFonts w:hint="eastAsia" w:cs="Times New Roman"/>
          <w:color w:val="auto"/>
          <w:highlight w:val="none"/>
          <w:lang w:eastAsia="zh-CN"/>
        </w:rPr>
        <w:t>周围主要</w:t>
      </w:r>
      <w:r>
        <w:rPr>
          <w:rFonts w:hint="eastAsia" w:ascii="Times New Roman" w:hAnsi="Times New Roman" w:eastAsia="宋体" w:cs="Times New Roman"/>
          <w:color w:val="auto"/>
          <w:highlight w:val="none"/>
        </w:rPr>
        <w:t>用地性质为</w:t>
      </w:r>
      <w:r>
        <w:rPr>
          <w:rFonts w:hint="eastAsia" w:cs="Times New Roman"/>
          <w:color w:val="auto"/>
          <w:highlight w:val="none"/>
          <w:lang w:eastAsia="zh-CN"/>
        </w:rPr>
        <w:t>农村宅基地、其他林地、旱地等。</w:t>
      </w:r>
    </w:p>
    <w:p w14:paraId="1F56486C">
      <w:pPr>
        <w:spacing w:line="360" w:lineRule="auto"/>
        <w:ind w:left="0" w:leftChars="0" w:firstLine="0" w:firstLineChars="0"/>
        <w:jc w:val="center"/>
        <w:rPr>
          <w:rFonts w:hint="eastAsia" w:eastAsia="宋体"/>
          <w:color w:val="auto"/>
          <w:highlight w:val="none"/>
          <w:lang w:eastAsia="zh-CN"/>
        </w:rPr>
      </w:pPr>
      <w:r>
        <w:rPr>
          <w:rFonts w:hint="eastAsia" w:eastAsia="宋体"/>
          <w:color w:val="auto"/>
          <w:highlight w:val="none"/>
          <w:lang w:eastAsia="zh-CN"/>
        </w:rPr>
        <w:drawing>
          <wp:inline distT="0" distB="0" distL="114300" distR="114300">
            <wp:extent cx="6283960" cy="4442460"/>
            <wp:effectExtent l="0" t="0" r="2540" b="15240"/>
            <wp:docPr id="28" name="图片 28" descr="微信图片_2026-01-30_135620_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微信图片_2026-01-30_135620_965"/>
                    <pic:cNvPicPr>
                      <a:picLocks noChangeAspect="1"/>
                    </pic:cNvPicPr>
                  </pic:nvPicPr>
                  <pic:blipFill>
                    <a:blip r:embed="rId21"/>
                    <a:stretch>
                      <a:fillRect/>
                    </a:stretch>
                  </pic:blipFill>
                  <pic:spPr>
                    <a:xfrm>
                      <a:off x="0" y="0"/>
                      <a:ext cx="6283960" cy="4442460"/>
                    </a:xfrm>
                    <a:prstGeom prst="rect">
                      <a:avLst/>
                    </a:prstGeom>
                  </pic:spPr>
                </pic:pic>
              </a:graphicData>
            </a:graphic>
          </wp:inline>
        </w:drawing>
      </w:r>
    </w:p>
    <w:p w14:paraId="0A65661B">
      <w:pPr>
        <w:pStyle w:val="13"/>
        <w:spacing w:line="360" w:lineRule="auto"/>
        <w:jc w:val="center"/>
        <w:rPr>
          <w:rFonts w:hint="eastAsia" w:eastAsia="黑体" w:cs="Times New Roman"/>
          <w:color w:val="auto"/>
          <w:kern w:val="2"/>
          <w:sz w:val="24"/>
          <w:szCs w:val="24"/>
          <w:highlight w:val="none"/>
          <w:lang w:val="en-US" w:eastAsia="zh-CN" w:bidi="ar-SA"/>
        </w:rPr>
      </w:pPr>
      <w:r>
        <w:rPr>
          <w:rFonts w:hint="default" w:ascii="Times New Roman" w:hAnsi="Times New Roman" w:eastAsia="黑体" w:cs="Times New Roman"/>
          <w:color w:val="auto"/>
          <w:kern w:val="2"/>
          <w:sz w:val="24"/>
          <w:szCs w:val="24"/>
          <w:highlight w:val="none"/>
          <w:lang w:val="en-US" w:eastAsia="zh-CN" w:bidi="ar-SA"/>
        </w:rPr>
        <w:t>图2-</w:t>
      </w:r>
      <w:r>
        <w:rPr>
          <w:rFonts w:hint="eastAsia" w:ascii="Times New Roman" w:hAnsi="Times New Roman" w:eastAsia="黑体" w:cs="Times New Roman"/>
          <w:color w:val="auto"/>
          <w:kern w:val="2"/>
          <w:sz w:val="24"/>
          <w:szCs w:val="24"/>
          <w:highlight w:val="none"/>
          <w:lang w:val="en-US" w:eastAsia="zh-CN" w:bidi="ar-SA"/>
        </w:rPr>
        <w:t>2</w:t>
      </w:r>
      <w:r>
        <w:rPr>
          <w:rFonts w:hint="default" w:ascii="Times New Roman" w:hAnsi="Times New Roman" w:eastAsia="黑体" w:cs="Times New Roman"/>
          <w:color w:val="auto"/>
          <w:kern w:val="2"/>
          <w:sz w:val="24"/>
          <w:szCs w:val="24"/>
          <w:highlight w:val="none"/>
          <w:lang w:val="en-US" w:eastAsia="zh-CN" w:bidi="ar-SA"/>
        </w:rPr>
        <w:t xml:space="preserve"> </w:t>
      </w:r>
      <w:r>
        <w:rPr>
          <w:rFonts w:hint="eastAsia" w:ascii="Times New Roman" w:hAnsi="Times New Roman" w:eastAsia="黑体" w:cs="Times New Roman"/>
          <w:color w:val="auto"/>
          <w:kern w:val="2"/>
          <w:sz w:val="24"/>
          <w:szCs w:val="24"/>
          <w:highlight w:val="none"/>
          <w:lang w:val="en-US" w:eastAsia="zh-CN" w:bidi="ar-SA"/>
        </w:rPr>
        <w:t>建民乡</w:t>
      </w:r>
      <w:r>
        <w:rPr>
          <w:rFonts w:hint="default" w:ascii="Times New Roman" w:hAnsi="Times New Roman" w:eastAsia="黑体" w:cs="Times New Roman"/>
          <w:color w:val="auto"/>
          <w:kern w:val="2"/>
          <w:sz w:val="24"/>
          <w:szCs w:val="24"/>
          <w:highlight w:val="none"/>
          <w:lang w:val="en-US" w:eastAsia="zh-CN" w:bidi="ar-SA"/>
        </w:rPr>
        <w:t>水井</w:t>
      </w:r>
      <w:r>
        <w:rPr>
          <w:rFonts w:hint="eastAsia" w:ascii="Times New Roman" w:hAnsi="Times New Roman" w:eastAsia="黑体" w:cs="Times New Roman"/>
          <w:color w:val="auto"/>
          <w:kern w:val="2"/>
          <w:sz w:val="24"/>
          <w:szCs w:val="24"/>
          <w:highlight w:val="none"/>
          <w:lang w:val="en-US" w:eastAsia="zh-CN" w:bidi="ar-SA"/>
        </w:rPr>
        <w:t>及</w:t>
      </w:r>
      <w:r>
        <w:rPr>
          <w:rFonts w:hint="default" w:ascii="Times New Roman" w:hAnsi="Times New Roman" w:eastAsia="黑体" w:cs="Times New Roman"/>
          <w:color w:val="auto"/>
          <w:kern w:val="2"/>
          <w:sz w:val="24"/>
          <w:szCs w:val="24"/>
          <w:highlight w:val="none"/>
          <w:lang w:val="en-US" w:eastAsia="zh-CN" w:bidi="ar-SA"/>
        </w:rPr>
        <w:t>周边土地利用现状</w:t>
      </w:r>
      <w:r>
        <w:rPr>
          <w:rFonts w:hint="eastAsia" w:eastAsia="黑体" w:cs="Times New Roman"/>
          <w:color w:val="auto"/>
          <w:kern w:val="2"/>
          <w:sz w:val="24"/>
          <w:szCs w:val="24"/>
          <w:highlight w:val="none"/>
          <w:lang w:val="en-US" w:eastAsia="zh-CN" w:bidi="ar-SA"/>
        </w:rPr>
        <w:t>图</w:t>
      </w:r>
    </w:p>
    <w:p w14:paraId="6186601F">
      <w:pPr>
        <w:pStyle w:val="5"/>
        <w:bidi w:val="0"/>
        <w:ind w:firstLine="472" w:firstLineChars="200"/>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（3）绥化市庆安县同乐镇饮用水水源地</w:t>
      </w:r>
    </w:p>
    <w:p w14:paraId="4ABAC2DD">
      <w:pPr>
        <w:pStyle w:val="27"/>
        <w:spacing w:line="360" w:lineRule="auto"/>
        <w:ind w:firstLine="472" w:firstLineChars="200"/>
        <w:rPr>
          <w:rFonts w:hint="eastAsia" w:eastAsia="宋体"/>
          <w:color w:val="auto"/>
          <w:highlight w:val="none"/>
          <w:lang w:eastAsia="zh-CN"/>
        </w:rPr>
      </w:pPr>
      <w:r>
        <w:rPr>
          <w:rFonts w:hint="eastAsia" w:ascii="Times New Roman" w:hAnsi="Times New Roman" w:eastAsia="宋体" w:cs="Times New Roman"/>
          <w:color w:val="auto"/>
          <w:highlight w:val="none"/>
          <w:lang w:val="en-US" w:eastAsia="zh-CN"/>
        </w:rPr>
        <w:t>绥化市庆安县同乐镇</w:t>
      </w:r>
      <w:r>
        <w:rPr>
          <w:rFonts w:hint="eastAsia" w:ascii="Times New Roman" w:hAnsi="Times New Roman" w:eastAsia="宋体" w:cs="Times New Roman"/>
          <w:color w:val="auto"/>
          <w:highlight w:val="none"/>
        </w:rPr>
        <w:t>饮用水水源地取水井</w:t>
      </w:r>
      <w:r>
        <w:rPr>
          <w:rFonts w:hint="eastAsia" w:ascii="Times New Roman" w:cs="Times New Roman"/>
          <w:color w:val="auto"/>
          <w:highlight w:val="none"/>
          <w:lang w:eastAsia="zh-CN"/>
        </w:rPr>
        <w:t>周围主要</w:t>
      </w:r>
      <w:r>
        <w:rPr>
          <w:rFonts w:hint="eastAsia" w:ascii="Times New Roman" w:hAnsi="Times New Roman" w:eastAsia="宋体" w:cs="Times New Roman"/>
          <w:color w:val="auto"/>
          <w:highlight w:val="none"/>
        </w:rPr>
        <w:t>用地性质为</w:t>
      </w:r>
      <w:r>
        <w:rPr>
          <w:rFonts w:hint="eastAsia" w:ascii="Times New Roman" w:hAnsi="Times New Roman" w:eastAsia="宋体" w:cs="Times New Roman"/>
          <w:color w:val="auto"/>
          <w:highlight w:val="none"/>
          <w:lang w:eastAsia="zh-CN"/>
        </w:rPr>
        <w:t>乔木林地、旱地</w:t>
      </w:r>
      <w:r>
        <w:rPr>
          <w:rFonts w:hint="eastAsia" w:eastAsia="宋体" w:cs="Times New Roman"/>
          <w:color w:val="auto"/>
          <w:highlight w:val="none"/>
          <w:lang w:eastAsia="zh-CN"/>
        </w:rPr>
        <w:t>、农村宅基地等</w:t>
      </w:r>
      <w:r>
        <w:rPr>
          <w:rFonts w:hint="eastAsia" w:ascii="Times New Roman" w:cs="Times New Roman"/>
          <w:color w:val="auto"/>
          <w:highlight w:val="none"/>
          <w:lang w:eastAsia="zh-CN"/>
        </w:rPr>
        <w:t>。</w:t>
      </w:r>
    </w:p>
    <w:p w14:paraId="49560399">
      <w:pPr>
        <w:pStyle w:val="13"/>
        <w:spacing w:line="360" w:lineRule="auto"/>
        <w:jc w:val="center"/>
        <w:rPr>
          <w:rFonts w:hint="eastAsia" w:eastAsia="黑体" w:cs="Times New Roman"/>
          <w:color w:val="auto"/>
          <w:kern w:val="2"/>
          <w:sz w:val="24"/>
          <w:szCs w:val="24"/>
          <w:highlight w:val="none"/>
          <w:lang w:val="en-US" w:eastAsia="zh-CN" w:bidi="ar-SA"/>
        </w:rPr>
      </w:pPr>
      <w:r>
        <w:rPr>
          <w:rFonts w:hint="eastAsia" w:eastAsia="黑体" w:cs="Times New Roman"/>
          <w:color w:val="auto"/>
          <w:kern w:val="2"/>
          <w:sz w:val="24"/>
          <w:szCs w:val="24"/>
          <w:highlight w:val="none"/>
          <w:lang w:val="en-US" w:eastAsia="zh-CN" w:bidi="ar-SA"/>
        </w:rPr>
        <w:drawing>
          <wp:inline distT="0" distB="0" distL="114300" distR="114300">
            <wp:extent cx="6501130" cy="4596765"/>
            <wp:effectExtent l="0" t="0" r="13970" b="13335"/>
            <wp:docPr id="42" name="图片 42" descr="微信图片_2026-01-30_135642_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微信图片_2026-01-30_135642_938"/>
                    <pic:cNvPicPr>
                      <a:picLocks noChangeAspect="1"/>
                    </pic:cNvPicPr>
                  </pic:nvPicPr>
                  <pic:blipFill>
                    <a:blip r:embed="rId22"/>
                    <a:stretch>
                      <a:fillRect/>
                    </a:stretch>
                  </pic:blipFill>
                  <pic:spPr>
                    <a:xfrm>
                      <a:off x="0" y="0"/>
                      <a:ext cx="6501130" cy="4596765"/>
                    </a:xfrm>
                    <a:prstGeom prst="rect">
                      <a:avLst/>
                    </a:prstGeom>
                  </pic:spPr>
                </pic:pic>
              </a:graphicData>
            </a:graphic>
          </wp:inline>
        </w:drawing>
      </w:r>
    </w:p>
    <w:p w14:paraId="1A7D1A12">
      <w:pPr>
        <w:pStyle w:val="13"/>
        <w:spacing w:line="360" w:lineRule="auto"/>
        <w:jc w:val="center"/>
        <w:rPr>
          <w:rFonts w:hint="eastAsia" w:eastAsia="黑体" w:cs="Times New Roman"/>
          <w:color w:val="auto"/>
          <w:kern w:val="2"/>
          <w:sz w:val="24"/>
          <w:szCs w:val="24"/>
          <w:highlight w:val="none"/>
          <w:lang w:val="en-US" w:eastAsia="zh-CN" w:bidi="ar-SA"/>
        </w:rPr>
      </w:pPr>
      <w:r>
        <w:rPr>
          <w:rFonts w:hint="default" w:ascii="Times New Roman" w:hAnsi="Times New Roman" w:eastAsia="黑体" w:cs="Times New Roman"/>
          <w:color w:val="auto"/>
          <w:kern w:val="2"/>
          <w:sz w:val="24"/>
          <w:szCs w:val="24"/>
          <w:highlight w:val="none"/>
          <w:lang w:val="en-US" w:eastAsia="zh-CN" w:bidi="ar-SA"/>
        </w:rPr>
        <w:t>图2</w:t>
      </w:r>
      <w:r>
        <w:rPr>
          <w:rFonts w:hint="eastAsia" w:eastAsia="黑体" w:cs="Times New Roman"/>
          <w:color w:val="auto"/>
          <w:kern w:val="2"/>
          <w:sz w:val="24"/>
          <w:szCs w:val="24"/>
          <w:highlight w:val="none"/>
          <w:lang w:val="en-US" w:eastAsia="zh-CN" w:bidi="ar-SA"/>
        </w:rPr>
        <w:t>-3 同乐镇</w:t>
      </w:r>
      <w:r>
        <w:rPr>
          <w:rFonts w:hint="default" w:ascii="Times New Roman" w:hAnsi="Times New Roman" w:eastAsia="黑体" w:cs="Times New Roman"/>
          <w:color w:val="auto"/>
          <w:kern w:val="2"/>
          <w:sz w:val="24"/>
          <w:szCs w:val="24"/>
          <w:highlight w:val="none"/>
          <w:lang w:val="en-US" w:eastAsia="zh-CN" w:bidi="ar-SA"/>
        </w:rPr>
        <w:t>水井</w:t>
      </w:r>
      <w:r>
        <w:rPr>
          <w:rFonts w:hint="eastAsia" w:ascii="Times New Roman" w:hAnsi="Times New Roman" w:eastAsia="黑体" w:cs="Times New Roman"/>
          <w:color w:val="auto"/>
          <w:kern w:val="2"/>
          <w:sz w:val="24"/>
          <w:szCs w:val="24"/>
          <w:highlight w:val="none"/>
          <w:lang w:val="en-US" w:eastAsia="zh-CN" w:bidi="ar-SA"/>
        </w:rPr>
        <w:t>及</w:t>
      </w:r>
      <w:r>
        <w:rPr>
          <w:rFonts w:hint="default" w:ascii="Times New Roman" w:hAnsi="Times New Roman" w:eastAsia="黑体" w:cs="Times New Roman"/>
          <w:color w:val="auto"/>
          <w:kern w:val="2"/>
          <w:sz w:val="24"/>
          <w:szCs w:val="24"/>
          <w:highlight w:val="none"/>
          <w:lang w:val="en-US" w:eastAsia="zh-CN" w:bidi="ar-SA"/>
        </w:rPr>
        <w:t>周边土地利用现状</w:t>
      </w:r>
      <w:r>
        <w:rPr>
          <w:rFonts w:hint="eastAsia" w:eastAsia="黑体" w:cs="Times New Roman"/>
          <w:color w:val="auto"/>
          <w:kern w:val="2"/>
          <w:sz w:val="24"/>
          <w:szCs w:val="24"/>
          <w:highlight w:val="none"/>
          <w:lang w:val="en-US" w:eastAsia="zh-CN" w:bidi="ar-SA"/>
        </w:rPr>
        <w:t>图</w:t>
      </w:r>
    </w:p>
    <w:p w14:paraId="49C5498A">
      <w:pPr>
        <w:pStyle w:val="5"/>
        <w:bidi w:val="0"/>
        <w:ind w:firstLine="472" w:firstLineChars="200"/>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（4）绥化市庆安县柳河镇饮用水水源地</w:t>
      </w:r>
    </w:p>
    <w:p w14:paraId="68F87CA6">
      <w:pPr>
        <w:spacing w:line="360" w:lineRule="auto"/>
        <w:ind w:firstLine="470"/>
        <w:rPr>
          <w:rFonts w:hint="eastAsia" w:ascii="Times New Roman" w:hAnsi="Times New Roman" w:eastAsia="宋体" w:cs="Times New Roman"/>
          <w:color w:val="auto"/>
          <w:highlight w:val="none"/>
        </w:rPr>
      </w:pPr>
      <w:r>
        <w:rPr>
          <w:rFonts w:hint="eastAsia" w:ascii="Times New Roman" w:hAnsi="Times New Roman" w:eastAsia="宋体" w:cs="Times New Roman"/>
          <w:color w:val="auto"/>
          <w:highlight w:val="none"/>
          <w:lang w:val="en-US" w:eastAsia="zh-CN"/>
        </w:rPr>
        <w:t>绥化市庆安县柳河镇</w:t>
      </w:r>
      <w:r>
        <w:rPr>
          <w:rFonts w:hint="eastAsia" w:ascii="Times New Roman" w:hAnsi="Times New Roman" w:eastAsia="宋体" w:cs="Times New Roman"/>
          <w:color w:val="auto"/>
          <w:highlight w:val="none"/>
        </w:rPr>
        <w:t>饮用水水源地取水井</w:t>
      </w:r>
      <w:r>
        <w:rPr>
          <w:rFonts w:hint="eastAsia" w:cs="Times New Roman"/>
          <w:color w:val="auto"/>
          <w:highlight w:val="none"/>
          <w:lang w:eastAsia="zh-CN"/>
        </w:rPr>
        <w:t>周围主要</w:t>
      </w:r>
      <w:r>
        <w:rPr>
          <w:rFonts w:hint="eastAsia" w:ascii="Times New Roman" w:hAnsi="Times New Roman" w:eastAsia="宋体" w:cs="Times New Roman"/>
          <w:color w:val="auto"/>
          <w:highlight w:val="none"/>
        </w:rPr>
        <w:t>用地性质为</w:t>
      </w:r>
      <w:r>
        <w:rPr>
          <w:rFonts w:hint="eastAsia" w:ascii="Times New Roman" w:hAnsi="Times New Roman" w:eastAsia="宋体" w:cs="Times New Roman"/>
          <w:color w:val="auto"/>
          <w:highlight w:val="none"/>
          <w:lang w:eastAsia="zh-CN"/>
        </w:rPr>
        <w:t>乔木林地、旱地</w:t>
      </w:r>
      <w:r>
        <w:rPr>
          <w:rFonts w:hint="eastAsia" w:eastAsia="宋体" w:cs="Times New Roman"/>
          <w:color w:val="auto"/>
          <w:highlight w:val="none"/>
          <w:lang w:eastAsia="zh-CN"/>
        </w:rPr>
        <w:t>、农村宅基地等</w:t>
      </w:r>
      <w:r>
        <w:rPr>
          <w:rFonts w:hint="eastAsia" w:ascii="Times New Roman" w:hAnsi="Times New Roman" w:eastAsia="宋体" w:cs="Times New Roman"/>
          <w:color w:val="auto"/>
          <w:highlight w:val="none"/>
        </w:rPr>
        <w:t>；</w:t>
      </w:r>
    </w:p>
    <w:p w14:paraId="2071BF00">
      <w:pPr>
        <w:pStyle w:val="13"/>
        <w:spacing w:line="360" w:lineRule="auto"/>
        <w:jc w:val="center"/>
        <w:rPr>
          <w:rFonts w:hint="eastAsia" w:eastAsia="黑体" w:cs="Times New Roman"/>
          <w:color w:val="auto"/>
          <w:kern w:val="2"/>
          <w:sz w:val="24"/>
          <w:szCs w:val="24"/>
          <w:highlight w:val="none"/>
          <w:lang w:val="en-US" w:eastAsia="zh-CN" w:bidi="ar-SA"/>
        </w:rPr>
      </w:pPr>
      <w:r>
        <w:rPr>
          <w:rFonts w:hint="eastAsia" w:eastAsia="黑体" w:cs="Times New Roman"/>
          <w:color w:val="auto"/>
          <w:kern w:val="2"/>
          <w:sz w:val="24"/>
          <w:szCs w:val="24"/>
          <w:highlight w:val="none"/>
          <w:lang w:val="en-US" w:eastAsia="zh-CN" w:bidi="ar-SA"/>
        </w:rPr>
        <w:drawing>
          <wp:inline distT="0" distB="0" distL="114300" distR="114300">
            <wp:extent cx="6454140" cy="4563745"/>
            <wp:effectExtent l="0" t="0" r="3810" b="8255"/>
            <wp:docPr id="57" name="图片 57" descr="柳河镇土地利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柳河镇土地利用"/>
                    <pic:cNvPicPr>
                      <a:picLocks noChangeAspect="1"/>
                    </pic:cNvPicPr>
                  </pic:nvPicPr>
                  <pic:blipFill>
                    <a:blip r:embed="rId23"/>
                    <a:stretch>
                      <a:fillRect/>
                    </a:stretch>
                  </pic:blipFill>
                  <pic:spPr>
                    <a:xfrm>
                      <a:off x="0" y="0"/>
                      <a:ext cx="6454140" cy="4563745"/>
                    </a:xfrm>
                    <a:prstGeom prst="rect">
                      <a:avLst/>
                    </a:prstGeom>
                  </pic:spPr>
                </pic:pic>
              </a:graphicData>
            </a:graphic>
          </wp:inline>
        </w:drawing>
      </w:r>
    </w:p>
    <w:p w14:paraId="7763EA64">
      <w:pPr>
        <w:pStyle w:val="13"/>
        <w:spacing w:line="360" w:lineRule="auto"/>
        <w:jc w:val="center"/>
        <w:rPr>
          <w:rFonts w:hint="eastAsia" w:eastAsia="黑体" w:cs="Times New Roman"/>
          <w:color w:val="auto"/>
          <w:kern w:val="2"/>
          <w:sz w:val="24"/>
          <w:szCs w:val="24"/>
          <w:highlight w:val="none"/>
          <w:lang w:val="en-US" w:eastAsia="zh-CN" w:bidi="ar-SA"/>
        </w:rPr>
      </w:pPr>
      <w:r>
        <w:rPr>
          <w:rFonts w:hint="default" w:ascii="Times New Roman" w:hAnsi="Times New Roman" w:eastAsia="黑体" w:cs="Times New Roman"/>
          <w:color w:val="auto"/>
          <w:kern w:val="2"/>
          <w:sz w:val="24"/>
          <w:szCs w:val="24"/>
          <w:highlight w:val="none"/>
          <w:lang w:val="en-US" w:eastAsia="zh-CN" w:bidi="ar-SA"/>
        </w:rPr>
        <w:t>图2-</w:t>
      </w:r>
      <w:r>
        <w:rPr>
          <w:rFonts w:hint="eastAsia" w:eastAsia="黑体" w:cs="Times New Roman"/>
          <w:color w:val="auto"/>
          <w:kern w:val="2"/>
          <w:sz w:val="24"/>
          <w:szCs w:val="24"/>
          <w:highlight w:val="none"/>
          <w:lang w:val="en-US" w:eastAsia="zh-CN" w:bidi="ar-SA"/>
        </w:rPr>
        <w:t>4</w:t>
      </w:r>
      <w:r>
        <w:rPr>
          <w:rFonts w:hint="default" w:ascii="Times New Roman" w:hAnsi="Times New Roman" w:eastAsia="黑体" w:cs="Times New Roman"/>
          <w:color w:val="auto"/>
          <w:kern w:val="2"/>
          <w:sz w:val="24"/>
          <w:szCs w:val="24"/>
          <w:highlight w:val="none"/>
          <w:lang w:val="en-US" w:eastAsia="zh-CN" w:bidi="ar-SA"/>
        </w:rPr>
        <w:t xml:space="preserve"> </w:t>
      </w:r>
      <w:r>
        <w:rPr>
          <w:rFonts w:hint="eastAsia" w:eastAsia="黑体" w:cs="Times New Roman"/>
          <w:color w:val="auto"/>
          <w:kern w:val="2"/>
          <w:sz w:val="24"/>
          <w:szCs w:val="24"/>
          <w:highlight w:val="none"/>
          <w:lang w:val="en-US" w:eastAsia="zh-CN" w:bidi="ar-SA"/>
        </w:rPr>
        <w:t>柳河镇</w:t>
      </w:r>
      <w:r>
        <w:rPr>
          <w:rFonts w:hint="default" w:ascii="Times New Roman" w:hAnsi="Times New Roman" w:eastAsia="黑体" w:cs="Times New Roman"/>
          <w:color w:val="auto"/>
          <w:kern w:val="2"/>
          <w:sz w:val="24"/>
          <w:szCs w:val="24"/>
          <w:highlight w:val="none"/>
          <w:lang w:val="en-US" w:eastAsia="zh-CN" w:bidi="ar-SA"/>
        </w:rPr>
        <w:t>水井</w:t>
      </w:r>
      <w:r>
        <w:rPr>
          <w:rFonts w:hint="eastAsia" w:ascii="Times New Roman" w:hAnsi="Times New Roman" w:eastAsia="黑体" w:cs="Times New Roman"/>
          <w:color w:val="auto"/>
          <w:kern w:val="2"/>
          <w:sz w:val="24"/>
          <w:szCs w:val="24"/>
          <w:highlight w:val="none"/>
          <w:lang w:val="en-US" w:eastAsia="zh-CN" w:bidi="ar-SA"/>
        </w:rPr>
        <w:t>及</w:t>
      </w:r>
      <w:r>
        <w:rPr>
          <w:rFonts w:hint="default" w:ascii="Times New Roman" w:hAnsi="Times New Roman" w:eastAsia="黑体" w:cs="Times New Roman"/>
          <w:color w:val="auto"/>
          <w:kern w:val="2"/>
          <w:sz w:val="24"/>
          <w:szCs w:val="24"/>
          <w:highlight w:val="none"/>
          <w:lang w:val="en-US" w:eastAsia="zh-CN" w:bidi="ar-SA"/>
        </w:rPr>
        <w:t>周边土地利用现状</w:t>
      </w:r>
      <w:r>
        <w:rPr>
          <w:rFonts w:hint="eastAsia" w:eastAsia="黑体" w:cs="Times New Roman"/>
          <w:color w:val="auto"/>
          <w:kern w:val="2"/>
          <w:sz w:val="24"/>
          <w:szCs w:val="24"/>
          <w:highlight w:val="none"/>
          <w:lang w:val="en-US" w:eastAsia="zh-CN" w:bidi="ar-SA"/>
        </w:rPr>
        <w:t>图</w:t>
      </w:r>
    </w:p>
    <w:p w14:paraId="5C2A5786">
      <w:pPr>
        <w:pStyle w:val="5"/>
        <w:bidi w:val="0"/>
        <w:ind w:firstLine="472" w:firstLineChars="200"/>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（5）绥化市庆安县柳河镇新强村饮用水水源地</w:t>
      </w:r>
    </w:p>
    <w:p w14:paraId="0179FE95">
      <w:pPr>
        <w:spacing w:line="360" w:lineRule="auto"/>
        <w:ind w:firstLine="470"/>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val="en-US" w:eastAsia="zh-CN"/>
        </w:rPr>
        <w:t>绥化市庆安县柳河镇新强村</w:t>
      </w:r>
      <w:r>
        <w:rPr>
          <w:rFonts w:hint="eastAsia" w:ascii="Times New Roman" w:hAnsi="Times New Roman" w:eastAsia="宋体" w:cs="Times New Roman"/>
          <w:color w:val="auto"/>
          <w:highlight w:val="none"/>
        </w:rPr>
        <w:t>饮用水水源地取水井</w:t>
      </w:r>
      <w:r>
        <w:rPr>
          <w:rFonts w:hint="eastAsia" w:cs="Times New Roman"/>
          <w:color w:val="auto"/>
          <w:highlight w:val="none"/>
          <w:lang w:eastAsia="zh-CN"/>
        </w:rPr>
        <w:t>周围主要</w:t>
      </w:r>
      <w:r>
        <w:rPr>
          <w:rFonts w:hint="eastAsia" w:ascii="Times New Roman" w:hAnsi="Times New Roman" w:eastAsia="宋体" w:cs="Times New Roman"/>
          <w:color w:val="auto"/>
          <w:highlight w:val="none"/>
        </w:rPr>
        <w:t>用地性质为</w:t>
      </w:r>
      <w:r>
        <w:rPr>
          <w:rFonts w:hint="eastAsia" w:ascii="Times New Roman" w:hAnsi="Times New Roman" w:eastAsia="宋体" w:cs="Times New Roman"/>
          <w:color w:val="auto"/>
          <w:highlight w:val="none"/>
          <w:lang w:eastAsia="zh-CN"/>
        </w:rPr>
        <w:t>乔木林地、</w:t>
      </w:r>
      <w:r>
        <w:rPr>
          <w:rFonts w:hint="eastAsia" w:eastAsia="宋体" w:cs="Times New Roman"/>
          <w:color w:val="auto"/>
          <w:highlight w:val="none"/>
          <w:lang w:eastAsia="zh-CN"/>
        </w:rPr>
        <w:t>水田、农村宅基地等</w:t>
      </w:r>
      <w:r>
        <w:rPr>
          <w:rFonts w:hint="eastAsia" w:cs="Times New Roman"/>
          <w:color w:val="auto"/>
          <w:highlight w:val="none"/>
          <w:lang w:eastAsia="zh-CN"/>
        </w:rPr>
        <w:t>。</w:t>
      </w:r>
    </w:p>
    <w:p w14:paraId="55A3988C">
      <w:pPr>
        <w:pStyle w:val="13"/>
        <w:spacing w:line="360" w:lineRule="auto"/>
        <w:jc w:val="center"/>
        <w:rPr>
          <w:rFonts w:hint="eastAsia" w:eastAsia="黑体" w:cs="Times New Roman"/>
          <w:color w:val="auto"/>
          <w:kern w:val="2"/>
          <w:sz w:val="24"/>
          <w:szCs w:val="24"/>
          <w:highlight w:val="none"/>
          <w:lang w:val="en-US" w:eastAsia="zh-CN" w:bidi="ar-SA"/>
        </w:rPr>
      </w:pPr>
      <w:r>
        <w:rPr>
          <w:rFonts w:hint="eastAsia" w:eastAsia="黑体" w:cs="Times New Roman"/>
          <w:color w:val="auto"/>
          <w:kern w:val="2"/>
          <w:sz w:val="24"/>
          <w:szCs w:val="24"/>
          <w:highlight w:val="none"/>
          <w:lang w:val="en-US" w:eastAsia="zh-CN" w:bidi="ar-SA"/>
        </w:rPr>
        <w:drawing>
          <wp:inline distT="0" distB="0" distL="114300" distR="114300">
            <wp:extent cx="6468110" cy="4573905"/>
            <wp:effectExtent l="0" t="0" r="8890" b="17145"/>
            <wp:docPr id="58" name="图片 58" descr="柳河镇新强村土地利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柳河镇新强村土地利用"/>
                    <pic:cNvPicPr>
                      <a:picLocks noChangeAspect="1"/>
                    </pic:cNvPicPr>
                  </pic:nvPicPr>
                  <pic:blipFill>
                    <a:blip r:embed="rId24"/>
                    <a:stretch>
                      <a:fillRect/>
                    </a:stretch>
                  </pic:blipFill>
                  <pic:spPr>
                    <a:xfrm>
                      <a:off x="0" y="0"/>
                      <a:ext cx="6468110" cy="4573905"/>
                    </a:xfrm>
                    <a:prstGeom prst="rect">
                      <a:avLst/>
                    </a:prstGeom>
                  </pic:spPr>
                </pic:pic>
              </a:graphicData>
            </a:graphic>
          </wp:inline>
        </w:drawing>
      </w:r>
    </w:p>
    <w:p w14:paraId="3A54777B">
      <w:pPr>
        <w:pStyle w:val="13"/>
        <w:spacing w:line="360" w:lineRule="auto"/>
        <w:jc w:val="center"/>
        <w:rPr>
          <w:rFonts w:hint="eastAsia" w:eastAsia="黑体" w:cs="Times New Roman"/>
          <w:color w:val="auto"/>
          <w:kern w:val="2"/>
          <w:sz w:val="24"/>
          <w:szCs w:val="24"/>
          <w:highlight w:val="none"/>
          <w:lang w:val="en-US" w:eastAsia="zh-CN" w:bidi="ar-SA"/>
        </w:rPr>
      </w:pPr>
      <w:r>
        <w:rPr>
          <w:rFonts w:hint="default" w:ascii="Times New Roman" w:hAnsi="Times New Roman" w:eastAsia="黑体" w:cs="Times New Roman"/>
          <w:color w:val="auto"/>
          <w:kern w:val="2"/>
          <w:sz w:val="24"/>
          <w:szCs w:val="24"/>
          <w:highlight w:val="none"/>
          <w:lang w:val="en-US" w:eastAsia="zh-CN" w:bidi="ar-SA"/>
        </w:rPr>
        <w:t>图2-</w:t>
      </w:r>
      <w:r>
        <w:rPr>
          <w:rFonts w:hint="eastAsia" w:eastAsia="黑体" w:cs="Times New Roman"/>
          <w:color w:val="auto"/>
          <w:kern w:val="2"/>
          <w:sz w:val="24"/>
          <w:szCs w:val="24"/>
          <w:highlight w:val="none"/>
          <w:lang w:val="en-US" w:eastAsia="zh-CN" w:bidi="ar-SA"/>
        </w:rPr>
        <w:t>5</w:t>
      </w:r>
      <w:r>
        <w:rPr>
          <w:rFonts w:hint="default" w:ascii="Times New Roman" w:hAnsi="Times New Roman" w:eastAsia="黑体" w:cs="Times New Roman"/>
          <w:color w:val="auto"/>
          <w:kern w:val="2"/>
          <w:sz w:val="24"/>
          <w:szCs w:val="24"/>
          <w:highlight w:val="none"/>
          <w:lang w:val="en-US" w:eastAsia="zh-CN" w:bidi="ar-SA"/>
        </w:rPr>
        <w:t xml:space="preserve"> </w:t>
      </w:r>
      <w:r>
        <w:rPr>
          <w:rFonts w:hint="eastAsia" w:eastAsia="黑体" w:cs="Times New Roman"/>
          <w:color w:val="auto"/>
          <w:kern w:val="2"/>
          <w:sz w:val="24"/>
          <w:szCs w:val="24"/>
          <w:highlight w:val="none"/>
          <w:lang w:val="en-US" w:eastAsia="zh-CN" w:bidi="ar-SA"/>
        </w:rPr>
        <w:t>柳河镇新强村</w:t>
      </w:r>
      <w:r>
        <w:rPr>
          <w:rFonts w:hint="default" w:ascii="Times New Roman" w:hAnsi="Times New Roman" w:eastAsia="黑体" w:cs="Times New Roman"/>
          <w:color w:val="auto"/>
          <w:kern w:val="2"/>
          <w:sz w:val="24"/>
          <w:szCs w:val="24"/>
          <w:highlight w:val="none"/>
          <w:lang w:val="en-US" w:eastAsia="zh-CN" w:bidi="ar-SA"/>
        </w:rPr>
        <w:t>水井</w:t>
      </w:r>
      <w:r>
        <w:rPr>
          <w:rFonts w:hint="eastAsia" w:ascii="Times New Roman" w:hAnsi="Times New Roman" w:eastAsia="黑体" w:cs="Times New Roman"/>
          <w:color w:val="auto"/>
          <w:kern w:val="2"/>
          <w:sz w:val="24"/>
          <w:szCs w:val="24"/>
          <w:highlight w:val="none"/>
          <w:lang w:val="en-US" w:eastAsia="zh-CN" w:bidi="ar-SA"/>
        </w:rPr>
        <w:t>及</w:t>
      </w:r>
      <w:r>
        <w:rPr>
          <w:rFonts w:hint="default" w:ascii="Times New Roman" w:hAnsi="Times New Roman" w:eastAsia="黑体" w:cs="Times New Roman"/>
          <w:color w:val="auto"/>
          <w:kern w:val="2"/>
          <w:sz w:val="24"/>
          <w:szCs w:val="24"/>
          <w:highlight w:val="none"/>
          <w:lang w:val="en-US" w:eastAsia="zh-CN" w:bidi="ar-SA"/>
        </w:rPr>
        <w:t>周边土地利用现状</w:t>
      </w:r>
      <w:r>
        <w:rPr>
          <w:rFonts w:hint="eastAsia" w:eastAsia="黑体" w:cs="Times New Roman"/>
          <w:color w:val="auto"/>
          <w:kern w:val="2"/>
          <w:sz w:val="24"/>
          <w:szCs w:val="24"/>
          <w:highlight w:val="none"/>
          <w:lang w:val="en-US" w:eastAsia="zh-CN" w:bidi="ar-SA"/>
        </w:rPr>
        <w:t>图</w:t>
      </w:r>
    </w:p>
    <w:p w14:paraId="400F79EF">
      <w:pPr>
        <w:pStyle w:val="5"/>
        <w:bidi w:val="0"/>
        <w:ind w:firstLine="472" w:firstLineChars="200"/>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（6）绥化市庆安县丰收乡饮用水水源地</w:t>
      </w:r>
    </w:p>
    <w:p w14:paraId="66F0A3B7">
      <w:pPr>
        <w:spacing w:line="360" w:lineRule="auto"/>
        <w:ind w:firstLine="470"/>
        <w:rPr>
          <w:rFonts w:hint="eastAsia" w:ascii="Times New Roman" w:hAnsi="Times New Roman" w:eastAsia="宋体" w:cs="Times New Roman"/>
          <w:color w:val="auto"/>
          <w:highlight w:val="none"/>
        </w:rPr>
      </w:pPr>
      <w:r>
        <w:rPr>
          <w:rFonts w:hint="eastAsia" w:ascii="Times New Roman" w:hAnsi="Times New Roman" w:eastAsia="宋体" w:cs="Times New Roman"/>
          <w:color w:val="auto"/>
          <w:highlight w:val="none"/>
          <w:lang w:val="en-US" w:eastAsia="zh-CN"/>
        </w:rPr>
        <w:t>绥化市庆安县丰收乡</w:t>
      </w:r>
      <w:r>
        <w:rPr>
          <w:rFonts w:hint="eastAsia" w:ascii="Times New Roman" w:hAnsi="Times New Roman" w:eastAsia="宋体" w:cs="Times New Roman"/>
          <w:color w:val="auto"/>
          <w:highlight w:val="none"/>
        </w:rPr>
        <w:t>饮用水水源地取水井</w:t>
      </w:r>
      <w:r>
        <w:rPr>
          <w:rFonts w:hint="eastAsia" w:cs="Times New Roman"/>
          <w:color w:val="auto"/>
          <w:highlight w:val="none"/>
          <w:lang w:eastAsia="zh-CN"/>
        </w:rPr>
        <w:t>周围主要</w:t>
      </w:r>
      <w:r>
        <w:rPr>
          <w:rFonts w:hint="eastAsia" w:ascii="Times New Roman" w:hAnsi="Times New Roman" w:eastAsia="宋体" w:cs="Times New Roman"/>
          <w:color w:val="auto"/>
          <w:highlight w:val="none"/>
        </w:rPr>
        <w:t>用地性质为</w:t>
      </w:r>
      <w:r>
        <w:rPr>
          <w:rFonts w:hint="eastAsia" w:ascii="Times New Roman" w:hAnsi="Times New Roman" w:eastAsia="宋体" w:cs="Times New Roman"/>
          <w:color w:val="auto"/>
          <w:kern w:val="2"/>
          <w:sz w:val="24"/>
          <w:szCs w:val="24"/>
          <w:highlight w:val="none"/>
          <w:lang w:val="en-US" w:eastAsia="zh-CN" w:bidi="ar-SA"/>
        </w:rPr>
        <w:t>乔木林地、水田、农村宅基地等</w:t>
      </w:r>
      <w:r>
        <w:rPr>
          <w:rFonts w:hint="eastAsia" w:cs="Times New Roman"/>
          <w:color w:val="auto"/>
          <w:kern w:val="2"/>
          <w:sz w:val="24"/>
          <w:szCs w:val="24"/>
          <w:highlight w:val="none"/>
          <w:lang w:val="en-US" w:eastAsia="zh-CN" w:bidi="ar-SA"/>
        </w:rPr>
        <w:t>。</w:t>
      </w:r>
    </w:p>
    <w:p w14:paraId="3E4E3524">
      <w:pPr>
        <w:pStyle w:val="13"/>
        <w:spacing w:line="360" w:lineRule="auto"/>
        <w:jc w:val="center"/>
        <w:rPr>
          <w:rFonts w:hint="eastAsia" w:eastAsia="黑体" w:cs="Times New Roman"/>
          <w:color w:val="auto"/>
          <w:kern w:val="2"/>
          <w:sz w:val="24"/>
          <w:szCs w:val="24"/>
          <w:highlight w:val="none"/>
          <w:lang w:val="en-US" w:eastAsia="zh-CN" w:bidi="ar-SA"/>
        </w:rPr>
      </w:pPr>
      <w:r>
        <w:rPr>
          <w:rFonts w:hint="eastAsia" w:eastAsia="黑体" w:cs="Times New Roman"/>
          <w:color w:val="auto"/>
          <w:kern w:val="2"/>
          <w:sz w:val="24"/>
          <w:szCs w:val="24"/>
          <w:highlight w:val="none"/>
          <w:lang w:val="en-US" w:eastAsia="zh-CN" w:bidi="ar-SA"/>
        </w:rPr>
        <w:drawing>
          <wp:inline distT="0" distB="0" distL="114300" distR="114300">
            <wp:extent cx="6499860" cy="4595495"/>
            <wp:effectExtent l="0" t="0" r="15240" b="14605"/>
            <wp:docPr id="59" name="图片 59" descr="丰收乡土地利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丰收乡土地利用"/>
                    <pic:cNvPicPr>
                      <a:picLocks noChangeAspect="1"/>
                    </pic:cNvPicPr>
                  </pic:nvPicPr>
                  <pic:blipFill>
                    <a:blip r:embed="rId25"/>
                    <a:stretch>
                      <a:fillRect/>
                    </a:stretch>
                  </pic:blipFill>
                  <pic:spPr>
                    <a:xfrm>
                      <a:off x="0" y="0"/>
                      <a:ext cx="6499860" cy="4595495"/>
                    </a:xfrm>
                    <a:prstGeom prst="rect">
                      <a:avLst/>
                    </a:prstGeom>
                  </pic:spPr>
                </pic:pic>
              </a:graphicData>
            </a:graphic>
          </wp:inline>
        </w:drawing>
      </w:r>
    </w:p>
    <w:p w14:paraId="19E40859">
      <w:pPr>
        <w:pStyle w:val="13"/>
        <w:spacing w:line="360" w:lineRule="auto"/>
        <w:jc w:val="center"/>
        <w:rPr>
          <w:rFonts w:hint="eastAsia" w:eastAsia="黑体" w:cs="Times New Roman"/>
          <w:color w:val="auto"/>
          <w:kern w:val="2"/>
          <w:sz w:val="24"/>
          <w:szCs w:val="24"/>
          <w:highlight w:val="none"/>
          <w:lang w:val="en-US" w:eastAsia="zh-CN" w:bidi="ar-SA"/>
        </w:rPr>
      </w:pPr>
      <w:r>
        <w:rPr>
          <w:rFonts w:hint="default" w:ascii="Times New Roman" w:hAnsi="Times New Roman" w:eastAsia="黑体" w:cs="Times New Roman"/>
          <w:color w:val="auto"/>
          <w:kern w:val="2"/>
          <w:sz w:val="24"/>
          <w:szCs w:val="24"/>
          <w:highlight w:val="none"/>
          <w:lang w:val="en-US" w:eastAsia="zh-CN" w:bidi="ar-SA"/>
        </w:rPr>
        <w:t>图2-</w:t>
      </w:r>
      <w:r>
        <w:rPr>
          <w:rFonts w:hint="eastAsia" w:eastAsia="黑体" w:cs="Times New Roman"/>
          <w:color w:val="auto"/>
          <w:kern w:val="2"/>
          <w:sz w:val="24"/>
          <w:szCs w:val="24"/>
          <w:highlight w:val="none"/>
          <w:lang w:val="en-US" w:eastAsia="zh-CN" w:bidi="ar-SA"/>
        </w:rPr>
        <w:t>6</w:t>
      </w:r>
      <w:r>
        <w:rPr>
          <w:rFonts w:hint="default" w:ascii="Times New Roman" w:hAnsi="Times New Roman" w:eastAsia="黑体" w:cs="Times New Roman"/>
          <w:color w:val="auto"/>
          <w:kern w:val="2"/>
          <w:sz w:val="24"/>
          <w:szCs w:val="24"/>
          <w:highlight w:val="none"/>
          <w:lang w:val="en-US" w:eastAsia="zh-CN" w:bidi="ar-SA"/>
        </w:rPr>
        <w:t xml:space="preserve"> </w:t>
      </w:r>
      <w:r>
        <w:rPr>
          <w:rFonts w:hint="eastAsia" w:eastAsia="黑体" w:cs="Times New Roman"/>
          <w:color w:val="auto"/>
          <w:kern w:val="2"/>
          <w:sz w:val="24"/>
          <w:szCs w:val="24"/>
          <w:highlight w:val="none"/>
          <w:lang w:val="en-US" w:eastAsia="zh-CN" w:bidi="ar-SA"/>
        </w:rPr>
        <w:t>丰收乡</w:t>
      </w:r>
      <w:r>
        <w:rPr>
          <w:rFonts w:hint="default" w:ascii="Times New Roman" w:hAnsi="Times New Roman" w:eastAsia="黑体" w:cs="Times New Roman"/>
          <w:color w:val="auto"/>
          <w:kern w:val="2"/>
          <w:sz w:val="24"/>
          <w:szCs w:val="24"/>
          <w:highlight w:val="none"/>
          <w:lang w:val="en-US" w:eastAsia="zh-CN" w:bidi="ar-SA"/>
        </w:rPr>
        <w:t>水井</w:t>
      </w:r>
      <w:r>
        <w:rPr>
          <w:rFonts w:hint="eastAsia" w:ascii="Times New Roman" w:hAnsi="Times New Roman" w:eastAsia="黑体" w:cs="Times New Roman"/>
          <w:color w:val="auto"/>
          <w:kern w:val="2"/>
          <w:sz w:val="24"/>
          <w:szCs w:val="24"/>
          <w:highlight w:val="none"/>
          <w:lang w:val="en-US" w:eastAsia="zh-CN" w:bidi="ar-SA"/>
        </w:rPr>
        <w:t>及</w:t>
      </w:r>
      <w:r>
        <w:rPr>
          <w:rFonts w:hint="default" w:ascii="Times New Roman" w:hAnsi="Times New Roman" w:eastAsia="黑体" w:cs="Times New Roman"/>
          <w:color w:val="auto"/>
          <w:kern w:val="2"/>
          <w:sz w:val="24"/>
          <w:szCs w:val="24"/>
          <w:highlight w:val="none"/>
          <w:lang w:val="en-US" w:eastAsia="zh-CN" w:bidi="ar-SA"/>
        </w:rPr>
        <w:t>周边土地利用现状</w:t>
      </w:r>
      <w:r>
        <w:rPr>
          <w:rFonts w:hint="eastAsia" w:eastAsia="黑体" w:cs="Times New Roman"/>
          <w:color w:val="auto"/>
          <w:kern w:val="2"/>
          <w:sz w:val="24"/>
          <w:szCs w:val="24"/>
          <w:highlight w:val="none"/>
          <w:lang w:val="en-US" w:eastAsia="zh-CN" w:bidi="ar-SA"/>
        </w:rPr>
        <w:t>图</w:t>
      </w:r>
    </w:p>
    <w:p w14:paraId="7D2F8AD0">
      <w:pPr>
        <w:pStyle w:val="5"/>
        <w:bidi w:val="0"/>
        <w:ind w:firstLine="472" w:firstLineChars="200"/>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（7）绥化市庆安县平安镇饮用水水源地</w:t>
      </w:r>
    </w:p>
    <w:p w14:paraId="5BB06208">
      <w:pPr>
        <w:spacing w:line="360" w:lineRule="auto"/>
        <w:ind w:firstLine="470"/>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val="en-US" w:eastAsia="zh-CN"/>
        </w:rPr>
        <w:t>绥化市庆安县平安镇</w:t>
      </w:r>
      <w:r>
        <w:rPr>
          <w:rFonts w:hint="eastAsia" w:ascii="Times New Roman" w:hAnsi="Times New Roman" w:eastAsia="宋体" w:cs="Times New Roman"/>
          <w:color w:val="auto"/>
          <w:highlight w:val="none"/>
        </w:rPr>
        <w:t>饮用水水源地取水井</w:t>
      </w:r>
      <w:r>
        <w:rPr>
          <w:rFonts w:hint="eastAsia" w:cs="Times New Roman"/>
          <w:color w:val="auto"/>
          <w:highlight w:val="none"/>
          <w:lang w:eastAsia="zh-CN"/>
        </w:rPr>
        <w:t>周围主要</w:t>
      </w:r>
      <w:r>
        <w:rPr>
          <w:rFonts w:hint="eastAsia" w:ascii="Times New Roman" w:hAnsi="Times New Roman" w:eastAsia="宋体" w:cs="Times New Roman"/>
          <w:color w:val="auto"/>
          <w:highlight w:val="none"/>
        </w:rPr>
        <w:t>用地性质为</w:t>
      </w:r>
      <w:r>
        <w:rPr>
          <w:rFonts w:hint="eastAsia" w:ascii="Times New Roman" w:hAnsi="Times New Roman" w:eastAsia="宋体" w:cs="Times New Roman"/>
          <w:color w:val="auto"/>
          <w:kern w:val="2"/>
          <w:sz w:val="24"/>
          <w:szCs w:val="24"/>
          <w:highlight w:val="none"/>
          <w:lang w:val="en-US" w:eastAsia="zh-CN" w:bidi="ar-SA"/>
        </w:rPr>
        <w:t>乔木林地、水田、农村宅基地等</w:t>
      </w:r>
      <w:r>
        <w:rPr>
          <w:rFonts w:hint="eastAsia" w:cs="Times New Roman"/>
          <w:color w:val="auto"/>
          <w:highlight w:val="none"/>
          <w:lang w:eastAsia="zh-CN"/>
        </w:rPr>
        <w:t>。</w:t>
      </w:r>
    </w:p>
    <w:p w14:paraId="5E6E36BA">
      <w:pPr>
        <w:pStyle w:val="13"/>
        <w:spacing w:line="360" w:lineRule="auto"/>
        <w:jc w:val="center"/>
        <w:rPr>
          <w:rFonts w:hint="eastAsia" w:eastAsia="黑体" w:cs="Times New Roman"/>
          <w:color w:val="auto"/>
          <w:kern w:val="2"/>
          <w:sz w:val="24"/>
          <w:szCs w:val="24"/>
          <w:highlight w:val="none"/>
          <w:lang w:val="en-US" w:eastAsia="zh-CN" w:bidi="ar-SA"/>
        </w:rPr>
      </w:pPr>
      <w:r>
        <w:rPr>
          <w:rFonts w:hint="eastAsia" w:eastAsia="黑体" w:cs="Times New Roman"/>
          <w:color w:val="auto"/>
          <w:kern w:val="2"/>
          <w:sz w:val="24"/>
          <w:szCs w:val="24"/>
          <w:highlight w:val="none"/>
          <w:lang w:val="en-US" w:eastAsia="zh-CN" w:bidi="ar-SA"/>
        </w:rPr>
        <w:drawing>
          <wp:inline distT="0" distB="0" distL="114300" distR="114300">
            <wp:extent cx="6411595" cy="4533900"/>
            <wp:effectExtent l="0" t="0" r="8255" b="0"/>
            <wp:docPr id="60" name="图片 60" descr="瓦盆窑土地利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瓦盆窑土地利用"/>
                    <pic:cNvPicPr>
                      <a:picLocks noChangeAspect="1"/>
                    </pic:cNvPicPr>
                  </pic:nvPicPr>
                  <pic:blipFill>
                    <a:blip r:embed="rId26"/>
                    <a:stretch>
                      <a:fillRect/>
                    </a:stretch>
                  </pic:blipFill>
                  <pic:spPr>
                    <a:xfrm>
                      <a:off x="0" y="0"/>
                      <a:ext cx="6411595" cy="4533900"/>
                    </a:xfrm>
                    <a:prstGeom prst="rect">
                      <a:avLst/>
                    </a:prstGeom>
                  </pic:spPr>
                </pic:pic>
              </a:graphicData>
            </a:graphic>
          </wp:inline>
        </w:drawing>
      </w:r>
    </w:p>
    <w:p w14:paraId="5D118BE5">
      <w:pPr>
        <w:pStyle w:val="13"/>
        <w:spacing w:line="360" w:lineRule="auto"/>
        <w:jc w:val="center"/>
        <w:rPr>
          <w:rFonts w:hint="eastAsia" w:eastAsia="黑体" w:cs="Times New Roman"/>
          <w:color w:val="auto"/>
          <w:kern w:val="2"/>
          <w:sz w:val="24"/>
          <w:szCs w:val="24"/>
          <w:highlight w:val="none"/>
          <w:lang w:val="en-US" w:eastAsia="zh-CN" w:bidi="ar-SA"/>
        </w:rPr>
      </w:pPr>
      <w:r>
        <w:rPr>
          <w:rFonts w:hint="default" w:ascii="Times New Roman" w:hAnsi="Times New Roman" w:eastAsia="黑体" w:cs="Times New Roman"/>
          <w:color w:val="auto"/>
          <w:kern w:val="2"/>
          <w:sz w:val="24"/>
          <w:szCs w:val="24"/>
          <w:highlight w:val="none"/>
          <w:lang w:val="en-US" w:eastAsia="zh-CN" w:bidi="ar-SA"/>
        </w:rPr>
        <w:t>图2-</w:t>
      </w:r>
      <w:r>
        <w:rPr>
          <w:rFonts w:hint="eastAsia" w:eastAsia="黑体" w:cs="Times New Roman"/>
          <w:color w:val="auto"/>
          <w:kern w:val="2"/>
          <w:sz w:val="24"/>
          <w:szCs w:val="24"/>
          <w:highlight w:val="none"/>
          <w:lang w:val="en-US" w:eastAsia="zh-CN" w:bidi="ar-SA"/>
        </w:rPr>
        <w:t>7</w:t>
      </w:r>
      <w:r>
        <w:rPr>
          <w:rFonts w:hint="default" w:ascii="Times New Roman" w:hAnsi="Times New Roman" w:eastAsia="黑体" w:cs="Times New Roman"/>
          <w:color w:val="auto"/>
          <w:kern w:val="2"/>
          <w:sz w:val="24"/>
          <w:szCs w:val="24"/>
          <w:highlight w:val="none"/>
          <w:lang w:val="en-US" w:eastAsia="zh-CN" w:bidi="ar-SA"/>
        </w:rPr>
        <w:t xml:space="preserve"> </w:t>
      </w:r>
      <w:r>
        <w:rPr>
          <w:rFonts w:hint="eastAsia" w:eastAsia="黑体" w:cs="Times New Roman"/>
          <w:color w:val="auto"/>
          <w:kern w:val="2"/>
          <w:sz w:val="24"/>
          <w:szCs w:val="24"/>
          <w:highlight w:val="none"/>
          <w:lang w:val="en-US" w:eastAsia="zh-CN" w:bidi="ar-SA"/>
        </w:rPr>
        <w:t>平安镇</w:t>
      </w:r>
      <w:r>
        <w:rPr>
          <w:rFonts w:hint="default" w:ascii="Times New Roman" w:hAnsi="Times New Roman" w:eastAsia="黑体" w:cs="Times New Roman"/>
          <w:color w:val="auto"/>
          <w:kern w:val="2"/>
          <w:sz w:val="24"/>
          <w:szCs w:val="24"/>
          <w:highlight w:val="none"/>
          <w:lang w:val="en-US" w:eastAsia="zh-CN" w:bidi="ar-SA"/>
        </w:rPr>
        <w:t>水井</w:t>
      </w:r>
      <w:r>
        <w:rPr>
          <w:rFonts w:hint="eastAsia" w:ascii="Times New Roman" w:hAnsi="Times New Roman" w:eastAsia="黑体" w:cs="Times New Roman"/>
          <w:color w:val="auto"/>
          <w:kern w:val="2"/>
          <w:sz w:val="24"/>
          <w:szCs w:val="24"/>
          <w:highlight w:val="none"/>
          <w:lang w:val="en-US" w:eastAsia="zh-CN" w:bidi="ar-SA"/>
        </w:rPr>
        <w:t>及</w:t>
      </w:r>
      <w:r>
        <w:rPr>
          <w:rFonts w:hint="default" w:ascii="Times New Roman" w:hAnsi="Times New Roman" w:eastAsia="黑体" w:cs="Times New Roman"/>
          <w:color w:val="auto"/>
          <w:kern w:val="2"/>
          <w:sz w:val="24"/>
          <w:szCs w:val="24"/>
          <w:highlight w:val="none"/>
          <w:lang w:val="en-US" w:eastAsia="zh-CN" w:bidi="ar-SA"/>
        </w:rPr>
        <w:t>周边土地利用现状</w:t>
      </w:r>
      <w:r>
        <w:rPr>
          <w:rFonts w:hint="eastAsia" w:eastAsia="黑体" w:cs="Times New Roman"/>
          <w:color w:val="auto"/>
          <w:kern w:val="2"/>
          <w:sz w:val="24"/>
          <w:szCs w:val="24"/>
          <w:highlight w:val="none"/>
          <w:lang w:val="en-US" w:eastAsia="zh-CN" w:bidi="ar-SA"/>
        </w:rPr>
        <w:t>图</w:t>
      </w:r>
    </w:p>
    <w:p w14:paraId="4EB99FCC">
      <w:pPr>
        <w:pStyle w:val="13"/>
        <w:jc w:val="center"/>
        <w:rPr>
          <w:rFonts w:hint="eastAsia" w:eastAsia="黑体" w:cs="Times New Roman"/>
          <w:color w:val="auto"/>
          <w:kern w:val="2"/>
          <w:sz w:val="24"/>
          <w:szCs w:val="24"/>
          <w:highlight w:val="none"/>
          <w:lang w:val="en-US" w:eastAsia="zh-CN" w:bidi="ar-SA"/>
        </w:rPr>
        <w:sectPr>
          <w:pgSz w:w="16838" w:h="11905" w:orient="landscape"/>
          <w:pgMar w:top="1474" w:right="1474" w:bottom="1474" w:left="1474" w:header="850" w:footer="992" w:gutter="0"/>
          <w:pgBorders>
            <w:top w:val="none" w:sz="0" w:space="0"/>
            <w:left w:val="none" w:sz="0" w:space="0"/>
            <w:bottom w:val="none" w:sz="0" w:space="0"/>
            <w:right w:val="none" w:sz="0" w:space="0"/>
          </w:pgBorders>
          <w:pgNumType w:fmt="decimal"/>
          <w:cols w:space="720" w:num="1"/>
          <w:docGrid w:type="linesAndChars" w:linePitch="347" w:charSpace="-1024"/>
        </w:sectPr>
      </w:pPr>
    </w:p>
    <w:p w14:paraId="23D113F4">
      <w:pPr>
        <w:pStyle w:val="4"/>
        <w:rPr>
          <w:color w:val="auto"/>
          <w:highlight w:val="none"/>
        </w:rPr>
      </w:pPr>
      <w:bookmarkStart w:id="35" w:name="_Toc2979"/>
      <w:r>
        <w:rPr>
          <w:rFonts w:hint="eastAsia"/>
          <w:color w:val="auto"/>
          <w:highlight w:val="none"/>
        </w:rPr>
        <w:t>2.3.2与相关政策符合性分析</w:t>
      </w:r>
      <w:bookmarkEnd w:id="35"/>
    </w:p>
    <w:p w14:paraId="2FF9EE48">
      <w:pPr>
        <w:ind w:firstLine="470"/>
        <w:rPr>
          <w:color w:val="auto"/>
          <w:highlight w:val="none"/>
        </w:rPr>
      </w:pPr>
      <w:r>
        <w:rPr>
          <w:rFonts w:hint="eastAsia"/>
          <w:color w:val="auto"/>
          <w:highlight w:val="none"/>
          <w:lang w:eastAsia="zh-CN"/>
        </w:rPr>
        <w:t>（</w:t>
      </w:r>
      <w:r>
        <w:rPr>
          <w:rFonts w:hint="eastAsia"/>
          <w:color w:val="auto"/>
          <w:highlight w:val="none"/>
          <w:lang w:val="en-US" w:eastAsia="zh-CN"/>
        </w:rPr>
        <w:t>1</w:t>
      </w:r>
      <w:r>
        <w:rPr>
          <w:rFonts w:hint="eastAsia"/>
          <w:color w:val="auto"/>
          <w:highlight w:val="none"/>
          <w:lang w:eastAsia="zh-CN"/>
        </w:rPr>
        <w:t>）</w:t>
      </w:r>
      <w:r>
        <w:rPr>
          <w:rFonts w:hint="eastAsia"/>
          <w:color w:val="auto"/>
          <w:highlight w:val="none"/>
        </w:rPr>
        <w:t>产业政策符合性分析</w:t>
      </w:r>
    </w:p>
    <w:p w14:paraId="6B6ACA73">
      <w:pPr>
        <w:ind w:firstLine="470"/>
        <w:rPr>
          <w:color w:val="auto"/>
          <w:highlight w:val="none"/>
        </w:rPr>
      </w:pPr>
      <w:r>
        <w:rPr>
          <w:rFonts w:hint="eastAsia"/>
          <w:color w:val="auto"/>
          <w:highlight w:val="none"/>
        </w:rPr>
        <w:t>本工程为</w:t>
      </w:r>
      <w:r>
        <w:rPr>
          <w:rFonts w:hint="eastAsia"/>
          <w:color w:val="auto"/>
          <w:sz w:val="24"/>
          <w:highlight w:val="none"/>
        </w:rPr>
        <w:t>供水工程</w:t>
      </w:r>
      <w:r>
        <w:rPr>
          <w:rFonts w:hint="eastAsia"/>
          <w:color w:val="auto"/>
          <w:highlight w:val="none"/>
        </w:rPr>
        <w:t>，主要解决</w:t>
      </w:r>
      <w:r>
        <w:rPr>
          <w:rFonts w:hint="eastAsia"/>
          <w:color w:val="auto"/>
          <w:highlight w:val="none"/>
          <w:lang w:eastAsia="zh-CN"/>
        </w:rPr>
        <w:t>乡镇、村屯</w:t>
      </w:r>
      <w:r>
        <w:rPr>
          <w:rFonts w:hint="eastAsia"/>
          <w:color w:val="auto"/>
          <w:highlight w:val="none"/>
        </w:rPr>
        <w:t>供水安全问题，对照《产业结构调整指导目录（2024年本）》，本项目属于第二项水利中的</w:t>
      </w:r>
      <w:r>
        <w:rPr>
          <w:rFonts w:hint="eastAsia"/>
          <w:color w:val="auto"/>
          <w:highlight w:val="none"/>
          <w:lang w:eastAsia="zh-CN"/>
        </w:rPr>
        <w:t>“</w:t>
      </w:r>
      <w:r>
        <w:rPr>
          <w:rFonts w:hint="eastAsia"/>
          <w:color w:val="auto"/>
          <w:sz w:val="24"/>
          <w:highlight w:val="none"/>
        </w:rPr>
        <w:t>2</w:t>
      </w:r>
      <w:r>
        <w:rPr>
          <w:rFonts w:hint="eastAsia"/>
          <w:color w:val="auto"/>
          <w:sz w:val="24"/>
          <w:highlight w:val="none"/>
          <w:lang w:eastAsia="zh-CN"/>
        </w:rPr>
        <w:t>、</w:t>
      </w:r>
      <w:r>
        <w:rPr>
          <w:rFonts w:hint="eastAsia"/>
          <w:color w:val="auto"/>
          <w:sz w:val="24"/>
          <w:highlight w:val="none"/>
        </w:rPr>
        <w:t>节水供水工程中的农村供水工程”</w:t>
      </w:r>
      <w:r>
        <w:rPr>
          <w:rFonts w:hint="eastAsia"/>
          <w:color w:val="auto"/>
          <w:sz w:val="24"/>
          <w:highlight w:val="none"/>
          <w:lang w:eastAsia="zh-CN"/>
        </w:rPr>
        <w:t>和</w:t>
      </w:r>
      <w:r>
        <w:rPr>
          <w:rFonts w:hint="eastAsia"/>
          <w:color w:val="auto"/>
          <w:highlight w:val="none"/>
        </w:rPr>
        <w:t>“3、城乡供水水源工程”，为国家鼓励类建设项目。</w:t>
      </w:r>
    </w:p>
    <w:p w14:paraId="6085094E">
      <w:pPr>
        <w:ind w:firstLine="470"/>
        <w:rPr>
          <w:color w:val="auto"/>
          <w:highlight w:val="none"/>
        </w:rPr>
      </w:pPr>
      <w:r>
        <w:rPr>
          <w:rFonts w:hint="eastAsia"/>
          <w:color w:val="auto"/>
          <w:highlight w:val="none"/>
          <w:lang w:eastAsia="zh-CN"/>
        </w:rPr>
        <w:t>（</w:t>
      </w:r>
      <w:r>
        <w:rPr>
          <w:rFonts w:hint="eastAsia"/>
          <w:color w:val="auto"/>
          <w:highlight w:val="none"/>
          <w:lang w:val="en-US" w:eastAsia="zh-CN"/>
        </w:rPr>
        <w:t>2</w:t>
      </w:r>
      <w:r>
        <w:rPr>
          <w:rFonts w:hint="eastAsia"/>
          <w:color w:val="auto"/>
          <w:highlight w:val="none"/>
          <w:lang w:eastAsia="zh-CN"/>
        </w:rPr>
        <w:t>）</w:t>
      </w:r>
      <w:r>
        <w:rPr>
          <w:rFonts w:hint="eastAsia"/>
          <w:color w:val="auto"/>
          <w:highlight w:val="none"/>
        </w:rPr>
        <w:t>与《黑龙江省“十四五”生态环境保护规划》符合性分析</w:t>
      </w:r>
    </w:p>
    <w:p w14:paraId="5CDA38B5">
      <w:pPr>
        <w:ind w:firstLine="470"/>
        <w:rPr>
          <w:color w:val="auto"/>
          <w:highlight w:val="none"/>
        </w:rPr>
      </w:pPr>
      <w:r>
        <w:rPr>
          <w:rFonts w:hint="eastAsia"/>
          <w:color w:val="auto"/>
          <w:highlight w:val="none"/>
        </w:rPr>
        <w:t>根据《黑龙江省“十四五”生态环境保护规划》，“三、主要任务—（四）强化系统治理，持续提升水环境质量—1.精准发力提升水环境质量。加强饮用水安全保障。全面开展县级及以上城市集中式饮用水水源达标治理和水源地规范化建设，稳步推进农村集中式饮用水水源保护工作。加大饮用水安全状况信息公开力度，引导公众监督。开展县级及以上城市集中式饮用水水源地环境风险排查。加强城市应急备用水源工程建设。到2025年，实现全省集中式饮用水水源保护区划分全覆盖，完成乡镇级及以上集中式饮用水水源保护区标志设立和隔离防护设施建设。”</w:t>
      </w:r>
    </w:p>
    <w:p w14:paraId="7DEA3333">
      <w:pPr>
        <w:ind w:firstLine="470"/>
        <w:rPr>
          <w:color w:val="auto"/>
          <w:highlight w:val="none"/>
        </w:rPr>
      </w:pPr>
      <w:r>
        <w:rPr>
          <w:rFonts w:hint="eastAsia"/>
          <w:color w:val="auto"/>
          <w:highlight w:val="none"/>
        </w:rPr>
        <w:t>本项目为水源地</w:t>
      </w:r>
      <w:r>
        <w:rPr>
          <w:rFonts w:hint="eastAsia"/>
          <w:color w:val="auto"/>
          <w:highlight w:val="none"/>
          <w:lang w:eastAsia="zh-CN"/>
        </w:rPr>
        <w:t>调整</w:t>
      </w:r>
      <w:r>
        <w:rPr>
          <w:rFonts w:hint="eastAsia"/>
          <w:color w:val="auto"/>
          <w:highlight w:val="none"/>
        </w:rPr>
        <w:t>项目，同步进行水源地规范化建设，项目建成后将提高供水能力，改善当地居民的生产和生活用水质量，与《黑龙江省“十四五”生态环境保护规划》相符。</w:t>
      </w:r>
    </w:p>
    <w:p w14:paraId="4E8211E8">
      <w:pPr>
        <w:ind w:firstLine="470"/>
        <w:rPr>
          <w:color w:val="auto"/>
          <w:highlight w:val="none"/>
        </w:rPr>
      </w:pPr>
      <w:r>
        <w:rPr>
          <w:rFonts w:hint="eastAsia"/>
          <w:color w:val="auto"/>
          <w:highlight w:val="none"/>
          <w:lang w:eastAsia="zh-CN"/>
        </w:rPr>
        <w:t>（</w:t>
      </w:r>
      <w:r>
        <w:rPr>
          <w:rFonts w:hint="eastAsia"/>
          <w:color w:val="auto"/>
          <w:highlight w:val="none"/>
          <w:lang w:val="en-US" w:eastAsia="zh-CN"/>
        </w:rPr>
        <w:t>3</w:t>
      </w:r>
      <w:r>
        <w:rPr>
          <w:rFonts w:hint="eastAsia"/>
          <w:color w:val="auto"/>
          <w:highlight w:val="none"/>
          <w:lang w:eastAsia="zh-CN"/>
        </w:rPr>
        <w:t>）</w:t>
      </w:r>
      <w:r>
        <w:rPr>
          <w:rFonts w:hint="eastAsia"/>
          <w:color w:val="auto"/>
          <w:highlight w:val="none"/>
        </w:rPr>
        <w:t>与《</w:t>
      </w:r>
      <w:r>
        <w:rPr>
          <w:rFonts w:hint="eastAsia"/>
          <w:color w:val="auto"/>
          <w:highlight w:val="none"/>
          <w:lang w:eastAsia="zh-CN"/>
        </w:rPr>
        <w:t>庆安县</w:t>
      </w:r>
      <w:r>
        <w:rPr>
          <w:rFonts w:hint="eastAsia"/>
          <w:color w:val="auto"/>
          <w:highlight w:val="none"/>
        </w:rPr>
        <w:t>国土空间总体规划（2021-2035年）》符合性分析</w:t>
      </w:r>
    </w:p>
    <w:p w14:paraId="54991F4F">
      <w:pPr>
        <w:ind w:firstLine="470"/>
        <w:rPr>
          <w:rFonts w:hint="eastAsia" w:ascii="Times New Roman" w:hAnsi="Times New Roman" w:eastAsia="宋体" w:cs="Times New Roman"/>
          <w:color w:val="auto"/>
          <w:highlight w:val="none"/>
        </w:rPr>
      </w:pPr>
      <w:r>
        <w:rPr>
          <w:rFonts w:hint="eastAsia"/>
          <w:color w:val="auto"/>
          <w:highlight w:val="none"/>
        </w:rPr>
        <w:t>《</w:t>
      </w:r>
      <w:r>
        <w:rPr>
          <w:rFonts w:hint="eastAsia"/>
          <w:color w:val="auto"/>
          <w:highlight w:val="none"/>
          <w:lang w:eastAsia="zh-CN"/>
        </w:rPr>
        <w:t>庆安县</w:t>
      </w:r>
      <w:r>
        <w:rPr>
          <w:rFonts w:hint="eastAsia"/>
          <w:color w:val="auto"/>
          <w:highlight w:val="none"/>
        </w:rPr>
        <w:t>国土空间总体规划（2021-2035年）》</w:t>
      </w:r>
      <w:r>
        <w:rPr>
          <w:rFonts w:hint="eastAsia"/>
          <w:color w:val="auto"/>
          <w:highlight w:val="none"/>
          <w:lang w:val="en-US" w:eastAsia="zh-CN"/>
        </w:rPr>
        <w:t>供水系统中指出：“</w:t>
      </w:r>
      <w:r>
        <w:rPr>
          <w:rFonts w:hint="eastAsia" w:ascii="Times New Roman" w:hAnsi="Times New Roman" w:eastAsia="宋体" w:cs="Times New Roman"/>
          <w:color w:val="auto"/>
          <w:highlight w:val="none"/>
          <w:lang w:val="en-US" w:eastAsia="zh-CN"/>
        </w:rPr>
        <w:t>水资源。庆安县水资源总量充沛、水质优良、全市领先。但降水年内分配不均衡，河流及地下水主要靠大气降水补给，冬春季流量很小，春季干旱，尤其是春季水田泡田、返青期来水量小，需水量大，来水与需水矛盾突出。”“完善优化给水设施布局。</w:t>
      </w:r>
      <w:r>
        <w:rPr>
          <w:rFonts w:hint="default" w:ascii="Times New Roman" w:hAnsi="Times New Roman" w:eastAsia="宋体" w:cs="Times New Roman"/>
          <w:color w:val="auto"/>
          <w:highlight w:val="none"/>
          <w:lang w:val="en-US" w:eastAsia="zh-CN"/>
        </w:rPr>
        <w:t>2035</w:t>
      </w:r>
      <w:r>
        <w:rPr>
          <w:rFonts w:hint="eastAsia" w:ascii="Times New Roman" w:hAnsi="Times New Roman" w:eastAsia="宋体" w:cs="Times New Roman"/>
          <w:color w:val="auto"/>
          <w:highlight w:val="none"/>
          <w:lang w:val="en-US" w:eastAsia="zh-CN"/>
        </w:rPr>
        <w:t>年，全县规划共设</w:t>
      </w:r>
      <w:r>
        <w:rPr>
          <w:rFonts w:hint="default" w:ascii="Times New Roman" w:hAnsi="Times New Roman" w:eastAsia="宋体" w:cs="Times New Roman"/>
          <w:color w:val="auto"/>
          <w:highlight w:val="none"/>
          <w:lang w:val="en-US" w:eastAsia="zh-CN"/>
        </w:rPr>
        <w:t>15</w:t>
      </w:r>
      <w:r>
        <w:rPr>
          <w:rFonts w:hint="eastAsia" w:ascii="Times New Roman" w:hAnsi="Times New Roman" w:eastAsia="宋体" w:cs="Times New Roman"/>
          <w:color w:val="auto"/>
          <w:highlight w:val="none"/>
          <w:lang w:val="en-US" w:eastAsia="zh-CN"/>
        </w:rPr>
        <w:t>座水厂。其中，中心城区设</w:t>
      </w:r>
      <w:r>
        <w:rPr>
          <w:rFonts w:hint="default" w:ascii="Times New Roman" w:hAnsi="Times New Roman" w:eastAsia="宋体" w:cs="Times New Roman"/>
          <w:color w:val="auto"/>
          <w:highlight w:val="none"/>
          <w:lang w:val="en-US" w:eastAsia="zh-CN"/>
        </w:rPr>
        <w:t>2</w:t>
      </w:r>
      <w:r>
        <w:rPr>
          <w:rFonts w:hint="eastAsia" w:ascii="Times New Roman" w:hAnsi="Times New Roman" w:eastAsia="宋体" w:cs="Times New Roman"/>
          <w:color w:val="auto"/>
          <w:highlight w:val="none"/>
          <w:lang w:val="en-US" w:eastAsia="zh-CN"/>
        </w:rPr>
        <w:t>座水厂，分别为西水厂与东水厂。其余</w:t>
      </w:r>
      <w:r>
        <w:rPr>
          <w:rFonts w:hint="default" w:ascii="Times New Roman" w:hAnsi="Times New Roman" w:eastAsia="宋体" w:cs="Times New Roman"/>
          <w:color w:val="auto"/>
          <w:highlight w:val="none"/>
          <w:lang w:val="en-US" w:eastAsia="zh-CN"/>
        </w:rPr>
        <w:t>13</w:t>
      </w:r>
      <w:r>
        <w:rPr>
          <w:rFonts w:hint="eastAsia" w:ascii="Times New Roman" w:hAnsi="Times New Roman" w:eastAsia="宋体" w:cs="Times New Roman"/>
          <w:color w:val="auto"/>
          <w:highlight w:val="none"/>
          <w:lang w:val="en-US" w:eastAsia="zh-CN"/>
        </w:rPr>
        <w:t>个乡镇各设</w:t>
      </w:r>
      <w:r>
        <w:rPr>
          <w:rFonts w:hint="default" w:ascii="Times New Roman" w:hAnsi="Times New Roman" w:eastAsia="宋体" w:cs="Times New Roman"/>
          <w:color w:val="auto"/>
          <w:highlight w:val="none"/>
          <w:lang w:val="en-US" w:eastAsia="zh-CN"/>
        </w:rPr>
        <w:t>1</w:t>
      </w:r>
      <w:r>
        <w:rPr>
          <w:rFonts w:hint="eastAsia" w:ascii="Times New Roman" w:hAnsi="Times New Roman" w:eastAsia="宋体" w:cs="Times New Roman"/>
          <w:color w:val="auto"/>
          <w:highlight w:val="none"/>
          <w:lang w:val="en-US" w:eastAsia="zh-CN"/>
        </w:rPr>
        <w:t>座水厂，分别向乡镇和周边村庄统一供水。临近中心城区或乡镇的村庄供水规划建议纳入城镇供水管网进行处理。”</w:t>
      </w:r>
    </w:p>
    <w:p w14:paraId="2371452F">
      <w:pPr>
        <w:ind w:firstLine="470"/>
        <w:rPr>
          <w:color w:val="auto"/>
          <w:highlight w:val="none"/>
        </w:rPr>
      </w:pPr>
      <w:r>
        <w:rPr>
          <w:color w:val="auto"/>
          <w:highlight w:val="none"/>
        </w:rPr>
        <w:t>本项目</w:t>
      </w:r>
      <w:r>
        <w:rPr>
          <w:rFonts w:hint="eastAsia"/>
          <w:color w:val="auto"/>
          <w:highlight w:val="none"/>
        </w:rPr>
        <w:t>水源地</w:t>
      </w:r>
      <w:r>
        <w:rPr>
          <w:rFonts w:hint="eastAsia"/>
          <w:color w:val="auto"/>
          <w:highlight w:val="none"/>
          <w:lang w:eastAsia="zh-CN"/>
        </w:rPr>
        <w:t>调整</w:t>
      </w:r>
      <w:r>
        <w:rPr>
          <w:rFonts w:hint="eastAsia"/>
          <w:color w:val="auto"/>
          <w:highlight w:val="none"/>
        </w:rPr>
        <w:t>项目</w:t>
      </w:r>
      <w:r>
        <w:rPr>
          <w:rFonts w:hint="eastAsia"/>
          <w:color w:val="auto"/>
          <w:highlight w:val="none"/>
          <w:lang w:eastAsia="zh-CN"/>
        </w:rPr>
        <w:t>，本次对</w:t>
      </w:r>
      <w:r>
        <w:rPr>
          <w:rFonts w:hint="eastAsia"/>
          <w:b w:val="0"/>
          <w:bCs/>
          <w:color w:val="auto"/>
          <w:kern w:val="0"/>
          <w:highlight w:val="none"/>
        </w:rPr>
        <w:t>绥化市庆安县</w:t>
      </w:r>
      <w:r>
        <w:rPr>
          <w:rFonts w:hint="eastAsia"/>
          <w:b w:val="0"/>
          <w:bCs/>
          <w:color w:val="auto"/>
          <w:kern w:val="0"/>
          <w:highlight w:val="none"/>
          <w:lang w:eastAsia="zh-CN"/>
        </w:rPr>
        <w:t>丰收乡等</w:t>
      </w:r>
      <w:r>
        <w:rPr>
          <w:rFonts w:hint="eastAsia"/>
          <w:b w:val="0"/>
          <w:bCs/>
          <w:color w:val="auto"/>
          <w:kern w:val="0"/>
          <w:highlight w:val="none"/>
          <w:lang w:val="en-US" w:eastAsia="zh-CN"/>
        </w:rPr>
        <w:t>6个乡镇级和柳河镇新强村1个</w:t>
      </w:r>
      <w:r>
        <w:rPr>
          <w:rFonts w:hint="eastAsia"/>
          <w:b w:val="0"/>
          <w:bCs/>
          <w:color w:val="auto"/>
          <w:kern w:val="0"/>
          <w:highlight w:val="none"/>
          <w:lang w:eastAsia="zh-CN"/>
        </w:rPr>
        <w:t>村屯级</w:t>
      </w:r>
      <w:r>
        <w:rPr>
          <w:rFonts w:hint="eastAsia"/>
          <w:b w:val="0"/>
          <w:bCs/>
          <w:color w:val="auto"/>
          <w:kern w:val="0"/>
          <w:highlight w:val="none"/>
        </w:rPr>
        <w:t>集中式饮用水水源</w:t>
      </w:r>
      <w:r>
        <w:rPr>
          <w:rFonts w:hint="eastAsia"/>
          <w:b w:val="0"/>
          <w:bCs/>
          <w:color w:val="auto"/>
          <w:kern w:val="0"/>
          <w:highlight w:val="none"/>
          <w:lang w:eastAsia="zh-CN"/>
        </w:rPr>
        <w:t>（</w:t>
      </w:r>
      <w:r>
        <w:rPr>
          <w:rFonts w:hint="eastAsia"/>
          <w:b w:val="0"/>
          <w:bCs/>
          <w:color w:val="auto"/>
          <w:kern w:val="0"/>
          <w:highlight w:val="none"/>
          <w:lang w:val="en-US" w:eastAsia="zh-CN"/>
        </w:rPr>
        <w:t>29眼井</w:t>
      </w:r>
      <w:r>
        <w:rPr>
          <w:rFonts w:hint="eastAsia"/>
          <w:b w:val="0"/>
          <w:bCs/>
          <w:color w:val="auto"/>
          <w:kern w:val="0"/>
          <w:highlight w:val="none"/>
          <w:lang w:eastAsia="zh-CN"/>
        </w:rPr>
        <w:t>）</w:t>
      </w:r>
      <w:r>
        <w:rPr>
          <w:rFonts w:hint="eastAsia"/>
          <w:b w:val="0"/>
          <w:bCs/>
          <w:color w:val="auto"/>
          <w:kern w:val="0"/>
          <w:highlight w:val="none"/>
        </w:rPr>
        <w:t>保护区</w:t>
      </w:r>
      <w:r>
        <w:rPr>
          <w:rFonts w:hint="eastAsia"/>
          <w:color w:val="auto"/>
          <w:highlight w:val="none"/>
        </w:rPr>
        <w:t>调整，</w:t>
      </w:r>
      <w:r>
        <w:rPr>
          <w:rFonts w:hint="eastAsia"/>
          <w:color w:val="auto"/>
          <w:highlight w:val="none"/>
          <w:lang w:eastAsia="zh-CN"/>
        </w:rPr>
        <w:t>并</w:t>
      </w:r>
      <w:r>
        <w:rPr>
          <w:rFonts w:hint="eastAsia"/>
          <w:color w:val="auto"/>
          <w:highlight w:val="none"/>
        </w:rPr>
        <w:t>同步进行水源地规范化建设，</w:t>
      </w:r>
      <w:r>
        <w:rPr>
          <w:rFonts w:hint="eastAsia"/>
          <w:color w:val="auto"/>
          <w:highlight w:val="none"/>
          <w:lang w:eastAsia="zh-CN"/>
        </w:rPr>
        <w:t>各</w:t>
      </w:r>
      <w:r>
        <w:rPr>
          <w:rFonts w:hint="eastAsia"/>
          <w:color w:val="auto"/>
          <w:highlight w:val="none"/>
        </w:rPr>
        <w:t>水源地</w:t>
      </w:r>
      <w:r>
        <w:rPr>
          <w:rFonts w:hint="eastAsia"/>
          <w:color w:val="auto"/>
          <w:highlight w:val="none"/>
          <w:lang w:eastAsia="zh-CN"/>
        </w:rPr>
        <w:t>分别配套一座水厂，</w:t>
      </w:r>
      <w:r>
        <w:rPr>
          <w:rFonts w:hint="eastAsia" w:ascii="Times New Roman" w:hAnsi="Times New Roman" w:eastAsia="宋体" w:cs="Times New Roman"/>
          <w:color w:val="auto"/>
          <w:highlight w:val="none"/>
          <w:lang w:val="en-US" w:eastAsia="zh-CN"/>
        </w:rPr>
        <w:t>向乡镇和周边村庄统一供水，</w:t>
      </w:r>
      <w:r>
        <w:rPr>
          <w:color w:val="auto"/>
          <w:highlight w:val="none"/>
        </w:rPr>
        <w:t>改善供水条件，能够从根本上解决</w:t>
      </w:r>
      <w:r>
        <w:rPr>
          <w:rFonts w:hint="eastAsia"/>
          <w:color w:val="auto"/>
          <w:highlight w:val="none"/>
          <w:lang w:eastAsia="zh-CN"/>
        </w:rPr>
        <w:t>庆安</w:t>
      </w:r>
      <w:r>
        <w:rPr>
          <w:color w:val="auto"/>
          <w:highlight w:val="none"/>
        </w:rPr>
        <w:t>县</w:t>
      </w:r>
      <w:r>
        <w:rPr>
          <w:rFonts w:hint="eastAsia"/>
          <w:color w:val="auto"/>
          <w:highlight w:val="none"/>
          <w:lang w:eastAsia="zh-CN"/>
        </w:rPr>
        <w:t>各乡镇、村屯的</w:t>
      </w:r>
      <w:r>
        <w:rPr>
          <w:color w:val="auto"/>
          <w:highlight w:val="none"/>
        </w:rPr>
        <w:t>供水系统问题，与</w:t>
      </w:r>
      <w:r>
        <w:rPr>
          <w:rFonts w:hint="eastAsia"/>
          <w:color w:val="auto"/>
          <w:highlight w:val="none"/>
        </w:rPr>
        <w:t>《</w:t>
      </w:r>
      <w:r>
        <w:rPr>
          <w:rFonts w:hint="eastAsia"/>
          <w:color w:val="auto"/>
          <w:highlight w:val="none"/>
          <w:lang w:eastAsia="zh-CN"/>
        </w:rPr>
        <w:t>庆安县</w:t>
      </w:r>
      <w:r>
        <w:rPr>
          <w:rFonts w:hint="eastAsia"/>
          <w:color w:val="auto"/>
          <w:highlight w:val="none"/>
        </w:rPr>
        <w:t>国土空间总体规划（2021-2035年）》</w:t>
      </w:r>
      <w:r>
        <w:rPr>
          <w:color w:val="auto"/>
          <w:highlight w:val="none"/>
        </w:rPr>
        <w:t>相符。</w:t>
      </w:r>
    </w:p>
    <w:p w14:paraId="5AC5B5FC">
      <w:pPr>
        <w:pStyle w:val="3"/>
        <w:rPr>
          <w:color w:val="auto"/>
          <w:highlight w:val="none"/>
          <w:lang w:val="en-US"/>
        </w:rPr>
      </w:pPr>
      <w:bookmarkStart w:id="36" w:name="_Toc18462"/>
      <w:bookmarkStart w:id="37" w:name="_Toc17924"/>
      <w:r>
        <w:rPr>
          <w:rFonts w:hint="eastAsia"/>
          <w:color w:val="auto"/>
          <w:highlight w:val="none"/>
          <w:lang w:val="en-US"/>
        </w:rPr>
        <w:t>2.4饮用水水源地规划、水功能区划、重</w:t>
      </w:r>
      <w:r>
        <w:rPr>
          <w:rFonts w:hint="eastAsia"/>
          <w:color w:val="auto"/>
          <w:highlight w:val="none"/>
          <w:lang w:val="en-US" w:eastAsia="zh-CN"/>
        </w:rPr>
        <w:t>要</w:t>
      </w:r>
      <w:r>
        <w:rPr>
          <w:rFonts w:hint="eastAsia"/>
          <w:color w:val="auto"/>
          <w:highlight w:val="none"/>
          <w:lang w:val="en-US"/>
        </w:rPr>
        <w:t>生态功能区划情况</w:t>
      </w:r>
      <w:bookmarkEnd w:id="36"/>
      <w:bookmarkEnd w:id="37"/>
    </w:p>
    <w:p w14:paraId="34C288E5">
      <w:pPr>
        <w:pStyle w:val="4"/>
        <w:rPr>
          <w:color w:val="auto"/>
          <w:highlight w:val="none"/>
        </w:rPr>
      </w:pPr>
      <w:bookmarkStart w:id="38" w:name="_Toc16183"/>
      <w:r>
        <w:rPr>
          <w:rFonts w:hint="eastAsia"/>
          <w:color w:val="auto"/>
          <w:highlight w:val="none"/>
        </w:rPr>
        <w:t>2.4.1饮用水水源规划情况</w:t>
      </w:r>
      <w:bookmarkEnd w:id="38"/>
    </w:p>
    <w:p w14:paraId="55A11A31">
      <w:pPr>
        <w:spacing w:line="360" w:lineRule="auto"/>
        <w:ind w:firstLine="472" w:firstLineChars="200"/>
        <w:jc w:val="both"/>
        <w:rPr>
          <w:rFonts w:hint="eastAsia" w:ascii="Times New Roman" w:cs="Times New Roman"/>
          <w:color w:val="auto"/>
          <w:sz w:val="24"/>
          <w:szCs w:val="24"/>
          <w:highlight w:val="none"/>
          <w:lang w:eastAsia="zh-CN"/>
        </w:rPr>
      </w:pPr>
      <w:r>
        <w:rPr>
          <w:rFonts w:hint="eastAsia"/>
          <w:color w:val="auto"/>
          <w:sz w:val="24"/>
          <w:szCs w:val="24"/>
          <w:highlight w:val="none"/>
        </w:rPr>
        <w:t>供水系统作为</w:t>
      </w:r>
      <w:r>
        <w:rPr>
          <w:rFonts w:hint="eastAsia"/>
          <w:color w:val="auto"/>
          <w:sz w:val="24"/>
          <w:szCs w:val="24"/>
          <w:highlight w:val="none"/>
          <w:lang w:eastAsia="zh-CN"/>
        </w:rPr>
        <w:t>庆安</w:t>
      </w:r>
      <w:r>
        <w:rPr>
          <w:rFonts w:hint="eastAsia"/>
          <w:color w:val="auto"/>
          <w:sz w:val="24"/>
          <w:szCs w:val="24"/>
          <w:highlight w:val="none"/>
        </w:rPr>
        <w:t>县各乡镇村屯重要的基础设施，是生产和人民生活不可缺少又无可</w:t>
      </w:r>
      <w:r>
        <w:rPr>
          <w:rFonts w:hint="eastAsia"/>
          <w:color w:val="auto"/>
          <w:sz w:val="24"/>
          <w:szCs w:val="24"/>
          <w:highlight w:val="none"/>
          <w:lang w:eastAsia="zh-CN"/>
        </w:rPr>
        <w:t>替代</w:t>
      </w:r>
      <w:r>
        <w:rPr>
          <w:rFonts w:hint="eastAsia"/>
          <w:color w:val="auto"/>
          <w:sz w:val="24"/>
          <w:szCs w:val="24"/>
          <w:highlight w:val="none"/>
        </w:rPr>
        <w:t>的基本条件和乡村经济发展的重要保证，</w:t>
      </w:r>
      <w:r>
        <w:rPr>
          <w:rFonts w:hint="eastAsia"/>
          <w:color w:val="auto"/>
          <w:sz w:val="24"/>
          <w:szCs w:val="24"/>
          <w:highlight w:val="none"/>
          <w:lang w:eastAsia="zh-CN"/>
        </w:rPr>
        <w:t>庆安</w:t>
      </w:r>
      <w:r>
        <w:rPr>
          <w:rFonts w:hint="eastAsia"/>
          <w:color w:val="auto"/>
          <w:sz w:val="24"/>
          <w:szCs w:val="24"/>
          <w:highlight w:val="none"/>
        </w:rPr>
        <w:t>县及各乡镇暂无饮用水水源规划</w:t>
      </w:r>
      <w:r>
        <w:rPr>
          <w:rFonts w:hint="eastAsia"/>
          <w:color w:val="auto"/>
          <w:sz w:val="24"/>
          <w:szCs w:val="24"/>
          <w:highlight w:val="none"/>
          <w:lang w:eastAsia="zh-CN"/>
        </w:rPr>
        <w:t>。</w:t>
      </w:r>
    </w:p>
    <w:p w14:paraId="503EBFDD">
      <w:pPr>
        <w:pStyle w:val="4"/>
        <w:rPr>
          <w:rFonts w:hint="eastAsia"/>
          <w:color w:val="auto"/>
          <w:highlight w:val="none"/>
        </w:rPr>
      </w:pPr>
      <w:bookmarkStart w:id="39" w:name="_Toc4296"/>
      <w:r>
        <w:rPr>
          <w:rFonts w:hint="eastAsia"/>
          <w:color w:val="auto"/>
          <w:highlight w:val="none"/>
        </w:rPr>
        <w:t>2.4.2地表水功能区划情况</w:t>
      </w:r>
      <w:bookmarkEnd w:id="39"/>
    </w:p>
    <w:p w14:paraId="76F0FAAE">
      <w:pPr>
        <w:keepNext w:val="0"/>
        <w:keepLines w:val="0"/>
        <w:widowControl/>
        <w:suppressLineNumbers w:val="0"/>
        <w:jc w:val="both"/>
        <w:rPr>
          <w:rFonts w:hint="eastAsia"/>
          <w:color w:val="auto"/>
          <w:highlight w:val="none"/>
          <w:lang w:eastAsia="zh-CN"/>
        </w:rPr>
      </w:pPr>
      <w:r>
        <w:rPr>
          <w:rFonts w:hint="eastAsia"/>
          <w:color w:val="auto"/>
          <w:highlight w:val="none"/>
        </w:rPr>
        <w:t>庆安县境内主要河流有9条，即呼兰河、</w:t>
      </w:r>
      <w:r>
        <w:rPr>
          <w:rFonts w:hint="default"/>
          <w:color w:val="auto"/>
          <w:highlight w:val="none"/>
        </w:rPr>
        <w:fldChar w:fldCharType="begin"/>
      </w:r>
      <w:r>
        <w:rPr>
          <w:rFonts w:hint="default"/>
          <w:color w:val="auto"/>
          <w:highlight w:val="none"/>
        </w:rPr>
        <w:instrText xml:space="preserve"> HYPERLINK "https://baike.so.com/doc/1420396-1501415.html" \t "https://baike.so.com/doc/_blank" </w:instrText>
      </w:r>
      <w:r>
        <w:rPr>
          <w:rFonts w:hint="default"/>
          <w:color w:val="auto"/>
          <w:highlight w:val="none"/>
        </w:rPr>
        <w:fldChar w:fldCharType="separate"/>
      </w:r>
      <w:r>
        <w:rPr>
          <w:rFonts w:hint="default"/>
          <w:color w:val="auto"/>
          <w:highlight w:val="none"/>
        </w:rPr>
        <w:t>欧根河</w:t>
      </w:r>
      <w:r>
        <w:rPr>
          <w:rFonts w:hint="default"/>
          <w:color w:val="auto"/>
          <w:highlight w:val="none"/>
        </w:rPr>
        <w:fldChar w:fldCharType="end"/>
      </w:r>
      <w:r>
        <w:rPr>
          <w:rFonts w:hint="default"/>
          <w:color w:val="auto"/>
          <w:highlight w:val="none"/>
        </w:rPr>
        <w:t>、</w:t>
      </w:r>
      <w:r>
        <w:rPr>
          <w:rFonts w:hint="default"/>
          <w:color w:val="auto"/>
          <w:highlight w:val="none"/>
        </w:rPr>
        <w:fldChar w:fldCharType="begin"/>
      </w:r>
      <w:r>
        <w:rPr>
          <w:rFonts w:hint="default"/>
          <w:color w:val="auto"/>
          <w:highlight w:val="none"/>
        </w:rPr>
        <w:instrText xml:space="preserve"> HYPERLINK "https://baike.so.com/doc/1423856-1505091.html" \t "https://baike.so.com/doc/_blank" </w:instrText>
      </w:r>
      <w:r>
        <w:rPr>
          <w:rFonts w:hint="default"/>
          <w:color w:val="auto"/>
          <w:highlight w:val="none"/>
        </w:rPr>
        <w:fldChar w:fldCharType="separate"/>
      </w:r>
      <w:r>
        <w:rPr>
          <w:rFonts w:hint="default"/>
          <w:color w:val="auto"/>
          <w:highlight w:val="none"/>
        </w:rPr>
        <w:t>格木克河</w:t>
      </w:r>
      <w:r>
        <w:rPr>
          <w:rFonts w:hint="default"/>
          <w:color w:val="auto"/>
          <w:highlight w:val="none"/>
        </w:rPr>
        <w:fldChar w:fldCharType="end"/>
      </w:r>
      <w:r>
        <w:rPr>
          <w:rFonts w:hint="default"/>
          <w:color w:val="auto"/>
          <w:highlight w:val="none"/>
        </w:rPr>
        <w:t>、伊吉密河、</w:t>
      </w:r>
      <w:r>
        <w:rPr>
          <w:rFonts w:hint="eastAsia"/>
          <w:color w:val="auto"/>
          <w:highlight w:val="none"/>
        </w:rPr>
        <w:t>安邦河</w:t>
      </w:r>
      <w:r>
        <w:rPr>
          <w:rFonts w:hint="default"/>
          <w:color w:val="auto"/>
          <w:highlight w:val="none"/>
        </w:rPr>
        <w:t>、</w:t>
      </w:r>
      <w:r>
        <w:rPr>
          <w:rFonts w:hint="eastAsia"/>
          <w:color w:val="auto"/>
          <w:highlight w:val="none"/>
        </w:rPr>
        <w:t>拉林清河</w:t>
      </w:r>
      <w:r>
        <w:rPr>
          <w:rFonts w:hint="default"/>
          <w:color w:val="auto"/>
          <w:highlight w:val="none"/>
        </w:rPr>
        <w:t>、</w:t>
      </w:r>
      <w:r>
        <w:rPr>
          <w:rFonts w:hint="eastAsia"/>
          <w:color w:val="auto"/>
          <w:highlight w:val="none"/>
          <w:lang w:eastAsia="zh-CN"/>
        </w:rPr>
        <w:t>泥</w:t>
      </w:r>
      <w:r>
        <w:rPr>
          <w:rFonts w:hint="default"/>
          <w:color w:val="auto"/>
          <w:highlight w:val="none"/>
        </w:rPr>
        <w:t>河、双银河、泥尔</w:t>
      </w:r>
      <w:r>
        <w:rPr>
          <w:rFonts w:hint="eastAsia"/>
          <w:color w:val="auto"/>
          <w:highlight w:val="none"/>
          <w:lang w:eastAsia="zh-CN"/>
        </w:rPr>
        <w:t>根</w:t>
      </w:r>
      <w:r>
        <w:rPr>
          <w:rFonts w:hint="default"/>
          <w:color w:val="auto"/>
          <w:highlight w:val="none"/>
        </w:rPr>
        <w:t>河</w:t>
      </w:r>
      <w:r>
        <w:rPr>
          <w:rFonts w:hint="eastAsia"/>
          <w:color w:val="auto"/>
          <w:highlight w:val="none"/>
        </w:rPr>
        <w:t>。</w:t>
      </w:r>
      <w:r>
        <w:rPr>
          <w:rFonts w:hint="eastAsia" w:ascii="Times New Roman" w:hAnsi="Times New Roman" w:eastAsia="宋体" w:cs="Times New Roman"/>
          <w:color w:val="auto"/>
          <w:highlight w:val="none"/>
        </w:rPr>
        <w:t>根据《黑龙江省地表水功能区标准》（DB23/T 740-2003），该区域位于</w:t>
      </w:r>
      <w:r>
        <w:rPr>
          <w:rFonts w:hint="eastAsia" w:ascii="Times New Roman" w:hAnsi="Times New Roman" w:eastAsia="宋体" w:cs="Times New Roman"/>
          <w:color w:val="auto"/>
          <w:highlight w:val="none"/>
          <w:lang w:val="en-US" w:eastAsia="zh-CN"/>
        </w:rPr>
        <w:t>呼兰河呼兰县开发利用区，起始断面为桃山镇，终止断面为入松花江河口</w:t>
      </w:r>
      <w:r>
        <w:rPr>
          <w:rFonts w:hint="eastAsia"/>
          <w:color w:val="auto"/>
          <w:highlight w:val="none"/>
        </w:rPr>
        <w:t>，水质目标为Ⅲ</w:t>
      </w:r>
      <w:r>
        <w:rPr>
          <w:rFonts w:hint="eastAsia" w:ascii="Times New Roman" w:hAnsi="Times New Roman" w:eastAsia="宋体" w:cs="Times New Roman"/>
          <w:color w:val="auto"/>
          <w:highlight w:val="none"/>
          <w:lang w:eastAsia="zh-CN"/>
        </w:rPr>
        <w:t>、</w:t>
      </w:r>
      <w:r>
        <w:rPr>
          <w:rFonts w:hint="eastAsia" w:cs="Times New Roman"/>
          <w:color w:val="auto"/>
          <w:highlight w:val="none"/>
          <w:lang w:eastAsia="zh-CN"/>
        </w:rPr>
        <w:t>Ⅳ类</w:t>
      </w:r>
      <w:r>
        <w:rPr>
          <w:rFonts w:hint="eastAsia"/>
          <w:color w:val="auto"/>
          <w:highlight w:val="none"/>
          <w:lang w:eastAsia="zh-CN"/>
        </w:rPr>
        <w:t>，开发利用区是</w:t>
      </w:r>
      <w:r>
        <w:rPr>
          <w:rFonts w:hint="eastAsia"/>
          <w:color w:val="auto"/>
          <w:highlight w:val="none"/>
          <w:lang w:val="en-US" w:eastAsia="zh-CN"/>
        </w:rPr>
        <w:t>为满足城镇生活、工农业生产、渔业、景观娱乐和控制排污等需求划定的水域。本项目建设的取水井是为了满足乡镇及村屯的生活用水，与地表水功能区划功能相符，与水源地建设不冲突。</w:t>
      </w:r>
    </w:p>
    <w:p w14:paraId="29924FA4">
      <w:pPr>
        <w:pStyle w:val="4"/>
        <w:rPr>
          <w:color w:val="auto"/>
          <w:highlight w:val="none"/>
        </w:rPr>
      </w:pPr>
      <w:bookmarkStart w:id="40" w:name="_Toc523"/>
      <w:r>
        <w:rPr>
          <w:rFonts w:hint="eastAsia"/>
          <w:color w:val="auto"/>
          <w:highlight w:val="none"/>
        </w:rPr>
        <w:t>2.4.3地下水功能区划情况</w:t>
      </w:r>
      <w:bookmarkEnd w:id="40"/>
    </w:p>
    <w:p w14:paraId="11D52288">
      <w:pPr>
        <w:ind w:firstLine="470"/>
        <w:rPr>
          <w:color w:val="auto"/>
          <w:highlight w:val="none"/>
        </w:rPr>
      </w:pPr>
      <w:r>
        <w:rPr>
          <w:rFonts w:hint="eastAsia"/>
          <w:color w:val="auto"/>
          <w:highlight w:val="none"/>
        </w:rPr>
        <w:t>本次</w:t>
      </w:r>
      <w:r>
        <w:rPr>
          <w:rFonts w:hint="eastAsia"/>
          <w:color w:val="auto"/>
          <w:highlight w:val="none"/>
          <w:lang w:eastAsia="zh-CN"/>
        </w:rPr>
        <w:t>调整</w:t>
      </w:r>
      <w:r>
        <w:rPr>
          <w:rFonts w:hint="eastAsia"/>
          <w:color w:val="auto"/>
          <w:highlight w:val="none"/>
        </w:rPr>
        <w:t>涉及水源为地下水型，为集中式生活饮用水，项目区域地下水环境执行《地下水质量标准》（GB/T 14848-2017）中Ⅲ类标准，Ⅲ类标准主要适用于集中式生活饮用水水源及工农业用水</w:t>
      </w:r>
      <w:r>
        <w:rPr>
          <w:rFonts w:hint="eastAsia"/>
          <w:color w:val="auto"/>
          <w:highlight w:val="none"/>
          <w:lang w:eastAsia="zh-CN"/>
        </w:rPr>
        <w:t>。</w:t>
      </w:r>
      <w:r>
        <w:rPr>
          <w:rFonts w:hint="eastAsia"/>
          <w:color w:val="auto"/>
          <w:highlight w:val="none"/>
          <w:lang w:val="en-US" w:eastAsia="zh-CN"/>
        </w:rPr>
        <w:t>本项目建设的取水井是为了满足乡镇、村屯生活用水，与地下水功能区划功能相符，</w:t>
      </w:r>
      <w:r>
        <w:rPr>
          <w:rFonts w:hint="eastAsia"/>
          <w:color w:val="auto"/>
          <w:highlight w:val="none"/>
        </w:rPr>
        <w:t>与水源地建设不冲突。</w:t>
      </w:r>
    </w:p>
    <w:p w14:paraId="2105AC29">
      <w:pPr>
        <w:pStyle w:val="4"/>
        <w:rPr>
          <w:color w:val="auto"/>
          <w:highlight w:val="none"/>
        </w:rPr>
      </w:pPr>
      <w:bookmarkStart w:id="41" w:name="_Toc25614"/>
      <w:r>
        <w:rPr>
          <w:rFonts w:hint="eastAsia"/>
          <w:color w:val="auto"/>
          <w:highlight w:val="none"/>
        </w:rPr>
        <w:t>2.4.4重</w:t>
      </w:r>
      <w:r>
        <w:rPr>
          <w:rFonts w:hint="eastAsia"/>
          <w:color w:val="auto"/>
          <w:highlight w:val="none"/>
          <w:lang w:eastAsia="zh-CN"/>
        </w:rPr>
        <w:t>要</w:t>
      </w:r>
      <w:r>
        <w:rPr>
          <w:rFonts w:hint="eastAsia"/>
          <w:color w:val="auto"/>
          <w:highlight w:val="none"/>
        </w:rPr>
        <w:t>生态功能区划情况</w:t>
      </w:r>
      <w:bookmarkEnd w:id="41"/>
    </w:p>
    <w:p w14:paraId="09623D28">
      <w:pPr>
        <w:adjustRightInd w:val="0"/>
        <w:snapToGrid w:val="0"/>
        <w:spacing w:line="360" w:lineRule="auto"/>
        <w:ind w:firstLine="472" w:firstLineChars="200"/>
        <w:jc w:val="both"/>
        <w:rPr>
          <w:rFonts w:hint="eastAsia" w:eastAsia="宋体"/>
          <w:color w:val="auto"/>
          <w:kern w:val="0"/>
          <w:sz w:val="24"/>
          <w:highlight w:val="none"/>
          <w:lang w:eastAsia="zh-CN"/>
        </w:rPr>
      </w:pPr>
      <w:r>
        <w:rPr>
          <w:rFonts w:hint="eastAsia"/>
          <w:color w:val="auto"/>
          <w:highlight w:val="none"/>
        </w:rPr>
        <w:t>根据《黑龙江省生态功能区划》，本项目所在</w:t>
      </w:r>
      <w:r>
        <w:rPr>
          <w:rFonts w:hint="eastAsia"/>
          <w:color w:val="auto"/>
          <w:kern w:val="0"/>
          <w:sz w:val="24"/>
          <w:highlight w:val="none"/>
        </w:rPr>
        <w:t>庆安县，属于Ⅰ</w:t>
      </w:r>
      <w:r>
        <w:rPr>
          <w:color w:val="auto"/>
          <w:kern w:val="0"/>
          <w:sz w:val="24"/>
          <w:highlight w:val="none"/>
        </w:rPr>
        <w:t>-5-2-</w:t>
      </w:r>
      <w:r>
        <w:rPr>
          <w:rFonts w:hint="eastAsia"/>
          <w:color w:val="auto"/>
          <w:kern w:val="0"/>
          <w:sz w:val="24"/>
          <w:highlight w:val="none"/>
        </w:rPr>
        <w:t>1</w:t>
      </w:r>
      <w:r>
        <w:rPr>
          <w:color w:val="auto"/>
          <w:kern w:val="0"/>
          <w:sz w:val="24"/>
          <w:highlight w:val="none"/>
        </w:rPr>
        <w:t>呼兰河流域上游水源涵养与土壤保持生态功能区</w:t>
      </w:r>
      <w:r>
        <w:rPr>
          <w:rFonts w:hint="eastAsia"/>
          <w:color w:val="auto"/>
          <w:kern w:val="0"/>
          <w:sz w:val="24"/>
          <w:highlight w:val="none"/>
        </w:rPr>
        <w:t>，</w:t>
      </w:r>
      <w:r>
        <w:rPr>
          <w:color w:val="auto"/>
          <w:kern w:val="0"/>
          <w:sz w:val="24"/>
          <w:highlight w:val="none"/>
        </w:rPr>
        <w:t>本区由黑龙江省中部的庆安县、绥棱县、海伦市和铁力市大部分组成，面积927</w:t>
      </w:r>
      <w:r>
        <w:rPr>
          <w:rFonts w:hint="eastAsia" w:ascii="Times New Roman" w:hAnsi="Times New Roman" w:eastAsia="宋体" w:cs="Times New Roman"/>
          <w:color w:val="auto"/>
          <w:highlight w:val="none"/>
        </w:rPr>
        <w:t>4平方公里。该区</w:t>
      </w:r>
      <w:r>
        <w:rPr>
          <w:rFonts w:hint="eastAsia" w:cs="Times New Roman"/>
          <w:color w:val="auto"/>
          <w:highlight w:val="none"/>
          <w:lang w:eastAsia="zh-CN"/>
        </w:rPr>
        <w:t>主要</w:t>
      </w:r>
      <w:r>
        <w:rPr>
          <w:rFonts w:hint="eastAsia" w:ascii="Times New Roman" w:hAnsi="Times New Roman" w:eastAsia="宋体" w:cs="Times New Roman"/>
          <w:color w:val="auto"/>
          <w:highlight w:val="none"/>
        </w:rPr>
        <w:t>生态环境问题：低洼地雨季易发生涝灾，旱季易形成旱灾；砂质土壤蓄水能力差，水土流失严重。生态环境敏感性</w:t>
      </w: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rPr>
        <w:t>土壤侵蚀、土地沙漠化和水污染中度敏感地区分布较为广泛</w:t>
      </w: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rPr>
        <w:t>主要生态系统服务功能</w:t>
      </w: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rPr>
        <w:t>水源涵养及土壤保持</w:t>
      </w: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rPr>
        <w:t>保护措施与发展方向</w:t>
      </w:r>
      <w:r>
        <w:rPr>
          <w:rFonts w:hint="eastAsia" w:ascii="Times New Roman" w:hAnsi="Times New Roman" w:eastAsia="宋体" w:cs="Times New Roman"/>
          <w:color w:val="auto"/>
          <w:highlight w:val="none"/>
          <w:lang w:eastAsia="zh-CN"/>
        </w:rPr>
        <w:t>：增加</w:t>
      </w:r>
      <w:r>
        <w:rPr>
          <w:rFonts w:hint="eastAsia" w:ascii="Times New Roman" w:hAnsi="Times New Roman" w:eastAsia="宋体" w:cs="Times New Roman"/>
          <w:color w:val="auto"/>
          <w:highlight w:val="none"/>
        </w:rPr>
        <w:t>森林覆盖率，增强水源涵养能力，调节土壤结构，发展生态农业，防止水土流失</w:t>
      </w:r>
      <w:r>
        <w:rPr>
          <w:rFonts w:hint="eastAsia" w:ascii="Times New Roman" w:hAnsi="Times New Roman" w:eastAsia="宋体" w:cs="Times New Roman"/>
          <w:color w:val="auto"/>
          <w:highlight w:val="none"/>
          <w:lang w:eastAsia="zh-CN"/>
        </w:rPr>
        <w:t>。</w:t>
      </w:r>
      <w:r>
        <w:rPr>
          <w:rFonts w:hint="eastAsia" w:cs="Times New Roman"/>
          <w:color w:val="auto"/>
          <w:highlight w:val="none"/>
          <w:lang w:eastAsia="zh-CN"/>
        </w:rPr>
        <w:t>本次水源地保护区范围调整不影响庆安县整体生态功能。</w:t>
      </w:r>
    </w:p>
    <w:p w14:paraId="252C429F">
      <w:pPr>
        <w:pStyle w:val="3"/>
        <w:rPr>
          <w:color w:val="auto"/>
          <w:highlight w:val="none"/>
          <w:lang w:val="en-US"/>
        </w:rPr>
      </w:pPr>
      <w:bookmarkStart w:id="42" w:name="_Toc19934"/>
      <w:bookmarkStart w:id="43" w:name="_Toc9614"/>
      <w:r>
        <w:rPr>
          <w:rFonts w:hint="eastAsia"/>
          <w:color w:val="auto"/>
          <w:highlight w:val="none"/>
          <w:lang w:val="en-US"/>
        </w:rPr>
        <w:t>2.5饮用水水源地保护区现状与问题</w:t>
      </w:r>
      <w:bookmarkEnd w:id="42"/>
      <w:bookmarkEnd w:id="43"/>
    </w:p>
    <w:p w14:paraId="28F6B94A">
      <w:pPr>
        <w:pStyle w:val="4"/>
        <w:rPr>
          <w:rFonts w:hint="eastAsia"/>
          <w:color w:val="auto"/>
          <w:highlight w:val="none"/>
        </w:rPr>
      </w:pPr>
      <w:bookmarkStart w:id="44" w:name="_Toc20390"/>
      <w:r>
        <w:rPr>
          <w:rFonts w:hint="eastAsia"/>
          <w:color w:val="auto"/>
          <w:highlight w:val="none"/>
        </w:rPr>
        <w:t>2.5.1保护区划分现状</w:t>
      </w:r>
      <w:bookmarkEnd w:id="44"/>
    </w:p>
    <w:p w14:paraId="7166B6FC">
      <w:pPr>
        <w:keepNext w:val="0"/>
        <w:keepLines w:val="0"/>
        <w:pageBreakBefore w:val="0"/>
        <w:widowControl w:val="0"/>
        <w:kinsoku/>
        <w:wordWrap/>
        <w:overflowPunct/>
        <w:topLinePunct w:val="0"/>
        <w:bidi w:val="0"/>
        <w:snapToGrid/>
        <w:spacing w:line="360" w:lineRule="auto"/>
        <w:ind w:firstLine="472" w:firstLineChars="200"/>
        <w:jc w:val="both"/>
        <w:textAlignment w:val="auto"/>
        <w:rPr>
          <w:rFonts w:hint="eastAsia" w:ascii="Times New Roman" w:cs="Times New Roman"/>
          <w:color w:val="auto"/>
          <w:sz w:val="24"/>
          <w:szCs w:val="24"/>
          <w:highlight w:val="none"/>
          <w:lang w:eastAsia="zh-CN"/>
        </w:rPr>
      </w:pPr>
      <w:r>
        <w:rPr>
          <w:rFonts w:ascii="Times New Roman" w:cs="Times New Roman"/>
          <w:color w:val="auto"/>
          <w:sz w:val="24"/>
          <w:szCs w:val="24"/>
          <w:highlight w:val="none"/>
        </w:rPr>
        <w:t>20</w:t>
      </w:r>
      <w:r>
        <w:rPr>
          <w:rFonts w:hint="eastAsia" w:ascii="Times New Roman" w:cs="Times New Roman"/>
          <w:color w:val="auto"/>
          <w:sz w:val="24"/>
          <w:szCs w:val="24"/>
          <w:highlight w:val="none"/>
          <w:lang w:val="en-US" w:eastAsia="zh-CN"/>
        </w:rPr>
        <w:t>13</w:t>
      </w:r>
      <w:r>
        <w:rPr>
          <w:rFonts w:ascii="Times New Roman" w:cs="Times New Roman"/>
          <w:color w:val="auto"/>
          <w:sz w:val="24"/>
          <w:szCs w:val="24"/>
          <w:highlight w:val="none"/>
        </w:rPr>
        <w:t>年</w:t>
      </w:r>
      <w:r>
        <w:rPr>
          <w:rFonts w:hint="eastAsia" w:ascii="Times New Roman" w:cs="Times New Roman"/>
          <w:color w:val="auto"/>
          <w:sz w:val="24"/>
          <w:szCs w:val="24"/>
          <w:highlight w:val="none"/>
          <w:lang w:val="en-US" w:eastAsia="zh-CN"/>
        </w:rPr>
        <w:t>11</w:t>
      </w:r>
      <w:r>
        <w:rPr>
          <w:rFonts w:ascii="Times New Roman" w:cs="Times New Roman"/>
          <w:color w:val="auto"/>
          <w:sz w:val="24"/>
          <w:szCs w:val="24"/>
          <w:highlight w:val="none"/>
        </w:rPr>
        <w:t>月</w:t>
      </w:r>
      <w:r>
        <w:rPr>
          <w:rFonts w:hint="eastAsia" w:ascii="Times New Roman" w:cs="Times New Roman"/>
          <w:color w:val="auto"/>
          <w:sz w:val="24"/>
          <w:szCs w:val="24"/>
          <w:highlight w:val="none"/>
          <w:lang w:val="en-US" w:eastAsia="zh-CN"/>
        </w:rPr>
        <w:t>1</w:t>
      </w:r>
      <w:r>
        <w:rPr>
          <w:rFonts w:ascii="Times New Roman" w:cs="Times New Roman"/>
          <w:color w:val="auto"/>
          <w:sz w:val="24"/>
          <w:szCs w:val="24"/>
          <w:highlight w:val="none"/>
        </w:rPr>
        <w:t>日，黑龙江省人民政府以</w:t>
      </w:r>
      <w:r>
        <w:rPr>
          <w:rFonts w:hint="eastAsia" w:ascii="Times New Roman" w:cs="Times New Roman"/>
          <w:color w:val="auto"/>
          <w:sz w:val="24"/>
          <w:szCs w:val="24"/>
          <w:highlight w:val="none"/>
        </w:rPr>
        <w:t>“</w:t>
      </w:r>
      <w:r>
        <w:rPr>
          <w:rFonts w:ascii="Times New Roman" w:cs="Times New Roman"/>
          <w:color w:val="auto"/>
          <w:sz w:val="24"/>
          <w:szCs w:val="24"/>
          <w:highlight w:val="none"/>
        </w:rPr>
        <w:t>黑政函</w:t>
      </w:r>
      <w:r>
        <w:rPr>
          <w:rFonts w:hint="eastAsia" w:hAnsi="宋体"/>
          <w:color w:val="auto"/>
          <w:sz w:val="24"/>
          <w:szCs w:val="24"/>
          <w:highlight w:val="none"/>
        </w:rPr>
        <w:t>〔</w:t>
      </w:r>
      <w:r>
        <w:rPr>
          <w:rFonts w:ascii="Times New Roman" w:cs="Times New Roman"/>
          <w:color w:val="auto"/>
          <w:sz w:val="24"/>
          <w:szCs w:val="24"/>
          <w:highlight w:val="none"/>
        </w:rPr>
        <w:t>201</w:t>
      </w:r>
      <w:r>
        <w:rPr>
          <w:rFonts w:hint="eastAsia" w:ascii="Times New Roman" w:cs="Times New Roman"/>
          <w:color w:val="auto"/>
          <w:sz w:val="24"/>
          <w:szCs w:val="24"/>
          <w:highlight w:val="none"/>
          <w:lang w:val="en-US" w:eastAsia="zh-CN"/>
        </w:rPr>
        <w:t>3</w:t>
      </w:r>
      <w:r>
        <w:rPr>
          <w:rFonts w:hint="eastAsia" w:hAnsi="宋体"/>
          <w:color w:val="auto"/>
          <w:sz w:val="24"/>
          <w:szCs w:val="24"/>
          <w:highlight w:val="none"/>
        </w:rPr>
        <w:t>〕</w:t>
      </w:r>
      <w:r>
        <w:rPr>
          <w:rFonts w:hint="eastAsia" w:ascii="Times New Roman" w:cs="Times New Roman"/>
          <w:color w:val="auto"/>
          <w:sz w:val="24"/>
          <w:szCs w:val="24"/>
          <w:highlight w:val="none"/>
          <w:lang w:val="en-US" w:eastAsia="zh-CN"/>
        </w:rPr>
        <w:t>113</w:t>
      </w:r>
      <w:r>
        <w:rPr>
          <w:rFonts w:hint="eastAsia" w:ascii="Times New Roman" w:cs="Times New Roman"/>
          <w:color w:val="auto"/>
          <w:sz w:val="24"/>
          <w:szCs w:val="24"/>
          <w:highlight w:val="none"/>
        </w:rPr>
        <w:t>号”</w:t>
      </w:r>
      <w:r>
        <w:rPr>
          <w:rFonts w:ascii="Times New Roman" w:cs="Times New Roman"/>
          <w:color w:val="auto"/>
          <w:sz w:val="24"/>
          <w:szCs w:val="24"/>
          <w:highlight w:val="none"/>
        </w:rPr>
        <w:t>对</w:t>
      </w:r>
      <w:r>
        <w:rPr>
          <w:rFonts w:hint="eastAsia" w:ascii="Times New Roman" w:cs="Times New Roman"/>
          <w:color w:val="auto"/>
          <w:sz w:val="24"/>
          <w:szCs w:val="24"/>
          <w:highlight w:val="none"/>
          <w:lang w:eastAsia="zh-CN"/>
        </w:rPr>
        <w:t>庆安县同乐乡、新胜乡新清村、庆安镇西姜家</w:t>
      </w:r>
      <w:r>
        <w:rPr>
          <w:rFonts w:hint="eastAsia" w:ascii="Times New Roman" w:cs="Times New Roman"/>
          <w:color w:val="auto"/>
          <w:sz w:val="24"/>
          <w:szCs w:val="24"/>
          <w:highlight w:val="none"/>
        </w:rPr>
        <w:t>集中式饮用水</w:t>
      </w:r>
      <w:r>
        <w:rPr>
          <w:rFonts w:ascii="Times New Roman" w:cs="Times New Roman"/>
          <w:color w:val="auto"/>
          <w:sz w:val="24"/>
          <w:szCs w:val="24"/>
          <w:highlight w:val="none"/>
        </w:rPr>
        <w:t>水源</w:t>
      </w:r>
      <w:r>
        <w:rPr>
          <w:rFonts w:hint="eastAsia" w:cs="Times New Roman"/>
          <w:color w:val="auto"/>
          <w:sz w:val="24"/>
          <w:szCs w:val="24"/>
          <w:highlight w:val="none"/>
          <w:lang w:val="en-US" w:eastAsia="zh-CN"/>
        </w:rPr>
        <w:t>（</w:t>
      </w:r>
      <w:r>
        <w:rPr>
          <w:rFonts w:hint="eastAsia" w:hAnsi="宋体"/>
          <w:color w:val="auto"/>
          <w:szCs w:val="28"/>
          <w:highlight w:val="none"/>
        </w:rPr>
        <w:t>共</w:t>
      </w:r>
      <w:r>
        <w:rPr>
          <w:rFonts w:hint="eastAsia" w:hAnsi="宋体"/>
          <w:color w:val="auto"/>
          <w:szCs w:val="28"/>
          <w:highlight w:val="none"/>
          <w:lang w:val="en-US" w:eastAsia="zh-CN"/>
        </w:rPr>
        <w:t>3</w:t>
      </w:r>
      <w:r>
        <w:rPr>
          <w:rFonts w:hint="eastAsia" w:hAnsi="宋体"/>
          <w:color w:val="auto"/>
          <w:szCs w:val="28"/>
          <w:highlight w:val="none"/>
          <w:lang w:eastAsia="zh-CN"/>
        </w:rPr>
        <w:t>眼井</w:t>
      </w:r>
      <w:r>
        <w:rPr>
          <w:rFonts w:hint="eastAsia" w:cs="Times New Roman"/>
          <w:color w:val="auto"/>
          <w:sz w:val="24"/>
          <w:szCs w:val="24"/>
          <w:highlight w:val="none"/>
          <w:lang w:val="en-US" w:eastAsia="zh-CN"/>
        </w:rPr>
        <w:t>）</w:t>
      </w:r>
      <w:r>
        <w:rPr>
          <w:rFonts w:ascii="Times New Roman" w:cs="Times New Roman"/>
          <w:color w:val="auto"/>
          <w:sz w:val="24"/>
          <w:szCs w:val="24"/>
          <w:highlight w:val="none"/>
        </w:rPr>
        <w:t>保护区范围进行了批复</w:t>
      </w:r>
      <w:r>
        <w:rPr>
          <w:rFonts w:hint="eastAsia" w:ascii="Times New Roman" w:cs="Times New Roman"/>
          <w:color w:val="auto"/>
          <w:sz w:val="24"/>
          <w:szCs w:val="24"/>
          <w:highlight w:val="none"/>
          <w:lang w:eastAsia="zh-CN"/>
        </w:rPr>
        <w:t>。</w:t>
      </w:r>
      <w:r>
        <w:rPr>
          <w:rFonts w:ascii="Times New Roman" w:cs="Times New Roman"/>
          <w:color w:val="auto"/>
          <w:sz w:val="24"/>
          <w:szCs w:val="24"/>
          <w:highlight w:val="none"/>
        </w:rPr>
        <w:t>20</w:t>
      </w:r>
      <w:r>
        <w:rPr>
          <w:rFonts w:hint="eastAsia" w:ascii="Times New Roman" w:cs="Times New Roman"/>
          <w:color w:val="auto"/>
          <w:sz w:val="24"/>
          <w:szCs w:val="24"/>
          <w:highlight w:val="none"/>
          <w:lang w:val="en-US" w:eastAsia="zh-CN"/>
        </w:rPr>
        <w:t>1</w:t>
      </w:r>
      <w:r>
        <w:rPr>
          <w:rFonts w:hint="eastAsia" w:cs="Times New Roman"/>
          <w:color w:val="auto"/>
          <w:sz w:val="24"/>
          <w:szCs w:val="24"/>
          <w:highlight w:val="none"/>
          <w:lang w:val="en-US" w:eastAsia="zh-CN"/>
        </w:rPr>
        <w:t>7</w:t>
      </w:r>
      <w:r>
        <w:rPr>
          <w:rFonts w:ascii="Times New Roman" w:cs="Times New Roman"/>
          <w:color w:val="auto"/>
          <w:sz w:val="24"/>
          <w:szCs w:val="24"/>
          <w:highlight w:val="none"/>
        </w:rPr>
        <w:t>年</w:t>
      </w:r>
      <w:r>
        <w:rPr>
          <w:rFonts w:hint="eastAsia" w:cs="Times New Roman"/>
          <w:color w:val="auto"/>
          <w:sz w:val="24"/>
          <w:szCs w:val="24"/>
          <w:highlight w:val="none"/>
          <w:lang w:val="en-US" w:eastAsia="zh-CN"/>
        </w:rPr>
        <w:t>12</w:t>
      </w:r>
      <w:r>
        <w:rPr>
          <w:rFonts w:ascii="Times New Roman" w:cs="Times New Roman"/>
          <w:color w:val="auto"/>
          <w:sz w:val="24"/>
          <w:szCs w:val="24"/>
          <w:highlight w:val="none"/>
        </w:rPr>
        <w:t>月</w:t>
      </w:r>
      <w:r>
        <w:rPr>
          <w:rFonts w:hint="eastAsia" w:cs="Times New Roman"/>
          <w:color w:val="auto"/>
          <w:sz w:val="24"/>
          <w:szCs w:val="24"/>
          <w:highlight w:val="none"/>
          <w:lang w:val="en-US" w:eastAsia="zh-CN"/>
        </w:rPr>
        <w:t>21</w:t>
      </w:r>
      <w:r>
        <w:rPr>
          <w:rFonts w:ascii="Times New Roman" w:cs="Times New Roman"/>
          <w:color w:val="auto"/>
          <w:sz w:val="24"/>
          <w:szCs w:val="24"/>
          <w:highlight w:val="none"/>
        </w:rPr>
        <w:t>日，黑龙江省人民政府以</w:t>
      </w:r>
      <w:r>
        <w:rPr>
          <w:rFonts w:hint="eastAsia" w:ascii="Times New Roman" w:cs="Times New Roman"/>
          <w:color w:val="auto"/>
          <w:sz w:val="24"/>
          <w:szCs w:val="24"/>
          <w:highlight w:val="none"/>
        </w:rPr>
        <w:t>“</w:t>
      </w:r>
      <w:r>
        <w:rPr>
          <w:rFonts w:ascii="Times New Roman" w:cs="Times New Roman"/>
          <w:color w:val="auto"/>
          <w:sz w:val="24"/>
          <w:szCs w:val="24"/>
          <w:highlight w:val="none"/>
        </w:rPr>
        <w:t>黑政函</w:t>
      </w:r>
      <w:r>
        <w:rPr>
          <w:rFonts w:hint="eastAsia" w:hAnsi="宋体"/>
          <w:color w:val="auto"/>
          <w:sz w:val="24"/>
          <w:szCs w:val="24"/>
          <w:highlight w:val="none"/>
        </w:rPr>
        <w:t>〔</w:t>
      </w:r>
      <w:r>
        <w:rPr>
          <w:rFonts w:ascii="Times New Roman" w:cs="Times New Roman"/>
          <w:color w:val="auto"/>
          <w:sz w:val="24"/>
          <w:szCs w:val="24"/>
          <w:highlight w:val="none"/>
        </w:rPr>
        <w:t>20</w:t>
      </w:r>
      <w:r>
        <w:rPr>
          <w:rFonts w:hint="eastAsia" w:cs="Times New Roman"/>
          <w:color w:val="auto"/>
          <w:sz w:val="24"/>
          <w:szCs w:val="24"/>
          <w:highlight w:val="none"/>
          <w:lang w:val="en-US" w:eastAsia="zh-CN"/>
        </w:rPr>
        <w:t>17</w:t>
      </w:r>
      <w:r>
        <w:rPr>
          <w:rFonts w:hint="eastAsia" w:hAnsi="宋体"/>
          <w:color w:val="auto"/>
          <w:sz w:val="24"/>
          <w:szCs w:val="24"/>
          <w:highlight w:val="none"/>
        </w:rPr>
        <w:t>〕</w:t>
      </w:r>
      <w:r>
        <w:rPr>
          <w:rFonts w:hint="eastAsia" w:ascii="Times New Roman" w:cs="Times New Roman"/>
          <w:color w:val="auto"/>
          <w:sz w:val="24"/>
          <w:szCs w:val="24"/>
          <w:highlight w:val="none"/>
          <w:lang w:val="en-US" w:eastAsia="zh-CN"/>
        </w:rPr>
        <w:t>1</w:t>
      </w:r>
      <w:r>
        <w:rPr>
          <w:rFonts w:hint="eastAsia" w:cs="Times New Roman"/>
          <w:color w:val="auto"/>
          <w:sz w:val="24"/>
          <w:szCs w:val="24"/>
          <w:highlight w:val="none"/>
          <w:lang w:val="en-US" w:eastAsia="zh-CN"/>
        </w:rPr>
        <w:t>18</w:t>
      </w:r>
      <w:r>
        <w:rPr>
          <w:rFonts w:hint="eastAsia" w:ascii="Times New Roman" w:cs="Times New Roman"/>
          <w:color w:val="auto"/>
          <w:sz w:val="24"/>
          <w:szCs w:val="24"/>
          <w:highlight w:val="none"/>
        </w:rPr>
        <w:t>号”</w:t>
      </w:r>
      <w:r>
        <w:rPr>
          <w:rFonts w:ascii="Times New Roman" w:cs="Times New Roman"/>
          <w:color w:val="auto"/>
          <w:sz w:val="24"/>
          <w:szCs w:val="24"/>
          <w:highlight w:val="none"/>
        </w:rPr>
        <w:t>对</w:t>
      </w:r>
      <w:r>
        <w:rPr>
          <w:rFonts w:hint="eastAsia" w:hAnsi="宋体"/>
          <w:color w:val="auto"/>
          <w:szCs w:val="28"/>
          <w:highlight w:val="none"/>
          <w:lang w:val="en-US" w:eastAsia="zh-CN"/>
        </w:rPr>
        <w:t>庆安</w:t>
      </w:r>
      <w:r>
        <w:rPr>
          <w:rFonts w:hint="eastAsia" w:hAnsi="宋体"/>
          <w:color w:val="auto"/>
          <w:szCs w:val="28"/>
          <w:highlight w:val="none"/>
        </w:rPr>
        <w:t>县</w:t>
      </w:r>
      <w:r>
        <w:rPr>
          <w:rFonts w:hint="eastAsia" w:hAnsi="宋体"/>
          <w:color w:val="auto"/>
          <w:szCs w:val="28"/>
          <w:highlight w:val="none"/>
          <w:lang w:val="en-US" w:eastAsia="zh-CN"/>
        </w:rPr>
        <w:t>14个乡镇</w:t>
      </w:r>
      <w:r>
        <w:rPr>
          <w:rFonts w:hint="eastAsia" w:hAnsi="宋体"/>
          <w:color w:val="auto"/>
          <w:szCs w:val="28"/>
          <w:highlight w:val="none"/>
        </w:rPr>
        <w:t>的</w:t>
      </w:r>
      <w:r>
        <w:rPr>
          <w:rFonts w:hint="eastAsia" w:hAnsi="宋体"/>
          <w:color w:val="auto"/>
          <w:szCs w:val="28"/>
          <w:highlight w:val="none"/>
          <w:lang w:val="en-US" w:eastAsia="zh-CN"/>
        </w:rPr>
        <w:t>50</w:t>
      </w:r>
      <w:r>
        <w:rPr>
          <w:rFonts w:hint="eastAsia" w:hAnsi="宋体"/>
          <w:color w:val="auto"/>
          <w:szCs w:val="28"/>
          <w:highlight w:val="none"/>
        </w:rPr>
        <w:t>个农村集中式饮用水水源（共</w:t>
      </w:r>
      <w:r>
        <w:rPr>
          <w:rFonts w:hint="eastAsia" w:hAnsi="宋体"/>
          <w:color w:val="auto"/>
          <w:szCs w:val="28"/>
          <w:highlight w:val="none"/>
          <w:lang w:val="en-US" w:eastAsia="zh-CN"/>
        </w:rPr>
        <w:t>52</w:t>
      </w:r>
      <w:r>
        <w:rPr>
          <w:rFonts w:hint="eastAsia" w:hAnsi="宋体"/>
          <w:color w:val="auto"/>
          <w:szCs w:val="28"/>
          <w:highlight w:val="none"/>
          <w:lang w:eastAsia="zh-CN"/>
        </w:rPr>
        <w:t>眼井</w:t>
      </w:r>
      <w:r>
        <w:rPr>
          <w:rFonts w:hint="eastAsia" w:hAnsi="宋体"/>
          <w:color w:val="auto"/>
          <w:szCs w:val="28"/>
          <w:highlight w:val="none"/>
        </w:rPr>
        <w:t>）</w:t>
      </w:r>
      <w:r>
        <w:rPr>
          <w:rFonts w:ascii="Times New Roman" w:cs="Times New Roman"/>
          <w:color w:val="auto"/>
          <w:sz w:val="24"/>
          <w:szCs w:val="24"/>
          <w:highlight w:val="none"/>
        </w:rPr>
        <w:t>保护区范围进行了批复</w:t>
      </w:r>
      <w:r>
        <w:rPr>
          <w:rFonts w:hint="eastAsia" w:ascii="Times New Roman" w:cs="Times New Roman"/>
          <w:color w:val="auto"/>
          <w:sz w:val="24"/>
          <w:szCs w:val="24"/>
          <w:highlight w:val="none"/>
          <w:lang w:eastAsia="zh-CN"/>
        </w:rPr>
        <w:t>。</w:t>
      </w:r>
      <w:r>
        <w:rPr>
          <w:rFonts w:ascii="Times New Roman" w:cs="Times New Roman"/>
          <w:color w:val="auto"/>
          <w:sz w:val="24"/>
          <w:szCs w:val="24"/>
          <w:highlight w:val="none"/>
        </w:rPr>
        <w:t>20</w:t>
      </w:r>
      <w:r>
        <w:rPr>
          <w:rFonts w:hint="eastAsia" w:ascii="Times New Roman" w:cs="Times New Roman"/>
          <w:color w:val="auto"/>
          <w:sz w:val="24"/>
          <w:szCs w:val="24"/>
          <w:highlight w:val="none"/>
          <w:lang w:val="en-US" w:eastAsia="zh-CN"/>
        </w:rPr>
        <w:t>1</w:t>
      </w:r>
      <w:r>
        <w:rPr>
          <w:rFonts w:hint="eastAsia" w:cs="Times New Roman"/>
          <w:color w:val="auto"/>
          <w:sz w:val="24"/>
          <w:szCs w:val="24"/>
          <w:highlight w:val="none"/>
          <w:lang w:val="en-US" w:eastAsia="zh-CN"/>
        </w:rPr>
        <w:t>8</w:t>
      </w:r>
      <w:r>
        <w:rPr>
          <w:rFonts w:ascii="Times New Roman" w:cs="Times New Roman"/>
          <w:color w:val="auto"/>
          <w:sz w:val="24"/>
          <w:szCs w:val="24"/>
          <w:highlight w:val="none"/>
        </w:rPr>
        <w:t>年</w:t>
      </w:r>
      <w:r>
        <w:rPr>
          <w:rFonts w:hint="eastAsia" w:cs="Times New Roman"/>
          <w:color w:val="auto"/>
          <w:sz w:val="24"/>
          <w:szCs w:val="24"/>
          <w:highlight w:val="none"/>
          <w:lang w:val="en-US" w:eastAsia="zh-CN"/>
        </w:rPr>
        <w:t>3</w:t>
      </w:r>
      <w:r>
        <w:rPr>
          <w:rFonts w:ascii="Times New Roman" w:cs="Times New Roman"/>
          <w:color w:val="auto"/>
          <w:sz w:val="24"/>
          <w:szCs w:val="24"/>
          <w:highlight w:val="none"/>
        </w:rPr>
        <w:t>月</w:t>
      </w:r>
      <w:r>
        <w:rPr>
          <w:rFonts w:hint="eastAsia" w:cs="Times New Roman"/>
          <w:color w:val="auto"/>
          <w:sz w:val="24"/>
          <w:szCs w:val="24"/>
          <w:highlight w:val="none"/>
          <w:lang w:val="en-US" w:eastAsia="zh-CN"/>
        </w:rPr>
        <w:t>17</w:t>
      </w:r>
      <w:r>
        <w:rPr>
          <w:rFonts w:ascii="Times New Roman" w:cs="Times New Roman"/>
          <w:color w:val="auto"/>
          <w:sz w:val="24"/>
          <w:szCs w:val="24"/>
          <w:highlight w:val="none"/>
        </w:rPr>
        <w:t>日，黑龙江省人民政府以</w:t>
      </w:r>
      <w:r>
        <w:rPr>
          <w:rFonts w:hint="eastAsia" w:ascii="Times New Roman" w:cs="Times New Roman"/>
          <w:color w:val="auto"/>
          <w:sz w:val="24"/>
          <w:szCs w:val="24"/>
          <w:highlight w:val="none"/>
        </w:rPr>
        <w:t>“</w:t>
      </w:r>
      <w:r>
        <w:rPr>
          <w:rFonts w:ascii="Times New Roman" w:cs="Times New Roman"/>
          <w:color w:val="auto"/>
          <w:sz w:val="24"/>
          <w:szCs w:val="24"/>
          <w:highlight w:val="none"/>
        </w:rPr>
        <w:t>黑政函</w:t>
      </w:r>
      <w:r>
        <w:rPr>
          <w:rFonts w:hint="eastAsia" w:hAnsi="宋体"/>
          <w:color w:val="auto"/>
          <w:sz w:val="24"/>
          <w:szCs w:val="24"/>
          <w:highlight w:val="none"/>
        </w:rPr>
        <w:t>〔</w:t>
      </w:r>
      <w:r>
        <w:rPr>
          <w:rFonts w:ascii="Times New Roman" w:cs="Times New Roman"/>
          <w:color w:val="auto"/>
          <w:sz w:val="24"/>
          <w:szCs w:val="24"/>
          <w:highlight w:val="none"/>
        </w:rPr>
        <w:t>20</w:t>
      </w:r>
      <w:r>
        <w:rPr>
          <w:rFonts w:hint="eastAsia" w:cs="Times New Roman"/>
          <w:color w:val="auto"/>
          <w:sz w:val="24"/>
          <w:szCs w:val="24"/>
          <w:highlight w:val="none"/>
          <w:lang w:val="en-US" w:eastAsia="zh-CN"/>
        </w:rPr>
        <w:t>18</w:t>
      </w:r>
      <w:r>
        <w:rPr>
          <w:rFonts w:hint="eastAsia" w:hAnsi="宋体"/>
          <w:color w:val="auto"/>
          <w:sz w:val="24"/>
          <w:szCs w:val="24"/>
          <w:highlight w:val="none"/>
        </w:rPr>
        <w:t>〕</w:t>
      </w:r>
      <w:r>
        <w:rPr>
          <w:rFonts w:hint="eastAsia" w:cs="Times New Roman"/>
          <w:color w:val="auto"/>
          <w:sz w:val="24"/>
          <w:szCs w:val="24"/>
          <w:highlight w:val="none"/>
          <w:lang w:val="en-US" w:eastAsia="zh-CN"/>
        </w:rPr>
        <w:t>21</w:t>
      </w:r>
      <w:r>
        <w:rPr>
          <w:rFonts w:hint="eastAsia" w:ascii="Times New Roman" w:cs="Times New Roman"/>
          <w:color w:val="auto"/>
          <w:sz w:val="24"/>
          <w:szCs w:val="24"/>
          <w:highlight w:val="none"/>
        </w:rPr>
        <w:t>号”</w:t>
      </w:r>
      <w:r>
        <w:rPr>
          <w:rFonts w:ascii="Times New Roman" w:cs="Times New Roman"/>
          <w:color w:val="auto"/>
          <w:sz w:val="24"/>
          <w:szCs w:val="24"/>
          <w:highlight w:val="none"/>
        </w:rPr>
        <w:t>对</w:t>
      </w:r>
      <w:r>
        <w:rPr>
          <w:rFonts w:hint="eastAsia" w:hAnsi="宋体"/>
          <w:color w:val="auto"/>
          <w:szCs w:val="28"/>
          <w:highlight w:val="none"/>
          <w:lang w:val="en-US" w:eastAsia="zh-CN"/>
        </w:rPr>
        <w:t>庆安</w:t>
      </w:r>
      <w:r>
        <w:rPr>
          <w:rFonts w:hint="eastAsia" w:hAnsi="宋体"/>
          <w:color w:val="auto"/>
          <w:szCs w:val="28"/>
          <w:highlight w:val="none"/>
        </w:rPr>
        <w:t>县</w:t>
      </w:r>
      <w:r>
        <w:rPr>
          <w:rFonts w:hint="eastAsia" w:hAnsi="宋体"/>
          <w:color w:val="auto"/>
          <w:szCs w:val="28"/>
          <w:highlight w:val="none"/>
          <w:lang w:val="en-US" w:eastAsia="zh-CN"/>
        </w:rPr>
        <w:t>3个乡镇</w:t>
      </w:r>
      <w:r>
        <w:rPr>
          <w:rFonts w:hint="eastAsia" w:hAnsi="宋体"/>
          <w:color w:val="auto"/>
          <w:szCs w:val="28"/>
          <w:highlight w:val="none"/>
        </w:rPr>
        <w:t>的</w:t>
      </w:r>
      <w:r>
        <w:rPr>
          <w:rFonts w:hint="eastAsia" w:hAnsi="宋体"/>
          <w:color w:val="auto"/>
          <w:szCs w:val="28"/>
          <w:highlight w:val="none"/>
          <w:lang w:val="en-US" w:eastAsia="zh-CN"/>
        </w:rPr>
        <w:t>4</w:t>
      </w:r>
      <w:r>
        <w:rPr>
          <w:rFonts w:hint="eastAsia" w:hAnsi="宋体"/>
          <w:color w:val="auto"/>
          <w:szCs w:val="28"/>
          <w:highlight w:val="none"/>
        </w:rPr>
        <w:t>个农村集中式饮用水水源（共</w:t>
      </w:r>
      <w:r>
        <w:rPr>
          <w:rFonts w:hint="eastAsia" w:hAnsi="宋体"/>
          <w:color w:val="auto"/>
          <w:szCs w:val="28"/>
          <w:highlight w:val="none"/>
          <w:lang w:val="en-US" w:eastAsia="zh-CN"/>
        </w:rPr>
        <w:t>5</w:t>
      </w:r>
      <w:r>
        <w:rPr>
          <w:rFonts w:hint="eastAsia" w:hAnsi="宋体"/>
          <w:color w:val="auto"/>
          <w:szCs w:val="28"/>
          <w:highlight w:val="none"/>
          <w:lang w:eastAsia="zh-CN"/>
        </w:rPr>
        <w:t>眼井</w:t>
      </w:r>
      <w:r>
        <w:rPr>
          <w:rFonts w:hint="eastAsia" w:hAnsi="宋体"/>
          <w:color w:val="auto"/>
          <w:szCs w:val="28"/>
          <w:highlight w:val="none"/>
        </w:rPr>
        <w:t>）保护区</w:t>
      </w:r>
      <w:r>
        <w:rPr>
          <w:rFonts w:ascii="Times New Roman" w:cs="Times New Roman"/>
          <w:color w:val="auto"/>
          <w:sz w:val="24"/>
          <w:szCs w:val="24"/>
          <w:highlight w:val="none"/>
        </w:rPr>
        <w:t>范围进行了批复</w:t>
      </w:r>
      <w:r>
        <w:rPr>
          <w:rFonts w:hint="eastAsia" w:ascii="Times New Roman" w:cs="Times New Roman"/>
          <w:color w:val="auto"/>
          <w:sz w:val="24"/>
          <w:szCs w:val="24"/>
          <w:highlight w:val="none"/>
          <w:lang w:eastAsia="zh-CN"/>
        </w:rPr>
        <w:t>。</w:t>
      </w:r>
      <w:r>
        <w:rPr>
          <w:rFonts w:ascii="Times New Roman" w:cs="Times New Roman"/>
          <w:color w:val="auto"/>
          <w:sz w:val="24"/>
          <w:szCs w:val="24"/>
          <w:highlight w:val="none"/>
        </w:rPr>
        <w:t>20</w:t>
      </w:r>
      <w:r>
        <w:rPr>
          <w:rFonts w:hint="eastAsia" w:ascii="Times New Roman" w:cs="Times New Roman"/>
          <w:color w:val="auto"/>
          <w:sz w:val="24"/>
          <w:szCs w:val="24"/>
          <w:highlight w:val="none"/>
          <w:lang w:val="en-US" w:eastAsia="zh-CN"/>
        </w:rPr>
        <w:t>1</w:t>
      </w:r>
      <w:r>
        <w:rPr>
          <w:rFonts w:hint="eastAsia" w:cs="Times New Roman"/>
          <w:color w:val="auto"/>
          <w:sz w:val="24"/>
          <w:szCs w:val="24"/>
          <w:highlight w:val="none"/>
          <w:lang w:val="en-US" w:eastAsia="zh-CN"/>
        </w:rPr>
        <w:t>9</w:t>
      </w:r>
      <w:r>
        <w:rPr>
          <w:rFonts w:ascii="Times New Roman" w:cs="Times New Roman"/>
          <w:color w:val="auto"/>
          <w:sz w:val="24"/>
          <w:szCs w:val="24"/>
          <w:highlight w:val="none"/>
        </w:rPr>
        <w:t>年</w:t>
      </w:r>
      <w:r>
        <w:rPr>
          <w:rFonts w:hint="eastAsia" w:cs="Times New Roman"/>
          <w:color w:val="auto"/>
          <w:sz w:val="24"/>
          <w:szCs w:val="24"/>
          <w:highlight w:val="none"/>
          <w:lang w:val="en-US" w:eastAsia="zh-CN"/>
        </w:rPr>
        <w:t>12</w:t>
      </w:r>
      <w:r>
        <w:rPr>
          <w:rFonts w:ascii="Times New Roman" w:cs="Times New Roman"/>
          <w:color w:val="auto"/>
          <w:sz w:val="24"/>
          <w:szCs w:val="24"/>
          <w:highlight w:val="none"/>
        </w:rPr>
        <w:t>月</w:t>
      </w:r>
      <w:r>
        <w:rPr>
          <w:rFonts w:hint="eastAsia" w:cs="Times New Roman"/>
          <w:color w:val="auto"/>
          <w:sz w:val="24"/>
          <w:szCs w:val="24"/>
          <w:highlight w:val="none"/>
          <w:lang w:val="en-US" w:eastAsia="zh-CN"/>
        </w:rPr>
        <w:t>26</w:t>
      </w:r>
      <w:r>
        <w:rPr>
          <w:rFonts w:ascii="Times New Roman" w:cs="Times New Roman"/>
          <w:color w:val="auto"/>
          <w:sz w:val="24"/>
          <w:szCs w:val="24"/>
          <w:highlight w:val="none"/>
        </w:rPr>
        <w:t>日，黑龙江省人民政府以</w:t>
      </w:r>
      <w:r>
        <w:rPr>
          <w:rFonts w:hint="eastAsia" w:ascii="Times New Roman" w:cs="Times New Roman"/>
          <w:color w:val="auto"/>
          <w:sz w:val="24"/>
          <w:szCs w:val="24"/>
          <w:highlight w:val="none"/>
        </w:rPr>
        <w:t>“</w:t>
      </w:r>
      <w:r>
        <w:rPr>
          <w:rFonts w:ascii="Times New Roman" w:cs="Times New Roman"/>
          <w:color w:val="auto"/>
          <w:sz w:val="24"/>
          <w:szCs w:val="24"/>
          <w:highlight w:val="none"/>
        </w:rPr>
        <w:t>黑政函</w:t>
      </w:r>
      <w:r>
        <w:rPr>
          <w:rFonts w:hint="eastAsia" w:hAnsi="宋体"/>
          <w:color w:val="auto"/>
          <w:sz w:val="24"/>
          <w:szCs w:val="24"/>
          <w:highlight w:val="none"/>
        </w:rPr>
        <w:t>〔</w:t>
      </w:r>
      <w:r>
        <w:rPr>
          <w:rFonts w:ascii="Times New Roman" w:cs="Times New Roman"/>
          <w:color w:val="auto"/>
          <w:sz w:val="24"/>
          <w:szCs w:val="24"/>
          <w:highlight w:val="none"/>
        </w:rPr>
        <w:t>20</w:t>
      </w:r>
      <w:r>
        <w:rPr>
          <w:rFonts w:hint="eastAsia" w:cs="Times New Roman"/>
          <w:color w:val="auto"/>
          <w:sz w:val="24"/>
          <w:szCs w:val="24"/>
          <w:highlight w:val="none"/>
          <w:lang w:val="en-US" w:eastAsia="zh-CN"/>
        </w:rPr>
        <w:t>19</w:t>
      </w:r>
      <w:r>
        <w:rPr>
          <w:rFonts w:hint="eastAsia" w:hAnsi="宋体"/>
          <w:color w:val="auto"/>
          <w:sz w:val="24"/>
          <w:szCs w:val="24"/>
          <w:highlight w:val="none"/>
        </w:rPr>
        <w:t>〕</w:t>
      </w:r>
      <w:r>
        <w:rPr>
          <w:rFonts w:hint="eastAsia" w:hAnsi="宋体"/>
          <w:color w:val="auto"/>
          <w:sz w:val="24"/>
          <w:szCs w:val="24"/>
          <w:highlight w:val="none"/>
          <w:lang w:val="en-US" w:eastAsia="zh-CN"/>
        </w:rPr>
        <w:t>118</w:t>
      </w:r>
      <w:r>
        <w:rPr>
          <w:rFonts w:hint="eastAsia" w:ascii="Times New Roman" w:cs="Times New Roman"/>
          <w:color w:val="auto"/>
          <w:sz w:val="24"/>
          <w:szCs w:val="24"/>
          <w:highlight w:val="none"/>
        </w:rPr>
        <w:t>号”</w:t>
      </w:r>
      <w:r>
        <w:rPr>
          <w:rFonts w:ascii="Times New Roman" w:cs="Times New Roman"/>
          <w:color w:val="auto"/>
          <w:sz w:val="24"/>
          <w:szCs w:val="24"/>
          <w:highlight w:val="none"/>
        </w:rPr>
        <w:t>对</w:t>
      </w:r>
      <w:r>
        <w:rPr>
          <w:rFonts w:hint="eastAsia" w:hAnsi="宋体"/>
          <w:color w:val="auto"/>
          <w:szCs w:val="28"/>
          <w:highlight w:val="none"/>
          <w:lang w:val="en-US" w:eastAsia="zh-CN"/>
        </w:rPr>
        <w:t>庆安</w:t>
      </w:r>
      <w:r>
        <w:rPr>
          <w:rFonts w:hint="eastAsia" w:hAnsi="宋体"/>
          <w:color w:val="auto"/>
          <w:szCs w:val="28"/>
          <w:highlight w:val="none"/>
        </w:rPr>
        <w:t>县</w:t>
      </w:r>
      <w:r>
        <w:rPr>
          <w:rFonts w:hint="eastAsia"/>
          <w:color w:val="auto"/>
          <w:highlight w:val="none"/>
        </w:rPr>
        <w:t>民乐镇等9个饮用水水源</w:t>
      </w:r>
      <w:r>
        <w:rPr>
          <w:rFonts w:hint="eastAsia" w:hAnsi="宋体"/>
          <w:color w:val="auto"/>
          <w:szCs w:val="28"/>
          <w:highlight w:val="none"/>
        </w:rPr>
        <w:t>（共</w:t>
      </w:r>
      <w:r>
        <w:rPr>
          <w:rFonts w:hint="eastAsia" w:hAnsi="宋体"/>
          <w:color w:val="auto"/>
          <w:szCs w:val="28"/>
          <w:highlight w:val="none"/>
          <w:lang w:val="en-US" w:eastAsia="zh-CN"/>
        </w:rPr>
        <w:t>11</w:t>
      </w:r>
      <w:r>
        <w:rPr>
          <w:rFonts w:ascii="Times New Roman" w:cs="Times New Roman"/>
          <w:color w:val="auto"/>
          <w:sz w:val="24"/>
          <w:szCs w:val="24"/>
          <w:highlight w:val="none"/>
        </w:rPr>
        <w:t>眼</w:t>
      </w:r>
      <w:r>
        <w:rPr>
          <w:rFonts w:hint="eastAsia" w:hAnsi="宋体"/>
          <w:color w:val="auto"/>
          <w:szCs w:val="28"/>
          <w:highlight w:val="none"/>
        </w:rPr>
        <w:t>井）保护区</w:t>
      </w:r>
      <w:r>
        <w:rPr>
          <w:rFonts w:ascii="Times New Roman" w:cs="Times New Roman"/>
          <w:color w:val="auto"/>
          <w:sz w:val="24"/>
          <w:szCs w:val="24"/>
          <w:highlight w:val="none"/>
        </w:rPr>
        <w:t>范围进行了批复</w:t>
      </w:r>
      <w:r>
        <w:rPr>
          <w:rFonts w:hint="eastAsia" w:ascii="Times New Roman" w:cs="Times New Roman"/>
          <w:color w:val="auto"/>
          <w:sz w:val="24"/>
          <w:szCs w:val="24"/>
          <w:highlight w:val="none"/>
          <w:lang w:eastAsia="zh-CN"/>
        </w:rPr>
        <w:t>。</w:t>
      </w:r>
      <w:r>
        <w:rPr>
          <w:rFonts w:ascii="Times New Roman" w:cs="Times New Roman"/>
          <w:color w:val="auto"/>
          <w:sz w:val="24"/>
          <w:szCs w:val="24"/>
          <w:highlight w:val="none"/>
        </w:rPr>
        <w:t>20</w:t>
      </w:r>
      <w:r>
        <w:rPr>
          <w:rFonts w:hint="eastAsia" w:cs="Times New Roman"/>
          <w:color w:val="auto"/>
          <w:sz w:val="24"/>
          <w:szCs w:val="24"/>
          <w:highlight w:val="none"/>
          <w:lang w:val="en-US" w:eastAsia="zh-CN"/>
        </w:rPr>
        <w:t>21</w:t>
      </w:r>
      <w:r>
        <w:rPr>
          <w:rFonts w:ascii="Times New Roman" w:cs="Times New Roman"/>
          <w:color w:val="auto"/>
          <w:sz w:val="24"/>
          <w:szCs w:val="24"/>
          <w:highlight w:val="none"/>
        </w:rPr>
        <w:t>年</w:t>
      </w:r>
      <w:r>
        <w:rPr>
          <w:rFonts w:hint="eastAsia" w:cs="Times New Roman"/>
          <w:color w:val="auto"/>
          <w:sz w:val="24"/>
          <w:szCs w:val="24"/>
          <w:highlight w:val="none"/>
          <w:lang w:val="en-US" w:eastAsia="zh-CN"/>
        </w:rPr>
        <w:t>7</w:t>
      </w:r>
      <w:r>
        <w:rPr>
          <w:rFonts w:ascii="Times New Roman" w:cs="Times New Roman"/>
          <w:color w:val="auto"/>
          <w:sz w:val="24"/>
          <w:szCs w:val="24"/>
          <w:highlight w:val="none"/>
        </w:rPr>
        <w:t>月</w:t>
      </w:r>
      <w:r>
        <w:rPr>
          <w:rFonts w:hint="eastAsia" w:cs="Times New Roman"/>
          <w:color w:val="auto"/>
          <w:sz w:val="24"/>
          <w:szCs w:val="24"/>
          <w:highlight w:val="none"/>
          <w:lang w:val="en-US" w:eastAsia="zh-CN"/>
        </w:rPr>
        <w:t>9</w:t>
      </w:r>
      <w:r>
        <w:rPr>
          <w:rFonts w:ascii="Times New Roman" w:cs="Times New Roman"/>
          <w:color w:val="auto"/>
          <w:sz w:val="24"/>
          <w:szCs w:val="24"/>
          <w:highlight w:val="none"/>
        </w:rPr>
        <w:t>日，黑龙江省人民政府以</w:t>
      </w:r>
      <w:r>
        <w:rPr>
          <w:rFonts w:hint="eastAsia" w:ascii="Times New Roman" w:cs="Times New Roman"/>
          <w:color w:val="auto"/>
          <w:sz w:val="24"/>
          <w:szCs w:val="24"/>
          <w:highlight w:val="none"/>
        </w:rPr>
        <w:t>“</w:t>
      </w:r>
      <w:r>
        <w:rPr>
          <w:rFonts w:ascii="Times New Roman" w:cs="Times New Roman"/>
          <w:color w:val="auto"/>
          <w:sz w:val="24"/>
          <w:szCs w:val="24"/>
          <w:highlight w:val="none"/>
        </w:rPr>
        <w:t>黑政函</w:t>
      </w:r>
      <w:r>
        <w:rPr>
          <w:rFonts w:hint="eastAsia" w:hAnsi="宋体"/>
          <w:color w:val="auto"/>
          <w:sz w:val="24"/>
          <w:szCs w:val="24"/>
          <w:highlight w:val="none"/>
        </w:rPr>
        <w:t>〔</w:t>
      </w:r>
      <w:r>
        <w:rPr>
          <w:rFonts w:ascii="Times New Roman" w:cs="Times New Roman"/>
          <w:color w:val="auto"/>
          <w:sz w:val="24"/>
          <w:szCs w:val="24"/>
          <w:highlight w:val="none"/>
        </w:rPr>
        <w:t>20</w:t>
      </w:r>
      <w:r>
        <w:rPr>
          <w:rFonts w:hint="eastAsia" w:cs="Times New Roman"/>
          <w:color w:val="auto"/>
          <w:sz w:val="24"/>
          <w:szCs w:val="24"/>
          <w:highlight w:val="none"/>
          <w:lang w:val="en-US" w:eastAsia="zh-CN"/>
        </w:rPr>
        <w:t>21</w:t>
      </w:r>
      <w:r>
        <w:rPr>
          <w:rFonts w:hint="eastAsia" w:hAnsi="宋体"/>
          <w:color w:val="auto"/>
          <w:sz w:val="24"/>
          <w:szCs w:val="24"/>
          <w:highlight w:val="none"/>
        </w:rPr>
        <w:t>〕</w:t>
      </w:r>
      <w:r>
        <w:rPr>
          <w:rFonts w:hint="eastAsia" w:cs="Times New Roman"/>
          <w:color w:val="auto"/>
          <w:sz w:val="24"/>
          <w:szCs w:val="24"/>
          <w:highlight w:val="none"/>
          <w:lang w:val="en-US" w:eastAsia="zh-CN"/>
        </w:rPr>
        <w:t>51</w:t>
      </w:r>
      <w:r>
        <w:rPr>
          <w:rFonts w:hint="eastAsia" w:ascii="Times New Roman" w:cs="Times New Roman"/>
          <w:color w:val="auto"/>
          <w:sz w:val="24"/>
          <w:szCs w:val="24"/>
          <w:highlight w:val="none"/>
        </w:rPr>
        <w:t>号”</w:t>
      </w:r>
      <w:r>
        <w:rPr>
          <w:rFonts w:ascii="Times New Roman" w:cs="Times New Roman"/>
          <w:color w:val="auto"/>
          <w:sz w:val="24"/>
          <w:szCs w:val="24"/>
          <w:highlight w:val="none"/>
        </w:rPr>
        <w:t>对庆安县勤劳镇3#、4#井及丰收乡丰泰村饮用水水源</w:t>
      </w:r>
      <w:r>
        <w:rPr>
          <w:rFonts w:hint="eastAsia" w:cs="Times New Roman"/>
          <w:color w:val="auto"/>
          <w:sz w:val="24"/>
          <w:szCs w:val="24"/>
          <w:highlight w:val="none"/>
          <w:lang w:val="en-US" w:eastAsia="zh-CN"/>
        </w:rPr>
        <w:t>（</w:t>
      </w:r>
      <w:r>
        <w:rPr>
          <w:rFonts w:hint="eastAsia" w:hAnsi="宋体"/>
          <w:color w:val="auto"/>
          <w:szCs w:val="28"/>
          <w:highlight w:val="none"/>
        </w:rPr>
        <w:t>共</w:t>
      </w:r>
      <w:r>
        <w:rPr>
          <w:rFonts w:hint="eastAsia" w:hAnsi="宋体"/>
          <w:color w:val="auto"/>
          <w:szCs w:val="28"/>
          <w:highlight w:val="none"/>
          <w:lang w:val="en-US" w:eastAsia="zh-CN"/>
        </w:rPr>
        <w:t>3</w:t>
      </w:r>
      <w:r>
        <w:rPr>
          <w:rFonts w:hint="eastAsia" w:hAnsi="宋体"/>
          <w:color w:val="auto"/>
          <w:szCs w:val="28"/>
          <w:highlight w:val="none"/>
          <w:lang w:eastAsia="zh-CN"/>
        </w:rPr>
        <w:t>眼井</w:t>
      </w:r>
      <w:r>
        <w:rPr>
          <w:rFonts w:hint="eastAsia" w:cs="Times New Roman"/>
          <w:color w:val="auto"/>
          <w:sz w:val="24"/>
          <w:szCs w:val="24"/>
          <w:highlight w:val="none"/>
          <w:lang w:val="en-US" w:eastAsia="zh-CN"/>
        </w:rPr>
        <w:t>）</w:t>
      </w:r>
      <w:r>
        <w:rPr>
          <w:rFonts w:ascii="Times New Roman" w:cs="Times New Roman"/>
          <w:color w:val="auto"/>
          <w:sz w:val="24"/>
          <w:szCs w:val="24"/>
          <w:highlight w:val="none"/>
        </w:rPr>
        <w:t>保护区范围进行了批复</w:t>
      </w:r>
      <w:r>
        <w:rPr>
          <w:rFonts w:hint="eastAsia" w:ascii="Times New Roman" w:cs="Times New Roman"/>
          <w:color w:val="auto"/>
          <w:sz w:val="24"/>
          <w:szCs w:val="24"/>
          <w:highlight w:val="none"/>
          <w:lang w:eastAsia="zh-CN"/>
        </w:rPr>
        <w:t>。</w:t>
      </w:r>
      <w:r>
        <w:rPr>
          <w:rFonts w:ascii="Times New Roman" w:cs="Times New Roman"/>
          <w:color w:val="auto"/>
          <w:sz w:val="24"/>
          <w:szCs w:val="24"/>
          <w:highlight w:val="none"/>
        </w:rPr>
        <w:t>20</w:t>
      </w:r>
      <w:r>
        <w:rPr>
          <w:rFonts w:hint="eastAsia" w:cs="Times New Roman"/>
          <w:color w:val="auto"/>
          <w:sz w:val="24"/>
          <w:szCs w:val="24"/>
          <w:highlight w:val="none"/>
          <w:lang w:val="en-US" w:eastAsia="zh-CN"/>
        </w:rPr>
        <w:t>21</w:t>
      </w:r>
      <w:r>
        <w:rPr>
          <w:rFonts w:ascii="Times New Roman" w:cs="Times New Roman"/>
          <w:color w:val="auto"/>
          <w:sz w:val="24"/>
          <w:szCs w:val="24"/>
          <w:highlight w:val="none"/>
        </w:rPr>
        <w:t>年</w:t>
      </w:r>
      <w:r>
        <w:rPr>
          <w:rFonts w:hint="eastAsia" w:cs="Times New Roman"/>
          <w:color w:val="auto"/>
          <w:sz w:val="24"/>
          <w:szCs w:val="24"/>
          <w:highlight w:val="none"/>
          <w:lang w:val="en-US" w:eastAsia="zh-CN"/>
        </w:rPr>
        <w:t>11</w:t>
      </w:r>
      <w:r>
        <w:rPr>
          <w:rFonts w:ascii="Times New Roman" w:cs="Times New Roman"/>
          <w:color w:val="auto"/>
          <w:sz w:val="24"/>
          <w:szCs w:val="24"/>
          <w:highlight w:val="none"/>
        </w:rPr>
        <w:t>月</w:t>
      </w:r>
      <w:r>
        <w:rPr>
          <w:rFonts w:hint="eastAsia" w:cs="Times New Roman"/>
          <w:color w:val="auto"/>
          <w:sz w:val="24"/>
          <w:szCs w:val="24"/>
          <w:highlight w:val="none"/>
          <w:lang w:val="en-US" w:eastAsia="zh-CN"/>
        </w:rPr>
        <w:t>5</w:t>
      </w:r>
      <w:r>
        <w:rPr>
          <w:rFonts w:ascii="Times New Roman" w:cs="Times New Roman"/>
          <w:color w:val="auto"/>
          <w:sz w:val="24"/>
          <w:szCs w:val="24"/>
          <w:highlight w:val="none"/>
        </w:rPr>
        <w:t>日，黑龙江省人民政府以</w:t>
      </w:r>
      <w:r>
        <w:rPr>
          <w:rFonts w:hint="eastAsia" w:ascii="Times New Roman" w:cs="Times New Roman"/>
          <w:color w:val="auto"/>
          <w:sz w:val="24"/>
          <w:szCs w:val="24"/>
          <w:highlight w:val="none"/>
        </w:rPr>
        <w:t>“</w:t>
      </w:r>
      <w:r>
        <w:rPr>
          <w:rFonts w:ascii="Times New Roman" w:cs="Times New Roman"/>
          <w:color w:val="auto"/>
          <w:sz w:val="24"/>
          <w:szCs w:val="24"/>
          <w:highlight w:val="none"/>
        </w:rPr>
        <w:t>黑政函</w:t>
      </w:r>
      <w:r>
        <w:rPr>
          <w:rFonts w:hint="eastAsia" w:hAnsi="宋体"/>
          <w:color w:val="auto"/>
          <w:sz w:val="24"/>
          <w:szCs w:val="24"/>
          <w:highlight w:val="none"/>
        </w:rPr>
        <w:t>〔</w:t>
      </w:r>
      <w:r>
        <w:rPr>
          <w:rFonts w:ascii="Times New Roman" w:cs="Times New Roman"/>
          <w:color w:val="auto"/>
          <w:sz w:val="24"/>
          <w:szCs w:val="24"/>
          <w:highlight w:val="none"/>
        </w:rPr>
        <w:t>20</w:t>
      </w:r>
      <w:r>
        <w:rPr>
          <w:rFonts w:hint="eastAsia" w:cs="Times New Roman"/>
          <w:color w:val="auto"/>
          <w:sz w:val="24"/>
          <w:szCs w:val="24"/>
          <w:highlight w:val="none"/>
          <w:lang w:val="en-US" w:eastAsia="zh-CN"/>
        </w:rPr>
        <w:t>21</w:t>
      </w:r>
      <w:r>
        <w:rPr>
          <w:rFonts w:hint="eastAsia" w:hAnsi="宋体"/>
          <w:color w:val="auto"/>
          <w:sz w:val="24"/>
          <w:szCs w:val="24"/>
          <w:highlight w:val="none"/>
        </w:rPr>
        <w:t>〕</w:t>
      </w:r>
      <w:r>
        <w:rPr>
          <w:rFonts w:hint="eastAsia" w:cs="Times New Roman"/>
          <w:color w:val="auto"/>
          <w:sz w:val="24"/>
          <w:szCs w:val="24"/>
          <w:highlight w:val="none"/>
          <w:lang w:val="en-US" w:eastAsia="zh-CN"/>
        </w:rPr>
        <w:t>97</w:t>
      </w:r>
      <w:r>
        <w:rPr>
          <w:rFonts w:hint="eastAsia" w:ascii="Times New Roman" w:cs="Times New Roman"/>
          <w:color w:val="auto"/>
          <w:sz w:val="24"/>
          <w:szCs w:val="24"/>
          <w:highlight w:val="none"/>
        </w:rPr>
        <w:t>号”</w:t>
      </w:r>
      <w:r>
        <w:rPr>
          <w:rFonts w:ascii="Times New Roman" w:cs="Times New Roman"/>
          <w:color w:val="auto"/>
          <w:sz w:val="24"/>
          <w:szCs w:val="24"/>
          <w:highlight w:val="none"/>
        </w:rPr>
        <w:t>对</w:t>
      </w:r>
      <w:r>
        <w:rPr>
          <w:rFonts w:hint="eastAsia" w:ascii="Times New Roman" w:cs="Times New Roman"/>
          <w:color w:val="auto"/>
          <w:sz w:val="24"/>
          <w:szCs w:val="24"/>
          <w:highlight w:val="none"/>
        </w:rPr>
        <w:t>庆安县柳河镇、大罗镇2#井及久胜镇久旺村2#井</w:t>
      </w:r>
      <w:r>
        <w:rPr>
          <w:rFonts w:ascii="Times New Roman" w:cs="Times New Roman"/>
          <w:color w:val="auto"/>
          <w:sz w:val="24"/>
          <w:szCs w:val="24"/>
          <w:highlight w:val="none"/>
        </w:rPr>
        <w:t>饮用水水源</w:t>
      </w:r>
      <w:r>
        <w:rPr>
          <w:rFonts w:hint="eastAsia" w:cs="Times New Roman"/>
          <w:color w:val="auto"/>
          <w:sz w:val="24"/>
          <w:szCs w:val="24"/>
          <w:highlight w:val="none"/>
          <w:lang w:val="en-US" w:eastAsia="zh-CN"/>
        </w:rPr>
        <w:t>（</w:t>
      </w:r>
      <w:r>
        <w:rPr>
          <w:rFonts w:hint="eastAsia" w:hAnsi="宋体"/>
          <w:color w:val="auto"/>
          <w:szCs w:val="28"/>
          <w:highlight w:val="none"/>
        </w:rPr>
        <w:t>共</w:t>
      </w:r>
      <w:r>
        <w:rPr>
          <w:rFonts w:hint="eastAsia" w:hAnsi="宋体"/>
          <w:color w:val="auto"/>
          <w:szCs w:val="28"/>
          <w:highlight w:val="none"/>
          <w:lang w:val="en-US" w:eastAsia="zh-CN"/>
        </w:rPr>
        <w:t>3</w:t>
      </w:r>
      <w:r>
        <w:rPr>
          <w:rFonts w:hint="eastAsia" w:hAnsi="宋体"/>
          <w:color w:val="auto"/>
          <w:szCs w:val="28"/>
          <w:highlight w:val="none"/>
          <w:lang w:eastAsia="zh-CN"/>
        </w:rPr>
        <w:t>眼井</w:t>
      </w:r>
      <w:r>
        <w:rPr>
          <w:rFonts w:hint="eastAsia" w:cs="Times New Roman"/>
          <w:color w:val="auto"/>
          <w:sz w:val="24"/>
          <w:szCs w:val="24"/>
          <w:highlight w:val="none"/>
          <w:lang w:val="en-US" w:eastAsia="zh-CN"/>
        </w:rPr>
        <w:t>）</w:t>
      </w:r>
      <w:r>
        <w:rPr>
          <w:rFonts w:ascii="Times New Roman" w:cs="Times New Roman"/>
          <w:color w:val="auto"/>
          <w:sz w:val="24"/>
          <w:szCs w:val="24"/>
          <w:highlight w:val="none"/>
        </w:rPr>
        <w:t>保护区范围进行了批复</w:t>
      </w:r>
      <w:r>
        <w:rPr>
          <w:rFonts w:hint="eastAsia" w:ascii="Times New Roman" w:cs="Times New Roman"/>
          <w:color w:val="auto"/>
          <w:sz w:val="24"/>
          <w:szCs w:val="24"/>
          <w:highlight w:val="none"/>
          <w:lang w:eastAsia="zh-CN"/>
        </w:rPr>
        <w:t>。</w:t>
      </w:r>
    </w:p>
    <w:p w14:paraId="1382DC5F">
      <w:pPr>
        <w:keepNext w:val="0"/>
        <w:keepLines w:val="0"/>
        <w:pageBreakBefore w:val="0"/>
        <w:widowControl w:val="0"/>
        <w:kinsoku/>
        <w:wordWrap/>
        <w:overflowPunct/>
        <w:topLinePunct w:val="0"/>
        <w:bidi w:val="0"/>
        <w:snapToGrid/>
        <w:spacing w:line="360" w:lineRule="auto"/>
        <w:ind w:firstLine="472" w:firstLineChars="200"/>
        <w:jc w:val="both"/>
        <w:textAlignment w:val="auto"/>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本次</w:t>
      </w:r>
      <w:r>
        <w:rPr>
          <w:rFonts w:hint="eastAsia" w:cs="Times New Roman"/>
          <w:color w:val="auto"/>
          <w:highlight w:val="none"/>
          <w:lang w:val="en-US" w:eastAsia="zh-CN"/>
        </w:rPr>
        <w:t>调整</w:t>
      </w:r>
      <w:r>
        <w:rPr>
          <w:rFonts w:hint="eastAsia" w:ascii="Times New Roman" w:hAnsi="Times New Roman" w:eastAsia="宋体" w:cs="Times New Roman"/>
          <w:color w:val="auto"/>
          <w:highlight w:val="none"/>
          <w:lang w:val="en-US" w:eastAsia="zh-CN"/>
        </w:rPr>
        <w:t>被</w:t>
      </w:r>
      <w:r>
        <w:rPr>
          <w:rFonts w:hint="eastAsia" w:ascii="Times New Roman" w:hAnsi="Times New Roman" w:eastAsia="宋体" w:cs="Times New Roman"/>
          <w:color w:val="auto"/>
          <w:highlight w:val="none"/>
          <w:lang w:eastAsia="zh-CN"/>
        </w:rPr>
        <w:t>替代的</w:t>
      </w:r>
      <w:r>
        <w:rPr>
          <w:rFonts w:hint="eastAsia" w:ascii="Times New Roman" w:hAnsi="Times New Roman" w:eastAsia="宋体" w:cs="Times New Roman"/>
          <w:color w:val="auto"/>
          <w:highlight w:val="none"/>
        </w:rPr>
        <w:t>已批复水源地</w:t>
      </w:r>
      <w:r>
        <w:rPr>
          <w:rFonts w:hint="eastAsia" w:ascii="Times New Roman" w:hAnsi="Times New Roman" w:eastAsia="宋体" w:cs="Times New Roman"/>
          <w:color w:val="auto"/>
          <w:highlight w:val="none"/>
          <w:lang w:eastAsia="zh-CN"/>
        </w:rPr>
        <w:t>现状情况见</w:t>
      </w:r>
      <w:r>
        <w:rPr>
          <w:rFonts w:hint="eastAsia" w:cs="Times New Roman"/>
          <w:color w:val="auto"/>
          <w:highlight w:val="none"/>
          <w:lang w:eastAsia="zh-CN"/>
        </w:rPr>
        <w:t>表</w:t>
      </w:r>
      <w:r>
        <w:rPr>
          <w:rFonts w:hint="eastAsia" w:ascii="Times New Roman" w:hAnsi="Times New Roman" w:eastAsia="宋体" w:cs="Times New Roman"/>
          <w:color w:val="auto"/>
          <w:highlight w:val="none"/>
          <w:lang w:val="en-US" w:eastAsia="zh-CN"/>
        </w:rPr>
        <w:t>2-2，</w:t>
      </w:r>
      <w:r>
        <w:rPr>
          <w:rFonts w:hint="eastAsia" w:ascii="Times New Roman" w:hAnsi="Times New Roman" w:eastAsia="宋体" w:cs="Times New Roman"/>
          <w:color w:val="auto"/>
          <w:highlight w:val="none"/>
        </w:rPr>
        <w:t>水源地基本情况</w:t>
      </w:r>
      <w:r>
        <w:rPr>
          <w:rFonts w:hint="eastAsia" w:ascii="Times New Roman" w:hAnsi="Times New Roman" w:eastAsia="宋体" w:cs="Times New Roman"/>
          <w:color w:val="auto"/>
          <w:highlight w:val="none"/>
          <w:lang w:eastAsia="zh-CN"/>
        </w:rPr>
        <w:t>见表</w:t>
      </w:r>
      <w:r>
        <w:rPr>
          <w:rFonts w:hint="eastAsia" w:ascii="Times New Roman" w:hAnsi="Times New Roman" w:eastAsia="宋体" w:cs="Times New Roman"/>
          <w:color w:val="auto"/>
          <w:highlight w:val="none"/>
          <w:lang w:val="en-US" w:eastAsia="zh-CN"/>
        </w:rPr>
        <w:t>2-3</w:t>
      </w:r>
      <w:r>
        <w:rPr>
          <w:rFonts w:hint="eastAsia" w:ascii="Times New Roman" w:hAnsi="Times New Roman" w:eastAsia="宋体" w:cs="Times New Roman"/>
          <w:color w:val="auto"/>
          <w:highlight w:val="none"/>
          <w:lang w:eastAsia="zh-CN"/>
        </w:rPr>
        <w:t>。</w:t>
      </w:r>
    </w:p>
    <w:p w14:paraId="73F0AF2F">
      <w:pPr>
        <w:pStyle w:val="28"/>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Times New Roman" w:hAnsi="Times New Roman" w:cs="Times New Roman"/>
          <w:color w:val="auto"/>
          <w:highlight w:val="none"/>
          <w:lang w:eastAsia="zh-CN"/>
        </w:rPr>
      </w:pPr>
      <w:r>
        <w:rPr>
          <w:rFonts w:hint="eastAsia" w:ascii="Times New Roman" w:hAnsi="Times New Roman" w:cs="Times New Roman"/>
          <w:color w:val="auto"/>
          <w:highlight w:val="none"/>
          <w:lang w:eastAsia="zh-CN"/>
        </w:rPr>
        <w:t>表</w:t>
      </w:r>
      <w:r>
        <w:rPr>
          <w:rFonts w:hint="eastAsia" w:cs="Times New Roman"/>
          <w:color w:val="auto"/>
          <w:highlight w:val="none"/>
          <w:lang w:val="en-US" w:eastAsia="zh-CN"/>
        </w:rPr>
        <w:t>2-2</w:t>
      </w:r>
      <w:r>
        <w:rPr>
          <w:rFonts w:hint="eastAsia" w:ascii="Times New Roman" w:hAnsi="Times New Roman" w:cs="Times New Roman"/>
          <w:color w:val="auto"/>
          <w:highlight w:val="none"/>
          <w:lang w:val="en-US" w:eastAsia="zh-CN"/>
        </w:rPr>
        <w:t xml:space="preserve">  </w:t>
      </w:r>
      <w:r>
        <w:rPr>
          <w:rFonts w:hint="eastAsia" w:ascii="Times New Roman" w:hAnsi="Times New Roman" w:cs="Times New Roman"/>
          <w:color w:val="auto"/>
          <w:highlight w:val="none"/>
        </w:rPr>
        <w:t>本次</w:t>
      </w:r>
      <w:r>
        <w:rPr>
          <w:rFonts w:hint="eastAsia" w:ascii="Times New Roman" w:hAnsi="Times New Roman" w:cs="Times New Roman"/>
          <w:color w:val="auto"/>
          <w:highlight w:val="none"/>
          <w:lang w:eastAsia="zh-CN"/>
        </w:rPr>
        <w:t>调整</w:t>
      </w:r>
      <w:r>
        <w:rPr>
          <w:rFonts w:hint="eastAsia" w:cs="Times New Roman"/>
          <w:color w:val="auto"/>
          <w:highlight w:val="none"/>
          <w:lang w:eastAsia="zh-CN"/>
        </w:rPr>
        <w:t>被</w:t>
      </w:r>
      <w:r>
        <w:rPr>
          <w:rFonts w:hint="eastAsia" w:ascii="Times New Roman" w:hAnsi="Times New Roman" w:cs="Times New Roman"/>
          <w:color w:val="auto"/>
          <w:highlight w:val="none"/>
          <w:lang w:eastAsia="zh-CN"/>
        </w:rPr>
        <w:t>替代</w:t>
      </w:r>
      <w:r>
        <w:rPr>
          <w:rFonts w:hint="eastAsia" w:ascii="Times New Roman" w:hAnsi="Times New Roman" w:cs="Times New Roman"/>
          <w:color w:val="auto"/>
          <w:highlight w:val="none"/>
        </w:rPr>
        <w:t>已批复</w:t>
      </w:r>
      <w:r>
        <w:rPr>
          <w:rFonts w:hint="eastAsia" w:ascii="Times New Roman" w:hAnsi="Times New Roman" w:cs="Times New Roman"/>
          <w:color w:val="auto"/>
          <w:highlight w:val="none"/>
          <w:lang w:eastAsia="zh-CN"/>
        </w:rPr>
        <w:t>的</w:t>
      </w:r>
      <w:r>
        <w:rPr>
          <w:rFonts w:hint="eastAsia" w:ascii="Times New Roman" w:hAnsi="Times New Roman" w:cs="Times New Roman"/>
          <w:color w:val="auto"/>
          <w:highlight w:val="none"/>
        </w:rPr>
        <w:t>水源地情况</w:t>
      </w:r>
      <w:r>
        <w:rPr>
          <w:rFonts w:hint="eastAsia" w:ascii="Times New Roman" w:hAnsi="Times New Roman" w:cs="Times New Roman"/>
          <w:color w:val="auto"/>
          <w:highlight w:val="none"/>
          <w:lang w:eastAsia="zh-CN"/>
        </w:rPr>
        <w:t>一览表</w:t>
      </w:r>
    </w:p>
    <w:tbl>
      <w:tblPr>
        <w:tblStyle w:val="22"/>
        <w:tblW w:w="4996"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48"/>
        <w:gridCol w:w="1315"/>
        <w:gridCol w:w="1664"/>
        <w:gridCol w:w="1695"/>
        <w:gridCol w:w="1095"/>
        <w:gridCol w:w="1095"/>
        <w:gridCol w:w="1354"/>
      </w:tblGrid>
      <w:tr w14:paraId="7B327D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17" w:type="pct"/>
            <w:tcBorders>
              <w:tl2br w:val="nil"/>
              <w:tr2bl w:val="nil"/>
            </w:tcBorders>
            <w:vAlign w:val="center"/>
          </w:tcPr>
          <w:p w14:paraId="4FB61443">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eastAsia="zh-CN" w:bidi="ar"/>
              </w:rPr>
            </w:pPr>
            <w:r>
              <w:rPr>
                <w:rFonts w:hint="eastAsia" w:ascii="Times New Roman" w:hAnsi="Times New Roman" w:eastAsia="宋体" w:cs="Times New Roman"/>
                <w:color w:val="auto"/>
                <w:kern w:val="0"/>
                <w:sz w:val="21"/>
                <w:szCs w:val="21"/>
                <w:highlight w:val="none"/>
                <w:lang w:eastAsia="zh-CN" w:bidi="ar"/>
              </w:rPr>
              <w:t>序号</w:t>
            </w:r>
          </w:p>
        </w:tc>
        <w:tc>
          <w:tcPr>
            <w:tcW w:w="717" w:type="pct"/>
            <w:tcBorders>
              <w:tl2br w:val="nil"/>
              <w:tr2bl w:val="nil"/>
            </w:tcBorders>
            <w:vAlign w:val="center"/>
          </w:tcPr>
          <w:p w14:paraId="7C737987">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eastAsia="zh-CN" w:bidi="ar"/>
              </w:rPr>
            </w:pPr>
            <w:r>
              <w:rPr>
                <w:rFonts w:hint="eastAsia" w:ascii="Times New Roman" w:hAnsi="Times New Roman" w:eastAsia="宋体" w:cs="Times New Roman"/>
                <w:color w:val="auto"/>
                <w:kern w:val="0"/>
                <w:sz w:val="21"/>
                <w:szCs w:val="21"/>
                <w:highlight w:val="none"/>
                <w:lang w:eastAsia="zh-CN" w:bidi="ar"/>
              </w:rPr>
              <w:t>本次调整水源地</w:t>
            </w:r>
          </w:p>
        </w:tc>
        <w:tc>
          <w:tcPr>
            <w:tcW w:w="907" w:type="pct"/>
            <w:tcBorders>
              <w:tl2br w:val="nil"/>
              <w:tr2bl w:val="nil"/>
            </w:tcBorders>
            <w:vAlign w:val="center"/>
          </w:tcPr>
          <w:p w14:paraId="207BD805">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eastAsia="zh-CN" w:bidi="ar"/>
              </w:rPr>
            </w:pPr>
            <w:r>
              <w:rPr>
                <w:rFonts w:hint="eastAsia" w:cs="Times New Roman"/>
                <w:color w:val="auto"/>
                <w:kern w:val="0"/>
                <w:sz w:val="21"/>
                <w:szCs w:val="21"/>
                <w:highlight w:val="none"/>
                <w:lang w:eastAsia="zh-CN" w:bidi="ar"/>
              </w:rPr>
              <w:t>原</w:t>
            </w:r>
            <w:r>
              <w:rPr>
                <w:rFonts w:hint="eastAsia" w:ascii="Times New Roman" w:hAnsi="Times New Roman" w:eastAsia="宋体" w:cs="Times New Roman"/>
                <w:color w:val="auto"/>
                <w:kern w:val="0"/>
                <w:sz w:val="21"/>
                <w:szCs w:val="21"/>
                <w:highlight w:val="none"/>
                <w:lang w:eastAsia="zh-CN" w:bidi="ar"/>
              </w:rPr>
              <w:t>水源地</w:t>
            </w:r>
          </w:p>
        </w:tc>
        <w:tc>
          <w:tcPr>
            <w:tcW w:w="924" w:type="pct"/>
            <w:tcBorders>
              <w:tl2br w:val="nil"/>
              <w:tr2bl w:val="nil"/>
            </w:tcBorders>
            <w:vAlign w:val="center"/>
          </w:tcPr>
          <w:p w14:paraId="0AD8369C">
            <w:pPr>
              <w:widowControl/>
              <w:spacing w:line="240" w:lineRule="auto"/>
              <w:ind w:firstLine="0" w:firstLineChars="0"/>
              <w:jc w:val="center"/>
              <w:textAlignment w:val="center"/>
              <w:rPr>
                <w:rFonts w:hint="eastAsia" w:cs="Times New Roman"/>
                <w:color w:val="auto"/>
                <w:kern w:val="0"/>
                <w:sz w:val="21"/>
                <w:szCs w:val="21"/>
                <w:highlight w:val="none"/>
                <w:lang w:eastAsia="zh-CN" w:bidi="ar"/>
              </w:rPr>
            </w:pPr>
            <w:r>
              <w:rPr>
                <w:rFonts w:hint="eastAsia" w:cs="Times New Roman"/>
                <w:color w:val="auto"/>
                <w:kern w:val="0"/>
                <w:sz w:val="21"/>
                <w:szCs w:val="21"/>
                <w:highlight w:val="none"/>
                <w:lang w:eastAsia="zh-CN" w:bidi="ar"/>
              </w:rPr>
              <w:t>原</w:t>
            </w:r>
            <w:r>
              <w:rPr>
                <w:rFonts w:hint="eastAsia" w:ascii="Times New Roman" w:hAnsi="Times New Roman" w:eastAsia="宋体" w:cs="Times New Roman"/>
                <w:color w:val="auto"/>
                <w:kern w:val="0"/>
                <w:sz w:val="21"/>
                <w:szCs w:val="21"/>
                <w:highlight w:val="none"/>
                <w:lang w:eastAsia="zh-CN" w:bidi="ar"/>
              </w:rPr>
              <w:t>水源地</w:t>
            </w:r>
            <w:r>
              <w:rPr>
                <w:rFonts w:hint="eastAsia" w:cs="Times New Roman"/>
                <w:color w:val="auto"/>
                <w:kern w:val="0"/>
                <w:sz w:val="21"/>
                <w:szCs w:val="21"/>
                <w:highlight w:val="none"/>
                <w:lang w:eastAsia="zh-CN" w:bidi="ar"/>
              </w:rPr>
              <w:t>一级保护区范围</w:t>
            </w:r>
          </w:p>
        </w:tc>
        <w:tc>
          <w:tcPr>
            <w:tcW w:w="597" w:type="pct"/>
            <w:tcBorders>
              <w:tl2br w:val="nil"/>
              <w:tr2bl w:val="nil"/>
            </w:tcBorders>
            <w:vAlign w:val="center"/>
          </w:tcPr>
          <w:p w14:paraId="5D5AEADC">
            <w:pPr>
              <w:widowControl/>
              <w:spacing w:line="240" w:lineRule="auto"/>
              <w:ind w:firstLine="0" w:firstLineChars="0"/>
              <w:jc w:val="center"/>
              <w:textAlignment w:val="center"/>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eastAsia="zh-CN" w:bidi="ar"/>
              </w:rPr>
              <w:t>原</w:t>
            </w:r>
            <w:r>
              <w:rPr>
                <w:rFonts w:hint="eastAsia" w:ascii="Times New Roman" w:hAnsi="Times New Roman" w:eastAsia="宋体" w:cs="Times New Roman"/>
                <w:color w:val="auto"/>
                <w:kern w:val="0"/>
                <w:sz w:val="21"/>
                <w:szCs w:val="21"/>
                <w:highlight w:val="none"/>
                <w:lang w:eastAsia="zh-CN" w:bidi="ar"/>
              </w:rPr>
              <w:t>水源地</w:t>
            </w:r>
            <w:r>
              <w:rPr>
                <w:rFonts w:hint="default" w:ascii="Times New Roman" w:hAnsi="Times New Roman" w:eastAsia="宋体" w:cs="Times New Roman"/>
                <w:color w:val="auto"/>
                <w:sz w:val="21"/>
                <w:szCs w:val="21"/>
                <w:highlight w:val="none"/>
                <w:lang w:val="en-US" w:eastAsia="zh-CN"/>
              </w:rPr>
              <w:t>面积</w:t>
            </w:r>
            <w:r>
              <w:rPr>
                <w:rFonts w:hint="eastAsia" w:cs="Times New Roman"/>
                <w:color w:val="auto"/>
                <w:sz w:val="21"/>
                <w:szCs w:val="21"/>
                <w:highlight w:val="none"/>
                <w:lang w:val="en-US" w:eastAsia="zh-CN"/>
              </w:rPr>
              <w:t>（平方米）</w:t>
            </w:r>
          </w:p>
        </w:tc>
        <w:tc>
          <w:tcPr>
            <w:tcW w:w="597" w:type="pct"/>
            <w:tcBorders>
              <w:tl2br w:val="nil"/>
              <w:tr2bl w:val="nil"/>
            </w:tcBorders>
            <w:vAlign w:val="center"/>
          </w:tcPr>
          <w:p w14:paraId="56439FF1">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原</w:t>
            </w:r>
            <w:r>
              <w:rPr>
                <w:rFonts w:hint="eastAsia" w:ascii="Times New Roman" w:hAnsi="Times New Roman" w:eastAsia="宋体" w:cs="Times New Roman"/>
                <w:color w:val="auto"/>
                <w:kern w:val="0"/>
                <w:sz w:val="21"/>
                <w:szCs w:val="21"/>
                <w:highlight w:val="none"/>
                <w:lang w:val="en-US" w:eastAsia="zh-CN" w:bidi="ar"/>
              </w:rPr>
              <w:t>水源地批复</w:t>
            </w:r>
          </w:p>
        </w:tc>
        <w:tc>
          <w:tcPr>
            <w:tcW w:w="738" w:type="pct"/>
            <w:tcBorders>
              <w:tl2br w:val="nil"/>
              <w:tr2bl w:val="nil"/>
            </w:tcBorders>
            <w:vAlign w:val="center"/>
          </w:tcPr>
          <w:p w14:paraId="4B95B3FF">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eastAsia="zh-CN" w:bidi="ar"/>
              </w:rPr>
              <w:t>原</w:t>
            </w:r>
            <w:r>
              <w:rPr>
                <w:rFonts w:hint="eastAsia" w:ascii="Times New Roman" w:hAnsi="Times New Roman" w:eastAsia="宋体" w:cs="Times New Roman"/>
                <w:color w:val="auto"/>
                <w:kern w:val="0"/>
                <w:sz w:val="21"/>
                <w:szCs w:val="21"/>
                <w:highlight w:val="none"/>
                <w:lang w:eastAsia="zh-CN" w:bidi="ar"/>
              </w:rPr>
              <w:t>水源地</w:t>
            </w:r>
            <w:r>
              <w:rPr>
                <w:rFonts w:hint="eastAsia" w:ascii="Times New Roman" w:hAnsi="Times New Roman" w:eastAsia="宋体" w:cs="Times New Roman"/>
                <w:color w:val="auto"/>
                <w:kern w:val="0"/>
                <w:sz w:val="21"/>
                <w:szCs w:val="21"/>
                <w:highlight w:val="none"/>
                <w:lang w:val="en-US" w:eastAsia="zh-CN" w:bidi="ar"/>
              </w:rPr>
              <w:t>对应供水水厂</w:t>
            </w:r>
          </w:p>
        </w:tc>
      </w:tr>
      <w:tr w14:paraId="66A415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40" w:hRule="atLeast"/>
        </w:trPr>
        <w:tc>
          <w:tcPr>
            <w:tcW w:w="517" w:type="pct"/>
            <w:vMerge w:val="restart"/>
            <w:tcBorders>
              <w:tl2br w:val="nil"/>
              <w:tr2bl w:val="nil"/>
            </w:tcBorders>
            <w:vAlign w:val="center"/>
          </w:tcPr>
          <w:p w14:paraId="4A2EE152">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1</w:t>
            </w:r>
          </w:p>
        </w:tc>
        <w:tc>
          <w:tcPr>
            <w:tcW w:w="717" w:type="pct"/>
            <w:vMerge w:val="restart"/>
            <w:tcBorders>
              <w:tl2br w:val="nil"/>
              <w:tr2bl w:val="nil"/>
            </w:tcBorders>
            <w:vAlign w:val="center"/>
          </w:tcPr>
          <w:p w14:paraId="14BD59E5">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庆安县发展乡饮用水水源地（8眼水井，1#-8#）</w:t>
            </w:r>
          </w:p>
        </w:tc>
        <w:tc>
          <w:tcPr>
            <w:tcW w:w="907" w:type="pct"/>
            <w:tcBorders>
              <w:tl2br w:val="nil"/>
              <w:tr2bl w:val="nil"/>
            </w:tcBorders>
            <w:vAlign w:val="center"/>
          </w:tcPr>
          <w:p w14:paraId="46E04EF5">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发展乡饮用水水源地</w:t>
            </w:r>
          </w:p>
        </w:tc>
        <w:tc>
          <w:tcPr>
            <w:tcW w:w="924" w:type="pct"/>
            <w:tcBorders>
              <w:tl2br w:val="nil"/>
              <w:tr2bl w:val="nil"/>
            </w:tcBorders>
            <w:vAlign w:val="center"/>
          </w:tcPr>
          <w:p w14:paraId="4697D04D">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rPr>
              <w:t>以取水井为圆心</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30米为半径的圆形所围区域</w:t>
            </w:r>
          </w:p>
        </w:tc>
        <w:tc>
          <w:tcPr>
            <w:tcW w:w="597" w:type="pct"/>
            <w:tcBorders>
              <w:tl2br w:val="nil"/>
              <w:tr2bl w:val="nil"/>
            </w:tcBorders>
            <w:vAlign w:val="center"/>
          </w:tcPr>
          <w:p w14:paraId="35E8C55E">
            <w:pPr>
              <w:widowControl/>
              <w:spacing w:line="240" w:lineRule="auto"/>
              <w:ind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2826</w:t>
            </w:r>
          </w:p>
        </w:tc>
        <w:tc>
          <w:tcPr>
            <w:tcW w:w="597" w:type="pct"/>
            <w:vMerge w:val="restart"/>
            <w:tcBorders>
              <w:tl2br w:val="nil"/>
              <w:tr2bl w:val="nil"/>
            </w:tcBorders>
            <w:vAlign w:val="center"/>
          </w:tcPr>
          <w:p w14:paraId="2C70D0EA">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黑政函[2017]118号</w:t>
            </w:r>
          </w:p>
        </w:tc>
        <w:tc>
          <w:tcPr>
            <w:tcW w:w="738" w:type="pct"/>
            <w:tcBorders>
              <w:tl2br w:val="nil"/>
              <w:tr2bl w:val="nil"/>
            </w:tcBorders>
            <w:vAlign w:val="center"/>
          </w:tcPr>
          <w:p w14:paraId="3C582CBD">
            <w:pPr>
              <w:widowControl/>
              <w:spacing w:line="240" w:lineRule="auto"/>
              <w:ind w:firstLine="0" w:firstLineChars="0"/>
              <w:jc w:val="center"/>
              <w:textAlignment w:val="center"/>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发展村泵房</w:t>
            </w:r>
          </w:p>
        </w:tc>
      </w:tr>
      <w:tr w14:paraId="14507C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17" w:type="pct"/>
            <w:vMerge w:val="continue"/>
            <w:tcBorders>
              <w:tl2br w:val="nil"/>
              <w:tr2bl w:val="nil"/>
            </w:tcBorders>
            <w:vAlign w:val="center"/>
          </w:tcPr>
          <w:p w14:paraId="5A470D6D">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p>
        </w:tc>
        <w:tc>
          <w:tcPr>
            <w:tcW w:w="717" w:type="pct"/>
            <w:vMerge w:val="continue"/>
            <w:tcBorders>
              <w:tl2br w:val="nil"/>
              <w:tr2bl w:val="nil"/>
            </w:tcBorders>
            <w:vAlign w:val="center"/>
          </w:tcPr>
          <w:p w14:paraId="375C4743">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p>
        </w:tc>
        <w:tc>
          <w:tcPr>
            <w:tcW w:w="907" w:type="pct"/>
            <w:tcBorders>
              <w:tl2br w:val="nil"/>
              <w:tr2bl w:val="nil"/>
            </w:tcBorders>
            <w:vAlign w:val="center"/>
          </w:tcPr>
          <w:p w14:paraId="2C87285E">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发展乡发富村前山饮用水水源地</w:t>
            </w:r>
          </w:p>
        </w:tc>
        <w:tc>
          <w:tcPr>
            <w:tcW w:w="924" w:type="pct"/>
            <w:tcBorders>
              <w:tl2br w:val="nil"/>
              <w:tr2bl w:val="nil"/>
            </w:tcBorders>
            <w:vAlign w:val="center"/>
          </w:tcPr>
          <w:p w14:paraId="60F86B15">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rPr>
              <w:t>以取水井为圆心</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30米为半径的圆形所围区域</w:t>
            </w:r>
          </w:p>
        </w:tc>
        <w:tc>
          <w:tcPr>
            <w:tcW w:w="597" w:type="pct"/>
            <w:tcBorders>
              <w:tl2br w:val="nil"/>
              <w:tr2bl w:val="nil"/>
            </w:tcBorders>
            <w:vAlign w:val="center"/>
          </w:tcPr>
          <w:p w14:paraId="3ECBB7B3">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rPr>
              <w:t>2826</w:t>
            </w:r>
          </w:p>
        </w:tc>
        <w:tc>
          <w:tcPr>
            <w:tcW w:w="597" w:type="pct"/>
            <w:vMerge w:val="continue"/>
            <w:tcBorders>
              <w:tl2br w:val="nil"/>
              <w:tr2bl w:val="nil"/>
            </w:tcBorders>
            <w:vAlign w:val="center"/>
          </w:tcPr>
          <w:p w14:paraId="15405A85">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p>
        </w:tc>
        <w:tc>
          <w:tcPr>
            <w:tcW w:w="738" w:type="pct"/>
            <w:tcBorders>
              <w:tl2br w:val="nil"/>
              <w:tr2bl w:val="nil"/>
            </w:tcBorders>
            <w:vAlign w:val="center"/>
          </w:tcPr>
          <w:p w14:paraId="3997E462">
            <w:pPr>
              <w:widowControl/>
              <w:spacing w:line="240" w:lineRule="auto"/>
              <w:ind w:firstLine="0" w:firstLineChars="0"/>
              <w:jc w:val="center"/>
              <w:textAlignment w:val="center"/>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前山屯泵房</w:t>
            </w:r>
          </w:p>
        </w:tc>
      </w:tr>
      <w:tr w14:paraId="574FEA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17" w:type="pct"/>
            <w:vMerge w:val="continue"/>
            <w:tcBorders>
              <w:tl2br w:val="nil"/>
              <w:tr2bl w:val="nil"/>
            </w:tcBorders>
            <w:vAlign w:val="center"/>
          </w:tcPr>
          <w:p w14:paraId="3CD831D6">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p>
        </w:tc>
        <w:tc>
          <w:tcPr>
            <w:tcW w:w="717" w:type="pct"/>
            <w:vMerge w:val="continue"/>
            <w:tcBorders>
              <w:tl2br w:val="nil"/>
              <w:tr2bl w:val="nil"/>
            </w:tcBorders>
            <w:vAlign w:val="center"/>
          </w:tcPr>
          <w:p w14:paraId="15A3E37F">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p>
        </w:tc>
        <w:tc>
          <w:tcPr>
            <w:tcW w:w="907" w:type="pct"/>
            <w:tcBorders>
              <w:tl2br w:val="nil"/>
              <w:tr2bl w:val="nil"/>
            </w:tcBorders>
            <w:vAlign w:val="center"/>
          </w:tcPr>
          <w:p w14:paraId="686029D2">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发展乡发明村王生饮用水水源地</w:t>
            </w:r>
          </w:p>
        </w:tc>
        <w:tc>
          <w:tcPr>
            <w:tcW w:w="924" w:type="pct"/>
            <w:tcBorders>
              <w:tl2br w:val="nil"/>
              <w:tr2bl w:val="nil"/>
            </w:tcBorders>
            <w:vAlign w:val="center"/>
          </w:tcPr>
          <w:p w14:paraId="7872F547">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rPr>
              <w:t>以取水井为圆心</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30米为半径的圆形所围区域</w:t>
            </w:r>
          </w:p>
        </w:tc>
        <w:tc>
          <w:tcPr>
            <w:tcW w:w="597" w:type="pct"/>
            <w:tcBorders>
              <w:tl2br w:val="nil"/>
              <w:tr2bl w:val="nil"/>
            </w:tcBorders>
            <w:vAlign w:val="center"/>
          </w:tcPr>
          <w:p w14:paraId="353B8D18">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rPr>
              <w:t>2826</w:t>
            </w:r>
          </w:p>
        </w:tc>
        <w:tc>
          <w:tcPr>
            <w:tcW w:w="597" w:type="pct"/>
            <w:vMerge w:val="continue"/>
            <w:tcBorders>
              <w:tl2br w:val="nil"/>
              <w:tr2bl w:val="nil"/>
            </w:tcBorders>
            <w:vAlign w:val="center"/>
          </w:tcPr>
          <w:p w14:paraId="42F59FEB">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p>
        </w:tc>
        <w:tc>
          <w:tcPr>
            <w:tcW w:w="738" w:type="pct"/>
            <w:tcBorders>
              <w:tl2br w:val="nil"/>
              <w:tr2bl w:val="nil"/>
            </w:tcBorders>
            <w:vAlign w:val="center"/>
          </w:tcPr>
          <w:p w14:paraId="76AD2926">
            <w:pPr>
              <w:widowControl/>
              <w:spacing w:line="240" w:lineRule="auto"/>
              <w:ind w:firstLine="0" w:firstLineChars="0"/>
              <w:jc w:val="center"/>
              <w:textAlignment w:val="center"/>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王生屯泵房</w:t>
            </w:r>
          </w:p>
        </w:tc>
      </w:tr>
      <w:tr w14:paraId="76D357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17" w:type="pct"/>
            <w:vMerge w:val="continue"/>
            <w:tcBorders>
              <w:tl2br w:val="nil"/>
              <w:tr2bl w:val="nil"/>
            </w:tcBorders>
            <w:vAlign w:val="center"/>
          </w:tcPr>
          <w:p w14:paraId="281D68E1">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p>
        </w:tc>
        <w:tc>
          <w:tcPr>
            <w:tcW w:w="717" w:type="pct"/>
            <w:vMerge w:val="continue"/>
            <w:tcBorders>
              <w:tl2br w:val="nil"/>
              <w:tr2bl w:val="nil"/>
            </w:tcBorders>
            <w:vAlign w:val="center"/>
          </w:tcPr>
          <w:p w14:paraId="0736B60A">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p>
        </w:tc>
        <w:tc>
          <w:tcPr>
            <w:tcW w:w="907" w:type="pct"/>
            <w:tcBorders>
              <w:tl2br w:val="nil"/>
              <w:tr2bl w:val="nil"/>
            </w:tcBorders>
            <w:vAlign w:val="center"/>
          </w:tcPr>
          <w:p w14:paraId="10FE9949">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发展乡发祥村饮用水水源地</w:t>
            </w:r>
          </w:p>
        </w:tc>
        <w:tc>
          <w:tcPr>
            <w:tcW w:w="924" w:type="pct"/>
            <w:tcBorders>
              <w:tl2br w:val="nil"/>
              <w:tr2bl w:val="nil"/>
            </w:tcBorders>
            <w:vAlign w:val="center"/>
          </w:tcPr>
          <w:p w14:paraId="6323C978">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rPr>
              <w:t>以取水井为圆心</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30米为半径的圆形所围区域</w:t>
            </w:r>
          </w:p>
        </w:tc>
        <w:tc>
          <w:tcPr>
            <w:tcW w:w="597" w:type="pct"/>
            <w:tcBorders>
              <w:tl2br w:val="nil"/>
              <w:tr2bl w:val="nil"/>
            </w:tcBorders>
            <w:vAlign w:val="center"/>
          </w:tcPr>
          <w:p w14:paraId="3FBDF140">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rPr>
              <w:t>2826</w:t>
            </w:r>
          </w:p>
        </w:tc>
        <w:tc>
          <w:tcPr>
            <w:tcW w:w="597" w:type="pct"/>
            <w:vMerge w:val="restart"/>
            <w:tcBorders>
              <w:tl2br w:val="nil"/>
              <w:tr2bl w:val="nil"/>
            </w:tcBorders>
            <w:vAlign w:val="center"/>
          </w:tcPr>
          <w:p w14:paraId="279F32F8">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黑政函[2018]21号</w:t>
            </w:r>
          </w:p>
        </w:tc>
        <w:tc>
          <w:tcPr>
            <w:tcW w:w="738" w:type="pct"/>
            <w:tcBorders>
              <w:tl2br w:val="nil"/>
              <w:tr2bl w:val="nil"/>
            </w:tcBorders>
            <w:vAlign w:val="center"/>
          </w:tcPr>
          <w:p w14:paraId="780FD406">
            <w:pPr>
              <w:widowControl/>
              <w:spacing w:line="240" w:lineRule="auto"/>
              <w:ind w:firstLine="0" w:firstLineChars="0"/>
              <w:jc w:val="center"/>
              <w:textAlignment w:val="center"/>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发祥村泵房</w:t>
            </w:r>
          </w:p>
        </w:tc>
      </w:tr>
      <w:tr w14:paraId="541279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17" w:type="pct"/>
            <w:vMerge w:val="continue"/>
            <w:tcBorders>
              <w:tl2br w:val="nil"/>
              <w:tr2bl w:val="nil"/>
            </w:tcBorders>
            <w:vAlign w:val="center"/>
          </w:tcPr>
          <w:p w14:paraId="31C87346">
            <w:pPr>
              <w:jc w:val="center"/>
              <w:rPr>
                <w:rFonts w:hint="eastAsia" w:ascii="Times New Roman" w:hAnsi="Times New Roman" w:cs="Times New Roman"/>
                <w:color w:val="auto"/>
                <w:highlight w:val="none"/>
                <w:vertAlign w:val="baseline"/>
                <w:lang w:eastAsia="zh-CN"/>
              </w:rPr>
            </w:pPr>
          </w:p>
        </w:tc>
        <w:tc>
          <w:tcPr>
            <w:tcW w:w="717" w:type="pct"/>
            <w:vMerge w:val="continue"/>
            <w:tcBorders>
              <w:tl2br w:val="nil"/>
              <w:tr2bl w:val="nil"/>
            </w:tcBorders>
            <w:vAlign w:val="center"/>
          </w:tcPr>
          <w:p w14:paraId="2DF1D40A">
            <w:pPr>
              <w:jc w:val="center"/>
              <w:rPr>
                <w:rFonts w:hint="eastAsia" w:ascii="仿宋" w:hAnsi="仿宋" w:eastAsia="仿宋" w:cs="仿宋"/>
                <w:color w:val="auto"/>
                <w:sz w:val="32"/>
                <w:szCs w:val="32"/>
                <w:highlight w:val="none"/>
                <w:vertAlign w:val="baseline"/>
                <w:lang w:val="en-US" w:eastAsia="zh-CN"/>
              </w:rPr>
            </w:pPr>
          </w:p>
        </w:tc>
        <w:tc>
          <w:tcPr>
            <w:tcW w:w="907" w:type="pct"/>
            <w:tcBorders>
              <w:tl2br w:val="nil"/>
              <w:tr2bl w:val="nil"/>
            </w:tcBorders>
            <w:vAlign w:val="center"/>
          </w:tcPr>
          <w:p w14:paraId="706069D0">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发展乡发源村饮用水水源地</w:t>
            </w:r>
          </w:p>
        </w:tc>
        <w:tc>
          <w:tcPr>
            <w:tcW w:w="924" w:type="pct"/>
            <w:tcBorders>
              <w:tl2br w:val="nil"/>
              <w:tr2bl w:val="nil"/>
            </w:tcBorders>
            <w:vAlign w:val="center"/>
          </w:tcPr>
          <w:p w14:paraId="79751D52">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rPr>
              <w:t>以取水井为圆心</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30米为半径的圆形所围区域</w:t>
            </w:r>
          </w:p>
        </w:tc>
        <w:tc>
          <w:tcPr>
            <w:tcW w:w="597" w:type="pct"/>
            <w:tcBorders>
              <w:tl2br w:val="nil"/>
              <w:tr2bl w:val="nil"/>
            </w:tcBorders>
            <w:vAlign w:val="center"/>
          </w:tcPr>
          <w:p w14:paraId="453AE86C">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rPr>
              <w:t>2826</w:t>
            </w:r>
          </w:p>
        </w:tc>
        <w:tc>
          <w:tcPr>
            <w:tcW w:w="597" w:type="pct"/>
            <w:vMerge w:val="continue"/>
            <w:tcBorders>
              <w:tl2br w:val="nil"/>
              <w:tr2bl w:val="nil"/>
            </w:tcBorders>
            <w:vAlign w:val="center"/>
          </w:tcPr>
          <w:p w14:paraId="27C8FDB1">
            <w:pPr>
              <w:jc w:val="center"/>
              <w:rPr>
                <w:rFonts w:hint="eastAsia" w:ascii="Times New Roman" w:hAnsi="Times New Roman" w:cs="Times New Roman"/>
                <w:color w:val="auto"/>
                <w:highlight w:val="none"/>
                <w:vertAlign w:val="baseline"/>
                <w:lang w:eastAsia="zh-CN"/>
              </w:rPr>
            </w:pPr>
          </w:p>
        </w:tc>
        <w:tc>
          <w:tcPr>
            <w:tcW w:w="738" w:type="pct"/>
            <w:tcBorders>
              <w:tl2br w:val="nil"/>
              <w:tr2bl w:val="nil"/>
            </w:tcBorders>
            <w:vAlign w:val="center"/>
          </w:tcPr>
          <w:p w14:paraId="79707D87">
            <w:pPr>
              <w:widowControl/>
              <w:spacing w:line="240" w:lineRule="auto"/>
              <w:ind w:firstLine="0" w:firstLineChars="0"/>
              <w:jc w:val="center"/>
              <w:textAlignment w:val="center"/>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发源村泵房</w:t>
            </w:r>
          </w:p>
        </w:tc>
      </w:tr>
      <w:tr w14:paraId="5A7748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17" w:type="pct"/>
            <w:vMerge w:val="continue"/>
            <w:tcBorders>
              <w:tl2br w:val="nil"/>
              <w:tr2bl w:val="nil"/>
            </w:tcBorders>
            <w:vAlign w:val="center"/>
          </w:tcPr>
          <w:p w14:paraId="5E1F225E">
            <w:pPr>
              <w:jc w:val="center"/>
              <w:rPr>
                <w:rFonts w:hint="eastAsia" w:ascii="Times New Roman" w:hAnsi="Times New Roman" w:cs="Times New Roman"/>
                <w:color w:val="auto"/>
                <w:highlight w:val="none"/>
                <w:vertAlign w:val="baseline"/>
                <w:lang w:eastAsia="zh-CN"/>
              </w:rPr>
            </w:pPr>
          </w:p>
        </w:tc>
        <w:tc>
          <w:tcPr>
            <w:tcW w:w="717" w:type="pct"/>
            <w:vMerge w:val="continue"/>
            <w:tcBorders>
              <w:tl2br w:val="nil"/>
              <w:tr2bl w:val="nil"/>
            </w:tcBorders>
            <w:vAlign w:val="center"/>
          </w:tcPr>
          <w:p w14:paraId="31B5FB52">
            <w:pPr>
              <w:jc w:val="center"/>
              <w:rPr>
                <w:rFonts w:hint="eastAsia" w:ascii="仿宋" w:hAnsi="仿宋" w:eastAsia="仿宋" w:cs="仿宋"/>
                <w:color w:val="auto"/>
                <w:sz w:val="32"/>
                <w:szCs w:val="32"/>
                <w:highlight w:val="none"/>
                <w:vertAlign w:val="baseline"/>
                <w:lang w:val="en-US" w:eastAsia="zh-CN"/>
              </w:rPr>
            </w:pPr>
          </w:p>
        </w:tc>
        <w:tc>
          <w:tcPr>
            <w:tcW w:w="907" w:type="pct"/>
            <w:tcBorders>
              <w:tl2br w:val="nil"/>
              <w:tr2bl w:val="nil"/>
            </w:tcBorders>
            <w:vAlign w:val="center"/>
          </w:tcPr>
          <w:p w14:paraId="17BBAB9D">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发展乡发祥村夏家屯饮用水水源地</w:t>
            </w:r>
          </w:p>
        </w:tc>
        <w:tc>
          <w:tcPr>
            <w:tcW w:w="924" w:type="pct"/>
            <w:tcBorders>
              <w:tl2br w:val="nil"/>
              <w:tr2bl w:val="nil"/>
            </w:tcBorders>
            <w:vAlign w:val="center"/>
          </w:tcPr>
          <w:p w14:paraId="2F56A19F">
            <w:pPr>
              <w:widowControl/>
              <w:spacing w:line="240" w:lineRule="auto"/>
              <w:ind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以取水井为圆心</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30米为半径的圆形所围区域</w:t>
            </w:r>
          </w:p>
        </w:tc>
        <w:tc>
          <w:tcPr>
            <w:tcW w:w="597" w:type="pct"/>
            <w:tcBorders>
              <w:tl2br w:val="nil"/>
              <w:tr2bl w:val="nil"/>
            </w:tcBorders>
            <w:vAlign w:val="center"/>
          </w:tcPr>
          <w:p w14:paraId="23CC3174">
            <w:pPr>
              <w:widowControl/>
              <w:spacing w:line="240" w:lineRule="auto"/>
              <w:ind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2826</w:t>
            </w:r>
          </w:p>
        </w:tc>
        <w:tc>
          <w:tcPr>
            <w:tcW w:w="597" w:type="pct"/>
            <w:tcBorders>
              <w:tl2br w:val="nil"/>
              <w:tr2bl w:val="nil"/>
            </w:tcBorders>
            <w:vAlign w:val="center"/>
          </w:tcPr>
          <w:p w14:paraId="632D7B0D">
            <w:pPr>
              <w:widowControl/>
              <w:spacing w:line="240" w:lineRule="auto"/>
              <w:ind w:firstLine="0" w:firstLineChars="0"/>
              <w:jc w:val="center"/>
              <w:textAlignment w:val="center"/>
              <w:rPr>
                <w:rFonts w:hint="eastAsia" w:ascii="Times New Roman" w:hAnsi="Times New Roman" w:cs="Times New Roman"/>
                <w:color w:val="auto"/>
                <w:highlight w:val="none"/>
                <w:vertAlign w:val="baseline"/>
                <w:lang w:eastAsia="zh-CN"/>
              </w:rPr>
            </w:pPr>
            <w:r>
              <w:rPr>
                <w:rFonts w:hint="eastAsia" w:ascii="Times New Roman" w:hAnsi="Times New Roman" w:eastAsia="宋体" w:cs="Times New Roman"/>
                <w:color w:val="auto"/>
                <w:sz w:val="21"/>
                <w:szCs w:val="21"/>
                <w:highlight w:val="none"/>
                <w:lang w:eastAsia="zh-CN"/>
              </w:rPr>
              <w:t>黑政函[2019]118号</w:t>
            </w:r>
          </w:p>
        </w:tc>
        <w:tc>
          <w:tcPr>
            <w:tcW w:w="738" w:type="pct"/>
            <w:tcBorders>
              <w:tl2br w:val="nil"/>
              <w:tr2bl w:val="nil"/>
            </w:tcBorders>
            <w:vAlign w:val="center"/>
          </w:tcPr>
          <w:p w14:paraId="5E8D76A9">
            <w:pPr>
              <w:widowControl/>
              <w:spacing w:line="240" w:lineRule="auto"/>
              <w:ind w:firstLine="0" w:firstLineChars="0"/>
              <w:jc w:val="center"/>
              <w:textAlignment w:val="center"/>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kern w:val="0"/>
                <w:sz w:val="21"/>
                <w:szCs w:val="21"/>
                <w:highlight w:val="none"/>
                <w:lang w:val="en-US" w:eastAsia="zh-CN" w:bidi="ar"/>
              </w:rPr>
              <w:t>夏家屯</w:t>
            </w:r>
            <w:r>
              <w:rPr>
                <w:rFonts w:hint="eastAsia" w:ascii="Times New Roman" w:hAnsi="Times New Roman" w:eastAsia="宋体" w:cs="Times New Roman"/>
                <w:color w:val="auto"/>
                <w:sz w:val="21"/>
                <w:szCs w:val="21"/>
                <w:highlight w:val="none"/>
                <w:lang w:eastAsia="zh-CN"/>
              </w:rPr>
              <w:t>泵房</w:t>
            </w:r>
          </w:p>
        </w:tc>
      </w:tr>
      <w:tr w14:paraId="4C1A9F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17" w:type="pct"/>
            <w:vMerge w:val="restart"/>
            <w:tcBorders>
              <w:tl2br w:val="nil"/>
              <w:tr2bl w:val="nil"/>
            </w:tcBorders>
            <w:vAlign w:val="center"/>
          </w:tcPr>
          <w:p w14:paraId="73E2CB27">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2</w:t>
            </w:r>
          </w:p>
        </w:tc>
        <w:tc>
          <w:tcPr>
            <w:tcW w:w="717" w:type="pct"/>
            <w:vMerge w:val="restart"/>
            <w:tcBorders>
              <w:tl2br w:val="nil"/>
              <w:tr2bl w:val="nil"/>
            </w:tcBorders>
            <w:vAlign w:val="center"/>
          </w:tcPr>
          <w:p w14:paraId="17074E38">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庆安县建民乡饮用水水源地（</w:t>
            </w:r>
            <w:r>
              <w:rPr>
                <w:rFonts w:hint="eastAsia" w:cs="Times New Roman"/>
                <w:color w:val="auto"/>
                <w:kern w:val="0"/>
                <w:sz w:val="21"/>
                <w:szCs w:val="21"/>
                <w:highlight w:val="none"/>
                <w:lang w:val="en-US" w:eastAsia="zh-CN" w:bidi="ar"/>
              </w:rPr>
              <w:t>3</w:t>
            </w:r>
            <w:r>
              <w:rPr>
                <w:rFonts w:hint="eastAsia" w:ascii="Times New Roman" w:hAnsi="Times New Roman" w:eastAsia="宋体" w:cs="Times New Roman"/>
                <w:color w:val="auto"/>
                <w:kern w:val="0"/>
                <w:sz w:val="21"/>
                <w:szCs w:val="21"/>
                <w:highlight w:val="none"/>
                <w:lang w:val="en-US" w:eastAsia="zh-CN" w:bidi="ar"/>
              </w:rPr>
              <w:t>眼水井，1#-</w:t>
            </w:r>
            <w:r>
              <w:rPr>
                <w:rFonts w:hint="eastAsia" w:cs="Times New Roman"/>
                <w:color w:val="auto"/>
                <w:kern w:val="0"/>
                <w:sz w:val="21"/>
                <w:szCs w:val="21"/>
                <w:highlight w:val="none"/>
                <w:lang w:val="en-US" w:eastAsia="zh-CN" w:bidi="ar"/>
              </w:rPr>
              <w:t>3</w:t>
            </w:r>
            <w:r>
              <w:rPr>
                <w:rFonts w:hint="eastAsia" w:ascii="Times New Roman" w:hAnsi="Times New Roman" w:eastAsia="宋体" w:cs="Times New Roman"/>
                <w:color w:val="auto"/>
                <w:kern w:val="0"/>
                <w:sz w:val="21"/>
                <w:szCs w:val="21"/>
                <w:highlight w:val="none"/>
                <w:lang w:val="en-US" w:eastAsia="zh-CN" w:bidi="ar"/>
              </w:rPr>
              <w:t>#）</w:t>
            </w:r>
          </w:p>
        </w:tc>
        <w:tc>
          <w:tcPr>
            <w:tcW w:w="907" w:type="pct"/>
            <w:tcBorders>
              <w:tl2br w:val="nil"/>
              <w:tr2bl w:val="nil"/>
            </w:tcBorders>
            <w:vAlign w:val="center"/>
          </w:tcPr>
          <w:p w14:paraId="3C234ECB">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建民乡建业村饮用水水源地</w:t>
            </w:r>
          </w:p>
        </w:tc>
        <w:tc>
          <w:tcPr>
            <w:tcW w:w="924" w:type="pct"/>
            <w:tcBorders>
              <w:tl2br w:val="nil"/>
              <w:tr2bl w:val="nil"/>
            </w:tcBorders>
            <w:vAlign w:val="center"/>
          </w:tcPr>
          <w:p w14:paraId="16BF2908">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rPr>
              <w:t>以取水井为圆心</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30米为半径的圆形所围区域</w:t>
            </w:r>
          </w:p>
        </w:tc>
        <w:tc>
          <w:tcPr>
            <w:tcW w:w="597" w:type="pct"/>
            <w:tcBorders>
              <w:tl2br w:val="nil"/>
              <w:tr2bl w:val="nil"/>
            </w:tcBorders>
            <w:vAlign w:val="center"/>
          </w:tcPr>
          <w:p w14:paraId="1EF16BC6">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rPr>
              <w:t>2826</w:t>
            </w:r>
          </w:p>
        </w:tc>
        <w:tc>
          <w:tcPr>
            <w:tcW w:w="597" w:type="pct"/>
            <w:tcBorders>
              <w:tl2br w:val="nil"/>
              <w:tr2bl w:val="nil"/>
            </w:tcBorders>
            <w:vAlign w:val="center"/>
          </w:tcPr>
          <w:p w14:paraId="20BE8218">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黑政函[201</w:t>
            </w:r>
            <w:r>
              <w:rPr>
                <w:rFonts w:hint="eastAsia" w:cs="Times New Roman"/>
                <w:color w:val="auto"/>
                <w:kern w:val="0"/>
                <w:sz w:val="21"/>
                <w:szCs w:val="21"/>
                <w:highlight w:val="none"/>
                <w:lang w:val="en-US" w:eastAsia="zh-CN" w:bidi="ar"/>
              </w:rPr>
              <w:t>9]</w:t>
            </w:r>
            <w:r>
              <w:rPr>
                <w:rFonts w:hint="eastAsia" w:ascii="Times New Roman" w:hAnsi="Times New Roman" w:eastAsia="宋体" w:cs="Times New Roman"/>
                <w:color w:val="auto"/>
                <w:kern w:val="0"/>
                <w:sz w:val="21"/>
                <w:szCs w:val="21"/>
                <w:highlight w:val="none"/>
                <w:lang w:val="en-US" w:eastAsia="zh-CN" w:bidi="ar"/>
              </w:rPr>
              <w:t>118号</w:t>
            </w:r>
          </w:p>
        </w:tc>
        <w:tc>
          <w:tcPr>
            <w:tcW w:w="738" w:type="pct"/>
            <w:tcBorders>
              <w:tl2br w:val="nil"/>
              <w:tr2bl w:val="nil"/>
            </w:tcBorders>
            <w:vAlign w:val="center"/>
          </w:tcPr>
          <w:p w14:paraId="7DB556AF">
            <w:pPr>
              <w:widowControl/>
              <w:spacing w:line="240" w:lineRule="auto"/>
              <w:ind w:firstLine="0" w:firstLineChars="0"/>
              <w:jc w:val="center"/>
              <w:textAlignment w:val="center"/>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kern w:val="0"/>
                <w:sz w:val="21"/>
                <w:szCs w:val="21"/>
                <w:highlight w:val="none"/>
                <w:lang w:val="en-US" w:eastAsia="zh-CN" w:bidi="ar"/>
              </w:rPr>
              <w:t>建业村</w:t>
            </w:r>
            <w:r>
              <w:rPr>
                <w:rFonts w:hint="eastAsia" w:ascii="Times New Roman" w:hAnsi="Times New Roman" w:eastAsia="宋体" w:cs="Times New Roman"/>
                <w:color w:val="auto"/>
                <w:sz w:val="21"/>
                <w:szCs w:val="21"/>
                <w:highlight w:val="none"/>
                <w:lang w:eastAsia="zh-CN"/>
              </w:rPr>
              <w:t>泵房</w:t>
            </w:r>
          </w:p>
        </w:tc>
      </w:tr>
      <w:tr w14:paraId="74BF8A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17" w:type="pct"/>
            <w:vMerge w:val="continue"/>
            <w:tcBorders>
              <w:tl2br w:val="nil"/>
              <w:tr2bl w:val="nil"/>
            </w:tcBorders>
            <w:vAlign w:val="center"/>
          </w:tcPr>
          <w:p w14:paraId="72799435">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p>
        </w:tc>
        <w:tc>
          <w:tcPr>
            <w:tcW w:w="717" w:type="pct"/>
            <w:vMerge w:val="continue"/>
            <w:tcBorders>
              <w:tl2br w:val="nil"/>
              <w:tr2bl w:val="nil"/>
            </w:tcBorders>
            <w:vAlign w:val="center"/>
          </w:tcPr>
          <w:p w14:paraId="5D8F160A">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p>
        </w:tc>
        <w:tc>
          <w:tcPr>
            <w:tcW w:w="907" w:type="pct"/>
            <w:tcBorders>
              <w:tl2br w:val="nil"/>
              <w:tr2bl w:val="nil"/>
            </w:tcBorders>
            <w:vAlign w:val="center"/>
          </w:tcPr>
          <w:p w14:paraId="529C0A12">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建民乡建兴村饮用水水源地</w:t>
            </w:r>
          </w:p>
        </w:tc>
        <w:tc>
          <w:tcPr>
            <w:tcW w:w="924" w:type="pct"/>
            <w:tcBorders>
              <w:tl2br w:val="nil"/>
              <w:tr2bl w:val="nil"/>
            </w:tcBorders>
            <w:vAlign w:val="center"/>
          </w:tcPr>
          <w:p w14:paraId="65907E18">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rPr>
              <w:t>以取水井为圆心</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30米为半径的圆形所围区域</w:t>
            </w:r>
          </w:p>
        </w:tc>
        <w:tc>
          <w:tcPr>
            <w:tcW w:w="597" w:type="pct"/>
            <w:tcBorders>
              <w:tl2br w:val="nil"/>
              <w:tr2bl w:val="nil"/>
            </w:tcBorders>
            <w:vAlign w:val="center"/>
          </w:tcPr>
          <w:p w14:paraId="370A9EE2">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rPr>
              <w:t>2826</w:t>
            </w:r>
          </w:p>
        </w:tc>
        <w:tc>
          <w:tcPr>
            <w:tcW w:w="597" w:type="pct"/>
            <w:vMerge w:val="restart"/>
            <w:tcBorders>
              <w:tl2br w:val="nil"/>
              <w:tr2bl w:val="nil"/>
            </w:tcBorders>
            <w:vAlign w:val="center"/>
          </w:tcPr>
          <w:p w14:paraId="3F5219B9">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黑政函[2017]118号</w:t>
            </w:r>
          </w:p>
        </w:tc>
        <w:tc>
          <w:tcPr>
            <w:tcW w:w="738" w:type="pct"/>
            <w:tcBorders>
              <w:tl2br w:val="nil"/>
              <w:tr2bl w:val="nil"/>
            </w:tcBorders>
            <w:vAlign w:val="center"/>
          </w:tcPr>
          <w:p w14:paraId="64E86595">
            <w:pPr>
              <w:widowControl/>
              <w:spacing w:line="240" w:lineRule="auto"/>
              <w:ind w:firstLine="0" w:firstLineChars="0"/>
              <w:jc w:val="center"/>
              <w:textAlignment w:val="center"/>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建兴村泵房</w:t>
            </w:r>
          </w:p>
        </w:tc>
      </w:tr>
      <w:tr w14:paraId="5C5934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17" w:type="pct"/>
            <w:vMerge w:val="continue"/>
            <w:tcBorders>
              <w:tl2br w:val="nil"/>
              <w:tr2bl w:val="nil"/>
            </w:tcBorders>
            <w:vAlign w:val="center"/>
          </w:tcPr>
          <w:p w14:paraId="1BFABCE6">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p>
        </w:tc>
        <w:tc>
          <w:tcPr>
            <w:tcW w:w="717" w:type="pct"/>
            <w:vMerge w:val="continue"/>
            <w:tcBorders>
              <w:tl2br w:val="nil"/>
              <w:tr2bl w:val="nil"/>
            </w:tcBorders>
            <w:vAlign w:val="center"/>
          </w:tcPr>
          <w:p w14:paraId="663983CE">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p>
        </w:tc>
        <w:tc>
          <w:tcPr>
            <w:tcW w:w="907" w:type="pct"/>
            <w:tcBorders>
              <w:tl2br w:val="nil"/>
              <w:tr2bl w:val="nil"/>
            </w:tcBorders>
            <w:vAlign w:val="center"/>
          </w:tcPr>
          <w:p w14:paraId="7A1A96D4">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建民乡乡政府饮用水水源地</w:t>
            </w:r>
            <w:r>
              <w:rPr>
                <w:rFonts w:hint="eastAsia" w:cs="Times New Roman"/>
                <w:color w:val="auto"/>
                <w:kern w:val="0"/>
                <w:sz w:val="21"/>
                <w:szCs w:val="21"/>
                <w:highlight w:val="none"/>
                <w:lang w:val="en-US" w:eastAsia="zh-CN" w:bidi="ar"/>
              </w:rPr>
              <w:t>1#</w:t>
            </w:r>
          </w:p>
        </w:tc>
        <w:tc>
          <w:tcPr>
            <w:tcW w:w="924" w:type="pct"/>
            <w:vMerge w:val="restart"/>
            <w:tcBorders>
              <w:tl2br w:val="nil"/>
              <w:tr2bl w:val="nil"/>
            </w:tcBorders>
            <w:vAlign w:val="center"/>
          </w:tcPr>
          <w:p w14:paraId="21A84789">
            <w:pPr>
              <w:widowControl/>
              <w:spacing w:line="240" w:lineRule="auto"/>
              <w:ind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eastAsia"/>
                <w:color w:val="auto"/>
                <w:sz w:val="21"/>
                <w:szCs w:val="21"/>
                <w:highlight w:val="none"/>
              </w:rPr>
              <w:t>以两口井的外接矩形为界，向外径向距离为30米的矩形所围区域</w:t>
            </w:r>
          </w:p>
        </w:tc>
        <w:tc>
          <w:tcPr>
            <w:tcW w:w="597" w:type="pct"/>
            <w:vMerge w:val="restart"/>
            <w:tcBorders>
              <w:tl2br w:val="nil"/>
              <w:tr2bl w:val="nil"/>
            </w:tcBorders>
            <w:vAlign w:val="center"/>
          </w:tcPr>
          <w:p w14:paraId="381758D1">
            <w:pPr>
              <w:widowControl/>
              <w:spacing w:line="240" w:lineRule="auto"/>
              <w:ind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3960</w:t>
            </w:r>
          </w:p>
        </w:tc>
        <w:tc>
          <w:tcPr>
            <w:tcW w:w="597" w:type="pct"/>
            <w:vMerge w:val="continue"/>
            <w:tcBorders>
              <w:tl2br w:val="nil"/>
              <w:tr2bl w:val="nil"/>
            </w:tcBorders>
            <w:vAlign w:val="center"/>
          </w:tcPr>
          <w:p w14:paraId="4A75A28B">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p>
        </w:tc>
        <w:tc>
          <w:tcPr>
            <w:tcW w:w="738" w:type="pct"/>
            <w:vMerge w:val="restart"/>
            <w:tcBorders>
              <w:tl2br w:val="nil"/>
              <w:tr2bl w:val="nil"/>
            </w:tcBorders>
            <w:vAlign w:val="center"/>
          </w:tcPr>
          <w:p w14:paraId="19A5C922">
            <w:pPr>
              <w:widowControl/>
              <w:spacing w:line="240" w:lineRule="auto"/>
              <w:ind w:firstLine="0" w:firstLineChars="0"/>
              <w:jc w:val="center"/>
              <w:textAlignment w:val="center"/>
              <w:rPr>
                <w:rFonts w:hint="eastAsia"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建民乡</w:t>
            </w:r>
            <w:r>
              <w:rPr>
                <w:rFonts w:hint="eastAsia" w:ascii="Times New Roman" w:hAnsi="Times New Roman" w:eastAsia="宋体" w:cs="Times New Roman"/>
                <w:color w:val="auto"/>
                <w:sz w:val="21"/>
                <w:szCs w:val="21"/>
                <w:highlight w:val="none"/>
                <w:lang w:eastAsia="zh-CN"/>
              </w:rPr>
              <w:t>乡政府泵房</w:t>
            </w:r>
          </w:p>
        </w:tc>
      </w:tr>
      <w:tr w14:paraId="7DF185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17" w:type="pct"/>
            <w:vMerge w:val="continue"/>
            <w:tcBorders>
              <w:tl2br w:val="nil"/>
              <w:tr2bl w:val="nil"/>
            </w:tcBorders>
            <w:vAlign w:val="center"/>
          </w:tcPr>
          <w:p w14:paraId="480B5E18">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p>
        </w:tc>
        <w:tc>
          <w:tcPr>
            <w:tcW w:w="717" w:type="pct"/>
            <w:vMerge w:val="continue"/>
            <w:tcBorders>
              <w:tl2br w:val="nil"/>
              <w:tr2bl w:val="nil"/>
            </w:tcBorders>
            <w:vAlign w:val="center"/>
          </w:tcPr>
          <w:p w14:paraId="7BF5DB9B">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p>
        </w:tc>
        <w:tc>
          <w:tcPr>
            <w:tcW w:w="907" w:type="pct"/>
            <w:tcBorders>
              <w:tl2br w:val="nil"/>
              <w:tr2bl w:val="nil"/>
            </w:tcBorders>
            <w:vAlign w:val="center"/>
          </w:tcPr>
          <w:p w14:paraId="0D7B30D9">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建民乡乡政府饮用水水源地</w:t>
            </w:r>
            <w:r>
              <w:rPr>
                <w:rFonts w:hint="eastAsia" w:cs="Times New Roman"/>
                <w:color w:val="auto"/>
                <w:kern w:val="0"/>
                <w:sz w:val="21"/>
                <w:szCs w:val="21"/>
                <w:highlight w:val="none"/>
                <w:lang w:val="en-US" w:eastAsia="zh-CN" w:bidi="ar"/>
              </w:rPr>
              <w:t>2#</w:t>
            </w:r>
          </w:p>
        </w:tc>
        <w:tc>
          <w:tcPr>
            <w:tcW w:w="924" w:type="pct"/>
            <w:vMerge w:val="continue"/>
            <w:tcBorders>
              <w:tl2br w:val="nil"/>
              <w:tr2bl w:val="nil"/>
            </w:tcBorders>
            <w:vAlign w:val="center"/>
          </w:tcPr>
          <w:p w14:paraId="4BC3664D">
            <w:pPr>
              <w:widowControl/>
              <w:spacing w:line="240" w:lineRule="auto"/>
              <w:ind w:firstLine="0" w:firstLineChars="0"/>
              <w:jc w:val="center"/>
              <w:textAlignment w:val="center"/>
              <w:rPr>
                <w:rFonts w:hint="default" w:ascii="Times New Roman" w:hAnsi="Times New Roman" w:eastAsia="宋体" w:cs="Times New Roman"/>
                <w:color w:val="auto"/>
                <w:sz w:val="21"/>
                <w:szCs w:val="21"/>
                <w:highlight w:val="none"/>
                <w:lang w:val="en-US" w:eastAsia="zh-CN"/>
              </w:rPr>
            </w:pPr>
          </w:p>
        </w:tc>
        <w:tc>
          <w:tcPr>
            <w:tcW w:w="597" w:type="pct"/>
            <w:vMerge w:val="continue"/>
            <w:tcBorders>
              <w:tl2br w:val="nil"/>
              <w:tr2bl w:val="nil"/>
            </w:tcBorders>
            <w:vAlign w:val="center"/>
          </w:tcPr>
          <w:p w14:paraId="44AD6255">
            <w:pPr>
              <w:widowControl/>
              <w:spacing w:line="240" w:lineRule="auto"/>
              <w:ind w:firstLine="0" w:firstLineChars="0"/>
              <w:jc w:val="center"/>
              <w:textAlignment w:val="center"/>
              <w:rPr>
                <w:rFonts w:hint="default" w:ascii="Times New Roman" w:hAnsi="Times New Roman" w:eastAsia="宋体" w:cs="Times New Roman"/>
                <w:color w:val="auto"/>
                <w:sz w:val="21"/>
                <w:szCs w:val="21"/>
                <w:highlight w:val="none"/>
                <w:lang w:val="en-US" w:eastAsia="zh-CN"/>
              </w:rPr>
            </w:pPr>
          </w:p>
        </w:tc>
        <w:tc>
          <w:tcPr>
            <w:tcW w:w="597" w:type="pct"/>
            <w:vMerge w:val="continue"/>
            <w:tcBorders>
              <w:tl2br w:val="nil"/>
              <w:tr2bl w:val="nil"/>
            </w:tcBorders>
            <w:vAlign w:val="center"/>
          </w:tcPr>
          <w:p w14:paraId="194CA84A">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p>
        </w:tc>
        <w:tc>
          <w:tcPr>
            <w:tcW w:w="738" w:type="pct"/>
            <w:vMerge w:val="continue"/>
            <w:tcBorders>
              <w:tl2br w:val="nil"/>
              <w:tr2bl w:val="nil"/>
            </w:tcBorders>
            <w:vAlign w:val="center"/>
          </w:tcPr>
          <w:p w14:paraId="6FEC2C93">
            <w:pPr>
              <w:widowControl/>
              <w:spacing w:line="240" w:lineRule="auto"/>
              <w:ind w:firstLine="0" w:firstLineChars="0"/>
              <w:jc w:val="center"/>
              <w:textAlignment w:val="center"/>
              <w:rPr>
                <w:rFonts w:hint="default" w:ascii="Times New Roman" w:hAnsi="Times New Roman" w:eastAsia="宋体" w:cs="Times New Roman"/>
                <w:color w:val="auto"/>
                <w:sz w:val="21"/>
                <w:szCs w:val="21"/>
                <w:highlight w:val="none"/>
                <w:lang w:val="en-US" w:eastAsia="zh-CN"/>
              </w:rPr>
            </w:pPr>
          </w:p>
        </w:tc>
      </w:tr>
      <w:tr w14:paraId="2A994C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17" w:type="pct"/>
            <w:vMerge w:val="continue"/>
            <w:tcBorders>
              <w:tl2br w:val="nil"/>
              <w:tr2bl w:val="nil"/>
            </w:tcBorders>
            <w:vAlign w:val="center"/>
          </w:tcPr>
          <w:p w14:paraId="2D7E8027">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p>
        </w:tc>
        <w:tc>
          <w:tcPr>
            <w:tcW w:w="717" w:type="pct"/>
            <w:vMerge w:val="continue"/>
            <w:tcBorders>
              <w:tl2br w:val="nil"/>
              <w:tr2bl w:val="nil"/>
            </w:tcBorders>
            <w:vAlign w:val="center"/>
          </w:tcPr>
          <w:p w14:paraId="3EC4FC14">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p>
        </w:tc>
        <w:tc>
          <w:tcPr>
            <w:tcW w:w="907" w:type="pct"/>
            <w:tcBorders>
              <w:tl2br w:val="nil"/>
              <w:tr2bl w:val="nil"/>
            </w:tcBorders>
            <w:vAlign w:val="center"/>
          </w:tcPr>
          <w:p w14:paraId="1A156DD2">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建民乡建功村饮用水水源地</w:t>
            </w:r>
          </w:p>
        </w:tc>
        <w:tc>
          <w:tcPr>
            <w:tcW w:w="924" w:type="pct"/>
            <w:tcBorders>
              <w:tl2br w:val="nil"/>
              <w:tr2bl w:val="nil"/>
            </w:tcBorders>
            <w:vAlign w:val="center"/>
          </w:tcPr>
          <w:p w14:paraId="0CCDAF89">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rPr>
              <w:t>以取水井为圆心</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30米为半径的圆形所围区域</w:t>
            </w:r>
          </w:p>
        </w:tc>
        <w:tc>
          <w:tcPr>
            <w:tcW w:w="597" w:type="pct"/>
            <w:tcBorders>
              <w:tl2br w:val="nil"/>
              <w:tr2bl w:val="nil"/>
            </w:tcBorders>
            <w:vAlign w:val="center"/>
          </w:tcPr>
          <w:p w14:paraId="23E12E61">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rPr>
              <w:t>2826</w:t>
            </w:r>
          </w:p>
        </w:tc>
        <w:tc>
          <w:tcPr>
            <w:tcW w:w="597" w:type="pct"/>
            <w:vMerge w:val="continue"/>
            <w:tcBorders>
              <w:tl2br w:val="nil"/>
              <w:tr2bl w:val="nil"/>
            </w:tcBorders>
            <w:vAlign w:val="center"/>
          </w:tcPr>
          <w:p w14:paraId="62717036">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p>
        </w:tc>
        <w:tc>
          <w:tcPr>
            <w:tcW w:w="738" w:type="pct"/>
            <w:tcBorders>
              <w:tl2br w:val="nil"/>
              <w:tr2bl w:val="nil"/>
            </w:tcBorders>
            <w:vAlign w:val="center"/>
          </w:tcPr>
          <w:p w14:paraId="2362218C">
            <w:pPr>
              <w:widowControl/>
              <w:spacing w:line="240" w:lineRule="auto"/>
              <w:ind w:firstLine="0" w:firstLineChars="0"/>
              <w:jc w:val="center"/>
              <w:textAlignment w:val="center"/>
              <w:rPr>
                <w:rFonts w:hint="eastAsia" w:ascii="Times New Roman" w:hAnsi="Times New Roman" w:cs="Times New Roman"/>
                <w:color w:val="auto"/>
                <w:highlight w:val="none"/>
                <w:vertAlign w:val="baseline"/>
                <w:lang w:eastAsia="zh-CN"/>
              </w:rPr>
            </w:pPr>
            <w:r>
              <w:rPr>
                <w:rFonts w:hint="default" w:ascii="Times New Roman" w:hAnsi="Times New Roman" w:eastAsia="宋体" w:cs="Times New Roman"/>
                <w:color w:val="auto"/>
                <w:sz w:val="21"/>
                <w:szCs w:val="21"/>
                <w:highlight w:val="none"/>
                <w:lang w:val="en-US" w:eastAsia="zh-CN"/>
              </w:rPr>
              <w:t>建功</w:t>
            </w:r>
            <w:r>
              <w:rPr>
                <w:rFonts w:hint="default" w:ascii="Times New Roman" w:hAnsi="Times New Roman" w:eastAsia="宋体" w:cs="Times New Roman"/>
                <w:color w:val="auto"/>
                <w:kern w:val="0"/>
                <w:sz w:val="21"/>
                <w:szCs w:val="21"/>
                <w:highlight w:val="none"/>
                <w:lang w:val="en-US" w:eastAsia="zh-CN" w:bidi="ar"/>
              </w:rPr>
              <w:t>村</w:t>
            </w:r>
            <w:r>
              <w:rPr>
                <w:rFonts w:hint="eastAsia" w:ascii="Times New Roman" w:hAnsi="Times New Roman" w:eastAsia="宋体" w:cs="Times New Roman"/>
                <w:color w:val="auto"/>
                <w:kern w:val="0"/>
                <w:sz w:val="21"/>
                <w:szCs w:val="21"/>
                <w:highlight w:val="none"/>
                <w:lang w:val="en-US" w:eastAsia="zh-CN" w:bidi="ar"/>
              </w:rPr>
              <w:t>泵房</w:t>
            </w:r>
          </w:p>
        </w:tc>
      </w:tr>
      <w:tr w14:paraId="1ACF17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17" w:type="pct"/>
            <w:vMerge w:val="restart"/>
            <w:tcBorders>
              <w:tl2br w:val="nil"/>
              <w:tr2bl w:val="nil"/>
            </w:tcBorders>
            <w:vAlign w:val="center"/>
          </w:tcPr>
          <w:p w14:paraId="73E7A165">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3</w:t>
            </w:r>
          </w:p>
        </w:tc>
        <w:tc>
          <w:tcPr>
            <w:tcW w:w="717" w:type="pct"/>
            <w:vMerge w:val="restart"/>
            <w:tcBorders>
              <w:tl2br w:val="nil"/>
              <w:tr2bl w:val="nil"/>
            </w:tcBorders>
            <w:vAlign w:val="center"/>
          </w:tcPr>
          <w:p w14:paraId="3BAF8799">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庆安县同乐镇饮用水水源地（</w:t>
            </w:r>
            <w:r>
              <w:rPr>
                <w:rFonts w:hint="eastAsia" w:cs="Times New Roman"/>
                <w:color w:val="auto"/>
                <w:kern w:val="0"/>
                <w:sz w:val="21"/>
                <w:szCs w:val="21"/>
                <w:highlight w:val="none"/>
                <w:lang w:val="en-US" w:eastAsia="zh-CN" w:bidi="ar"/>
              </w:rPr>
              <w:t>3</w:t>
            </w:r>
            <w:r>
              <w:rPr>
                <w:rFonts w:hint="eastAsia" w:ascii="Times New Roman" w:hAnsi="Times New Roman" w:eastAsia="宋体" w:cs="Times New Roman"/>
                <w:color w:val="auto"/>
                <w:kern w:val="0"/>
                <w:sz w:val="21"/>
                <w:szCs w:val="21"/>
                <w:highlight w:val="none"/>
                <w:lang w:val="en-US" w:eastAsia="zh-CN" w:bidi="ar"/>
              </w:rPr>
              <w:t>眼水井，1#-</w:t>
            </w:r>
            <w:r>
              <w:rPr>
                <w:rFonts w:hint="eastAsia" w:cs="Times New Roman"/>
                <w:color w:val="auto"/>
                <w:kern w:val="0"/>
                <w:sz w:val="21"/>
                <w:szCs w:val="21"/>
                <w:highlight w:val="none"/>
                <w:lang w:val="en-US" w:eastAsia="zh-CN" w:bidi="ar"/>
              </w:rPr>
              <w:t>3</w:t>
            </w:r>
            <w:r>
              <w:rPr>
                <w:rFonts w:hint="eastAsia" w:ascii="Times New Roman" w:hAnsi="Times New Roman" w:eastAsia="宋体" w:cs="Times New Roman"/>
                <w:color w:val="auto"/>
                <w:kern w:val="0"/>
                <w:sz w:val="21"/>
                <w:szCs w:val="21"/>
                <w:highlight w:val="none"/>
                <w:lang w:val="en-US" w:eastAsia="zh-CN" w:bidi="ar"/>
              </w:rPr>
              <w:t>#）</w:t>
            </w:r>
          </w:p>
        </w:tc>
        <w:tc>
          <w:tcPr>
            <w:tcW w:w="907" w:type="pct"/>
            <w:tcBorders>
              <w:tl2br w:val="nil"/>
              <w:tr2bl w:val="nil"/>
            </w:tcBorders>
            <w:vAlign w:val="center"/>
          </w:tcPr>
          <w:p w14:paraId="7F7E06AE">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同乐镇同兴村沟里饮用水水源地</w:t>
            </w:r>
          </w:p>
        </w:tc>
        <w:tc>
          <w:tcPr>
            <w:tcW w:w="924" w:type="pct"/>
            <w:tcBorders>
              <w:tl2br w:val="nil"/>
              <w:tr2bl w:val="nil"/>
            </w:tcBorders>
            <w:vAlign w:val="center"/>
          </w:tcPr>
          <w:p w14:paraId="06453B9E">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rPr>
              <w:t>以取水井为圆心</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30米为半径的圆形所围区域</w:t>
            </w:r>
          </w:p>
        </w:tc>
        <w:tc>
          <w:tcPr>
            <w:tcW w:w="597" w:type="pct"/>
            <w:tcBorders>
              <w:tl2br w:val="nil"/>
              <w:tr2bl w:val="nil"/>
            </w:tcBorders>
            <w:vAlign w:val="center"/>
          </w:tcPr>
          <w:p w14:paraId="0F2E0CDD">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rPr>
              <w:t>2826</w:t>
            </w:r>
          </w:p>
        </w:tc>
        <w:tc>
          <w:tcPr>
            <w:tcW w:w="597" w:type="pct"/>
            <w:vMerge w:val="restart"/>
            <w:tcBorders>
              <w:tl2br w:val="nil"/>
              <w:tr2bl w:val="nil"/>
            </w:tcBorders>
            <w:vAlign w:val="center"/>
          </w:tcPr>
          <w:p w14:paraId="31520E3B">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黑政函[2017]118号</w:t>
            </w:r>
          </w:p>
        </w:tc>
        <w:tc>
          <w:tcPr>
            <w:tcW w:w="738" w:type="pct"/>
            <w:tcBorders>
              <w:tl2br w:val="nil"/>
              <w:tr2bl w:val="nil"/>
            </w:tcBorders>
            <w:vAlign w:val="center"/>
          </w:tcPr>
          <w:p w14:paraId="091C53A8">
            <w:pPr>
              <w:widowControl/>
              <w:spacing w:line="240" w:lineRule="auto"/>
              <w:ind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bidi="ar"/>
              </w:rPr>
              <w:t>沟里屯泵房</w:t>
            </w:r>
          </w:p>
        </w:tc>
      </w:tr>
      <w:tr w14:paraId="52457C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17" w:type="pct"/>
            <w:vMerge w:val="continue"/>
            <w:tcBorders>
              <w:tl2br w:val="nil"/>
              <w:tr2bl w:val="nil"/>
            </w:tcBorders>
            <w:vAlign w:val="center"/>
          </w:tcPr>
          <w:p w14:paraId="2BAF2D88">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p>
        </w:tc>
        <w:tc>
          <w:tcPr>
            <w:tcW w:w="717" w:type="pct"/>
            <w:vMerge w:val="continue"/>
            <w:tcBorders>
              <w:tl2br w:val="nil"/>
              <w:tr2bl w:val="nil"/>
            </w:tcBorders>
            <w:vAlign w:val="center"/>
          </w:tcPr>
          <w:p w14:paraId="37C3FE12">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p>
        </w:tc>
        <w:tc>
          <w:tcPr>
            <w:tcW w:w="907" w:type="pct"/>
            <w:tcBorders>
              <w:tl2br w:val="nil"/>
              <w:tr2bl w:val="nil"/>
            </w:tcBorders>
            <w:vAlign w:val="center"/>
          </w:tcPr>
          <w:p w14:paraId="53E950F5">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同乐乡大老总饮用水水源地</w:t>
            </w:r>
          </w:p>
        </w:tc>
        <w:tc>
          <w:tcPr>
            <w:tcW w:w="924" w:type="pct"/>
            <w:tcBorders>
              <w:tl2br w:val="nil"/>
              <w:tr2bl w:val="nil"/>
            </w:tcBorders>
            <w:vAlign w:val="center"/>
          </w:tcPr>
          <w:p w14:paraId="316939CD">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rPr>
              <w:t>以取水井为圆心</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30米为半径的圆形所围区域</w:t>
            </w:r>
          </w:p>
        </w:tc>
        <w:tc>
          <w:tcPr>
            <w:tcW w:w="597" w:type="pct"/>
            <w:tcBorders>
              <w:tl2br w:val="nil"/>
              <w:tr2bl w:val="nil"/>
            </w:tcBorders>
            <w:vAlign w:val="center"/>
          </w:tcPr>
          <w:p w14:paraId="572A8413">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rPr>
              <w:t>2826</w:t>
            </w:r>
          </w:p>
        </w:tc>
        <w:tc>
          <w:tcPr>
            <w:tcW w:w="597" w:type="pct"/>
            <w:vMerge w:val="continue"/>
            <w:tcBorders>
              <w:tl2br w:val="nil"/>
              <w:tr2bl w:val="nil"/>
            </w:tcBorders>
            <w:vAlign w:val="center"/>
          </w:tcPr>
          <w:p w14:paraId="4EB70D8B">
            <w:pPr>
              <w:ind w:firstLine="412" w:firstLineChars="200"/>
              <w:jc w:val="center"/>
              <w:rPr>
                <w:rFonts w:hint="eastAsia" w:ascii="Times New Roman" w:hAnsi="Times New Roman" w:eastAsia="宋体" w:cs="Times New Roman"/>
                <w:color w:val="auto"/>
                <w:kern w:val="0"/>
                <w:sz w:val="21"/>
                <w:szCs w:val="21"/>
                <w:highlight w:val="none"/>
                <w:lang w:val="en-US" w:eastAsia="zh-CN" w:bidi="ar"/>
              </w:rPr>
            </w:pPr>
          </w:p>
        </w:tc>
        <w:tc>
          <w:tcPr>
            <w:tcW w:w="738" w:type="pct"/>
            <w:tcBorders>
              <w:tl2br w:val="nil"/>
              <w:tr2bl w:val="nil"/>
            </w:tcBorders>
            <w:vAlign w:val="center"/>
          </w:tcPr>
          <w:p w14:paraId="332962BA">
            <w:pPr>
              <w:widowControl/>
              <w:spacing w:line="240" w:lineRule="auto"/>
              <w:ind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bidi="ar"/>
              </w:rPr>
              <w:t>大老总泵房</w:t>
            </w:r>
          </w:p>
        </w:tc>
      </w:tr>
      <w:tr w14:paraId="6B0E7C5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50" w:hRule="atLeast"/>
        </w:trPr>
        <w:tc>
          <w:tcPr>
            <w:tcW w:w="517" w:type="pct"/>
            <w:vMerge w:val="continue"/>
            <w:tcBorders>
              <w:tl2br w:val="nil"/>
              <w:tr2bl w:val="nil"/>
            </w:tcBorders>
            <w:vAlign w:val="center"/>
          </w:tcPr>
          <w:p w14:paraId="2C897F8D">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p>
        </w:tc>
        <w:tc>
          <w:tcPr>
            <w:tcW w:w="717" w:type="pct"/>
            <w:vMerge w:val="continue"/>
            <w:tcBorders>
              <w:tl2br w:val="nil"/>
              <w:tr2bl w:val="nil"/>
            </w:tcBorders>
            <w:vAlign w:val="center"/>
          </w:tcPr>
          <w:p w14:paraId="2858D7FA">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p>
        </w:tc>
        <w:tc>
          <w:tcPr>
            <w:tcW w:w="907" w:type="pct"/>
            <w:tcBorders>
              <w:tl2br w:val="nil"/>
              <w:tr2bl w:val="nil"/>
            </w:tcBorders>
            <w:vAlign w:val="center"/>
          </w:tcPr>
          <w:p w14:paraId="1952DE3D">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同乐镇同庆村王振河地下水型水源地</w:t>
            </w:r>
          </w:p>
        </w:tc>
        <w:tc>
          <w:tcPr>
            <w:tcW w:w="924" w:type="pct"/>
            <w:tcBorders>
              <w:tl2br w:val="nil"/>
              <w:tr2bl w:val="nil"/>
            </w:tcBorders>
            <w:vAlign w:val="center"/>
          </w:tcPr>
          <w:p w14:paraId="6322FF8F">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rPr>
              <w:t>以取水井为圆心</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30米为半径的圆形所围区域</w:t>
            </w:r>
          </w:p>
        </w:tc>
        <w:tc>
          <w:tcPr>
            <w:tcW w:w="597" w:type="pct"/>
            <w:tcBorders>
              <w:tl2br w:val="nil"/>
              <w:tr2bl w:val="nil"/>
            </w:tcBorders>
            <w:vAlign w:val="center"/>
          </w:tcPr>
          <w:p w14:paraId="260C56E7">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rPr>
              <w:t>2826</w:t>
            </w:r>
          </w:p>
        </w:tc>
        <w:tc>
          <w:tcPr>
            <w:tcW w:w="597" w:type="pct"/>
            <w:vMerge w:val="continue"/>
            <w:tcBorders>
              <w:tl2br w:val="nil"/>
              <w:tr2bl w:val="nil"/>
            </w:tcBorders>
            <w:vAlign w:val="center"/>
          </w:tcPr>
          <w:p w14:paraId="3F295710">
            <w:pPr>
              <w:ind w:firstLine="412" w:firstLineChars="200"/>
              <w:jc w:val="center"/>
              <w:rPr>
                <w:rFonts w:hint="eastAsia" w:ascii="Times New Roman" w:hAnsi="Times New Roman" w:eastAsia="宋体" w:cs="Times New Roman"/>
                <w:color w:val="auto"/>
                <w:kern w:val="0"/>
                <w:sz w:val="21"/>
                <w:szCs w:val="21"/>
                <w:highlight w:val="none"/>
                <w:lang w:val="en-US" w:eastAsia="zh-CN" w:bidi="ar"/>
              </w:rPr>
            </w:pPr>
          </w:p>
        </w:tc>
        <w:tc>
          <w:tcPr>
            <w:tcW w:w="738" w:type="pct"/>
            <w:tcBorders>
              <w:tl2br w:val="nil"/>
              <w:tr2bl w:val="nil"/>
            </w:tcBorders>
            <w:vAlign w:val="center"/>
          </w:tcPr>
          <w:p w14:paraId="539EF6C4">
            <w:pPr>
              <w:widowControl/>
              <w:spacing w:line="240" w:lineRule="auto"/>
              <w:ind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bidi="ar"/>
              </w:rPr>
              <w:t>王振河泵房</w:t>
            </w:r>
          </w:p>
        </w:tc>
      </w:tr>
      <w:tr w14:paraId="3295C3A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17" w:type="pct"/>
            <w:vMerge w:val="continue"/>
            <w:tcBorders>
              <w:tl2br w:val="nil"/>
              <w:tr2bl w:val="nil"/>
            </w:tcBorders>
            <w:vAlign w:val="center"/>
          </w:tcPr>
          <w:p w14:paraId="7D427A4F">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p>
        </w:tc>
        <w:tc>
          <w:tcPr>
            <w:tcW w:w="717" w:type="pct"/>
            <w:vMerge w:val="continue"/>
            <w:tcBorders>
              <w:tl2br w:val="nil"/>
              <w:tr2bl w:val="nil"/>
            </w:tcBorders>
            <w:vAlign w:val="center"/>
          </w:tcPr>
          <w:p w14:paraId="69A831CE">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p>
        </w:tc>
        <w:tc>
          <w:tcPr>
            <w:tcW w:w="907" w:type="pct"/>
            <w:tcBorders>
              <w:tl2br w:val="nil"/>
              <w:tr2bl w:val="nil"/>
            </w:tcBorders>
            <w:vAlign w:val="center"/>
          </w:tcPr>
          <w:p w14:paraId="7DA2F752">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同乐乡地下水饮用水水源地</w:t>
            </w:r>
          </w:p>
        </w:tc>
        <w:tc>
          <w:tcPr>
            <w:tcW w:w="924" w:type="pct"/>
            <w:tcBorders>
              <w:tl2br w:val="nil"/>
              <w:tr2bl w:val="nil"/>
            </w:tcBorders>
            <w:vAlign w:val="center"/>
          </w:tcPr>
          <w:p w14:paraId="6A391918">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rPr>
              <w:t>以取水井为圆心</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30米为半径的圆形所围区域</w:t>
            </w:r>
          </w:p>
        </w:tc>
        <w:tc>
          <w:tcPr>
            <w:tcW w:w="597" w:type="pct"/>
            <w:tcBorders>
              <w:tl2br w:val="nil"/>
              <w:tr2bl w:val="nil"/>
            </w:tcBorders>
            <w:vAlign w:val="center"/>
          </w:tcPr>
          <w:p w14:paraId="334B6CCA">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rPr>
              <w:t>2826</w:t>
            </w:r>
          </w:p>
        </w:tc>
        <w:tc>
          <w:tcPr>
            <w:tcW w:w="597" w:type="pct"/>
            <w:tcBorders>
              <w:tl2br w:val="nil"/>
              <w:tr2bl w:val="nil"/>
            </w:tcBorders>
            <w:vAlign w:val="center"/>
          </w:tcPr>
          <w:p w14:paraId="7234EBFE">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黑政函[2013]113号</w:t>
            </w:r>
          </w:p>
        </w:tc>
        <w:tc>
          <w:tcPr>
            <w:tcW w:w="738" w:type="pct"/>
            <w:tcBorders>
              <w:tl2br w:val="nil"/>
              <w:tr2bl w:val="nil"/>
            </w:tcBorders>
            <w:vAlign w:val="center"/>
          </w:tcPr>
          <w:p w14:paraId="1137959C">
            <w:pPr>
              <w:widowControl/>
              <w:spacing w:line="240" w:lineRule="auto"/>
              <w:ind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bidi="ar"/>
              </w:rPr>
              <w:t>同乐村泵房</w:t>
            </w:r>
          </w:p>
        </w:tc>
      </w:tr>
      <w:tr w14:paraId="7C2E96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17" w:type="pct"/>
            <w:vMerge w:val="restart"/>
            <w:tcBorders>
              <w:tl2br w:val="nil"/>
              <w:tr2bl w:val="nil"/>
            </w:tcBorders>
            <w:vAlign w:val="center"/>
          </w:tcPr>
          <w:p w14:paraId="58EEAD27">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4</w:t>
            </w:r>
          </w:p>
        </w:tc>
        <w:tc>
          <w:tcPr>
            <w:tcW w:w="717" w:type="pct"/>
            <w:vMerge w:val="restart"/>
            <w:tcBorders>
              <w:tl2br w:val="nil"/>
              <w:tr2bl w:val="nil"/>
            </w:tcBorders>
            <w:vAlign w:val="center"/>
          </w:tcPr>
          <w:p w14:paraId="2EC1AE20">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庆安县柳河镇饮用水水源地（5眼水井，1#-5#）</w:t>
            </w:r>
          </w:p>
        </w:tc>
        <w:tc>
          <w:tcPr>
            <w:tcW w:w="907" w:type="pct"/>
            <w:tcBorders>
              <w:tl2br w:val="nil"/>
              <w:tr2bl w:val="nil"/>
            </w:tcBorders>
            <w:vAlign w:val="center"/>
          </w:tcPr>
          <w:p w14:paraId="134F919A">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新胜乡新胜村饮用水水源地</w:t>
            </w:r>
          </w:p>
        </w:tc>
        <w:tc>
          <w:tcPr>
            <w:tcW w:w="924" w:type="pct"/>
            <w:tcBorders>
              <w:tl2br w:val="nil"/>
              <w:tr2bl w:val="nil"/>
            </w:tcBorders>
            <w:vAlign w:val="center"/>
          </w:tcPr>
          <w:p w14:paraId="1762D8DB">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rPr>
              <w:t>以取水井为圆心</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30米为半径的圆形所围区域</w:t>
            </w:r>
          </w:p>
        </w:tc>
        <w:tc>
          <w:tcPr>
            <w:tcW w:w="597" w:type="pct"/>
            <w:tcBorders>
              <w:tl2br w:val="nil"/>
              <w:tr2bl w:val="nil"/>
            </w:tcBorders>
            <w:vAlign w:val="center"/>
          </w:tcPr>
          <w:p w14:paraId="501ED316">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rPr>
              <w:t>2826</w:t>
            </w:r>
          </w:p>
        </w:tc>
        <w:tc>
          <w:tcPr>
            <w:tcW w:w="597" w:type="pct"/>
            <w:vMerge w:val="restart"/>
            <w:tcBorders>
              <w:tl2br w:val="nil"/>
              <w:tr2bl w:val="nil"/>
            </w:tcBorders>
            <w:vAlign w:val="center"/>
          </w:tcPr>
          <w:p w14:paraId="26ACC73C">
            <w:pPr>
              <w:widowControl/>
              <w:spacing w:line="240" w:lineRule="auto"/>
              <w:ind w:firstLine="0" w:firstLineChars="0"/>
              <w:jc w:val="center"/>
              <w:textAlignment w:val="center"/>
              <w:rPr>
                <w:rFonts w:hint="eastAsia" w:ascii="Times New Roman" w:hAnsi="Times New Roman" w:cs="Times New Roman"/>
                <w:color w:val="auto"/>
                <w:highlight w:val="none"/>
                <w:vertAlign w:val="baseline"/>
                <w:lang w:eastAsia="zh-CN"/>
              </w:rPr>
            </w:pPr>
            <w:r>
              <w:rPr>
                <w:rFonts w:hint="eastAsia" w:ascii="Times New Roman" w:hAnsi="Times New Roman" w:eastAsia="宋体" w:cs="Times New Roman"/>
                <w:color w:val="auto"/>
                <w:kern w:val="0"/>
                <w:sz w:val="21"/>
                <w:szCs w:val="21"/>
                <w:highlight w:val="none"/>
                <w:lang w:val="en-US" w:eastAsia="zh-CN" w:bidi="ar"/>
              </w:rPr>
              <w:t>黑政函[2017]118号</w:t>
            </w:r>
          </w:p>
        </w:tc>
        <w:tc>
          <w:tcPr>
            <w:tcW w:w="738" w:type="pct"/>
            <w:tcBorders>
              <w:tl2br w:val="nil"/>
              <w:tr2bl w:val="nil"/>
            </w:tcBorders>
            <w:vAlign w:val="center"/>
          </w:tcPr>
          <w:p w14:paraId="413D1C79">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新胜村泵房</w:t>
            </w:r>
          </w:p>
        </w:tc>
      </w:tr>
      <w:tr w14:paraId="212BF8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17" w:type="pct"/>
            <w:vMerge w:val="continue"/>
            <w:tcBorders>
              <w:tl2br w:val="nil"/>
              <w:tr2bl w:val="nil"/>
            </w:tcBorders>
            <w:vAlign w:val="center"/>
          </w:tcPr>
          <w:p w14:paraId="7FC1A93D">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p>
        </w:tc>
        <w:tc>
          <w:tcPr>
            <w:tcW w:w="717" w:type="pct"/>
            <w:vMerge w:val="continue"/>
            <w:tcBorders>
              <w:tl2br w:val="nil"/>
              <w:tr2bl w:val="nil"/>
            </w:tcBorders>
            <w:vAlign w:val="center"/>
          </w:tcPr>
          <w:p w14:paraId="3D344230">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p>
        </w:tc>
        <w:tc>
          <w:tcPr>
            <w:tcW w:w="907" w:type="pct"/>
            <w:tcBorders>
              <w:tl2br w:val="nil"/>
              <w:tr2bl w:val="nil"/>
            </w:tcBorders>
            <w:vAlign w:val="center"/>
          </w:tcPr>
          <w:p w14:paraId="2AF7584F">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新胜乡新宏村饮用水水源地</w:t>
            </w:r>
          </w:p>
        </w:tc>
        <w:tc>
          <w:tcPr>
            <w:tcW w:w="924" w:type="pct"/>
            <w:tcBorders>
              <w:tl2br w:val="nil"/>
              <w:tr2bl w:val="nil"/>
            </w:tcBorders>
            <w:vAlign w:val="center"/>
          </w:tcPr>
          <w:p w14:paraId="55C655EF">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rPr>
              <w:t>以取水井为圆心</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30米为半径的圆形所围区域</w:t>
            </w:r>
          </w:p>
        </w:tc>
        <w:tc>
          <w:tcPr>
            <w:tcW w:w="597" w:type="pct"/>
            <w:tcBorders>
              <w:tl2br w:val="nil"/>
              <w:tr2bl w:val="nil"/>
            </w:tcBorders>
            <w:vAlign w:val="center"/>
          </w:tcPr>
          <w:p w14:paraId="4F87FCF8">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rPr>
              <w:t>2826</w:t>
            </w:r>
          </w:p>
        </w:tc>
        <w:tc>
          <w:tcPr>
            <w:tcW w:w="597" w:type="pct"/>
            <w:vMerge w:val="continue"/>
            <w:tcBorders>
              <w:tl2br w:val="nil"/>
              <w:tr2bl w:val="nil"/>
            </w:tcBorders>
            <w:vAlign w:val="center"/>
          </w:tcPr>
          <w:p w14:paraId="06150F40">
            <w:pPr>
              <w:jc w:val="center"/>
              <w:rPr>
                <w:rFonts w:hint="eastAsia" w:ascii="Times New Roman" w:hAnsi="Times New Roman" w:cs="Times New Roman"/>
                <w:color w:val="auto"/>
                <w:highlight w:val="none"/>
                <w:vertAlign w:val="baseline"/>
                <w:lang w:eastAsia="zh-CN"/>
              </w:rPr>
            </w:pPr>
          </w:p>
        </w:tc>
        <w:tc>
          <w:tcPr>
            <w:tcW w:w="738" w:type="pct"/>
            <w:tcBorders>
              <w:tl2br w:val="nil"/>
              <w:tr2bl w:val="nil"/>
            </w:tcBorders>
            <w:vAlign w:val="center"/>
          </w:tcPr>
          <w:p w14:paraId="07BDA1F5">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新宏村泵房</w:t>
            </w:r>
          </w:p>
        </w:tc>
      </w:tr>
      <w:tr w14:paraId="4922D72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17" w:type="pct"/>
            <w:vMerge w:val="continue"/>
            <w:tcBorders>
              <w:tl2br w:val="nil"/>
              <w:tr2bl w:val="nil"/>
            </w:tcBorders>
            <w:vAlign w:val="center"/>
          </w:tcPr>
          <w:p w14:paraId="61DFBE64">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p>
        </w:tc>
        <w:tc>
          <w:tcPr>
            <w:tcW w:w="717" w:type="pct"/>
            <w:vMerge w:val="continue"/>
            <w:tcBorders>
              <w:tl2br w:val="nil"/>
              <w:tr2bl w:val="nil"/>
            </w:tcBorders>
            <w:vAlign w:val="center"/>
          </w:tcPr>
          <w:p w14:paraId="22D06844">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p>
        </w:tc>
        <w:tc>
          <w:tcPr>
            <w:tcW w:w="907" w:type="pct"/>
            <w:tcBorders>
              <w:tl2br w:val="nil"/>
              <w:tr2bl w:val="nil"/>
            </w:tcBorders>
            <w:vAlign w:val="center"/>
          </w:tcPr>
          <w:p w14:paraId="2AD54381">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新胜乡新岗村饮用水水源地</w:t>
            </w:r>
          </w:p>
        </w:tc>
        <w:tc>
          <w:tcPr>
            <w:tcW w:w="924" w:type="pct"/>
            <w:tcBorders>
              <w:tl2br w:val="nil"/>
              <w:tr2bl w:val="nil"/>
            </w:tcBorders>
            <w:vAlign w:val="center"/>
          </w:tcPr>
          <w:p w14:paraId="1D4F2E17">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rPr>
              <w:t>以取水井为圆心</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30米为半径的圆形所围区域</w:t>
            </w:r>
          </w:p>
        </w:tc>
        <w:tc>
          <w:tcPr>
            <w:tcW w:w="597" w:type="pct"/>
            <w:tcBorders>
              <w:tl2br w:val="nil"/>
              <w:tr2bl w:val="nil"/>
            </w:tcBorders>
            <w:vAlign w:val="center"/>
          </w:tcPr>
          <w:p w14:paraId="56BBC0BB">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rPr>
              <w:t>2826</w:t>
            </w:r>
          </w:p>
        </w:tc>
        <w:tc>
          <w:tcPr>
            <w:tcW w:w="597" w:type="pct"/>
            <w:vMerge w:val="continue"/>
            <w:tcBorders>
              <w:tl2br w:val="nil"/>
              <w:tr2bl w:val="nil"/>
            </w:tcBorders>
            <w:vAlign w:val="center"/>
          </w:tcPr>
          <w:p w14:paraId="394A0647">
            <w:pPr>
              <w:jc w:val="center"/>
              <w:rPr>
                <w:rFonts w:hint="eastAsia" w:ascii="Times New Roman" w:hAnsi="Times New Roman" w:cs="Times New Roman"/>
                <w:color w:val="auto"/>
                <w:highlight w:val="none"/>
                <w:vertAlign w:val="baseline"/>
                <w:lang w:eastAsia="zh-CN"/>
              </w:rPr>
            </w:pPr>
          </w:p>
        </w:tc>
        <w:tc>
          <w:tcPr>
            <w:tcW w:w="738" w:type="pct"/>
            <w:tcBorders>
              <w:tl2br w:val="nil"/>
              <w:tr2bl w:val="nil"/>
            </w:tcBorders>
            <w:vAlign w:val="center"/>
          </w:tcPr>
          <w:p w14:paraId="16078C4C">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新岗村泵房</w:t>
            </w:r>
          </w:p>
        </w:tc>
      </w:tr>
      <w:tr w14:paraId="43C147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17" w:type="pct"/>
            <w:vMerge w:val="continue"/>
            <w:tcBorders>
              <w:tl2br w:val="nil"/>
              <w:tr2bl w:val="nil"/>
            </w:tcBorders>
            <w:vAlign w:val="center"/>
          </w:tcPr>
          <w:p w14:paraId="4B9D95E8">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p>
        </w:tc>
        <w:tc>
          <w:tcPr>
            <w:tcW w:w="717" w:type="pct"/>
            <w:vMerge w:val="continue"/>
            <w:tcBorders>
              <w:tl2br w:val="nil"/>
              <w:tr2bl w:val="nil"/>
            </w:tcBorders>
            <w:vAlign w:val="center"/>
          </w:tcPr>
          <w:p w14:paraId="34592BFA">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p>
        </w:tc>
        <w:tc>
          <w:tcPr>
            <w:tcW w:w="907" w:type="pct"/>
            <w:tcBorders>
              <w:tl2br w:val="nil"/>
              <w:tr2bl w:val="nil"/>
            </w:tcBorders>
            <w:vAlign w:val="center"/>
          </w:tcPr>
          <w:p w14:paraId="40304F5D">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color w:val="auto"/>
                <w:sz w:val="21"/>
                <w:szCs w:val="21"/>
                <w:highlight w:val="none"/>
              </w:rPr>
              <w:t>柳河镇</w:t>
            </w:r>
            <w:r>
              <w:rPr>
                <w:color w:val="auto"/>
                <w:sz w:val="21"/>
                <w:szCs w:val="21"/>
                <w:highlight w:val="none"/>
              </w:rPr>
              <w:t>饮用水水源</w:t>
            </w:r>
          </w:p>
        </w:tc>
        <w:tc>
          <w:tcPr>
            <w:tcW w:w="924" w:type="pct"/>
            <w:tcBorders>
              <w:tl2br w:val="nil"/>
              <w:tr2bl w:val="nil"/>
            </w:tcBorders>
            <w:vAlign w:val="center"/>
          </w:tcPr>
          <w:p w14:paraId="70226A9A">
            <w:pPr>
              <w:widowControl/>
              <w:spacing w:line="240" w:lineRule="auto"/>
              <w:ind w:firstLine="0" w:firstLineChars="0"/>
              <w:jc w:val="center"/>
              <w:textAlignment w:val="center"/>
              <w:rPr>
                <w:rFonts w:hint="eastAsia"/>
                <w:color w:val="auto"/>
                <w:sz w:val="21"/>
                <w:szCs w:val="21"/>
                <w:highlight w:val="none"/>
              </w:rPr>
            </w:pPr>
            <w:r>
              <w:rPr>
                <w:rFonts w:hint="default" w:ascii="Times New Roman" w:hAnsi="Times New Roman" w:eastAsia="宋体" w:cs="Times New Roman"/>
                <w:color w:val="auto"/>
                <w:sz w:val="21"/>
                <w:szCs w:val="21"/>
                <w:highlight w:val="none"/>
                <w:lang w:val="en-US" w:eastAsia="zh-CN"/>
              </w:rPr>
              <w:t>以取水井为圆心</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30米为半径的圆形所围区域</w:t>
            </w:r>
          </w:p>
        </w:tc>
        <w:tc>
          <w:tcPr>
            <w:tcW w:w="597" w:type="pct"/>
            <w:tcBorders>
              <w:tl2br w:val="nil"/>
              <w:tr2bl w:val="nil"/>
            </w:tcBorders>
            <w:vAlign w:val="center"/>
          </w:tcPr>
          <w:p w14:paraId="2E42F216">
            <w:pPr>
              <w:widowControl/>
              <w:spacing w:line="240" w:lineRule="auto"/>
              <w:ind w:firstLine="0" w:firstLineChars="0"/>
              <w:jc w:val="center"/>
              <w:textAlignment w:val="center"/>
              <w:rPr>
                <w:rFonts w:hint="eastAsia"/>
                <w:color w:val="auto"/>
                <w:sz w:val="21"/>
                <w:szCs w:val="21"/>
                <w:highlight w:val="none"/>
              </w:rPr>
            </w:pPr>
            <w:r>
              <w:rPr>
                <w:rFonts w:hint="default" w:ascii="Times New Roman" w:hAnsi="Times New Roman" w:eastAsia="宋体" w:cs="Times New Roman"/>
                <w:color w:val="auto"/>
                <w:sz w:val="21"/>
                <w:szCs w:val="21"/>
                <w:highlight w:val="none"/>
                <w:lang w:val="en-US" w:eastAsia="zh-CN"/>
              </w:rPr>
              <w:t>2826</w:t>
            </w:r>
          </w:p>
        </w:tc>
        <w:tc>
          <w:tcPr>
            <w:tcW w:w="597" w:type="pct"/>
            <w:tcBorders>
              <w:tl2br w:val="nil"/>
              <w:tr2bl w:val="nil"/>
            </w:tcBorders>
            <w:vAlign w:val="center"/>
          </w:tcPr>
          <w:p w14:paraId="67BC919C">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 xml:space="preserve">黑政函〔2021〕97号 </w:t>
            </w:r>
          </w:p>
        </w:tc>
        <w:tc>
          <w:tcPr>
            <w:tcW w:w="738" w:type="pct"/>
            <w:tcBorders>
              <w:tl2br w:val="nil"/>
              <w:tr2bl w:val="nil"/>
            </w:tcBorders>
            <w:vAlign w:val="center"/>
          </w:tcPr>
          <w:p w14:paraId="34BDA3C5">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新泉村泵房</w:t>
            </w:r>
          </w:p>
        </w:tc>
      </w:tr>
      <w:tr w14:paraId="640F880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17" w:type="pct"/>
            <w:vMerge w:val="restart"/>
            <w:tcBorders>
              <w:tl2br w:val="nil"/>
              <w:tr2bl w:val="nil"/>
            </w:tcBorders>
            <w:vAlign w:val="center"/>
          </w:tcPr>
          <w:p w14:paraId="1506095E">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5</w:t>
            </w:r>
          </w:p>
        </w:tc>
        <w:tc>
          <w:tcPr>
            <w:tcW w:w="717" w:type="pct"/>
            <w:vMerge w:val="restart"/>
            <w:tcBorders>
              <w:tl2br w:val="nil"/>
              <w:tr2bl w:val="nil"/>
            </w:tcBorders>
            <w:vAlign w:val="center"/>
          </w:tcPr>
          <w:p w14:paraId="0276E123">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庆安县柳河镇新强村饮用水水源地（5眼水井，1#-5#）</w:t>
            </w:r>
          </w:p>
        </w:tc>
        <w:tc>
          <w:tcPr>
            <w:tcW w:w="907" w:type="pct"/>
            <w:tcBorders>
              <w:tl2br w:val="nil"/>
              <w:tr2bl w:val="nil"/>
            </w:tcBorders>
            <w:vAlign w:val="center"/>
          </w:tcPr>
          <w:p w14:paraId="73B583C5">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庆安县新胜乡新明村饮用水水源地</w:t>
            </w:r>
          </w:p>
        </w:tc>
        <w:tc>
          <w:tcPr>
            <w:tcW w:w="924" w:type="pct"/>
            <w:tcBorders>
              <w:tl2br w:val="nil"/>
              <w:tr2bl w:val="nil"/>
            </w:tcBorders>
            <w:vAlign w:val="center"/>
          </w:tcPr>
          <w:p w14:paraId="7005189A">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rPr>
              <w:t>以取水井为圆心</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30米为半径的圆形所围区域</w:t>
            </w:r>
          </w:p>
        </w:tc>
        <w:tc>
          <w:tcPr>
            <w:tcW w:w="597" w:type="pct"/>
            <w:tcBorders>
              <w:tl2br w:val="nil"/>
              <w:tr2bl w:val="nil"/>
            </w:tcBorders>
            <w:vAlign w:val="center"/>
          </w:tcPr>
          <w:p w14:paraId="23D7E26A">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rPr>
              <w:t>2826</w:t>
            </w:r>
          </w:p>
        </w:tc>
        <w:tc>
          <w:tcPr>
            <w:tcW w:w="597" w:type="pct"/>
            <w:vMerge w:val="restart"/>
            <w:tcBorders>
              <w:tl2br w:val="nil"/>
              <w:tr2bl w:val="nil"/>
            </w:tcBorders>
            <w:vAlign w:val="center"/>
          </w:tcPr>
          <w:p w14:paraId="0DF41908">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黑政函[2017]118号</w:t>
            </w:r>
          </w:p>
        </w:tc>
        <w:tc>
          <w:tcPr>
            <w:tcW w:w="738" w:type="pct"/>
            <w:tcBorders>
              <w:tl2br w:val="nil"/>
              <w:tr2bl w:val="nil"/>
            </w:tcBorders>
            <w:vAlign w:val="center"/>
          </w:tcPr>
          <w:p w14:paraId="6477FD00">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新明村泵房</w:t>
            </w:r>
          </w:p>
        </w:tc>
      </w:tr>
      <w:tr w14:paraId="1030C2F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17" w:type="pct"/>
            <w:vMerge w:val="continue"/>
            <w:tcBorders>
              <w:tl2br w:val="nil"/>
              <w:tr2bl w:val="nil"/>
            </w:tcBorders>
            <w:vAlign w:val="center"/>
          </w:tcPr>
          <w:p w14:paraId="2DFA33D3">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p>
        </w:tc>
        <w:tc>
          <w:tcPr>
            <w:tcW w:w="717" w:type="pct"/>
            <w:vMerge w:val="continue"/>
            <w:tcBorders>
              <w:tl2br w:val="nil"/>
              <w:tr2bl w:val="nil"/>
            </w:tcBorders>
            <w:vAlign w:val="center"/>
          </w:tcPr>
          <w:p w14:paraId="13FF3A7C">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p>
        </w:tc>
        <w:tc>
          <w:tcPr>
            <w:tcW w:w="907" w:type="pct"/>
            <w:tcBorders>
              <w:tl2br w:val="nil"/>
              <w:tr2bl w:val="nil"/>
            </w:tcBorders>
            <w:vAlign w:val="center"/>
          </w:tcPr>
          <w:p w14:paraId="4C355E73">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新胜乡新光村饮用水水源地</w:t>
            </w:r>
          </w:p>
        </w:tc>
        <w:tc>
          <w:tcPr>
            <w:tcW w:w="924" w:type="pct"/>
            <w:tcBorders>
              <w:tl2br w:val="nil"/>
              <w:tr2bl w:val="nil"/>
            </w:tcBorders>
            <w:vAlign w:val="center"/>
          </w:tcPr>
          <w:p w14:paraId="14FB5270">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rPr>
              <w:t>以取水井为圆心</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30米为半径的圆形所围区域</w:t>
            </w:r>
          </w:p>
        </w:tc>
        <w:tc>
          <w:tcPr>
            <w:tcW w:w="597" w:type="pct"/>
            <w:tcBorders>
              <w:tl2br w:val="nil"/>
              <w:tr2bl w:val="nil"/>
            </w:tcBorders>
            <w:vAlign w:val="center"/>
          </w:tcPr>
          <w:p w14:paraId="2329035B">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rPr>
              <w:t>2826</w:t>
            </w:r>
          </w:p>
        </w:tc>
        <w:tc>
          <w:tcPr>
            <w:tcW w:w="597" w:type="pct"/>
            <w:vMerge w:val="continue"/>
            <w:tcBorders>
              <w:tl2br w:val="nil"/>
              <w:tr2bl w:val="nil"/>
            </w:tcBorders>
            <w:vAlign w:val="center"/>
          </w:tcPr>
          <w:p w14:paraId="0B28270D">
            <w:pPr>
              <w:jc w:val="center"/>
              <w:rPr>
                <w:rFonts w:hint="eastAsia" w:ascii="Times New Roman" w:hAnsi="Times New Roman" w:cs="Times New Roman"/>
                <w:color w:val="auto"/>
                <w:highlight w:val="none"/>
                <w:vertAlign w:val="baseline"/>
                <w:lang w:eastAsia="zh-CN"/>
              </w:rPr>
            </w:pPr>
          </w:p>
        </w:tc>
        <w:tc>
          <w:tcPr>
            <w:tcW w:w="738" w:type="pct"/>
            <w:tcBorders>
              <w:tl2br w:val="nil"/>
              <w:tr2bl w:val="nil"/>
            </w:tcBorders>
            <w:vAlign w:val="center"/>
          </w:tcPr>
          <w:p w14:paraId="71C3622C">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新光村泵房</w:t>
            </w:r>
          </w:p>
        </w:tc>
      </w:tr>
      <w:tr w14:paraId="64AE20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17" w:type="pct"/>
            <w:vMerge w:val="continue"/>
            <w:tcBorders>
              <w:tl2br w:val="nil"/>
              <w:tr2bl w:val="nil"/>
            </w:tcBorders>
            <w:vAlign w:val="center"/>
          </w:tcPr>
          <w:p w14:paraId="46AA9487">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p>
        </w:tc>
        <w:tc>
          <w:tcPr>
            <w:tcW w:w="717" w:type="pct"/>
            <w:vMerge w:val="continue"/>
            <w:tcBorders>
              <w:tl2br w:val="nil"/>
              <w:tr2bl w:val="nil"/>
            </w:tcBorders>
            <w:vAlign w:val="center"/>
          </w:tcPr>
          <w:p w14:paraId="2FD83D3A">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p>
        </w:tc>
        <w:tc>
          <w:tcPr>
            <w:tcW w:w="907" w:type="pct"/>
            <w:tcBorders>
              <w:tl2br w:val="nil"/>
              <w:tr2bl w:val="nil"/>
            </w:tcBorders>
            <w:vAlign w:val="center"/>
          </w:tcPr>
          <w:p w14:paraId="01BC6DA4">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新胜乡新强村饮用水水源地</w:t>
            </w:r>
          </w:p>
        </w:tc>
        <w:tc>
          <w:tcPr>
            <w:tcW w:w="924" w:type="pct"/>
            <w:tcBorders>
              <w:tl2br w:val="nil"/>
              <w:tr2bl w:val="nil"/>
            </w:tcBorders>
            <w:vAlign w:val="center"/>
          </w:tcPr>
          <w:p w14:paraId="79808D61">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rPr>
              <w:t>以取水井为圆心</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30米为半径的圆形所围区域</w:t>
            </w:r>
          </w:p>
        </w:tc>
        <w:tc>
          <w:tcPr>
            <w:tcW w:w="597" w:type="pct"/>
            <w:tcBorders>
              <w:tl2br w:val="nil"/>
              <w:tr2bl w:val="nil"/>
            </w:tcBorders>
            <w:vAlign w:val="center"/>
          </w:tcPr>
          <w:p w14:paraId="513F8C98">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rPr>
              <w:t>2826</w:t>
            </w:r>
          </w:p>
        </w:tc>
        <w:tc>
          <w:tcPr>
            <w:tcW w:w="597" w:type="pct"/>
            <w:vMerge w:val="continue"/>
            <w:tcBorders>
              <w:tl2br w:val="nil"/>
              <w:tr2bl w:val="nil"/>
            </w:tcBorders>
            <w:vAlign w:val="center"/>
          </w:tcPr>
          <w:p w14:paraId="3465ECB4">
            <w:pPr>
              <w:ind w:firstLine="472" w:firstLineChars="200"/>
              <w:jc w:val="center"/>
              <w:rPr>
                <w:rFonts w:hint="eastAsia" w:ascii="Times New Roman" w:hAnsi="Times New Roman" w:cs="Times New Roman"/>
                <w:color w:val="auto"/>
                <w:highlight w:val="none"/>
                <w:vertAlign w:val="baseline"/>
                <w:lang w:eastAsia="zh-CN"/>
              </w:rPr>
            </w:pPr>
          </w:p>
        </w:tc>
        <w:tc>
          <w:tcPr>
            <w:tcW w:w="738" w:type="pct"/>
            <w:tcBorders>
              <w:tl2br w:val="nil"/>
              <w:tr2bl w:val="nil"/>
            </w:tcBorders>
            <w:vAlign w:val="center"/>
          </w:tcPr>
          <w:p w14:paraId="6C89FEF0">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新强村泵房</w:t>
            </w:r>
          </w:p>
        </w:tc>
      </w:tr>
      <w:tr w14:paraId="0E8630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17" w:type="pct"/>
            <w:vMerge w:val="continue"/>
            <w:tcBorders>
              <w:tl2br w:val="nil"/>
              <w:tr2bl w:val="nil"/>
            </w:tcBorders>
            <w:vAlign w:val="center"/>
          </w:tcPr>
          <w:p w14:paraId="2C4EB565">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p>
        </w:tc>
        <w:tc>
          <w:tcPr>
            <w:tcW w:w="717" w:type="pct"/>
            <w:vMerge w:val="continue"/>
            <w:tcBorders>
              <w:tl2br w:val="nil"/>
              <w:tr2bl w:val="nil"/>
            </w:tcBorders>
            <w:vAlign w:val="center"/>
          </w:tcPr>
          <w:p w14:paraId="3ED5FF74">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p>
        </w:tc>
        <w:tc>
          <w:tcPr>
            <w:tcW w:w="907" w:type="pct"/>
            <w:tcBorders>
              <w:tl2br w:val="nil"/>
              <w:tr2bl w:val="nil"/>
            </w:tcBorders>
            <w:vAlign w:val="center"/>
          </w:tcPr>
          <w:p w14:paraId="3518EC05">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新胜乡新清村饮用水水源地</w:t>
            </w:r>
          </w:p>
        </w:tc>
        <w:tc>
          <w:tcPr>
            <w:tcW w:w="924" w:type="pct"/>
            <w:tcBorders>
              <w:tl2br w:val="nil"/>
              <w:tr2bl w:val="nil"/>
            </w:tcBorders>
            <w:vAlign w:val="center"/>
          </w:tcPr>
          <w:p w14:paraId="1FF8CBD8">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rPr>
              <w:t>以取水井为圆心</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30米为半径的圆形所围区域</w:t>
            </w:r>
          </w:p>
        </w:tc>
        <w:tc>
          <w:tcPr>
            <w:tcW w:w="597" w:type="pct"/>
            <w:tcBorders>
              <w:tl2br w:val="nil"/>
              <w:tr2bl w:val="nil"/>
            </w:tcBorders>
            <w:vAlign w:val="center"/>
          </w:tcPr>
          <w:p w14:paraId="51ED48F5">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rPr>
              <w:t>2826</w:t>
            </w:r>
          </w:p>
        </w:tc>
        <w:tc>
          <w:tcPr>
            <w:tcW w:w="597" w:type="pct"/>
            <w:tcBorders>
              <w:tl2br w:val="nil"/>
              <w:tr2bl w:val="nil"/>
            </w:tcBorders>
            <w:vAlign w:val="center"/>
          </w:tcPr>
          <w:p w14:paraId="6DCAB07D">
            <w:pPr>
              <w:widowControl/>
              <w:spacing w:line="240" w:lineRule="auto"/>
              <w:ind w:firstLine="0" w:firstLineChars="0"/>
              <w:jc w:val="center"/>
              <w:textAlignment w:val="center"/>
              <w:rPr>
                <w:rFonts w:hint="eastAsia" w:ascii="Times New Roman" w:hAnsi="Times New Roman" w:cs="Times New Roman"/>
                <w:color w:val="auto"/>
                <w:highlight w:val="none"/>
                <w:vertAlign w:val="baseline"/>
                <w:lang w:eastAsia="zh-CN"/>
              </w:rPr>
            </w:pPr>
            <w:r>
              <w:rPr>
                <w:rFonts w:hint="eastAsia" w:ascii="Times New Roman" w:hAnsi="Times New Roman" w:eastAsia="宋体" w:cs="Times New Roman"/>
                <w:color w:val="auto"/>
                <w:kern w:val="0"/>
                <w:sz w:val="21"/>
                <w:szCs w:val="21"/>
                <w:highlight w:val="none"/>
                <w:lang w:val="en-US" w:eastAsia="zh-CN" w:bidi="ar"/>
              </w:rPr>
              <w:t>黑政函[2013]113号</w:t>
            </w:r>
          </w:p>
        </w:tc>
        <w:tc>
          <w:tcPr>
            <w:tcW w:w="738" w:type="pct"/>
            <w:tcBorders>
              <w:tl2br w:val="nil"/>
              <w:tr2bl w:val="nil"/>
            </w:tcBorders>
            <w:vAlign w:val="center"/>
          </w:tcPr>
          <w:p w14:paraId="65DDAD34">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新清村泵房</w:t>
            </w:r>
          </w:p>
        </w:tc>
      </w:tr>
      <w:tr w14:paraId="319B1C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17" w:type="pct"/>
            <w:vMerge w:val="continue"/>
            <w:tcBorders>
              <w:tl2br w:val="nil"/>
              <w:tr2bl w:val="nil"/>
            </w:tcBorders>
            <w:vAlign w:val="center"/>
          </w:tcPr>
          <w:p w14:paraId="5CC85AFC">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p>
        </w:tc>
        <w:tc>
          <w:tcPr>
            <w:tcW w:w="717" w:type="pct"/>
            <w:vMerge w:val="continue"/>
            <w:tcBorders>
              <w:tl2br w:val="nil"/>
              <w:tr2bl w:val="nil"/>
            </w:tcBorders>
            <w:vAlign w:val="center"/>
          </w:tcPr>
          <w:p w14:paraId="71A78D01">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p>
        </w:tc>
        <w:tc>
          <w:tcPr>
            <w:tcW w:w="907" w:type="pct"/>
            <w:tcBorders>
              <w:tl2br w:val="nil"/>
              <w:tr2bl w:val="nil"/>
            </w:tcBorders>
            <w:vAlign w:val="center"/>
          </w:tcPr>
          <w:p w14:paraId="683352C9">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柳河镇新升饮用水水源地</w:t>
            </w:r>
          </w:p>
        </w:tc>
        <w:tc>
          <w:tcPr>
            <w:tcW w:w="924" w:type="pct"/>
            <w:tcBorders>
              <w:tl2br w:val="nil"/>
              <w:tr2bl w:val="nil"/>
            </w:tcBorders>
            <w:vAlign w:val="center"/>
          </w:tcPr>
          <w:p w14:paraId="25BB4FFC">
            <w:pPr>
              <w:widowControl/>
              <w:spacing w:line="240" w:lineRule="auto"/>
              <w:ind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以取水井为圆心</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30米为半径的圆形所围区域</w:t>
            </w:r>
          </w:p>
        </w:tc>
        <w:tc>
          <w:tcPr>
            <w:tcW w:w="597" w:type="pct"/>
            <w:tcBorders>
              <w:tl2br w:val="nil"/>
              <w:tr2bl w:val="nil"/>
            </w:tcBorders>
            <w:vAlign w:val="center"/>
          </w:tcPr>
          <w:p w14:paraId="7FC43597">
            <w:pPr>
              <w:widowControl/>
              <w:spacing w:line="240" w:lineRule="auto"/>
              <w:ind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2826</w:t>
            </w:r>
          </w:p>
        </w:tc>
        <w:tc>
          <w:tcPr>
            <w:tcW w:w="597" w:type="pct"/>
            <w:tcBorders>
              <w:tl2br w:val="nil"/>
              <w:tr2bl w:val="nil"/>
            </w:tcBorders>
            <w:vAlign w:val="center"/>
          </w:tcPr>
          <w:p w14:paraId="6FE13D81">
            <w:pPr>
              <w:widowControl/>
              <w:spacing w:line="240" w:lineRule="auto"/>
              <w:ind w:firstLine="0" w:firstLineChars="0"/>
              <w:jc w:val="center"/>
              <w:textAlignment w:val="center"/>
              <w:rPr>
                <w:rFonts w:hint="eastAsia" w:ascii="Times New Roman" w:hAnsi="Times New Roman" w:cs="Times New Roman"/>
                <w:color w:val="auto"/>
                <w:highlight w:val="none"/>
                <w:vertAlign w:val="baseline"/>
                <w:lang w:eastAsia="zh-CN"/>
              </w:rPr>
            </w:pPr>
            <w:r>
              <w:rPr>
                <w:rFonts w:hint="eastAsia" w:ascii="Times New Roman" w:hAnsi="Times New Roman" w:eastAsia="宋体" w:cs="Times New Roman"/>
                <w:color w:val="auto"/>
                <w:kern w:val="0"/>
                <w:sz w:val="21"/>
                <w:szCs w:val="21"/>
                <w:highlight w:val="none"/>
                <w:lang w:val="en-US" w:eastAsia="zh-CN" w:bidi="ar"/>
              </w:rPr>
              <w:t>黑政函[201</w:t>
            </w:r>
            <w:r>
              <w:rPr>
                <w:rFonts w:hint="eastAsia" w:cs="Times New Roman"/>
                <w:color w:val="auto"/>
                <w:kern w:val="0"/>
                <w:sz w:val="21"/>
                <w:szCs w:val="21"/>
                <w:highlight w:val="none"/>
                <w:lang w:val="en-US" w:eastAsia="zh-CN" w:bidi="ar"/>
              </w:rPr>
              <w:t>9]</w:t>
            </w:r>
            <w:r>
              <w:rPr>
                <w:rFonts w:hint="eastAsia" w:ascii="Times New Roman" w:hAnsi="Times New Roman" w:eastAsia="宋体" w:cs="Times New Roman"/>
                <w:color w:val="auto"/>
                <w:kern w:val="0"/>
                <w:sz w:val="21"/>
                <w:szCs w:val="21"/>
                <w:highlight w:val="none"/>
                <w:lang w:val="en-US" w:eastAsia="zh-CN" w:bidi="ar"/>
              </w:rPr>
              <w:t>118号</w:t>
            </w:r>
          </w:p>
        </w:tc>
        <w:tc>
          <w:tcPr>
            <w:tcW w:w="738" w:type="pct"/>
            <w:tcBorders>
              <w:tl2br w:val="nil"/>
              <w:tr2bl w:val="nil"/>
            </w:tcBorders>
            <w:vAlign w:val="center"/>
          </w:tcPr>
          <w:p w14:paraId="0B05BC5B">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新升村泵房</w:t>
            </w:r>
          </w:p>
        </w:tc>
      </w:tr>
      <w:tr w14:paraId="351E86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17" w:type="pct"/>
            <w:vMerge w:val="restart"/>
            <w:tcBorders>
              <w:tl2br w:val="nil"/>
              <w:tr2bl w:val="nil"/>
            </w:tcBorders>
            <w:vAlign w:val="center"/>
          </w:tcPr>
          <w:p w14:paraId="284AA161">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6</w:t>
            </w:r>
          </w:p>
        </w:tc>
        <w:tc>
          <w:tcPr>
            <w:tcW w:w="717" w:type="pct"/>
            <w:vMerge w:val="restart"/>
            <w:tcBorders>
              <w:tl2br w:val="nil"/>
              <w:tr2bl w:val="nil"/>
            </w:tcBorders>
            <w:vAlign w:val="center"/>
          </w:tcPr>
          <w:p w14:paraId="03969C8C">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庆安县丰收乡饮用水水源地（3眼水井，1#-3#）</w:t>
            </w:r>
          </w:p>
        </w:tc>
        <w:tc>
          <w:tcPr>
            <w:tcW w:w="907" w:type="pct"/>
            <w:tcBorders>
              <w:tl2br w:val="nil"/>
              <w:tr2bl w:val="nil"/>
            </w:tcBorders>
            <w:vAlign w:val="center"/>
          </w:tcPr>
          <w:p w14:paraId="59262CAA">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丰收乡丰满村饮用水水源地</w:t>
            </w:r>
          </w:p>
        </w:tc>
        <w:tc>
          <w:tcPr>
            <w:tcW w:w="924" w:type="pct"/>
            <w:tcBorders>
              <w:tl2br w:val="nil"/>
              <w:tr2bl w:val="nil"/>
            </w:tcBorders>
            <w:vAlign w:val="center"/>
          </w:tcPr>
          <w:p w14:paraId="4061FCA3">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rPr>
              <w:t>以取水井为圆心</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30米为半径的圆形所围区域</w:t>
            </w:r>
          </w:p>
        </w:tc>
        <w:tc>
          <w:tcPr>
            <w:tcW w:w="597" w:type="pct"/>
            <w:tcBorders>
              <w:tl2br w:val="nil"/>
              <w:tr2bl w:val="nil"/>
            </w:tcBorders>
            <w:vAlign w:val="center"/>
          </w:tcPr>
          <w:p w14:paraId="0199D1A9">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rPr>
              <w:t>2826</w:t>
            </w:r>
          </w:p>
        </w:tc>
        <w:tc>
          <w:tcPr>
            <w:tcW w:w="597" w:type="pct"/>
            <w:vMerge w:val="restart"/>
            <w:tcBorders>
              <w:tl2br w:val="nil"/>
              <w:tr2bl w:val="nil"/>
            </w:tcBorders>
            <w:vAlign w:val="center"/>
          </w:tcPr>
          <w:p w14:paraId="5F3F694C">
            <w:pPr>
              <w:widowControl/>
              <w:spacing w:line="240" w:lineRule="auto"/>
              <w:ind w:firstLine="0" w:firstLineChars="0"/>
              <w:jc w:val="center"/>
              <w:textAlignment w:val="center"/>
              <w:rPr>
                <w:rFonts w:hint="eastAsia" w:ascii="Times New Roman" w:hAnsi="Times New Roman" w:cs="Times New Roman"/>
                <w:color w:val="auto"/>
                <w:highlight w:val="none"/>
                <w:vertAlign w:val="baseline"/>
                <w:lang w:eastAsia="zh-CN"/>
              </w:rPr>
            </w:pPr>
            <w:r>
              <w:rPr>
                <w:rFonts w:hint="eastAsia" w:ascii="Times New Roman" w:hAnsi="Times New Roman" w:eastAsia="宋体" w:cs="Times New Roman"/>
                <w:color w:val="auto"/>
                <w:kern w:val="0"/>
                <w:sz w:val="21"/>
                <w:szCs w:val="21"/>
                <w:highlight w:val="none"/>
                <w:lang w:val="en-US" w:eastAsia="zh-CN" w:bidi="ar"/>
              </w:rPr>
              <w:t>黑政函[2017]118号</w:t>
            </w:r>
          </w:p>
        </w:tc>
        <w:tc>
          <w:tcPr>
            <w:tcW w:w="738" w:type="pct"/>
            <w:tcBorders>
              <w:tl2br w:val="nil"/>
              <w:tr2bl w:val="nil"/>
            </w:tcBorders>
            <w:vAlign w:val="center"/>
          </w:tcPr>
          <w:p w14:paraId="112109EE">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sz w:val="21"/>
                <w:szCs w:val="21"/>
                <w:highlight w:val="none"/>
                <w:lang w:eastAsia="zh-CN"/>
              </w:rPr>
              <w:t>丰满村泵房</w:t>
            </w:r>
          </w:p>
        </w:tc>
      </w:tr>
      <w:tr w14:paraId="329C55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17" w:type="pct"/>
            <w:vMerge w:val="continue"/>
            <w:tcBorders>
              <w:tl2br w:val="nil"/>
              <w:tr2bl w:val="nil"/>
            </w:tcBorders>
            <w:vAlign w:val="center"/>
          </w:tcPr>
          <w:p w14:paraId="740F3ADB">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p>
        </w:tc>
        <w:tc>
          <w:tcPr>
            <w:tcW w:w="717" w:type="pct"/>
            <w:vMerge w:val="continue"/>
            <w:tcBorders>
              <w:tl2br w:val="nil"/>
              <w:tr2bl w:val="nil"/>
            </w:tcBorders>
            <w:vAlign w:val="center"/>
          </w:tcPr>
          <w:p w14:paraId="75EE0A46">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p>
        </w:tc>
        <w:tc>
          <w:tcPr>
            <w:tcW w:w="907" w:type="pct"/>
            <w:tcBorders>
              <w:tl2br w:val="nil"/>
              <w:tr2bl w:val="nil"/>
            </w:tcBorders>
            <w:vAlign w:val="center"/>
          </w:tcPr>
          <w:p w14:paraId="04151A68">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丰收乡丰裕村饮用水水源地</w:t>
            </w:r>
          </w:p>
        </w:tc>
        <w:tc>
          <w:tcPr>
            <w:tcW w:w="924" w:type="pct"/>
            <w:tcBorders>
              <w:tl2br w:val="nil"/>
              <w:tr2bl w:val="nil"/>
            </w:tcBorders>
            <w:vAlign w:val="center"/>
          </w:tcPr>
          <w:p w14:paraId="4D073205">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rPr>
              <w:t>以取水井为圆心</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30米为半径的圆形所围区域</w:t>
            </w:r>
          </w:p>
        </w:tc>
        <w:tc>
          <w:tcPr>
            <w:tcW w:w="597" w:type="pct"/>
            <w:tcBorders>
              <w:tl2br w:val="nil"/>
              <w:tr2bl w:val="nil"/>
            </w:tcBorders>
            <w:vAlign w:val="center"/>
          </w:tcPr>
          <w:p w14:paraId="4C8746F4">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rPr>
              <w:t>2826</w:t>
            </w:r>
          </w:p>
        </w:tc>
        <w:tc>
          <w:tcPr>
            <w:tcW w:w="597" w:type="pct"/>
            <w:vMerge w:val="continue"/>
            <w:tcBorders>
              <w:tl2br w:val="nil"/>
              <w:tr2bl w:val="nil"/>
            </w:tcBorders>
            <w:vAlign w:val="center"/>
          </w:tcPr>
          <w:p w14:paraId="50627228">
            <w:pPr>
              <w:ind w:firstLine="472" w:firstLineChars="200"/>
              <w:jc w:val="center"/>
              <w:rPr>
                <w:rFonts w:hint="eastAsia" w:ascii="Times New Roman" w:hAnsi="Times New Roman" w:cs="Times New Roman"/>
                <w:color w:val="auto"/>
                <w:highlight w:val="none"/>
                <w:vertAlign w:val="baseline"/>
                <w:lang w:eastAsia="zh-CN"/>
              </w:rPr>
            </w:pPr>
          </w:p>
        </w:tc>
        <w:tc>
          <w:tcPr>
            <w:tcW w:w="738" w:type="pct"/>
            <w:tcBorders>
              <w:tl2br w:val="nil"/>
              <w:tr2bl w:val="nil"/>
            </w:tcBorders>
            <w:vAlign w:val="center"/>
          </w:tcPr>
          <w:p w14:paraId="79C43C66">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sz w:val="21"/>
                <w:szCs w:val="21"/>
                <w:highlight w:val="none"/>
                <w:lang w:eastAsia="zh-CN"/>
              </w:rPr>
              <w:t>丰裕村泵房</w:t>
            </w:r>
          </w:p>
        </w:tc>
      </w:tr>
      <w:tr w14:paraId="4D77BB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17" w:type="pct"/>
            <w:vMerge w:val="continue"/>
            <w:tcBorders>
              <w:tl2br w:val="nil"/>
              <w:tr2bl w:val="nil"/>
            </w:tcBorders>
            <w:vAlign w:val="center"/>
          </w:tcPr>
          <w:p w14:paraId="6A2F30DA">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p>
        </w:tc>
        <w:tc>
          <w:tcPr>
            <w:tcW w:w="717" w:type="pct"/>
            <w:vMerge w:val="continue"/>
            <w:tcBorders>
              <w:tl2br w:val="nil"/>
              <w:tr2bl w:val="nil"/>
            </w:tcBorders>
            <w:vAlign w:val="center"/>
          </w:tcPr>
          <w:p w14:paraId="796A2B76">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p>
        </w:tc>
        <w:tc>
          <w:tcPr>
            <w:tcW w:w="907" w:type="pct"/>
            <w:tcBorders>
              <w:tl2br w:val="nil"/>
              <w:tr2bl w:val="nil"/>
            </w:tcBorders>
            <w:vAlign w:val="center"/>
          </w:tcPr>
          <w:p w14:paraId="35486E84">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丰收乡丰田村饮用水水源地</w:t>
            </w:r>
          </w:p>
        </w:tc>
        <w:tc>
          <w:tcPr>
            <w:tcW w:w="924" w:type="pct"/>
            <w:tcBorders>
              <w:tl2br w:val="nil"/>
              <w:tr2bl w:val="nil"/>
            </w:tcBorders>
            <w:vAlign w:val="center"/>
          </w:tcPr>
          <w:p w14:paraId="0E8D42B6">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rPr>
              <w:t>以取水井为圆心</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30米为半径的圆形所围区域</w:t>
            </w:r>
          </w:p>
        </w:tc>
        <w:tc>
          <w:tcPr>
            <w:tcW w:w="597" w:type="pct"/>
            <w:tcBorders>
              <w:tl2br w:val="nil"/>
              <w:tr2bl w:val="nil"/>
            </w:tcBorders>
            <w:vAlign w:val="center"/>
          </w:tcPr>
          <w:p w14:paraId="663CF0C5">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rPr>
              <w:t>2826</w:t>
            </w:r>
          </w:p>
        </w:tc>
        <w:tc>
          <w:tcPr>
            <w:tcW w:w="597" w:type="pct"/>
            <w:vMerge w:val="continue"/>
            <w:tcBorders>
              <w:tl2br w:val="nil"/>
              <w:tr2bl w:val="nil"/>
            </w:tcBorders>
            <w:vAlign w:val="center"/>
          </w:tcPr>
          <w:p w14:paraId="587AAC45">
            <w:pPr>
              <w:ind w:firstLine="472" w:firstLineChars="200"/>
              <w:jc w:val="center"/>
              <w:rPr>
                <w:rFonts w:hint="eastAsia" w:ascii="Times New Roman" w:hAnsi="Times New Roman" w:cs="Times New Roman"/>
                <w:color w:val="auto"/>
                <w:highlight w:val="none"/>
                <w:vertAlign w:val="baseline"/>
                <w:lang w:eastAsia="zh-CN"/>
              </w:rPr>
            </w:pPr>
          </w:p>
        </w:tc>
        <w:tc>
          <w:tcPr>
            <w:tcW w:w="738" w:type="pct"/>
            <w:tcBorders>
              <w:tl2br w:val="nil"/>
              <w:tr2bl w:val="nil"/>
            </w:tcBorders>
            <w:vAlign w:val="center"/>
          </w:tcPr>
          <w:p w14:paraId="142F9BF8">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sz w:val="21"/>
                <w:szCs w:val="21"/>
                <w:highlight w:val="none"/>
                <w:lang w:eastAsia="zh-CN"/>
              </w:rPr>
              <w:t>丰田村泵房</w:t>
            </w:r>
          </w:p>
        </w:tc>
      </w:tr>
      <w:tr w14:paraId="5CE4E9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17" w:type="pct"/>
            <w:vMerge w:val="continue"/>
            <w:tcBorders>
              <w:tl2br w:val="nil"/>
              <w:tr2bl w:val="nil"/>
            </w:tcBorders>
            <w:vAlign w:val="center"/>
          </w:tcPr>
          <w:p w14:paraId="2091A8D5">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p>
        </w:tc>
        <w:tc>
          <w:tcPr>
            <w:tcW w:w="717" w:type="pct"/>
            <w:vMerge w:val="continue"/>
            <w:tcBorders>
              <w:tl2br w:val="nil"/>
              <w:tr2bl w:val="nil"/>
            </w:tcBorders>
            <w:vAlign w:val="center"/>
          </w:tcPr>
          <w:p w14:paraId="4F34C886">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p>
        </w:tc>
        <w:tc>
          <w:tcPr>
            <w:tcW w:w="907" w:type="pct"/>
            <w:tcBorders>
              <w:tl2br w:val="nil"/>
              <w:tr2bl w:val="nil"/>
            </w:tcBorders>
            <w:vAlign w:val="center"/>
          </w:tcPr>
          <w:p w14:paraId="0A98C280">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丰收乡丰林村饮用水水源地</w:t>
            </w:r>
          </w:p>
        </w:tc>
        <w:tc>
          <w:tcPr>
            <w:tcW w:w="924" w:type="pct"/>
            <w:tcBorders>
              <w:tl2br w:val="nil"/>
              <w:tr2bl w:val="nil"/>
            </w:tcBorders>
            <w:vAlign w:val="center"/>
          </w:tcPr>
          <w:p w14:paraId="0FD7F9B5">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rPr>
              <w:t>以取水井为圆心</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30米为半径的圆形所围区域</w:t>
            </w:r>
          </w:p>
        </w:tc>
        <w:tc>
          <w:tcPr>
            <w:tcW w:w="597" w:type="pct"/>
            <w:tcBorders>
              <w:tl2br w:val="nil"/>
              <w:tr2bl w:val="nil"/>
            </w:tcBorders>
            <w:vAlign w:val="center"/>
          </w:tcPr>
          <w:p w14:paraId="34D9C438">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rPr>
              <w:t>2826</w:t>
            </w:r>
          </w:p>
        </w:tc>
        <w:tc>
          <w:tcPr>
            <w:tcW w:w="597" w:type="pct"/>
            <w:vMerge w:val="continue"/>
            <w:tcBorders>
              <w:tl2br w:val="nil"/>
              <w:tr2bl w:val="nil"/>
            </w:tcBorders>
            <w:vAlign w:val="center"/>
          </w:tcPr>
          <w:p w14:paraId="3AC9E194">
            <w:pPr>
              <w:ind w:firstLine="472" w:firstLineChars="200"/>
              <w:jc w:val="center"/>
              <w:rPr>
                <w:rFonts w:hint="eastAsia" w:ascii="Times New Roman" w:hAnsi="Times New Roman" w:cs="Times New Roman"/>
                <w:color w:val="auto"/>
                <w:highlight w:val="none"/>
                <w:vertAlign w:val="baseline"/>
                <w:lang w:eastAsia="zh-CN"/>
              </w:rPr>
            </w:pPr>
          </w:p>
        </w:tc>
        <w:tc>
          <w:tcPr>
            <w:tcW w:w="738" w:type="pct"/>
            <w:tcBorders>
              <w:tl2br w:val="nil"/>
              <w:tr2bl w:val="nil"/>
            </w:tcBorders>
            <w:vAlign w:val="center"/>
          </w:tcPr>
          <w:p w14:paraId="0D56036D">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sz w:val="21"/>
                <w:szCs w:val="21"/>
                <w:highlight w:val="none"/>
                <w:lang w:eastAsia="zh-CN"/>
              </w:rPr>
              <w:t>丰林村泵房</w:t>
            </w:r>
          </w:p>
        </w:tc>
      </w:tr>
      <w:tr w14:paraId="76ABB6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17" w:type="pct"/>
            <w:vMerge w:val="continue"/>
            <w:tcBorders>
              <w:tl2br w:val="nil"/>
              <w:tr2bl w:val="nil"/>
            </w:tcBorders>
            <w:vAlign w:val="center"/>
          </w:tcPr>
          <w:p w14:paraId="59A2E49E">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p>
        </w:tc>
        <w:tc>
          <w:tcPr>
            <w:tcW w:w="717" w:type="pct"/>
            <w:vMerge w:val="continue"/>
            <w:tcBorders>
              <w:tl2br w:val="nil"/>
              <w:tr2bl w:val="nil"/>
            </w:tcBorders>
            <w:vAlign w:val="center"/>
          </w:tcPr>
          <w:p w14:paraId="61B22BBA">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p>
        </w:tc>
        <w:tc>
          <w:tcPr>
            <w:tcW w:w="907" w:type="pct"/>
            <w:tcBorders>
              <w:tl2br w:val="nil"/>
              <w:tr2bl w:val="nil"/>
            </w:tcBorders>
            <w:vAlign w:val="center"/>
          </w:tcPr>
          <w:p w14:paraId="3D2064C3">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丰收乡丰山村饮用水水源地</w:t>
            </w:r>
          </w:p>
        </w:tc>
        <w:tc>
          <w:tcPr>
            <w:tcW w:w="924" w:type="pct"/>
            <w:tcBorders>
              <w:tl2br w:val="nil"/>
              <w:tr2bl w:val="nil"/>
            </w:tcBorders>
            <w:vAlign w:val="center"/>
          </w:tcPr>
          <w:p w14:paraId="528D135C">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rPr>
              <w:t>以取水井为圆心</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30米为半径的圆形所围区域</w:t>
            </w:r>
          </w:p>
        </w:tc>
        <w:tc>
          <w:tcPr>
            <w:tcW w:w="597" w:type="pct"/>
            <w:tcBorders>
              <w:tl2br w:val="nil"/>
              <w:tr2bl w:val="nil"/>
            </w:tcBorders>
            <w:vAlign w:val="center"/>
          </w:tcPr>
          <w:p w14:paraId="1278BD05">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rPr>
              <w:t>2826</w:t>
            </w:r>
          </w:p>
        </w:tc>
        <w:tc>
          <w:tcPr>
            <w:tcW w:w="597" w:type="pct"/>
            <w:vMerge w:val="continue"/>
            <w:tcBorders>
              <w:tl2br w:val="nil"/>
              <w:tr2bl w:val="nil"/>
            </w:tcBorders>
            <w:vAlign w:val="center"/>
          </w:tcPr>
          <w:p w14:paraId="5F957914">
            <w:pPr>
              <w:ind w:firstLine="472" w:firstLineChars="200"/>
              <w:jc w:val="center"/>
              <w:rPr>
                <w:rFonts w:hint="eastAsia" w:ascii="Times New Roman" w:hAnsi="Times New Roman" w:cs="Times New Roman"/>
                <w:color w:val="auto"/>
                <w:highlight w:val="none"/>
                <w:vertAlign w:val="baseline"/>
                <w:lang w:eastAsia="zh-CN"/>
              </w:rPr>
            </w:pPr>
          </w:p>
        </w:tc>
        <w:tc>
          <w:tcPr>
            <w:tcW w:w="738" w:type="pct"/>
            <w:tcBorders>
              <w:tl2br w:val="nil"/>
              <w:tr2bl w:val="nil"/>
            </w:tcBorders>
            <w:vAlign w:val="center"/>
          </w:tcPr>
          <w:p w14:paraId="59AE1269">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sz w:val="21"/>
                <w:szCs w:val="21"/>
                <w:highlight w:val="none"/>
                <w:lang w:eastAsia="zh-CN"/>
              </w:rPr>
              <w:t>丰山村泵房</w:t>
            </w:r>
          </w:p>
        </w:tc>
      </w:tr>
      <w:tr w14:paraId="04C33C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17" w:type="pct"/>
            <w:vMerge w:val="continue"/>
            <w:tcBorders>
              <w:tl2br w:val="nil"/>
              <w:tr2bl w:val="nil"/>
            </w:tcBorders>
            <w:vAlign w:val="center"/>
          </w:tcPr>
          <w:p w14:paraId="025CA663">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p>
        </w:tc>
        <w:tc>
          <w:tcPr>
            <w:tcW w:w="717" w:type="pct"/>
            <w:vMerge w:val="continue"/>
            <w:tcBorders>
              <w:tl2br w:val="nil"/>
              <w:tr2bl w:val="nil"/>
            </w:tcBorders>
            <w:vAlign w:val="center"/>
          </w:tcPr>
          <w:p w14:paraId="66E38832">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p>
        </w:tc>
        <w:tc>
          <w:tcPr>
            <w:tcW w:w="907" w:type="pct"/>
            <w:tcBorders>
              <w:tl2br w:val="nil"/>
              <w:tr2bl w:val="nil"/>
            </w:tcBorders>
            <w:vAlign w:val="center"/>
          </w:tcPr>
          <w:p w14:paraId="6C63ABA8">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丰收乡丰收村饮用水水源地</w:t>
            </w:r>
          </w:p>
        </w:tc>
        <w:tc>
          <w:tcPr>
            <w:tcW w:w="924" w:type="pct"/>
            <w:tcBorders>
              <w:tl2br w:val="nil"/>
              <w:tr2bl w:val="nil"/>
            </w:tcBorders>
            <w:vAlign w:val="center"/>
          </w:tcPr>
          <w:p w14:paraId="103FB1D7">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rPr>
              <w:t>以取水井为圆心</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30米为半径的圆形所围区域</w:t>
            </w:r>
          </w:p>
        </w:tc>
        <w:tc>
          <w:tcPr>
            <w:tcW w:w="597" w:type="pct"/>
            <w:tcBorders>
              <w:tl2br w:val="nil"/>
              <w:tr2bl w:val="nil"/>
            </w:tcBorders>
            <w:vAlign w:val="center"/>
          </w:tcPr>
          <w:p w14:paraId="503D7A96">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rPr>
              <w:t>2826</w:t>
            </w:r>
          </w:p>
        </w:tc>
        <w:tc>
          <w:tcPr>
            <w:tcW w:w="597" w:type="pct"/>
            <w:tcBorders>
              <w:tl2br w:val="nil"/>
              <w:tr2bl w:val="nil"/>
            </w:tcBorders>
            <w:vAlign w:val="center"/>
          </w:tcPr>
          <w:p w14:paraId="63DB12BC">
            <w:pPr>
              <w:widowControl/>
              <w:spacing w:line="240" w:lineRule="auto"/>
              <w:ind w:firstLine="0" w:firstLineChars="0"/>
              <w:jc w:val="center"/>
              <w:textAlignment w:val="center"/>
              <w:rPr>
                <w:rFonts w:hint="eastAsia" w:ascii="Times New Roman" w:hAnsi="Times New Roman" w:cs="Times New Roman"/>
                <w:color w:val="auto"/>
                <w:highlight w:val="none"/>
                <w:vertAlign w:val="baseline"/>
                <w:lang w:eastAsia="zh-CN"/>
              </w:rPr>
            </w:pPr>
            <w:r>
              <w:rPr>
                <w:rFonts w:hint="eastAsia" w:ascii="Times New Roman" w:hAnsi="Times New Roman" w:eastAsia="宋体" w:cs="Times New Roman"/>
                <w:color w:val="auto"/>
                <w:kern w:val="0"/>
                <w:sz w:val="21"/>
                <w:szCs w:val="21"/>
                <w:highlight w:val="none"/>
                <w:lang w:val="en-US" w:eastAsia="zh-CN" w:bidi="ar"/>
              </w:rPr>
              <w:t>黑政函[201</w:t>
            </w:r>
            <w:r>
              <w:rPr>
                <w:rFonts w:hint="eastAsia" w:cs="Times New Roman"/>
                <w:color w:val="auto"/>
                <w:kern w:val="0"/>
                <w:sz w:val="21"/>
                <w:szCs w:val="21"/>
                <w:highlight w:val="none"/>
                <w:lang w:val="en-US" w:eastAsia="zh-CN" w:bidi="ar"/>
              </w:rPr>
              <w:t>9]</w:t>
            </w:r>
            <w:r>
              <w:rPr>
                <w:rFonts w:hint="eastAsia" w:ascii="Times New Roman" w:hAnsi="Times New Roman" w:eastAsia="宋体" w:cs="Times New Roman"/>
                <w:color w:val="auto"/>
                <w:kern w:val="0"/>
                <w:sz w:val="21"/>
                <w:szCs w:val="21"/>
                <w:highlight w:val="none"/>
                <w:lang w:val="en-US" w:eastAsia="zh-CN" w:bidi="ar"/>
              </w:rPr>
              <w:t>118号</w:t>
            </w:r>
          </w:p>
        </w:tc>
        <w:tc>
          <w:tcPr>
            <w:tcW w:w="738" w:type="pct"/>
            <w:tcBorders>
              <w:tl2br w:val="nil"/>
              <w:tr2bl w:val="nil"/>
            </w:tcBorders>
            <w:vAlign w:val="center"/>
          </w:tcPr>
          <w:p w14:paraId="002FED6C">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cs="Times New Roman"/>
                <w:color w:val="auto"/>
                <w:sz w:val="21"/>
                <w:szCs w:val="21"/>
                <w:highlight w:val="none"/>
                <w:lang w:eastAsia="zh-CN"/>
              </w:rPr>
              <w:t>丰收村</w:t>
            </w:r>
            <w:r>
              <w:rPr>
                <w:rFonts w:hint="eastAsia" w:ascii="Times New Roman" w:hAnsi="Times New Roman" w:eastAsia="宋体" w:cs="Times New Roman"/>
                <w:color w:val="auto"/>
                <w:sz w:val="21"/>
                <w:szCs w:val="21"/>
                <w:highlight w:val="none"/>
                <w:lang w:eastAsia="zh-CN"/>
              </w:rPr>
              <w:t>泵房</w:t>
            </w:r>
          </w:p>
        </w:tc>
      </w:tr>
      <w:tr w14:paraId="4E1870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17" w:type="pct"/>
            <w:vMerge w:val="continue"/>
            <w:tcBorders>
              <w:tl2br w:val="nil"/>
              <w:tr2bl w:val="nil"/>
            </w:tcBorders>
            <w:vAlign w:val="center"/>
          </w:tcPr>
          <w:p w14:paraId="6A9542CC">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p>
        </w:tc>
        <w:tc>
          <w:tcPr>
            <w:tcW w:w="717" w:type="pct"/>
            <w:vMerge w:val="continue"/>
            <w:tcBorders>
              <w:tl2br w:val="nil"/>
              <w:tr2bl w:val="nil"/>
            </w:tcBorders>
            <w:vAlign w:val="center"/>
          </w:tcPr>
          <w:p w14:paraId="1AACA7F2">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p>
        </w:tc>
        <w:tc>
          <w:tcPr>
            <w:tcW w:w="907" w:type="pct"/>
            <w:tcBorders>
              <w:tl2br w:val="nil"/>
              <w:tr2bl w:val="nil"/>
            </w:tcBorders>
            <w:vAlign w:val="center"/>
          </w:tcPr>
          <w:p w14:paraId="4CE91FE8">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丰收乡丰泰村饮用水水源地</w:t>
            </w:r>
          </w:p>
        </w:tc>
        <w:tc>
          <w:tcPr>
            <w:tcW w:w="924" w:type="pct"/>
            <w:tcBorders>
              <w:tl2br w:val="nil"/>
              <w:tr2bl w:val="nil"/>
            </w:tcBorders>
            <w:vAlign w:val="center"/>
          </w:tcPr>
          <w:p w14:paraId="19CB0B4E">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rPr>
              <w:t>以取水井为圆心</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30米为半径的圆形所围区域</w:t>
            </w:r>
          </w:p>
        </w:tc>
        <w:tc>
          <w:tcPr>
            <w:tcW w:w="597" w:type="pct"/>
            <w:tcBorders>
              <w:tl2br w:val="nil"/>
              <w:tr2bl w:val="nil"/>
            </w:tcBorders>
            <w:vAlign w:val="center"/>
          </w:tcPr>
          <w:p w14:paraId="2287F895">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rPr>
              <w:t>2826</w:t>
            </w:r>
          </w:p>
        </w:tc>
        <w:tc>
          <w:tcPr>
            <w:tcW w:w="597" w:type="pct"/>
            <w:tcBorders>
              <w:tl2br w:val="nil"/>
              <w:tr2bl w:val="nil"/>
            </w:tcBorders>
            <w:vAlign w:val="center"/>
          </w:tcPr>
          <w:p w14:paraId="7051CB5D">
            <w:pPr>
              <w:widowControl/>
              <w:spacing w:line="240" w:lineRule="auto"/>
              <w:ind w:firstLine="0" w:firstLineChars="0"/>
              <w:jc w:val="center"/>
              <w:textAlignment w:val="center"/>
              <w:rPr>
                <w:rFonts w:hint="eastAsia" w:ascii="Times New Roman" w:hAnsi="Times New Roman" w:cs="Times New Roman"/>
                <w:color w:val="auto"/>
                <w:highlight w:val="none"/>
                <w:vertAlign w:val="baseline"/>
                <w:lang w:eastAsia="zh-CN"/>
              </w:rPr>
            </w:pPr>
            <w:r>
              <w:rPr>
                <w:rFonts w:hint="eastAsia" w:ascii="Times New Roman" w:hAnsi="Times New Roman" w:eastAsia="宋体" w:cs="Times New Roman"/>
                <w:color w:val="auto"/>
                <w:kern w:val="0"/>
                <w:sz w:val="21"/>
                <w:szCs w:val="21"/>
                <w:highlight w:val="none"/>
                <w:lang w:val="en-US" w:eastAsia="zh-CN" w:bidi="ar"/>
              </w:rPr>
              <w:t>黑政函</w:t>
            </w:r>
            <w:r>
              <w:rPr>
                <w:rFonts w:hint="eastAsia" w:cs="Times New Roman"/>
                <w:color w:val="auto"/>
                <w:kern w:val="0"/>
                <w:sz w:val="21"/>
                <w:szCs w:val="21"/>
                <w:highlight w:val="none"/>
                <w:lang w:val="en-US" w:eastAsia="zh-CN" w:bidi="ar"/>
              </w:rPr>
              <w:t>[</w:t>
            </w:r>
            <w:r>
              <w:rPr>
                <w:rFonts w:hint="eastAsia" w:ascii="Times New Roman" w:hAnsi="Times New Roman" w:eastAsia="宋体" w:cs="Times New Roman"/>
                <w:color w:val="auto"/>
                <w:kern w:val="0"/>
                <w:sz w:val="21"/>
                <w:szCs w:val="21"/>
                <w:highlight w:val="none"/>
                <w:lang w:val="en-US" w:eastAsia="zh-CN" w:bidi="ar"/>
              </w:rPr>
              <w:t>2021</w:t>
            </w:r>
            <w:r>
              <w:rPr>
                <w:rFonts w:hint="eastAsia" w:cs="Times New Roman"/>
                <w:color w:val="auto"/>
                <w:kern w:val="0"/>
                <w:sz w:val="21"/>
                <w:szCs w:val="21"/>
                <w:highlight w:val="none"/>
                <w:lang w:val="en-US" w:eastAsia="zh-CN" w:bidi="ar"/>
              </w:rPr>
              <w:t>]</w:t>
            </w:r>
            <w:r>
              <w:rPr>
                <w:rFonts w:hint="eastAsia" w:ascii="Times New Roman" w:hAnsi="Times New Roman" w:eastAsia="宋体" w:cs="Times New Roman"/>
                <w:color w:val="auto"/>
                <w:kern w:val="0"/>
                <w:sz w:val="21"/>
                <w:szCs w:val="21"/>
                <w:highlight w:val="none"/>
                <w:lang w:val="en-US" w:eastAsia="zh-CN" w:bidi="ar"/>
              </w:rPr>
              <w:t>51号</w:t>
            </w:r>
          </w:p>
        </w:tc>
        <w:tc>
          <w:tcPr>
            <w:tcW w:w="738" w:type="pct"/>
            <w:tcBorders>
              <w:tl2br w:val="nil"/>
              <w:tr2bl w:val="nil"/>
            </w:tcBorders>
            <w:vAlign w:val="center"/>
          </w:tcPr>
          <w:p w14:paraId="53155776">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cs="Times New Roman"/>
                <w:color w:val="auto"/>
                <w:sz w:val="21"/>
                <w:szCs w:val="21"/>
                <w:highlight w:val="none"/>
                <w:lang w:eastAsia="zh-CN"/>
              </w:rPr>
              <w:t>丰泰水厂</w:t>
            </w:r>
          </w:p>
        </w:tc>
      </w:tr>
      <w:tr w14:paraId="75B9344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17" w:type="pct"/>
            <w:vMerge w:val="restart"/>
            <w:tcBorders>
              <w:tl2br w:val="nil"/>
              <w:tr2bl w:val="nil"/>
            </w:tcBorders>
            <w:vAlign w:val="center"/>
          </w:tcPr>
          <w:p w14:paraId="48B53C4D">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7</w:t>
            </w:r>
          </w:p>
        </w:tc>
        <w:tc>
          <w:tcPr>
            <w:tcW w:w="717" w:type="pct"/>
            <w:vMerge w:val="restart"/>
            <w:tcBorders>
              <w:tl2br w:val="nil"/>
              <w:tr2bl w:val="nil"/>
            </w:tcBorders>
            <w:vAlign w:val="center"/>
          </w:tcPr>
          <w:p w14:paraId="17494316">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庆安县平安镇</w:t>
            </w:r>
            <w:r>
              <w:rPr>
                <w:rFonts w:hint="eastAsia" w:ascii="Times New Roman" w:hAnsi="Times New Roman" w:eastAsia="宋体" w:cs="Times New Roman"/>
                <w:color w:val="auto"/>
                <w:kern w:val="0"/>
                <w:sz w:val="21"/>
                <w:szCs w:val="21"/>
                <w:highlight w:val="none"/>
                <w:lang w:bidi="ar"/>
              </w:rPr>
              <w:t>饮用水水源地</w:t>
            </w:r>
            <w:r>
              <w:rPr>
                <w:rFonts w:hint="eastAsia" w:ascii="Times New Roman" w:hAnsi="Times New Roman" w:eastAsia="宋体" w:cs="Times New Roman"/>
                <w:color w:val="auto"/>
                <w:kern w:val="0"/>
                <w:sz w:val="21"/>
                <w:szCs w:val="21"/>
                <w:highlight w:val="none"/>
                <w:lang w:eastAsia="zh-CN" w:bidi="ar"/>
              </w:rPr>
              <w:t>（</w:t>
            </w:r>
            <w:r>
              <w:rPr>
                <w:rFonts w:hint="eastAsia" w:cs="Times New Roman"/>
                <w:color w:val="auto"/>
                <w:kern w:val="0"/>
                <w:sz w:val="21"/>
                <w:szCs w:val="21"/>
                <w:highlight w:val="none"/>
                <w:lang w:val="en-US" w:eastAsia="zh-CN" w:bidi="ar"/>
              </w:rPr>
              <w:t>2</w:t>
            </w:r>
            <w:r>
              <w:rPr>
                <w:rFonts w:hint="eastAsia" w:ascii="Times New Roman" w:hAnsi="Times New Roman" w:eastAsia="宋体" w:cs="Times New Roman"/>
                <w:color w:val="auto"/>
                <w:kern w:val="0"/>
                <w:sz w:val="21"/>
                <w:szCs w:val="21"/>
                <w:highlight w:val="none"/>
                <w:lang w:val="en-US" w:eastAsia="zh-CN" w:bidi="ar"/>
              </w:rPr>
              <w:t>眼水井，1#-</w:t>
            </w:r>
            <w:r>
              <w:rPr>
                <w:rFonts w:hint="eastAsia" w:cs="Times New Roman"/>
                <w:color w:val="auto"/>
                <w:kern w:val="0"/>
                <w:sz w:val="21"/>
                <w:szCs w:val="21"/>
                <w:highlight w:val="none"/>
                <w:lang w:val="en-US" w:eastAsia="zh-CN" w:bidi="ar"/>
              </w:rPr>
              <w:t>2</w:t>
            </w:r>
            <w:r>
              <w:rPr>
                <w:rFonts w:hint="eastAsia" w:ascii="Times New Roman" w:hAnsi="Times New Roman" w:eastAsia="宋体" w:cs="Times New Roman"/>
                <w:color w:val="auto"/>
                <w:kern w:val="0"/>
                <w:sz w:val="21"/>
                <w:szCs w:val="21"/>
                <w:highlight w:val="none"/>
                <w:lang w:val="en-US" w:eastAsia="zh-CN" w:bidi="ar"/>
              </w:rPr>
              <w:t>#</w:t>
            </w:r>
            <w:r>
              <w:rPr>
                <w:rFonts w:hint="eastAsia" w:ascii="Times New Roman" w:hAnsi="Times New Roman" w:eastAsia="宋体" w:cs="Times New Roman"/>
                <w:color w:val="auto"/>
                <w:kern w:val="0"/>
                <w:sz w:val="21"/>
                <w:szCs w:val="21"/>
                <w:highlight w:val="none"/>
                <w:lang w:eastAsia="zh-CN" w:bidi="ar"/>
              </w:rPr>
              <w:t>）</w:t>
            </w:r>
          </w:p>
        </w:tc>
        <w:tc>
          <w:tcPr>
            <w:tcW w:w="907" w:type="pct"/>
            <w:tcBorders>
              <w:tl2br w:val="nil"/>
              <w:tr2bl w:val="nil"/>
            </w:tcBorders>
            <w:vAlign w:val="center"/>
          </w:tcPr>
          <w:p w14:paraId="1165A42B">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平安镇安平村瓦盆窑饮用水水源地</w:t>
            </w:r>
          </w:p>
        </w:tc>
        <w:tc>
          <w:tcPr>
            <w:tcW w:w="924" w:type="pct"/>
            <w:tcBorders>
              <w:tl2br w:val="nil"/>
              <w:tr2bl w:val="nil"/>
            </w:tcBorders>
            <w:vAlign w:val="center"/>
          </w:tcPr>
          <w:p w14:paraId="4D4B2C0D">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rPr>
              <w:t>以取水井为圆心</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30米为半径的圆形所围区域</w:t>
            </w:r>
          </w:p>
        </w:tc>
        <w:tc>
          <w:tcPr>
            <w:tcW w:w="597" w:type="pct"/>
            <w:tcBorders>
              <w:tl2br w:val="nil"/>
              <w:tr2bl w:val="nil"/>
            </w:tcBorders>
            <w:vAlign w:val="center"/>
          </w:tcPr>
          <w:p w14:paraId="01F8F448">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rPr>
              <w:t>2826</w:t>
            </w:r>
          </w:p>
        </w:tc>
        <w:tc>
          <w:tcPr>
            <w:tcW w:w="597" w:type="pct"/>
            <w:vMerge w:val="restart"/>
            <w:tcBorders>
              <w:tl2br w:val="nil"/>
              <w:tr2bl w:val="nil"/>
            </w:tcBorders>
            <w:vAlign w:val="center"/>
          </w:tcPr>
          <w:p w14:paraId="7C80BE3A">
            <w:pPr>
              <w:widowControl/>
              <w:spacing w:line="240" w:lineRule="auto"/>
              <w:ind w:firstLine="0" w:firstLineChars="0"/>
              <w:jc w:val="center"/>
              <w:textAlignment w:val="center"/>
              <w:rPr>
                <w:rFonts w:hint="eastAsia" w:ascii="Times New Roman" w:hAnsi="Times New Roman" w:cs="Times New Roman"/>
                <w:color w:val="auto"/>
                <w:highlight w:val="none"/>
                <w:vertAlign w:val="baseline"/>
                <w:lang w:eastAsia="zh-CN"/>
              </w:rPr>
            </w:pPr>
            <w:r>
              <w:rPr>
                <w:rFonts w:hint="eastAsia" w:ascii="Times New Roman" w:hAnsi="Times New Roman" w:eastAsia="宋体" w:cs="Times New Roman"/>
                <w:color w:val="auto"/>
                <w:kern w:val="0"/>
                <w:sz w:val="21"/>
                <w:szCs w:val="21"/>
                <w:highlight w:val="none"/>
                <w:lang w:val="en-US" w:eastAsia="zh-CN" w:bidi="ar"/>
              </w:rPr>
              <w:t>黑政函[2017]118号</w:t>
            </w:r>
          </w:p>
        </w:tc>
        <w:tc>
          <w:tcPr>
            <w:tcW w:w="738" w:type="pct"/>
            <w:tcBorders>
              <w:tl2br w:val="nil"/>
              <w:tr2bl w:val="nil"/>
            </w:tcBorders>
            <w:vAlign w:val="center"/>
          </w:tcPr>
          <w:p w14:paraId="3BC7287A">
            <w:pPr>
              <w:widowControl/>
              <w:spacing w:line="240" w:lineRule="auto"/>
              <w:ind w:firstLine="0" w:firstLineChars="0"/>
              <w:jc w:val="center"/>
              <w:textAlignment w:val="center"/>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安平村泵房</w:t>
            </w:r>
          </w:p>
        </w:tc>
      </w:tr>
      <w:tr w14:paraId="556205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17" w:type="pct"/>
            <w:vMerge w:val="continue"/>
            <w:tcBorders>
              <w:tl2br w:val="nil"/>
              <w:tr2bl w:val="nil"/>
            </w:tcBorders>
            <w:vAlign w:val="center"/>
          </w:tcPr>
          <w:p w14:paraId="18EEFD7B">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p>
        </w:tc>
        <w:tc>
          <w:tcPr>
            <w:tcW w:w="717" w:type="pct"/>
            <w:vMerge w:val="continue"/>
            <w:tcBorders>
              <w:tl2br w:val="nil"/>
              <w:tr2bl w:val="nil"/>
            </w:tcBorders>
            <w:vAlign w:val="center"/>
          </w:tcPr>
          <w:p w14:paraId="3F8C18AF">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p>
        </w:tc>
        <w:tc>
          <w:tcPr>
            <w:tcW w:w="907" w:type="pct"/>
            <w:tcBorders>
              <w:tl2br w:val="nil"/>
              <w:tr2bl w:val="nil"/>
            </w:tcBorders>
            <w:vAlign w:val="center"/>
          </w:tcPr>
          <w:p w14:paraId="3FF08B3C">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color w:val="auto"/>
                <w:sz w:val="21"/>
                <w:szCs w:val="21"/>
                <w:highlight w:val="none"/>
              </w:rPr>
              <w:t>平安镇和平村饮用水水源地</w:t>
            </w:r>
          </w:p>
        </w:tc>
        <w:tc>
          <w:tcPr>
            <w:tcW w:w="924" w:type="pct"/>
            <w:tcBorders>
              <w:tl2br w:val="nil"/>
              <w:tr2bl w:val="nil"/>
            </w:tcBorders>
            <w:vAlign w:val="center"/>
          </w:tcPr>
          <w:p w14:paraId="49F02EE9">
            <w:pPr>
              <w:widowControl/>
              <w:spacing w:line="240" w:lineRule="auto"/>
              <w:ind w:firstLine="0" w:firstLineChars="0"/>
              <w:jc w:val="center"/>
              <w:textAlignment w:val="center"/>
              <w:rPr>
                <w:rFonts w:hint="eastAsia"/>
                <w:color w:val="auto"/>
                <w:sz w:val="21"/>
                <w:szCs w:val="21"/>
                <w:highlight w:val="none"/>
              </w:rPr>
            </w:pPr>
            <w:r>
              <w:rPr>
                <w:rFonts w:hint="default" w:ascii="Times New Roman" w:hAnsi="Times New Roman" w:eastAsia="宋体" w:cs="Times New Roman"/>
                <w:color w:val="auto"/>
                <w:sz w:val="21"/>
                <w:szCs w:val="21"/>
                <w:highlight w:val="none"/>
                <w:lang w:val="en-US" w:eastAsia="zh-CN"/>
              </w:rPr>
              <w:t>以取水井为圆心</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30米为半径的圆形所围区域</w:t>
            </w:r>
          </w:p>
        </w:tc>
        <w:tc>
          <w:tcPr>
            <w:tcW w:w="597" w:type="pct"/>
            <w:tcBorders>
              <w:tl2br w:val="nil"/>
              <w:tr2bl w:val="nil"/>
            </w:tcBorders>
            <w:vAlign w:val="center"/>
          </w:tcPr>
          <w:p w14:paraId="5D2166E4">
            <w:pPr>
              <w:widowControl/>
              <w:spacing w:line="240" w:lineRule="auto"/>
              <w:ind w:firstLine="0" w:firstLineChars="0"/>
              <w:jc w:val="center"/>
              <w:textAlignment w:val="center"/>
              <w:rPr>
                <w:rFonts w:hint="eastAsia"/>
                <w:color w:val="auto"/>
                <w:sz w:val="21"/>
                <w:szCs w:val="21"/>
                <w:highlight w:val="none"/>
              </w:rPr>
            </w:pPr>
            <w:r>
              <w:rPr>
                <w:rFonts w:hint="default" w:ascii="Times New Roman" w:hAnsi="Times New Roman" w:eastAsia="宋体" w:cs="Times New Roman"/>
                <w:color w:val="auto"/>
                <w:sz w:val="21"/>
                <w:szCs w:val="21"/>
                <w:highlight w:val="none"/>
                <w:lang w:val="en-US" w:eastAsia="zh-CN"/>
              </w:rPr>
              <w:t>2826</w:t>
            </w:r>
          </w:p>
        </w:tc>
        <w:tc>
          <w:tcPr>
            <w:tcW w:w="597" w:type="pct"/>
            <w:vMerge w:val="continue"/>
            <w:tcBorders>
              <w:tl2br w:val="nil"/>
              <w:tr2bl w:val="nil"/>
            </w:tcBorders>
            <w:vAlign w:val="center"/>
          </w:tcPr>
          <w:p w14:paraId="26547DC0">
            <w:pPr>
              <w:ind w:firstLine="472" w:firstLineChars="200"/>
              <w:jc w:val="center"/>
              <w:rPr>
                <w:rFonts w:hint="eastAsia" w:ascii="Times New Roman" w:hAnsi="Times New Roman" w:cs="Times New Roman"/>
                <w:color w:val="auto"/>
                <w:highlight w:val="none"/>
                <w:vertAlign w:val="baseline"/>
                <w:lang w:eastAsia="zh-CN"/>
              </w:rPr>
            </w:pPr>
          </w:p>
        </w:tc>
        <w:tc>
          <w:tcPr>
            <w:tcW w:w="738" w:type="pct"/>
            <w:tcBorders>
              <w:tl2br w:val="nil"/>
              <w:tr2bl w:val="nil"/>
            </w:tcBorders>
            <w:vAlign w:val="center"/>
          </w:tcPr>
          <w:p w14:paraId="4431884A">
            <w:pPr>
              <w:widowControl/>
              <w:spacing w:line="240" w:lineRule="auto"/>
              <w:ind w:firstLine="0" w:firstLineChars="0"/>
              <w:jc w:val="center"/>
              <w:textAlignment w:val="center"/>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和平村泵房</w:t>
            </w:r>
          </w:p>
        </w:tc>
      </w:tr>
      <w:tr w14:paraId="6FF8CE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17" w:type="pct"/>
            <w:vMerge w:val="continue"/>
            <w:tcBorders>
              <w:tl2br w:val="nil"/>
              <w:tr2bl w:val="nil"/>
            </w:tcBorders>
            <w:vAlign w:val="center"/>
          </w:tcPr>
          <w:p w14:paraId="4A3045FB">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p>
        </w:tc>
        <w:tc>
          <w:tcPr>
            <w:tcW w:w="717" w:type="pct"/>
            <w:vMerge w:val="continue"/>
            <w:tcBorders>
              <w:tl2br w:val="nil"/>
              <w:tr2bl w:val="nil"/>
            </w:tcBorders>
            <w:vAlign w:val="center"/>
          </w:tcPr>
          <w:p w14:paraId="04CAD146">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p>
        </w:tc>
        <w:tc>
          <w:tcPr>
            <w:tcW w:w="907" w:type="pct"/>
            <w:tcBorders>
              <w:tl2br w:val="nil"/>
              <w:tr2bl w:val="nil"/>
            </w:tcBorders>
            <w:vAlign w:val="center"/>
          </w:tcPr>
          <w:p w14:paraId="30C220DB">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平安镇永平村后姜店饮用水水源地</w:t>
            </w:r>
          </w:p>
        </w:tc>
        <w:tc>
          <w:tcPr>
            <w:tcW w:w="924" w:type="pct"/>
            <w:tcBorders>
              <w:tl2br w:val="nil"/>
              <w:tr2bl w:val="nil"/>
            </w:tcBorders>
            <w:vAlign w:val="center"/>
          </w:tcPr>
          <w:p w14:paraId="7329C523">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rPr>
              <w:t>以取水井为圆心</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30米为半径的圆形所围区域</w:t>
            </w:r>
          </w:p>
        </w:tc>
        <w:tc>
          <w:tcPr>
            <w:tcW w:w="597" w:type="pct"/>
            <w:tcBorders>
              <w:tl2br w:val="nil"/>
              <w:tr2bl w:val="nil"/>
            </w:tcBorders>
            <w:vAlign w:val="center"/>
          </w:tcPr>
          <w:p w14:paraId="3EE2CF5B">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rPr>
              <w:t>2826</w:t>
            </w:r>
          </w:p>
        </w:tc>
        <w:tc>
          <w:tcPr>
            <w:tcW w:w="597" w:type="pct"/>
            <w:vMerge w:val="continue"/>
            <w:tcBorders>
              <w:tl2br w:val="nil"/>
              <w:tr2bl w:val="nil"/>
            </w:tcBorders>
            <w:vAlign w:val="center"/>
          </w:tcPr>
          <w:p w14:paraId="5930987D">
            <w:pPr>
              <w:ind w:firstLine="472" w:firstLineChars="200"/>
              <w:jc w:val="center"/>
              <w:rPr>
                <w:rFonts w:hint="eastAsia" w:ascii="Times New Roman" w:hAnsi="Times New Roman" w:cs="Times New Roman"/>
                <w:color w:val="auto"/>
                <w:highlight w:val="none"/>
                <w:vertAlign w:val="baseline"/>
                <w:lang w:eastAsia="zh-CN"/>
              </w:rPr>
            </w:pPr>
          </w:p>
        </w:tc>
        <w:tc>
          <w:tcPr>
            <w:tcW w:w="738" w:type="pct"/>
            <w:tcBorders>
              <w:tl2br w:val="nil"/>
              <w:tr2bl w:val="nil"/>
            </w:tcBorders>
            <w:vAlign w:val="center"/>
          </w:tcPr>
          <w:p w14:paraId="5545CEFA">
            <w:pPr>
              <w:widowControl/>
              <w:spacing w:line="240" w:lineRule="auto"/>
              <w:ind w:firstLine="0" w:firstLineChars="0"/>
              <w:jc w:val="center"/>
              <w:textAlignment w:val="center"/>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永平村泵房</w:t>
            </w:r>
          </w:p>
        </w:tc>
      </w:tr>
      <w:tr w14:paraId="1FB2D1E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17" w:type="pct"/>
            <w:vMerge w:val="continue"/>
            <w:tcBorders>
              <w:tl2br w:val="nil"/>
              <w:tr2bl w:val="nil"/>
            </w:tcBorders>
            <w:vAlign w:val="center"/>
          </w:tcPr>
          <w:p w14:paraId="11F1E951">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p>
        </w:tc>
        <w:tc>
          <w:tcPr>
            <w:tcW w:w="717" w:type="pct"/>
            <w:vMerge w:val="continue"/>
            <w:tcBorders>
              <w:tl2br w:val="nil"/>
              <w:tr2bl w:val="nil"/>
            </w:tcBorders>
            <w:vAlign w:val="center"/>
          </w:tcPr>
          <w:p w14:paraId="4D8FA0F2">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p>
        </w:tc>
        <w:tc>
          <w:tcPr>
            <w:tcW w:w="907" w:type="pct"/>
            <w:tcBorders>
              <w:tl2br w:val="nil"/>
              <w:tr2bl w:val="nil"/>
            </w:tcBorders>
            <w:vAlign w:val="center"/>
          </w:tcPr>
          <w:p w14:paraId="7B918E9D">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color w:val="auto"/>
                <w:sz w:val="21"/>
                <w:szCs w:val="21"/>
                <w:highlight w:val="none"/>
              </w:rPr>
              <w:t>平安镇升平村西高家屯饮用水水源地</w:t>
            </w:r>
          </w:p>
        </w:tc>
        <w:tc>
          <w:tcPr>
            <w:tcW w:w="924" w:type="pct"/>
            <w:tcBorders>
              <w:tl2br w:val="nil"/>
              <w:tr2bl w:val="nil"/>
            </w:tcBorders>
            <w:vAlign w:val="center"/>
          </w:tcPr>
          <w:p w14:paraId="403B94AE">
            <w:pPr>
              <w:widowControl/>
              <w:spacing w:line="240" w:lineRule="auto"/>
              <w:ind w:firstLine="0" w:firstLineChars="0"/>
              <w:jc w:val="center"/>
              <w:textAlignment w:val="center"/>
              <w:rPr>
                <w:rFonts w:hint="eastAsia"/>
                <w:color w:val="auto"/>
                <w:sz w:val="21"/>
                <w:szCs w:val="21"/>
                <w:highlight w:val="none"/>
              </w:rPr>
            </w:pPr>
            <w:r>
              <w:rPr>
                <w:rFonts w:hint="default" w:ascii="Times New Roman" w:hAnsi="Times New Roman" w:eastAsia="宋体" w:cs="Times New Roman"/>
                <w:color w:val="auto"/>
                <w:sz w:val="21"/>
                <w:szCs w:val="21"/>
                <w:highlight w:val="none"/>
                <w:lang w:val="en-US" w:eastAsia="zh-CN"/>
              </w:rPr>
              <w:t>以取水井为圆心</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30米为半径的圆形所围区域</w:t>
            </w:r>
          </w:p>
        </w:tc>
        <w:tc>
          <w:tcPr>
            <w:tcW w:w="597" w:type="pct"/>
            <w:tcBorders>
              <w:tl2br w:val="nil"/>
              <w:tr2bl w:val="nil"/>
            </w:tcBorders>
            <w:vAlign w:val="center"/>
          </w:tcPr>
          <w:p w14:paraId="21CCEBD9">
            <w:pPr>
              <w:widowControl/>
              <w:spacing w:line="240" w:lineRule="auto"/>
              <w:ind w:firstLine="0" w:firstLineChars="0"/>
              <w:jc w:val="center"/>
              <w:textAlignment w:val="center"/>
              <w:rPr>
                <w:rFonts w:hint="eastAsia"/>
                <w:color w:val="auto"/>
                <w:sz w:val="21"/>
                <w:szCs w:val="21"/>
                <w:highlight w:val="none"/>
              </w:rPr>
            </w:pPr>
            <w:r>
              <w:rPr>
                <w:rFonts w:hint="default" w:ascii="Times New Roman" w:hAnsi="Times New Roman" w:eastAsia="宋体" w:cs="Times New Roman"/>
                <w:color w:val="auto"/>
                <w:sz w:val="21"/>
                <w:szCs w:val="21"/>
                <w:highlight w:val="none"/>
                <w:lang w:val="en-US" w:eastAsia="zh-CN"/>
              </w:rPr>
              <w:t>2826</w:t>
            </w:r>
          </w:p>
        </w:tc>
        <w:tc>
          <w:tcPr>
            <w:tcW w:w="597" w:type="pct"/>
            <w:vMerge w:val="continue"/>
            <w:tcBorders>
              <w:tl2br w:val="nil"/>
              <w:tr2bl w:val="nil"/>
            </w:tcBorders>
            <w:vAlign w:val="center"/>
          </w:tcPr>
          <w:p w14:paraId="7A61E72D">
            <w:pPr>
              <w:ind w:firstLine="472" w:firstLineChars="200"/>
              <w:jc w:val="center"/>
              <w:rPr>
                <w:rFonts w:hint="eastAsia" w:ascii="Times New Roman" w:hAnsi="Times New Roman" w:cs="Times New Roman"/>
                <w:color w:val="auto"/>
                <w:highlight w:val="none"/>
                <w:vertAlign w:val="baseline"/>
                <w:lang w:eastAsia="zh-CN"/>
              </w:rPr>
            </w:pPr>
          </w:p>
        </w:tc>
        <w:tc>
          <w:tcPr>
            <w:tcW w:w="738" w:type="pct"/>
            <w:tcBorders>
              <w:tl2br w:val="nil"/>
              <w:tr2bl w:val="nil"/>
            </w:tcBorders>
            <w:vAlign w:val="center"/>
          </w:tcPr>
          <w:p w14:paraId="6A385F9C">
            <w:pPr>
              <w:widowControl/>
              <w:spacing w:line="240" w:lineRule="auto"/>
              <w:ind w:firstLine="0" w:firstLineChars="0"/>
              <w:jc w:val="center"/>
              <w:textAlignment w:val="center"/>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升平村泵房</w:t>
            </w:r>
          </w:p>
        </w:tc>
      </w:tr>
    </w:tbl>
    <w:p w14:paraId="05FABD39">
      <w:pPr>
        <w:bidi w:val="0"/>
        <w:rPr>
          <w:color w:val="auto"/>
          <w:highlight w:val="none"/>
        </w:rPr>
        <w:sectPr>
          <w:pgSz w:w="11905" w:h="16838"/>
          <w:pgMar w:top="1474" w:right="1474" w:bottom="1474" w:left="1474" w:header="850" w:footer="992" w:gutter="0"/>
          <w:pgBorders>
            <w:top w:val="none" w:sz="0" w:space="0"/>
            <w:left w:val="none" w:sz="0" w:space="0"/>
            <w:bottom w:val="none" w:sz="0" w:space="0"/>
            <w:right w:val="none" w:sz="0" w:space="0"/>
          </w:pgBorders>
          <w:pgNumType w:fmt="decimal"/>
          <w:cols w:space="720" w:num="1"/>
          <w:docGrid w:type="linesAndChars" w:linePitch="347" w:charSpace="-1024"/>
        </w:sectPr>
      </w:pPr>
      <w:bookmarkStart w:id="45" w:name="_Toc22020"/>
    </w:p>
    <w:p w14:paraId="2DE13560">
      <w:pPr>
        <w:jc w:val="center"/>
        <w:rPr>
          <w:color w:val="auto"/>
          <w:highlight w:val="none"/>
        </w:rPr>
      </w:pPr>
      <w:r>
        <w:rPr>
          <w:rFonts w:eastAsia="黑体"/>
          <w:color w:val="auto"/>
          <w:kern w:val="0"/>
          <w:highlight w:val="none"/>
        </w:rPr>
        <w:t>表2</w:t>
      </w:r>
      <w:r>
        <w:rPr>
          <w:rFonts w:hint="eastAsia" w:eastAsia="黑体"/>
          <w:color w:val="auto"/>
          <w:kern w:val="0"/>
          <w:highlight w:val="none"/>
        </w:rPr>
        <w:t>-</w:t>
      </w:r>
      <w:r>
        <w:rPr>
          <w:rFonts w:hint="eastAsia" w:eastAsia="黑体"/>
          <w:color w:val="auto"/>
          <w:kern w:val="0"/>
          <w:highlight w:val="none"/>
          <w:lang w:val="en-US" w:eastAsia="zh-CN"/>
        </w:rPr>
        <w:t>3</w:t>
      </w:r>
      <w:r>
        <w:rPr>
          <w:rFonts w:hint="eastAsia" w:eastAsia="黑体"/>
          <w:color w:val="auto"/>
          <w:kern w:val="0"/>
          <w:highlight w:val="none"/>
        </w:rPr>
        <w:t xml:space="preserve"> </w:t>
      </w:r>
      <w:r>
        <w:rPr>
          <w:rFonts w:hint="eastAsia" w:eastAsia="黑体"/>
          <w:color w:val="auto"/>
          <w:kern w:val="0"/>
          <w:highlight w:val="none"/>
          <w:lang w:val="en-US" w:eastAsia="zh-CN"/>
        </w:rPr>
        <w:t xml:space="preserve"> 被替代</w:t>
      </w:r>
      <w:r>
        <w:rPr>
          <w:rFonts w:hint="eastAsia" w:eastAsia="黑体"/>
          <w:color w:val="auto"/>
          <w:kern w:val="0"/>
          <w:highlight w:val="none"/>
        </w:rPr>
        <w:t>饮用水水源地</w:t>
      </w:r>
      <w:r>
        <w:rPr>
          <w:rFonts w:eastAsia="黑体"/>
          <w:color w:val="auto"/>
          <w:kern w:val="0"/>
          <w:highlight w:val="none"/>
        </w:rPr>
        <w:t>基本情况表</w:t>
      </w:r>
    </w:p>
    <w:tbl>
      <w:tblPr>
        <w:tblStyle w:val="21"/>
        <w:tblW w:w="4997"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
      <w:tblGrid>
        <w:gridCol w:w="443"/>
        <w:gridCol w:w="1444"/>
        <w:gridCol w:w="706"/>
        <w:gridCol w:w="1409"/>
        <w:gridCol w:w="1367"/>
        <w:gridCol w:w="772"/>
        <w:gridCol w:w="891"/>
        <w:gridCol w:w="758"/>
        <w:gridCol w:w="1113"/>
        <w:gridCol w:w="684"/>
        <w:gridCol w:w="2628"/>
        <w:gridCol w:w="951"/>
        <w:gridCol w:w="830"/>
      </w:tblGrid>
      <w:tr w14:paraId="4A3ED1F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57" w:type="dxa"/>
            <w:bottom w:w="0" w:type="dxa"/>
            <w:right w:w="57" w:type="dxa"/>
          </w:tblCellMar>
        </w:tblPrEx>
        <w:trPr>
          <w:trHeight w:val="482" w:hRule="atLeast"/>
          <w:tblHeader/>
        </w:trPr>
        <w:tc>
          <w:tcPr>
            <w:tcW w:w="158" w:type="pct"/>
            <w:tcBorders>
              <w:tl2br w:val="nil"/>
              <w:tr2bl w:val="nil"/>
            </w:tcBorders>
            <w:noWrap w:val="0"/>
            <w:vAlign w:val="center"/>
          </w:tcPr>
          <w:p w14:paraId="23CB7EAF">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eastAsia="en-US"/>
              </w:rPr>
            </w:pPr>
            <w:r>
              <w:rPr>
                <w:rFonts w:hAnsi="宋体"/>
                <w:color w:val="auto"/>
                <w:szCs w:val="21"/>
                <w:highlight w:val="none"/>
              </w:rPr>
              <w:t>乡镇名称</w:t>
            </w:r>
          </w:p>
        </w:tc>
        <w:tc>
          <w:tcPr>
            <w:tcW w:w="515" w:type="pct"/>
            <w:tcBorders>
              <w:tl2br w:val="nil"/>
              <w:tr2bl w:val="nil"/>
            </w:tcBorders>
            <w:noWrap w:val="0"/>
            <w:vAlign w:val="center"/>
          </w:tcPr>
          <w:p w14:paraId="6CF83753">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eastAsia="en-US"/>
              </w:rPr>
            </w:pPr>
            <w:r>
              <w:rPr>
                <w:rFonts w:hint="eastAsia" w:ascii="Times New Roman" w:hAnsi="Times New Roman" w:eastAsia="宋体" w:cs="Times New Roman"/>
                <w:color w:val="auto"/>
                <w:kern w:val="0"/>
                <w:sz w:val="21"/>
                <w:szCs w:val="21"/>
                <w:highlight w:val="none"/>
                <w:lang w:eastAsia="en-US"/>
              </w:rPr>
              <w:t>水源地名称</w:t>
            </w:r>
          </w:p>
        </w:tc>
        <w:tc>
          <w:tcPr>
            <w:tcW w:w="252" w:type="pct"/>
            <w:tcBorders>
              <w:tl2br w:val="nil"/>
              <w:tr2bl w:val="nil"/>
            </w:tcBorders>
            <w:noWrap w:val="0"/>
            <w:vAlign w:val="center"/>
          </w:tcPr>
          <w:p w14:paraId="67755276">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eastAsia="en-US"/>
              </w:rPr>
            </w:pPr>
            <w:r>
              <w:rPr>
                <w:rFonts w:hint="eastAsia" w:ascii="Times New Roman" w:hAnsi="Times New Roman" w:eastAsia="宋体" w:cs="Times New Roman"/>
                <w:color w:val="auto"/>
                <w:kern w:val="0"/>
                <w:sz w:val="21"/>
                <w:szCs w:val="21"/>
                <w:highlight w:val="none"/>
                <w:lang w:eastAsia="en-US"/>
              </w:rPr>
              <w:t>水源井编号</w:t>
            </w:r>
          </w:p>
        </w:tc>
        <w:tc>
          <w:tcPr>
            <w:tcW w:w="503" w:type="pct"/>
            <w:tcBorders>
              <w:tl2br w:val="nil"/>
              <w:tr2bl w:val="nil"/>
            </w:tcBorders>
            <w:noWrap w:val="0"/>
            <w:vAlign w:val="center"/>
          </w:tcPr>
          <w:p w14:paraId="76239912">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eastAsia="en-US"/>
              </w:rPr>
            </w:pPr>
            <w:r>
              <w:rPr>
                <w:rFonts w:hint="eastAsia" w:ascii="Times New Roman" w:hAnsi="Times New Roman" w:eastAsia="宋体" w:cs="Times New Roman"/>
                <w:color w:val="auto"/>
                <w:kern w:val="0"/>
                <w:sz w:val="21"/>
                <w:szCs w:val="21"/>
                <w:highlight w:val="none"/>
                <w:lang w:eastAsia="en-US"/>
              </w:rPr>
              <w:t>经度2000</w:t>
            </w:r>
          </w:p>
          <w:p w14:paraId="56CFDE50">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eastAsia="en-US"/>
              </w:rPr>
            </w:pPr>
            <w:r>
              <w:rPr>
                <w:rFonts w:hint="eastAsia" w:ascii="Times New Roman" w:hAnsi="Times New Roman" w:eastAsia="宋体" w:cs="Times New Roman"/>
                <w:color w:val="auto"/>
                <w:kern w:val="0"/>
                <w:sz w:val="21"/>
                <w:szCs w:val="21"/>
                <w:highlight w:val="none"/>
                <w:lang w:eastAsia="en-US"/>
              </w:rPr>
              <w:t>坐标</w:t>
            </w:r>
          </w:p>
        </w:tc>
        <w:tc>
          <w:tcPr>
            <w:tcW w:w="488" w:type="pct"/>
            <w:tcBorders>
              <w:tl2br w:val="nil"/>
              <w:tr2bl w:val="nil"/>
            </w:tcBorders>
            <w:noWrap w:val="0"/>
            <w:vAlign w:val="center"/>
          </w:tcPr>
          <w:p w14:paraId="4E21AA84">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eastAsia="en-US"/>
              </w:rPr>
            </w:pPr>
            <w:r>
              <w:rPr>
                <w:rFonts w:hint="eastAsia" w:ascii="Times New Roman" w:hAnsi="Times New Roman" w:eastAsia="宋体" w:cs="Times New Roman"/>
                <w:color w:val="auto"/>
                <w:kern w:val="0"/>
                <w:sz w:val="21"/>
                <w:szCs w:val="21"/>
                <w:highlight w:val="none"/>
                <w:lang w:eastAsia="en-US"/>
              </w:rPr>
              <w:t>纬度2000</w:t>
            </w:r>
          </w:p>
          <w:p w14:paraId="727D93BC">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ascii="Times New Roman" w:hAnsi="Times New Roman" w:eastAsia="宋体" w:cs="Times New Roman"/>
                <w:color w:val="auto"/>
                <w:kern w:val="0"/>
                <w:sz w:val="21"/>
                <w:szCs w:val="21"/>
                <w:highlight w:val="none"/>
                <w:lang w:eastAsia="en-US"/>
              </w:rPr>
              <w:t>坐标</w:t>
            </w:r>
          </w:p>
        </w:tc>
        <w:tc>
          <w:tcPr>
            <w:tcW w:w="275" w:type="pct"/>
            <w:tcBorders>
              <w:tl2br w:val="nil"/>
              <w:tr2bl w:val="nil"/>
            </w:tcBorders>
            <w:noWrap w:val="0"/>
            <w:vAlign w:val="center"/>
          </w:tcPr>
          <w:p w14:paraId="4306D58A">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eastAsia="en-US"/>
              </w:rPr>
            </w:pPr>
            <w:r>
              <w:rPr>
                <w:rFonts w:hint="eastAsia" w:ascii="Times New Roman" w:hAnsi="Times New Roman" w:eastAsia="宋体" w:cs="Times New Roman"/>
                <w:color w:val="auto"/>
                <w:kern w:val="0"/>
                <w:sz w:val="21"/>
                <w:szCs w:val="21"/>
                <w:highlight w:val="none"/>
                <w:lang w:eastAsia="en-US"/>
              </w:rPr>
              <w:t>建井年份</w:t>
            </w:r>
          </w:p>
        </w:tc>
        <w:tc>
          <w:tcPr>
            <w:tcW w:w="318" w:type="pct"/>
            <w:tcBorders>
              <w:tl2br w:val="nil"/>
              <w:tr2bl w:val="nil"/>
            </w:tcBorders>
            <w:noWrap w:val="0"/>
            <w:vAlign w:val="center"/>
          </w:tcPr>
          <w:p w14:paraId="7EBE1098">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cs="Times New Roman"/>
                <w:color w:val="auto"/>
                <w:kern w:val="0"/>
                <w:sz w:val="21"/>
                <w:szCs w:val="21"/>
                <w:highlight w:val="none"/>
                <w:lang w:eastAsia="zh-CN"/>
              </w:rPr>
              <w:t>设计</w:t>
            </w:r>
            <w:r>
              <w:rPr>
                <w:rFonts w:hint="eastAsia" w:ascii="Times New Roman" w:hAnsi="Times New Roman" w:eastAsia="宋体" w:cs="Times New Roman"/>
                <w:color w:val="auto"/>
                <w:kern w:val="0"/>
                <w:sz w:val="21"/>
                <w:szCs w:val="21"/>
                <w:highlight w:val="none"/>
              </w:rPr>
              <w:t>取水量</w:t>
            </w:r>
            <w:r>
              <w:rPr>
                <w:rFonts w:hint="eastAsia" w:cs="Times New Roman"/>
                <w:color w:val="auto"/>
                <w:kern w:val="0"/>
                <w:sz w:val="21"/>
                <w:szCs w:val="21"/>
                <w:highlight w:val="none"/>
                <w:lang w:eastAsia="zh-CN"/>
              </w:rPr>
              <w:t>（</w:t>
            </w:r>
            <w:r>
              <w:rPr>
                <w:rFonts w:hint="eastAsia" w:ascii="Times New Roman" w:hAnsi="Times New Roman" w:eastAsia="宋体" w:cs="Times New Roman"/>
                <w:color w:val="auto"/>
                <w:kern w:val="0"/>
                <w:sz w:val="21"/>
                <w:szCs w:val="21"/>
                <w:highlight w:val="none"/>
              </w:rPr>
              <w:t>立方米/天）</w:t>
            </w:r>
          </w:p>
        </w:tc>
        <w:tc>
          <w:tcPr>
            <w:tcW w:w="270" w:type="pct"/>
            <w:tcBorders>
              <w:tl2br w:val="nil"/>
              <w:tr2bl w:val="nil"/>
            </w:tcBorders>
            <w:noWrap w:val="0"/>
            <w:vAlign w:val="center"/>
          </w:tcPr>
          <w:p w14:paraId="538688FE">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eastAsia="en-US"/>
              </w:rPr>
            </w:pPr>
            <w:r>
              <w:rPr>
                <w:rFonts w:hint="eastAsia" w:ascii="Times New Roman" w:hAnsi="Times New Roman" w:eastAsia="宋体" w:cs="Times New Roman"/>
                <w:color w:val="auto"/>
                <w:kern w:val="0"/>
                <w:sz w:val="21"/>
                <w:szCs w:val="21"/>
                <w:highlight w:val="none"/>
                <w:lang w:eastAsia="en-US"/>
              </w:rPr>
              <w:t>埋藏条件</w:t>
            </w:r>
          </w:p>
        </w:tc>
        <w:tc>
          <w:tcPr>
            <w:tcW w:w="397" w:type="pct"/>
            <w:tcBorders>
              <w:tl2br w:val="nil"/>
              <w:tr2bl w:val="nil"/>
            </w:tcBorders>
            <w:noWrap w:val="0"/>
            <w:vAlign w:val="center"/>
          </w:tcPr>
          <w:p w14:paraId="37A59B1F">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eastAsia="en-US"/>
              </w:rPr>
            </w:pPr>
            <w:r>
              <w:rPr>
                <w:rFonts w:hint="eastAsia" w:ascii="Times New Roman" w:hAnsi="Times New Roman" w:eastAsia="宋体" w:cs="Times New Roman"/>
                <w:color w:val="auto"/>
                <w:kern w:val="0"/>
                <w:sz w:val="21"/>
                <w:szCs w:val="21"/>
                <w:highlight w:val="none"/>
                <w:lang w:eastAsia="en-US"/>
              </w:rPr>
              <w:t>含水层介质类型</w:t>
            </w:r>
          </w:p>
        </w:tc>
        <w:tc>
          <w:tcPr>
            <w:tcW w:w="244" w:type="pct"/>
            <w:tcBorders>
              <w:tl2br w:val="nil"/>
              <w:tr2bl w:val="nil"/>
            </w:tcBorders>
            <w:noWrap w:val="0"/>
            <w:vAlign w:val="center"/>
          </w:tcPr>
          <w:p w14:paraId="7418BF55">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eastAsia="en-US"/>
              </w:rPr>
            </w:pPr>
            <w:r>
              <w:rPr>
                <w:rFonts w:hint="eastAsia" w:ascii="Times New Roman" w:hAnsi="Times New Roman" w:eastAsia="宋体" w:cs="Times New Roman"/>
                <w:color w:val="auto"/>
                <w:kern w:val="0"/>
                <w:sz w:val="21"/>
                <w:szCs w:val="21"/>
                <w:highlight w:val="none"/>
                <w:lang w:eastAsia="en-US"/>
              </w:rPr>
              <w:t>井深</w:t>
            </w:r>
          </w:p>
          <w:p w14:paraId="4D57BC56">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ascii="Times New Roman" w:hAnsi="Times New Roman" w:eastAsia="宋体" w:cs="Times New Roman"/>
                <w:color w:val="auto"/>
                <w:kern w:val="0"/>
                <w:sz w:val="21"/>
                <w:szCs w:val="21"/>
                <w:highlight w:val="none"/>
                <w:lang w:eastAsia="en-US"/>
              </w:rPr>
              <w:t>（米</w:t>
            </w:r>
            <w:r>
              <w:rPr>
                <w:rFonts w:hint="eastAsia" w:ascii="Times New Roman" w:hAnsi="Times New Roman" w:eastAsia="宋体" w:cs="Times New Roman"/>
                <w:color w:val="auto"/>
                <w:kern w:val="0"/>
                <w:sz w:val="21"/>
                <w:szCs w:val="21"/>
                <w:highlight w:val="none"/>
              </w:rPr>
              <w:t>）</w:t>
            </w:r>
          </w:p>
        </w:tc>
        <w:tc>
          <w:tcPr>
            <w:tcW w:w="938" w:type="pct"/>
            <w:tcBorders>
              <w:tl2br w:val="nil"/>
              <w:tr2bl w:val="nil"/>
            </w:tcBorders>
            <w:noWrap w:val="0"/>
            <w:vAlign w:val="center"/>
          </w:tcPr>
          <w:p w14:paraId="6E15C2BB">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服务范围</w:t>
            </w:r>
          </w:p>
        </w:tc>
        <w:tc>
          <w:tcPr>
            <w:tcW w:w="339" w:type="pct"/>
            <w:tcBorders>
              <w:tl2br w:val="nil"/>
              <w:tr2bl w:val="nil"/>
            </w:tcBorders>
            <w:noWrap w:val="0"/>
            <w:vAlign w:val="center"/>
          </w:tcPr>
          <w:p w14:paraId="7F6C80AB">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ascii="Times New Roman" w:hAnsi="Times New Roman" w:eastAsia="宋体" w:cs="Times New Roman"/>
                <w:color w:val="auto"/>
                <w:kern w:val="0"/>
                <w:sz w:val="21"/>
                <w:szCs w:val="21"/>
                <w:highlight w:val="none"/>
                <w:lang w:eastAsia="en-US"/>
              </w:rPr>
              <w:t>服务人口（人</w:t>
            </w:r>
            <w:r>
              <w:rPr>
                <w:rFonts w:hint="eastAsia" w:ascii="Times New Roman" w:hAnsi="Times New Roman" w:eastAsia="宋体" w:cs="Times New Roman"/>
                <w:color w:val="auto"/>
                <w:kern w:val="0"/>
                <w:sz w:val="21"/>
                <w:szCs w:val="21"/>
                <w:highlight w:val="none"/>
              </w:rPr>
              <w:t>）</w:t>
            </w:r>
          </w:p>
        </w:tc>
        <w:tc>
          <w:tcPr>
            <w:tcW w:w="296" w:type="pct"/>
            <w:tcBorders>
              <w:tl2br w:val="nil"/>
              <w:tr2bl w:val="nil"/>
            </w:tcBorders>
            <w:noWrap w:val="0"/>
            <w:vAlign w:val="center"/>
          </w:tcPr>
          <w:p w14:paraId="3C4B6863">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eastAsia="en-US"/>
              </w:rPr>
            </w:pPr>
            <w:r>
              <w:rPr>
                <w:rFonts w:hint="eastAsia" w:ascii="Times New Roman" w:hAnsi="Times New Roman" w:eastAsia="宋体" w:cs="Times New Roman"/>
                <w:color w:val="auto"/>
                <w:kern w:val="0"/>
                <w:sz w:val="21"/>
                <w:szCs w:val="21"/>
                <w:highlight w:val="none"/>
                <w:lang w:eastAsia="en-US"/>
              </w:rPr>
              <w:t>水处理工艺</w:t>
            </w:r>
          </w:p>
        </w:tc>
      </w:tr>
      <w:tr w14:paraId="6F85083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57" w:type="dxa"/>
            <w:bottom w:w="0" w:type="dxa"/>
            <w:right w:w="57" w:type="dxa"/>
          </w:tblCellMar>
        </w:tblPrEx>
        <w:trPr>
          <w:trHeight w:val="482" w:hRule="atLeast"/>
        </w:trPr>
        <w:tc>
          <w:tcPr>
            <w:tcW w:w="158" w:type="pct"/>
            <w:vMerge w:val="restart"/>
            <w:tcBorders>
              <w:tl2br w:val="nil"/>
              <w:tr2bl w:val="nil"/>
            </w:tcBorders>
            <w:noWrap w:val="0"/>
            <w:vAlign w:val="center"/>
          </w:tcPr>
          <w:p w14:paraId="349F536D">
            <w:pPr>
              <w:widowControl/>
              <w:snapToGrid w:val="0"/>
              <w:spacing w:line="240" w:lineRule="auto"/>
              <w:ind w:firstLine="0" w:firstLineChars="0"/>
              <w:jc w:val="center"/>
              <w:rPr>
                <w:rFonts w:hint="eastAsia"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发展乡</w:t>
            </w:r>
          </w:p>
        </w:tc>
        <w:tc>
          <w:tcPr>
            <w:tcW w:w="515" w:type="pct"/>
            <w:tcBorders>
              <w:tl2br w:val="nil"/>
              <w:tr2bl w:val="nil"/>
            </w:tcBorders>
            <w:shd w:val="clear" w:color="auto" w:fill="auto"/>
            <w:noWrap w:val="0"/>
            <w:vAlign w:val="center"/>
          </w:tcPr>
          <w:p w14:paraId="5228E446">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发展乡饮用水水源地</w:t>
            </w:r>
          </w:p>
        </w:tc>
        <w:tc>
          <w:tcPr>
            <w:tcW w:w="252" w:type="pct"/>
            <w:tcBorders>
              <w:tl2br w:val="nil"/>
              <w:tr2bl w:val="nil"/>
            </w:tcBorders>
            <w:shd w:val="clear" w:color="auto" w:fill="auto"/>
            <w:noWrap w:val="0"/>
            <w:vAlign w:val="center"/>
          </w:tcPr>
          <w:p w14:paraId="1BD4A1BB">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1#</w:t>
            </w:r>
          </w:p>
        </w:tc>
        <w:tc>
          <w:tcPr>
            <w:tcW w:w="503" w:type="pct"/>
            <w:tcBorders>
              <w:tl2br w:val="nil"/>
              <w:tr2bl w:val="nil"/>
            </w:tcBorders>
            <w:shd w:val="clear" w:color="auto" w:fill="auto"/>
            <w:noWrap w:val="0"/>
            <w:vAlign w:val="center"/>
          </w:tcPr>
          <w:p w14:paraId="6A0C0D87">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127°37’59.40”</w:t>
            </w:r>
          </w:p>
        </w:tc>
        <w:tc>
          <w:tcPr>
            <w:tcW w:w="488" w:type="pct"/>
            <w:tcBorders>
              <w:tl2br w:val="nil"/>
              <w:tr2bl w:val="nil"/>
            </w:tcBorders>
            <w:shd w:val="clear" w:color="auto" w:fill="auto"/>
            <w:noWrap w:val="0"/>
            <w:vAlign w:val="center"/>
          </w:tcPr>
          <w:p w14:paraId="5FB79033">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cs="Times New Roman"/>
                <w:color w:val="auto"/>
                <w:kern w:val="0"/>
                <w:sz w:val="21"/>
                <w:szCs w:val="21"/>
                <w:highlight w:val="none"/>
                <w:lang w:val="en-US" w:eastAsia="zh-CN"/>
              </w:rPr>
              <w:t>47°04’58.87”</w:t>
            </w:r>
          </w:p>
        </w:tc>
        <w:tc>
          <w:tcPr>
            <w:tcW w:w="275" w:type="pct"/>
            <w:tcBorders>
              <w:tl2br w:val="nil"/>
              <w:tr2bl w:val="nil"/>
            </w:tcBorders>
            <w:shd w:val="clear" w:color="auto" w:fill="auto"/>
            <w:noWrap w:val="0"/>
            <w:vAlign w:val="center"/>
          </w:tcPr>
          <w:p w14:paraId="79CD0F1C">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2014</w:t>
            </w:r>
          </w:p>
        </w:tc>
        <w:tc>
          <w:tcPr>
            <w:tcW w:w="318" w:type="pct"/>
            <w:tcBorders>
              <w:tl2br w:val="nil"/>
              <w:tr2bl w:val="nil"/>
            </w:tcBorders>
            <w:shd w:val="clear" w:color="auto" w:fill="auto"/>
            <w:noWrap w:val="0"/>
            <w:vAlign w:val="center"/>
          </w:tcPr>
          <w:p w14:paraId="32973681">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 xml:space="preserve">418 </w:t>
            </w:r>
          </w:p>
        </w:tc>
        <w:tc>
          <w:tcPr>
            <w:tcW w:w="270" w:type="pct"/>
            <w:tcBorders>
              <w:tl2br w:val="nil"/>
              <w:tr2bl w:val="nil"/>
            </w:tcBorders>
            <w:shd w:val="clear" w:color="auto" w:fill="auto"/>
            <w:noWrap w:val="0"/>
            <w:vAlign w:val="center"/>
          </w:tcPr>
          <w:p w14:paraId="2A236B11">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承压水</w:t>
            </w:r>
          </w:p>
        </w:tc>
        <w:tc>
          <w:tcPr>
            <w:tcW w:w="397" w:type="pct"/>
            <w:tcBorders>
              <w:tl2br w:val="nil"/>
              <w:tr2bl w:val="nil"/>
            </w:tcBorders>
            <w:shd w:val="clear" w:color="auto" w:fill="auto"/>
            <w:noWrap w:val="0"/>
            <w:vAlign w:val="center"/>
          </w:tcPr>
          <w:p w14:paraId="0876A48B">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孔隙-裂隙水</w:t>
            </w:r>
          </w:p>
        </w:tc>
        <w:tc>
          <w:tcPr>
            <w:tcW w:w="244" w:type="pct"/>
            <w:tcBorders>
              <w:tl2br w:val="nil"/>
              <w:tr2bl w:val="nil"/>
            </w:tcBorders>
            <w:shd w:val="clear" w:color="auto" w:fill="auto"/>
            <w:noWrap w:val="0"/>
            <w:vAlign w:val="center"/>
          </w:tcPr>
          <w:p w14:paraId="7BBADBE0">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65</w:t>
            </w:r>
          </w:p>
        </w:tc>
        <w:tc>
          <w:tcPr>
            <w:tcW w:w="938" w:type="pct"/>
            <w:tcBorders>
              <w:tl2br w:val="nil"/>
              <w:tr2bl w:val="nil"/>
            </w:tcBorders>
            <w:shd w:val="clear" w:color="auto" w:fill="auto"/>
            <w:noWrap w:val="0"/>
            <w:vAlign w:val="center"/>
          </w:tcPr>
          <w:p w14:paraId="54CC6464">
            <w:pPr>
              <w:widowControl/>
              <w:snapToGrid w:val="0"/>
              <w:spacing w:line="240" w:lineRule="auto"/>
              <w:ind w:firstLine="0" w:firstLineChars="0"/>
              <w:jc w:val="center"/>
              <w:rPr>
                <w:rFonts w:hint="default" w:ascii="Times New Roman" w:hAnsi="Times New Roman"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发富村孟家、郭家、张井辉、台家、徐大犁；发展村七道岗、六道岗、腰八道岗、东高家、岳家屯、张木匠、老局所、西八道岗、庙屯、小马场；东农业队、畜牧局奶牛场</w:t>
            </w:r>
          </w:p>
        </w:tc>
        <w:tc>
          <w:tcPr>
            <w:tcW w:w="339" w:type="pct"/>
            <w:tcBorders>
              <w:tl2br w:val="nil"/>
              <w:tr2bl w:val="nil"/>
            </w:tcBorders>
            <w:shd w:val="clear" w:color="auto" w:fill="auto"/>
            <w:noWrap w:val="0"/>
            <w:vAlign w:val="center"/>
          </w:tcPr>
          <w:p w14:paraId="54FAE8F3">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6969</w:t>
            </w:r>
          </w:p>
        </w:tc>
        <w:tc>
          <w:tcPr>
            <w:tcW w:w="296" w:type="pct"/>
            <w:tcBorders>
              <w:tl2br w:val="nil"/>
              <w:tr2bl w:val="nil"/>
            </w:tcBorders>
            <w:shd w:val="clear" w:color="auto" w:fill="auto"/>
            <w:noWrap w:val="0"/>
            <w:vAlign w:val="center"/>
          </w:tcPr>
          <w:p w14:paraId="1DC986F0">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除铁锰过滤</w:t>
            </w:r>
          </w:p>
        </w:tc>
      </w:tr>
      <w:tr w14:paraId="7265C55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57" w:type="dxa"/>
            <w:bottom w:w="0" w:type="dxa"/>
            <w:right w:w="57" w:type="dxa"/>
          </w:tblCellMar>
        </w:tblPrEx>
        <w:trPr>
          <w:trHeight w:val="792" w:hRule="atLeast"/>
        </w:trPr>
        <w:tc>
          <w:tcPr>
            <w:tcW w:w="158" w:type="pct"/>
            <w:vMerge w:val="continue"/>
            <w:tcBorders>
              <w:tl2br w:val="nil"/>
              <w:tr2bl w:val="nil"/>
            </w:tcBorders>
            <w:noWrap w:val="0"/>
            <w:vAlign w:val="center"/>
          </w:tcPr>
          <w:p w14:paraId="7C0CF13E">
            <w:pPr>
              <w:widowControl/>
              <w:snapToGrid w:val="0"/>
              <w:spacing w:line="240" w:lineRule="auto"/>
              <w:ind w:firstLine="0" w:firstLineChars="0"/>
              <w:jc w:val="center"/>
              <w:rPr>
                <w:rFonts w:hint="eastAsia" w:cs="Times New Roman"/>
                <w:color w:val="auto"/>
                <w:kern w:val="0"/>
                <w:sz w:val="21"/>
                <w:szCs w:val="21"/>
                <w:highlight w:val="none"/>
                <w:lang w:val="en-US" w:eastAsia="zh-CN"/>
              </w:rPr>
            </w:pPr>
          </w:p>
        </w:tc>
        <w:tc>
          <w:tcPr>
            <w:tcW w:w="515" w:type="pct"/>
            <w:tcBorders>
              <w:tl2br w:val="nil"/>
              <w:tr2bl w:val="nil"/>
            </w:tcBorders>
            <w:shd w:val="clear" w:color="auto" w:fill="auto"/>
            <w:noWrap w:val="0"/>
            <w:vAlign w:val="center"/>
          </w:tcPr>
          <w:p w14:paraId="5EFC9D92">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发展乡发明村王生饮用水水源地</w:t>
            </w:r>
          </w:p>
        </w:tc>
        <w:tc>
          <w:tcPr>
            <w:tcW w:w="252" w:type="pct"/>
            <w:tcBorders>
              <w:tl2br w:val="nil"/>
              <w:tr2bl w:val="nil"/>
            </w:tcBorders>
            <w:shd w:val="clear" w:color="auto" w:fill="auto"/>
            <w:noWrap w:val="0"/>
            <w:vAlign w:val="center"/>
          </w:tcPr>
          <w:p w14:paraId="168A80EC">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1#</w:t>
            </w:r>
          </w:p>
        </w:tc>
        <w:tc>
          <w:tcPr>
            <w:tcW w:w="503" w:type="pct"/>
            <w:tcBorders>
              <w:tl2br w:val="nil"/>
              <w:tr2bl w:val="nil"/>
            </w:tcBorders>
            <w:shd w:val="clear" w:color="auto" w:fill="auto"/>
            <w:noWrap w:val="0"/>
            <w:vAlign w:val="center"/>
          </w:tcPr>
          <w:p w14:paraId="59A444DA">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127°35’24.70”</w:t>
            </w:r>
          </w:p>
        </w:tc>
        <w:tc>
          <w:tcPr>
            <w:tcW w:w="488" w:type="pct"/>
            <w:tcBorders>
              <w:tl2br w:val="nil"/>
              <w:tr2bl w:val="nil"/>
            </w:tcBorders>
            <w:shd w:val="clear" w:color="auto" w:fill="auto"/>
            <w:noWrap w:val="0"/>
            <w:vAlign w:val="center"/>
          </w:tcPr>
          <w:p w14:paraId="46F2CC9D">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47°00’14.63”</w:t>
            </w:r>
          </w:p>
        </w:tc>
        <w:tc>
          <w:tcPr>
            <w:tcW w:w="275" w:type="pct"/>
            <w:tcBorders>
              <w:tl2br w:val="nil"/>
              <w:tr2bl w:val="nil"/>
            </w:tcBorders>
            <w:shd w:val="clear" w:color="auto" w:fill="auto"/>
            <w:noWrap w:val="0"/>
            <w:vAlign w:val="center"/>
          </w:tcPr>
          <w:p w14:paraId="5F5AE318">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2015</w:t>
            </w:r>
          </w:p>
        </w:tc>
        <w:tc>
          <w:tcPr>
            <w:tcW w:w="318" w:type="pct"/>
            <w:tcBorders>
              <w:tl2br w:val="nil"/>
              <w:tr2bl w:val="nil"/>
            </w:tcBorders>
            <w:shd w:val="clear" w:color="auto" w:fill="auto"/>
            <w:noWrap w:val="0"/>
            <w:vAlign w:val="center"/>
          </w:tcPr>
          <w:p w14:paraId="2192380D">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 xml:space="preserve">163 </w:t>
            </w:r>
          </w:p>
        </w:tc>
        <w:tc>
          <w:tcPr>
            <w:tcW w:w="270" w:type="pct"/>
            <w:tcBorders>
              <w:tl2br w:val="nil"/>
              <w:tr2bl w:val="nil"/>
            </w:tcBorders>
            <w:shd w:val="clear" w:color="auto" w:fill="auto"/>
            <w:noWrap w:val="0"/>
            <w:vAlign w:val="center"/>
          </w:tcPr>
          <w:p w14:paraId="5BFB3EC2">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承压水</w:t>
            </w:r>
          </w:p>
        </w:tc>
        <w:tc>
          <w:tcPr>
            <w:tcW w:w="397" w:type="pct"/>
            <w:tcBorders>
              <w:tl2br w:val="nil"/>
              <w:tr2bl w:val="nil"/>
            </w:tcBorders>
            <w:shd w:val="clear" w:color="auto" w:fill="auto"/>
            <w:noWrap w:val="0"/>
            <w:vAlign w:val="center"/>
          </w:tcPr>
          <w:p w14:paraId="350BBFE8">
            <w:pPr>
              <w:widowControl/>
              <w:snapToGrid w:val="0"/>
              <w:spacing w:line="240" w:lineRule="auto"/>
              <w:ind w:firstLine="0" w:firstLineChars="0"/>
              <w:jc w:val="center"/>
              <w:rPr>
                <w:rFonts w:hint="default" w:ascii="Times New Roman" w:hAnsi="Times New Roman" w:eastAsia="宋体" w:cs="Times New Roman"/>
                <w:color w:val="auto"/>
                <w:kern w:val="0"/>
                <w:sz w:val="21"/>
                <w:szCs w:val="22"/>
                <w:highlight w:val="none"/>
                <w:lang w:val="en-US" w:eastAsia="zh-CN" w:bidi="ar-SA"/>
              </w:rPr>
            </w:pPr>
            <w:r>
              <w:rPr>
                <w:rFonts w:hint="default" w:ascii="Times New Roman" w:hAnsi="Times New Roman" w:cs="Times New Roman"/>
                <w:color w:val="auto"/>
                <w:kern w:val="0"/>
                <w:sz w:val="21"/>
                <w:szCs w:val="21"/>
                <w:highlight w:val="none"/>
                <w:lang w:val="en-US" w:eastAsia="zh-CN"/>
              </w:rPr>
              <w:t>孔隙水，孔隙-裂隙水</w:t>
            </w:r>
          </w:p>
        </w:tc>
        <w:tc>
          <w:tcPr>
            <w:tcW w:w="244" w:type="pct"/>
            <w:tcBorders>
              <w:tl2br w:val="nil"/>
              <w:tr2bl w:val="nil"/>
            </w:tcBorders>
            <w:shd w:val="clear" w:color="auto" w:fill="auto"/>
            <w:noWrap w:val="0"/>
            <w:vAlign w:val="center"/>
          </w:tcPr>
          <w:p w14:paraId="1FB11542">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46</w:t>
            </w:r>
          </w:p>
        </w:tc>
        <w:tc>
          <w:tcPr>
            <w:tcW w:w="938" w:type="pct"/>
            <w:tcBorders>
              <w:tl2br w:val="nil"/>
              <w:tr2bl w:val="nil"/>
            </w:tcBorders>
            <w:shd w:val="clear" w:color="auto" w:fill="auto"/>
            <w:noWrap w:val="0"/>
            <w:vAlign w:val="center"/>
          </w:tcPr>
          <w:p w14:paraId="3B040E03">
            <w:pPr>
              <w:widowControl/>
              <w:snapToGrid w:val="0"/>
              <w:spacing w:line="240" w:lineRule="auto"/>
              <w:ind w:firstLine="0" w:firstLineChars="0"/>
              <w:jc w:val="center"/>
              <w:rPr>
                <w:rFonts w:hint="default" w:ascii="Times New Roman" w:hAnsi="Times New Roman"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发明村于连太、苗家沟、刘永、车家屯、闫炮、三门于队、王生、张凤屯</w:t>
            </w:r>
          </w:p>
        </w:tc>
        <w:tc>
          <w:tcPr>
            <w:tcW w:w="339" w:type="pct"/>
            <w:tcBorders>
              <w:tl2br w:val="nil"/>
              <w:tr2bl w:val="nil"/>
            </w:tcBorders>
            <w:shd w:val="clear" w:color="auto" w:fill="auto"/>
            <w:noWrap w:val="0"/>
            <w:vAlign w:val="center"/>
          </w:tcPr>
          <w:p w14:paraId="47987BB7">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2711</w:t>
            </w:r>
          </w:p>
        </w:tc>
        <w:tc>
          <w:tcPr>
            <w:tcW w:w="296" w:type="pct"/>
            <w:tcBorders>
              <w:tl2br w:val="nil"/>
              <w:tr2bl w:val="nil"/>
            </w:tcBorders>
            <w:shd w:val="clear" w:color="auto" w:fill="auto"/>
            <w:noWrap w:val="0"/>
            <w:vAlign w:val="center"/>
          </w:tcPr>
          <w:p w14:paraId="29466317">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除铁锰过滤</w:t>
            </w:r>
          </w:p>
        </w:tc>
      </w:tr>
      <w:tr w14:paraId="100D35D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57" w:type="dxa"/>
            <w:bottom w:w="0" w:type="dxa"/>
            <w:right w:w="57" w:type="dxa"/>
          </w:tblCellMar>
        </w:tblPrEx>
        <w:trPr>
          <w:trHeight w:val="482" w:hRule="atLeast"/>
        </w:trPr>
        <w:tc>
          <w:tcPr>
            <w:tcW w:w="158" w:type="pct"/>
            <w:vMerge w:val="continue"/>
            <w:tcBorders>
              <w:tl2br w:val="nil"/>
              <w:tr2bl w:val="nil"/>
            </w:tcBorders>
            <w:noWrap w:val="0"/>
            <w:vAlign w:val="center"/>
          </w:tcPr>
          <w:p w14:paraId="74F636BD">
            <w:pPr>
              <w:widowControl/>
              <w:snapToGrid w:val="0"/>
              <w:spacing w:line="240" w:lineRule="auto"/>
              <w:ind w:firstLine="0" w:firstLineChars="0"/>
              <w:jc w:val="center"/>
              <w:rPr>
                <w:rFonts w:hint="eastAsia" w:cs="Times New Roman"/>
                <w:color w:val="auto"/>
                <w:kern w:val="0"/>
                <w:sz w:val="21"/>
                <w:szCs w:val="21"/>
                <w:highlight w:val="none"/>
                <w:lang w:val="en-US" w:eastAsia="zh-CN"/>
              </w:rPr>
            </w:pPr>
          </w:p>
        </w:tc>
        <w:tc>
          <w:tcPr>
            <w:tcW w:w="515" w:type="pct"/>
            <w:tcBorders>
              <w:tl2br w:val="nil"/>
              <w:tr2bl w:val="nil"/>
            </w:tcBorders>
            <w:shd w:val="clear" w:color="auto" w:fill="auto"/>
            <w:noWrap w:val="0"/>
            <w:vAlign w:val="center"/>
          </w:tcPr>
          <w:p w14:paraId="496DDAF7">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发展乡发富村前山饮用水水源地</w:t>
            </w:r>
          </w:p>
        </w:tc>
        <w:tc>
          <w:tcPr>
            <w:tcW w:w="252" w:type="pct"/>
            <w:tcBorders>
              <w:tl2br w:val="nil"/>
              <w:tr2bl w:val="nil"/>
            </w:tcBorders>
            <w:shd w:val="clear" w:color="auto" w:fill="auto"/>
            <w:noWrap w:val="0"/>
            <w:vAlign w:val="center"/>
          </w:tcPr>
          <w:p w14:paraId="34831207">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1#</w:t>
            </w:r>
          </w:p>
        </w:tc>
        <w:tc>
          <w:tcPr>
            <w:tcW w:w="503" w:type="pct"/>
            <w:tcBorders>
              <w:tl2br w:val="nil"/>
              <w:tr2bl w:val="nil"/>
            </w:tcBorders>
            <w:shd w:val="clear" w:color="auto" w:fill="auto"/>
            <w:noWrap w:val="0"/>
            <w:vAlign w:val="center"/>
          </w:tcPr>
          <w:p w14:paraId="3845B12E">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127°33’47.91”</w:t>
            </w:r>
          </w:p>
        </w:tc>
        <w:tc>
          <w:tcPr>
            <w:tcW w:w="488" w:type="pct"/>
            <w:tcBorders>
              <w:tl2br w:val="nil"/>
              <w:tr2bl w:val="nil"/>
            </w:tcBorders>
            <w:shd w:val="clear" w:color="auto" w:fill="auto"/>
            <w:noWrap w:val="0"/>
            <w:vAlign w:val="center"/>
          </w:tcPr>
          <w:p w14:paraId="2FCF10D9">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47°04’18.82”</w:t>
            </w:r>
          </w:p>
        </w:tc>
        <w:tc>
          <w:tcPr>
            <w:tcW w:w="275" w:type="pct"/>
            <w:tcBorders>
              <w:tl2br w:val="nil"/>
              <w:tr2bl w:val="nil"/>
            </w:tcBorders>
            <w:shd w:val="clear" w:color="auto" w:fill="auto"/>
            <w:noWrap w:val="0"/>
            <w:vAlign w:val="center"/>
          </w:tcPr>
          <w:p w14:paraId="1DEBBBDB">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2015</w:t>
            </w:r>
          </w:p>
        </w:tc>
        <w:tc>
          <w:tcPr>
            <w:tcW w:w="318" w:type="pct"/>
            <w:tcBorders>
              <w:tl2br w:val="nil"/>
              <w:tr2bl w:val="nil"/>
            </w:tcBorders>
            <w:shd w:val="clear" w:color="auto" w:fill="auto"/>
            <w:noWrap w:val="0"/>
            <w:vAlign w:val="center"/>
          </w:tcPr>
          <w:p w14:paraId="2BC53FA3">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 xml:space="preserve">149 </w:t>
            </w:r>
          </w:p>
        </w:tc>
        <w:tc>
          <w:tcPr>
            <w:tcW w:w="270" w:type="pct"/>
            <w:tcBorders>
              <w:tl2br w:val="nil"/>
              <w:tr2bl w:val="nil"/>
            </w:tcBorders>
            <w:shd w:val="clear" w:color="auto" w:fill="auto"/>
            <w:noWrap w:val="0"/>
            <w:vAlign w:val="center"/>
          </w:tcPr>
          <w:p w14:paraId="67741BAC">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承压水</w:t>
            </w:r>
          </w:p>
        </w:tc>
        <w:tc>
          <w:tcPr>
            <w:tcW w:w="397" w:type="pct"/>
            <w:tcBorders>
              <w:tl2br w:val="nil"/>
              <w:tr2bl w:val="nil"/>
            </w:tcBorders>
            <w:shd w:val="clear" w:color="auto" w:fill="auto"/>
            <w:noWrap w:val="0"/>
            <w:vAlign w:val="center"/>
          </w:tcPr>
          <w:p w14:paraId="73651119">
            <w:pPr>
              <w:widowControl/>
              <w:snapToGrid w:val="0"/>
              <w:spacing w:line="240" w:lineRule="auto"/>
              <w:ind w:firstLine="0" w:firstLineChars="0"/>
              <w:jc w:val="center"/>
              <w:rPr>
                <w:rFonts w:hint="eastAsia" w:ascii="Times New Roman" w:hAnsi="Times New Roman" w:eastAsia="宋体" w:cs="Times New Roman"/>
                <w:color w:val="auto"/>
                <w:kern w:val="0"/>
                <w:sz w:val="21"/>
                <w:szCs w:val="22"/>
                <w:highlight w:val="none"/>
                <w:lang w:val="en-US" w:eastAsia="zh-CN" w:bidi="ar-SA"/>
              </w:rPr>
            </w:pPr>
            <w:r>
              <w:rPr>
                <w:rFonts w:hint="default" w:ascii="Times New Roman" w:hAnsi="Times New Roman" w:cs="Times New Roman"/>
                <w:color w:val="auto"/>
                <w:kern w:val="0"/>
                <w:sz w:val="21"/>
                <w:szCs w:val="21"/>
                <w:highlight w:val="none"/>
                <w:lang w:val="en-US" w:eastAsia="zh-CN"/>
              </w:rPr>
              <w:t>孔隙水，孔隙-裂隙水</w:t>
            </w:r>
          </w:p>
        </w:tc>
        <w:tc>
          <w:tcPr>
            <w:tcW w:w="244" w:type="pct"/>
            <w:tcBorders>
              <w:tl2br w:val="nil"/>
              <w:tr2bl w:val="nil"/>
            </w:tcBorders>
            <w:shd w:val="clear" w:color="auto" w:fill="auto"/>
            <w:noWrap w:val="0"/>
            <w:vAlign w:val="center"/>
          </w:tcPr>
          <w:p w14:paraId="24A146CF">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81</w:t>
            </w:r>
          </w:p>
        </w:tc>
        <w:tc>
          <w:tcPr>
            <w:tcW w:w="938" w:type="pct"/>
            <w:tcBorders>
              <w:tl2br w:val="nil"/>
              <w:tr2bl w:val="nil"/>
            </w:tcBorders>
            <w:shd w:val="clear" w:color="auto" w:fill="auto"/>
            <w:noWrap w:val="0"/>
            <w:vAlign w:val="center"/>
          </w:tcPr>
          <w:p w14:paraId="2C2601BE">
            <w:pPr>
              <w:widowControl/>
              <w:snapToGrid w:val="0"/>
              <w:spacing w:line="240" w:lineRule="auto"/>
              <w:ind w:firstLine="0" w:firstLineChars="0"/>
              <w:jc w:val="center"/>
              <w:rPr>
                <w:rFonts w:hint="default" w:ascii="Times New Roman" w:hAnsi="Times New Roman"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发展乡发富村、张大房、北盖、前山屯、高家、霍家、姜家湾、李会</w:t>
            </w:r>
          </w:p>
        </w:tc>
        <w:tc>
          <w:tcPr>
            <w:tcW w:w="339" w:type="pct"/>
            <w:tcBorders>
              <w:tl2br w:val="nil"/>
              <w:tr2bl w:val="nil"/>
            </w:tcBorders>
            <w:shd w:val="clear" w:color="auto" w:fill="auto"/>
            <w:noWrap w:val="0"/>
            <w:vAlign w:val="center"/>
          </w:tcPr>
          <w:p w14:paraId="41B2DBC0">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2489</w:t>
            </w:r>
          </w:p>
        </w:tc>
        <w:tc>
          <w:tcPr>
            <w:tcW w:w="296" w:type="pct"/>
            <w:tcBorders>
              <w:tl2br w:val="nil"/>
              <w:tr2bl w:val="nil"/>
            </w:tcBorders>
            <w:shd w:val="clear" w:color="auto" w:fill="auto"/>
            <w:noWrap w:val="0"/>
            <w:vAlign w:val="center"/>
          </w:tcPr>
          <w:p w14:paraId="32106C59">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除铁锰过滤</w:t>
            </w:r>
          </w:p>
        </w:tc>
      </w:tr>
      <w:tr w14:paraId="6067866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57" w:type="dxa"/>
            <w:bottom w:w="0" w:type="dxa"/>
            <w:right w:w="57" w:type="dxa"/>
          </w:tblCellMar>
        </w:tblPrEx>
        <w:trPr>
          <w:trHeight w:val="482" w:hRule="atLeast"/>
        </w:trPr>
        <w:tc>
          <w:tcPr>
            <w:tcW w:w="158" w:type="pct"/>
            <w:vMerge w:val="continue"/>
            <w:tcBorders>
              <w:tl2br w:val="nil"/>
              <w:tr2bl w:val="nil"/>
            </w:tcBorders>
            <w:noWrap w:val="0"/>
            <w:vAlign w:val="center"/>
          </w:tcPr>
          <w:p w14:paraId="2E1065EA">
            <w:pPr>
              <w:widowControl/>
              <w:snapToGrid w:val="0"/>
              <w:spacing w:line="240" w:lineRule="auto"/>
              <w:ind w:firstLine="0" w:firstLineChars="0"/>
              <w:jc w:val="center"/>
              <w:rPr>
                <w:rFonts w:hint="eastAsia" w:cs="Times New Roman"/>
                <w:color w:val="auto"/>
                <w:kern w:val="0"/>
                <w:sz w:val="21"/>
                <w:szCs w:val="21"/>
                <w:highlight w:val="none"/>
                <w:lang w:val="en-US" w:eastAsia="zh-CN"/>
              </w:rPr>
            </w:pPr>
          </w:p>
        </w:tc>
        <w:tc>
          <w:tcPr>
            <w:tcW w:w="515" w:type="pct"/>
            <w:tcBorders>
              <w:tl2br w:val="nil"/>
              <w:tr2bl w:val="nil"/>
            </w:tcBorders>
            <w:shd w:val="clear" w:color="auto" w:fill="auto"/>
            <w:noWrap w:val="0"/>
            <w:vAlign w:val="center"/>
          </w:tcPr>
          <w:p w14:paraId="2CAF9928">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发展乡发祥村饮用水水源地</w:t>
            </w:r>
          </w:p>
        </w:tc>
        <w:tc>
          <w:tcPr>
            <w:tcW w:w="252" w:type="pct"/>
            <w:tcBorders>
              <w:tl2br w:val="nil"/>
              <w:tr2bl w:val="nil"/>
            </w:tcBorders>
            <w:shd w:val="clear" w:color="auto" w:fill="auto"/>
            <w:noWrap w:val="0"/>
            <w:vAlign w:val="center"/>
          </w:tcPr>
          <w:p w14:paraId="137906AF">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1#</w:t>
            </w:r>
          </w:p>
        </w:tc>
        <w:tc>
          <w:tcPr>
            <w:tcW w:w="503" w:type="pct"/>
            <w:tcBorders>
              <w:tl2br w:val="nil"/>
              <w:tr2bl w:val="nil"/>
            </w:tcBorders>
            <w:shd w:val="clear" w:color="auto" w:fill="auto"/>
            <w:noWrap w:val="0"/>
            <w:vAlign w:val="center"/>
          </w:tcPr>
          <w:p w14:paraId="6DD074B2">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127°40'34.22"</w:t>
            </w:r>
          </w:p>
        </w:tc>
        <w:tc>
          <w:tcPr>
            <w:tcW w:w="488" w:type="pct"/>
            <w:tcBorders>
              <w:tl2br w:val="nil"/>
              <w:tr2bl w:val="nil"/>
            </w:tcBorders>
            <w:shd w:val="clear" w:color="auto" w:fill="auto"/>
            <w:noWrap w:val="0"/>
            <w:vAlign w:val="center"/>
          </w:tcPr>
          <w:p w14:paraId="661F6508">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47°01'54.57"</w:t>
            </w:r>
          </w:p>
        </w:tc>
        <w:tc>
          <w:tcPr>
            <w:tcW w:w="275" w:type="pct"/>
            <w:tcBorders>
              <w:tl2br w:val="nil"/>
              <w:tr2bl w:val="nil"/>
            </w:tcBorders>
            <w:shd w:val="clear" w:color="auto" w:fill="auto"/>
            <w:noWrap w:val="0"/>
            <w:vAlign w:val="center"/>
          </w:tcPr>
          <w:p w14:paraId="54C826B1">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2015</w:t>
            </w:r>
          </w:p>
        </w:tc>
        <w:tc>
          <w:tcPr>
            <w:tcW w:w="318" w:type="pct"/>
            <w:tcBorders>
              <w:tl2br w:val="nil"/>
              <w:tr2bl w:val="nil"/>
            </w:tcBorders>
            <w:shd w:val="clear" w:color="auto" w:fill="auto"/>
            <w:noWrap w:val="0"/>
            <w:vAlign w:val="center"/>
          </w:tcPr>
          <w:p w14:paraId="315A9050">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40</w:t>
            </w:r>
          </w:p>
        </w:tc>
        <w:tc>
          <w:tcPr>
            <w:tcW w:w="270" w:type="pct"/>
            <w:tcBorders>
              <w:tl2br w:val="nil"/>
              <w:tr2bl w:val="nil"/>
            </w:tcBorders>
            <w:shd w:val="clear" w:color="auto" w:fill="auto"/>
            <w:noWrap w:val="0"/>
            <w:vAlign w:val="center"/>
          </w:tcPr>
          <w:p w14:paraId="7DC66F83">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承压水</w:t>
            </w:r>
          </w:p>
        </w:tc>
        <w:tc>
          <w:tcPr>
            <w:tcW w:w="397" w:type="pct"/>
            <w:tcBorders>
              <w:tl2br w:val="nil"/>
              <w:tr2bl w:val="nil"/>
            </w:tcBorders>
            <w:shd w:val="clear" w:color="auto" w:fill="auto"/>
            <w:noWrap w:val="0"/>
            <w:vAlign w:val="center"/>
          </w:tcPr>
          <w:p w14:paraId="74F816F6">
            <w:pPr>
              <w:widowControl/>
              <w:snapToGrid w:val="0"/>
              <w:spacing w:line="240" w:lineRule="auto"/>
              <w:ind w:firstLine="0" w:firstLineChars="0"/>
              <w:jc w:val="center"/>
              <w:rPr>
                <w:rFonts w:hint="eastAsia" w:ascii="Times New Roman" w:hAnsi="Times New Roman" w:eastAsia="宋体" w:cs="Times New Roman"/>
                <w:color w:val="auto"/>
                <w:kern w:val="0"/>
                <w:sz w:val="21"/>
                <w:szCs w:val="22"/>
                <w:highlight w:val="none"/>
                <w:lang w:val="en-US" w:eastAsia="zh-CN" w:bidi="ar-SA"/>
              </w:rPr>
            </w:pPr>
            <w:r>
              <w:rPr>
                <w:rFonts w:hint="default" w:ascii="Times New Roman" w:hAnsi="Times New Roman" w:cs="Times New Roman"/>
                <w:color w:val="auto"/>
                <w:kern w:val="0"/>
                <w:sz w:val="21"/>
                <w:szCs w:val="21"/>
                <w:highlight w:val="none"/>
                <w:lang w:val="en-US" w:eastAsia="zh-CN"/>
              </w:rPr>
              <w:t>孔隙-裂隙水</w:t>
            </w:r>
          </w:p>
        </w:tc>
        <w:tc>
          <w:tcPr>
            <w:tcW w:w="244" w:type="pct"/>
            <w:tcBorders>
              <w:tl2br w:val="nil"/>
              <w:tr2bl w:val="nil"/>
            </w:tcBorders>
            <w:shd w:val="clear" w:color="auto" w:fill="auto"/>
            <w:noWrap w:val="0"/>
            <w:vAlign w:val="center"/>
          </w:tcPr>
          <w:p w14:paraId="11511E23">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81</w:t>
            </w:r>
          </w:p>
        </w:tc>
        <w:tc>
          <w:tcPr>
            <w:tcW w:w="938" w:type="pct"/>
            <w:tcBorders>
              <w:tl2br w:val="nil"/>
              <w:tr2bl w:val="nil"/>
            </w:tcBorders>
            <w:shd w:val="clear" w:color="auto" w:fill="auto"/>
            <w:noWrap w:val="0"/>
            <w:vAlign w:val="center"/>
          </w:tcPr>
          <w:p w14:paraId="6CCD6C8F">
            <w:pPr>
              <w:widowControl/>
              <w:snapToGrid w:val="0"/>
              <w:spacing w:line="240" w:lineRule="auto"/>
              <w:ind w:firstLine="0" w:firstLineChars="0"/>
              <w:jc w:val="center"/>
              <w:rPr>
                <w:rFonts w:hint="default" w:ascii="Times New Roman" w:hAnsi="Times New Roman"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发祥村二部、蚕厂、王老板</w:t>
            </w:r>
            <w:r>
              <w:rPr>
                <w:rFonts w:hint="eastAsia" w:cs="Times New Roman"/>
                <w:color w:val="auto"/>
                <w:kern w:val="0"/>
                <w:sz w:val="21"/>
                <w:szCs w:val="21"/>
                <w:highlight w:val="none"/>
                <w:lang w:val="en-US" w:eastAsia="zh-CN"/>
              </w:rPr>
              <w:t>、八部屯</w:t>
            </w:r>
          </w:p>
        </w:tc>
        <w:tc>
          <w:tcPr>
            <w:tcW w:w="339" w:type="pct"/>
            <w:tcBorders>
              <w:tl2br w:val="nil"/>
              <w:tr2bl w:val="nil"/>
            </w:tcBorders>
            <w:shd w:val="clear" w:color="auto" w:fill="auto"/>
            <w:noWrap w:val="0"/>
            <w:vAlign w:val="center"/>
          </w:tcPr>
          <w:p w14:paraId="2A5CAACB">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1194</w:t>
            </w:r>
          </w:p>
        </w:tc>
        <w:tc>
          <w:tcPr>
            <w:tcW w:w="296" w:type="pct"/>
            <w:tcBorders>
              <w:tl2br w:val="nil"/>
              <w:tr2bl w:val="nil"/>
            </w:tcBorders>
            <w:shd w:val="clear" w:color="auto" w:fill="auto"/>
            <w:noWrap w:val="0"/>
            <w:vAlign w:val="center"/>
          </w:tcPr>
          <w:p w14:paraId="15C4841A">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除铁锰过滤</w:t>
            </w:r>
          </w:p>
        </w:tc>
      </w:tr>
      <w:tr w14:paraId="6A5344E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57" w:type="dxa"/>
            <w:bottom w:w="0" w:type="dxa"/>
            <w:right w:w="57" w:type="dxa"/>
          </w:tblCellMar>
        </w:tblPrEx>
        <w:trPr>
          <w:trHeight w:val="90" w:hRule="atLeast"/>
        </w:trPr>
        <w:tc>
          <w:tcPr>
            <w:tcW w:w="158" w:type="pct"/>
            <w:vMerge w:val="continue"/>
            <w:tcBorders>
              <w:tl2br w:val="nil"/>
              <w:tr2bl w:val="nil"/>
            </w:tcBorders>
            <w:noWrap w:val="0"/>
            <w:vAlign w:val="center"/>
          </w:tcPr>
          <w:p w14:paraId="72921E92">
            <w:pPr>
              <w:widowControl/>
              <w:snapToGrid w:val="0"/>
              <w:spacing w:line="240" w:lineRule="auto"/>
              <w:ind w:firstLine="0" w:firstLineChars="0"/>
              <w:jc w:val="center"/>
              <w:rPr>
                <w:rFonts w:hint="eastAsia" w:cs="Times New Roman"/>
                <w:color w:val="auto"/>
                <w:kern w:val="0"/>
                <w:sz w:val="21"/>
                <w:szCs w:val="21"/>
                <w:highlight w:val="none"/>
                <w:lang w:val="en-US" w:eastAsia="zh-CN"/>
              </w:rPr>
            </w:pPr>
          </w:p>
        </w:tc>
        <w:tc>
          <w:tcPr>
            <w:tcW w:w="515" w:type="pct"/>
            <w:tcBorders>
              <w:tl2br w:val="nil"/>
              <w:tr2bl w:val="nil"/>
            </w:tcBorders>
            <w:shd w:val="clear" w:color="auto" w:fill="auto"/>
            <w:noWrap w:val="0"/>
            <w:vAlign w:val="center"/>
          </w:tcPr>
          <w:p w14:paraId="22F9368D">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发展乡发源村饮用水水源地</w:t>
            </w:r>
          </w:p>
        </w:tc>
        <w:tc>
          <w:tcPr>
            <w:tcW w:w="252" w:type="pct"/>
            <w:tcBorders>
              <w:tl2br w:val="nil"/>
              <w:tr2bl w:val="nil"/>
            </w:tcBorders>
            <w:shd w:val="clear" w:color="auto" w:fill="auto"/>
            <w:noWrap w:val="0"/>
            <w:vAlign w:val="center"/>
          </w:tcPr>
          <w:p w14:paraId="28C10900">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1#</w:t>
            </w:r>
          </w:p>
        </w:tc>
        <w:tc>
          <w:tcPr>
            <w:tcW w:w="503" w:type="pct"/>
            <w:tcBorders>
              <w:tl2br w:val="nil"/>
              <w:tr2bl w:val="nil"/>
            </w:tcBorders>
            <w:shd w:val="clear" w:color="auto" w:fill="auto"/>
            <w:noWrap w:val="0"/>
            <w:vAlign w:val="center"/>
          </w:tcPr>
          <w:p w14:paraId="22F6F1C3">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127°52'27.51"</w:t>
            </w:r>
          </w:p>
        </w:tc>
        <w:tc>
          <w:tcPr>
            <w:tcW w:w="488" w:type="pct"/>
            <w:tcBorders>
              <w:tl2br w:val="nil"/>
              <w:tr2bl w:val="nil"/>
            </w:tcBorders>
            <w:shd w:val="clear" w:color="auto" w:fill="auto"/>
            <w:noWrap w:val="0"/>
            <w:vAlign w:val="center"/>
          </w:tcPr>
          <w:p w14:paraId="2B5CD139">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47°05'12.01"</w:t>
            </w:r>
          </w:p>
        </w:tc>
        <w:tc>
          <w:tcPr>
            <w:tcW w:w="275" w:type="pct"/>
            <w:tcBorders>
              <w:tl2br w:val="nil"/>
              <w:tr2bl w:val="nil"/>
            </w:tcBorders>
            <w:shd w:val="clear" w:color="auto" w:fill="auto"/>
            <w:noWrap w:val="0"/>
            <w:vAlign w:val="center"/>
          </w:tcPr>
          <w:p w14:paraId="0E637461">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2015</w:t>
            </w:r>
          </w:p>
        </w:tc>
        <w:tc>
          <w:tcPr>
            <w:tcW w:w="318" w:type="pct"/>
            <w:tcBorders>
              <w:tl2br w:val="nil"/>
              <w:tr2bl w:val="nil"/>
            </w:tcBorders>
            <w:shd w:val="clear" w:color="auto" w:fill="auto"/>
            <w:noWrap w:val="0"/>
            <w:vAlign w:val="center"/>
          </w:tcPr>
          <w:p w14:paraId="7BAFFFD2">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60</w:t>
            </w:r>
          </w:p>
        </w:tc>
        <w:tc>
          <w:tcPr>
            <w:tcW w:w="270" w:type="pct"/>
            <w:tcBorders>
              <w:tl2br w:val="nil"/>
              <w:tr2bl w:val="nil"/>
            </w:tcBorders>
            <w:shd w:val="clear" w:color="auto" w:fill="auto"/>
            <w:noWrap w:val="0"/>
            <w:vAlign w:val="center"/>
          </w:tcPr>
          <w:p w14:paraId="2723A17B">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承压水</w:t>
            </w:r>
          </w:p>
        </w:tc>
        <w:tc>
          <w:tcPr>
            <w:tcW w:w="397" w:type="pct"/>
            <w:tcBorders>
              <w:tl2br w:val="nil"/>
              <w:tr2bl w:val="nil"/>
            </w:tcBorders>
            <w:shd w:val="clear" w:color="auto" w:fill="auto"/>
            <w:noWrap w:val="0"/>
            <w:vAlign w:val="center"/>
          </w:tcPr>
          <w:p w14:paraId="0EE3BBD6">
            <w:pPr>
              <w:widowControl/>
              <w:snapToGrid w:val="0"/>
              <w:spacing w:line="240" w:lineRule="auto"/>
              <w:ind w:firstLine="0" w:firstLineChars="0"/>
              <w:jc w:val="center"/>
              <w:rPr>
                <w:rFonts w:hint="eastAsia" w:ascii="Times New Roman" w:hAnsi="Times New Roman" w:eastAsia="宋体" w:cs="Times New Roman"/>
                <w:color w:val="auto"/>
                <w:kern w:val="0"/>
                <w:sz w:val="21"/>
                <w:szCs w:val="22"/>
                <w:highlight w:val="none"/>
                <w:lang w:val="en-US" w:eastAsia="zh-CN" w:bidi="ar-SA"/>
              </w:rPr>
            </w:pPr>
            <w:r>
              <w:rPr>
                <w:rFonts w:hint="default" w:ascii="Times New Roman" w:hAnsi="Times New Roman" w:cs="Times New Roman"/>
                <w:color w:val="auto"/>
                <w:kern w:val="0"/>
                <w:sz w:val="21"/>
                <w:szCs w:val="21"/>
                <w:highlight w:val="none"/>
                <w:lang w:val="en-US" w:eastAsia="zh-CN"/>
              </w:rPr>
              <w:t>孔隙-裂隙水</w:t>
            </w:r>
          </w:p>
        </w:tc>
        <w:tc>
          <w:tcPr>
            <w:tcW w:w="244" w:type="pct"/>
            <w:tcBorders>
              <w:tl2br w:val="nil"/>
              <w:tr2bl w:val="nil"/>
            </w:tcBorders>
            <w:shd w:val="clear" w:color="auto" w:fill="auto"/>
            <w:noWrap w:val="0"/>
            <w:vAlign w:val="center"/>
          </w:tcPr>
          <w:p w14:paraId="3587B1B5">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65</w:t>
            </w:r>
          </w:p>
        </w:tc>
        <w:tc>
          <w:tcPr>
            <w:tcW w:w="938" w:type="pct"/>
            <w:tcBorders>
              <w:tl2br w:val="nil"/>
              <w:tr2bl w:val="nil"/>
            </w:tcBorders>
            <w:shd w:val="clear" w:color="auto" w:fill="auto"/>
            <w:noWrap w:val="0"/>
            <w:vAlign w:val="center"/>
          </w:tcPr>
          <w:p w14:paraId="4AEE8E4F">
            <w:pPr>
              <w:widowControl/>
              <w:snapToGrid w:val="0"/>
              <w:spacing w:line="240" w:lineRule="auto"/>
              <w:ind w:firstLine="0" w:firstLineChars="0"/>
              <w:jc w:val="center"/>
              <w:rPr>
                <w:rFonts w:hint="default" w:ascii="Times New Roman" w:hAnsi="Times New Roman"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发源村示范场、开荒点、九间房、机械化点、李家店、地窨屯</w:t>
            </w:r>
          </w:p>
        </w:tc>
        <w:tc>
          <w:tcPr>
            <w:tcW w:w="339" w:type="pct"/>
            <w:tcBorders>
              <w:tl2br w:val="nil"/>
              <w:tr2bl w:val="nil"/>
            </w:tcBorders>
            <w:shd w:val="clear" w:color="auto" w:fill="auto"/>
            <w:noWrap w:val="0"/>
            <w:vAlign w:val="center"/>
          </w:tcPr>
          <w:p w14:paraId="25B39195">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1734</w:t>
            </w:r>
          </w:p>
        </w:tc>
        <w:tc>
          <w:tcPr>
            <w:tcW w:w="296" w:type="pct"/>
            <w:tcBorders>
              <w:tl2br w:val="nil"/>
              <w:tr2bl w:val="nil"/>
            </w:tcBorders>
            <w:shd w:val="clear" w:color="auto" w:fill="auto"/>
            <w:noWrap w:val="0"/>
            <w:vAlign w:val="center"/>
          </w:tcPr>
          <w:p w14:paraId="2F64FF25">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除铁锰过滤</w:t>
            </w:r>
          </w:p>
        </w:tc>
      </w:tr>
      <w:tr w14:paraId="51E5E6D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57" w:type="dxa"/>
            <w:bottom w:w="0" w:type="dxa"/>
            <w:right w:w="57" w:type="dxa"/>
          </w:tblCellMar>
        </w:tblPrEx>
        <w:trPr>
          <w:trHeight w:val="482" w:hRule="atLeast"/>
        </w:trPr>
        <w:tc>
          <w:tcPr>
            <w:tcW w:w="158" w:type="pct"/>
            <w:vMerge w:val="continue"/>
            <w:tcBorders>
              <w:tl2br w:val="nil"/>
              <w:tr2bl w:val="nil"/>
            </w:tcBorders>
            <w:noWrap w:val="0"/>
            <w:vAlign w:val="center"/>
          </w:tcPr>
          <w:p w14:paraId="5F59DA05">
            <w:pPr>
              <w:widowControl/>
              <w:snapToGrid w:val="0"/>
              <w:spacing w:line="240" w:lineRule="auto"/>
              <w:ind w:firstLine="0" w:firstLineChars="0"/>
              <w:jc w:val="center"/>
              <w:rPr>
                <w:rFonts w:hint="eastAsia" w:cs="Times New Roman"/>
                <w:color w:val="auto"/>
                <w:kern w:val="0"/>
                <w:sz w:val="21"/>
                <w:szCs w:val="21"/>
                <w:highlight w:val="none"/>
                <w:lang w:val="en-US" w:eastAsia="zh-CN"/>
              </w:rPr>
            </w:pPr>
          </w:p>
        </w:tc>
        <w:tc>
          <w:tcPr>
            <w:tcW w:w="515" w:type="pct"/>
            <w:tcBorders>
              <w:tl2br w:val="nil"/>
              <w:tr2bl w:val="nil"/>
            </w:tcBorders>
            <w:shd w:val="clear" w:color="auto" w:fill="auto"/>
            <w:noWrap w:val="0"/>
            <w:vAlign w:val="center"/>
          </w:tcPr>
          <w:p w14:paraId="79DABCCB">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发展乡发祥村夏家屯饮用水水源地</w:t>
            </w:r>
          </w:p>
        </w:tc>
        <w:tc>
          <w:tcPr>
            <w:tcW w:w="252" w:type="pct"/>
            <w:tcBorders>
              <w:tl2br w:val="nil"/>
              <w:tr2bl w:val="nil"/>
            </w:tcBorders>
            <w:shd w:val="clear" w:color="auto" w:fill="auto"/>
            <w:noWrap w:val="0"/>
            <w:vAlign w:val="center"/>
          </w:tcPr>
          <w:p w14:paraId="283B8BA5">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FX</w:t>
            </w:r>
          </w:p>
        </w:tc>
        <w:tc>
          <w:tcPr>
            <w:tcW w:w="503" w:type="pct"/>
            <w:tcBorders>
              <w:tl2br w:val="nil"/>
              <w:tr2bl w:val="nil"/>
            </w:tcBorders>
            <w:shd w:val="clear" w:color="auto" w:fill="auto"/>
            <w:noWrap w:val="0"/>
            <w:vAlign w:val="center"/>
          </w:tcPr>
          <w:p w14:paraId="0BD2057B">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127°42′40.93″</w:t>
            </w:r>
          </w:p>
        </w:tc>
        <w:tc>
          <w:tcPr>
            <w:tcW w:w="488" w:type="pct"/>
            <w:tcBorders>
              <w:tl2br w:val="nil"/>
              <w:tr2bl w:val="nil"/>
            </w:tcBorders>
            <w:shd w:val="clear" w:color="auto" w:fill="auto"/>
            <w:noWrap w:val="0"/>
            <w:vAlign w:val="center"/>
          </w:tcPr>
          <w:p w14:paraId="60284B35">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47°01′38.17″</w:t>
            </w:r>
          </w:p>
        </w:tc>
        <w:tc>
          <w:tcPr>
            <w:tcW w:w="275" w:type="pct"/>
            <w:tcBorders>
              <w:tl2br w:val="nil"/>
              <w:tr2bl w:val="nil"/>
            </w:tcBorders>
            <w:shd w:val="clear" w:color="auto" w:fill="auto"/>
            <w:noWrap w:val="0"/>
            <w:vAlign w:val="center"/>
          </w:tcPr>
          <w:p w14:paraId="10C47F69">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2018</w:t>
            </w:r>
          </w:p>
        </w:tc>
        <w:tc>
          <w:tcPr>
            <w:tcW w:w="318" w:type="pct"/>
            <w:tcBorders>
              <w:tl2br w:val="nil"/>
              <w:tr2bl w:val="nil"/>
            </w:tcBorders>
            <w:shd w:val="clear" w:color="auto" w:fill="auto"/>
            <w:noWrap w:val="0"/>
            <w:vAlign w:val="center"/>
          </w:tcPr>
          <w:p w14:paraId="68355B0D">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200</w:t>
            </w:r>
          </w:p>
        </w:tc>
        <w:tc>
          <w:tcPr>
            <w:tcW w:w="270" w:type="pct"/>
            <w:tcBorders>
              <w:tl2br w:val="nil"/>
              <w:tr2bl w:val="nil"/>
            </w:tcBorders>
            <w:shd w:val="clear" w:color="auto" w:fill="auto"/>
            <w:noWrap w:val="0"/>
            <w:vAlign w:val="center"/>
          </w:tcPr>
          <w:p w14:paraId="18A0156B">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潜水</w:t>
            </w:r>
          </w:p>
        </w:tc>
        <w:tc>
          <w:tcPr>
            <w:tcW w:w="397" w:type="pct"/>
            <w:tcBorders>
              <w:tl2br w:val="nil"/>
              <w:tr2bl w:val="nil"/>
            </w:tcBorders>
            <w:shd w:val="clear" w:color="auto" w:fill="auto"/>
            <w:noWrap w:val="0"/>
            <w:vAlign w:val="center"/>
          </w:tcPr>
          <w:p w14:paraId="3D43D636">
            <w:pPr>
              <w:widowControl/>
              <w:snapToGrid w:val="0"/>
              <w:spacing w:line="240" w:lineRule="auto"/>
              <w:ind w:firstLine="0" w:firstLineChars="0"/>
              <w:jc w:val="center"/>
              <w:rPr>
                <w:rFonts w:hint="eastAsia" w:ascii="Times New Roman" w:hAnsi="Times New Roman" w:eastAsia="宋体" w:cs="Times New Roman"/>
                <w:color w:val="auto"/>
                <w:kern w:val="0"/>
                <w:sz w:val="21"/>
                <w:szCs w:val="22"/>
                <w:highlight w:val="none"/>
                <w:lang w:val="en-US" w:eastAsia="zh-CN" w:bidi="ar-SA"/>
              </w:rPr>
            </w:pPr>
            <w:r>
              <w:rPr>
                <w:rFonts w:hint="default" w:ascii="Times New Roman" w:hAnsi="Times New Roman" w:cs="Times New Roman"/>
                <w:color w:val="auto"/>
                <w:kern w:val="0"/>
                <w:sz w:val="21"/>
                <w:szCs w:val="21"/>
                <w:highlight w:val="none"/>
                <w:lang w:val="en-US" w:eastAsia="zh-CN"/>
              </w:rPr>
              <w:t>孔隙水</w:t>
            </w:r>
          </w:p>
        </w:tc>
        <w:tc>
          <w:tcPr>
            <w:tcW w:w="244" w:type="pct"/>
            <w:tcBorders>
              <w:tl2br w:val="nil"/>
              <w:tr2bl w:val="nil"/>
            </w:tcBorders>
            <w:shd w:val="clear" w:color="auto" w:fill="auto"/>
            <w:noWrap w:val="0"/>
            <w:vAlign w:val="center"/>
          </w:tcPr>
          <w:p w14:paraId="72A06536">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60</w:t>
            </w:r>
          </w:p>
        </w:tc>
        <w:tc>
          <w:tcPr>
            <w:tcW w:w="938" w:type="pct"/>
            <w:tcBorders>
              <w:tl2br w:val="nil"/>
              <w:tr2bl w:val="nil"/>
            </w:tcBorders>
            <w:shd w:val="clear" w:color="auto" w:fill="auto"/>
            <w:noWrap w:val="0"/>
            <w:vAlign w:val="center"/>
          </w:tcPr>
          <w:p w14:paraId="03D000B9">
            <w:pPr>
              <w:widowControl/>
              <w:snapToGrid w:val="0"/>
              <w:spacing w:line="240" w:lineRule="auto"/>
              <w:ind w:firstLine="0" w:firstLineChars="0"/>
              <w:jc w:val="center"/>
              <w:rPr>
                <w:rFonts w:hint="default" w:ascii="Times New Roman" w:hAnsi="Times New Roman"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柴德福、学校屯、八间房、王海屯、夏家屯、宋殿义、一部、友谊屯、黑瞎洞</w:t>
            </w:r>
          </w:p>
        </w:tc>
        <w:tc>
          <w:tcPr>
            <w:tcW w:w="339" w:type="pct"/>
            <w:tcBorders>
              <w:tl2br w:val="nil"/>
              <w:tr2bl w:val="nil"/>
            </w:tcBorders>
            <w:shd w:val="clear" w:color="auto" w:fill="auto"/>
            <w:noWrap w:val="0"/>
            <w:vAlign w:val="center"/>
          </w:tcPr>
          <w:p w14:paraId="777C8864">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2400</w:t>
            </w:r>
          </w:p>
        </w:tc>
        <w:tc>
          <w:tcPr>
            <w:tcW w:w="296" w:type="pct"/>
            <w:tcBorders>
              <w:tl2br w:val="nil"/>
              <w:tr2bl w:val="nil"/>
            </w:tcBorders>
            <w:shd w:val="clear" w:color="auto" w:fill="auto"/>
            <w:noWrap w:val="0"/>
            <w:vAlign w:val="center"/>
          </w:tcPr>
          <w:p w14:paraId="6EA66880">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锰砂过滤+消毒</w:t>
            </w:r>
          </w:p>
        </w:tc>
      </w:tr>
      <w:tr w14:paraId="10AB100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57" w:type="dxa"/>
            <w:bottom w:w="0" w:type="dxa"/>
            <w:right w:w="57" w:type="dxa"/>
          </w:tblCellMar>
        </w:tblPrEx>
        <w:trPr>
          <w:trHeight w:val="482" w:hRule="atLeast"/>
        </w:trPr>
        <w:tc>
          <w:tcPr>
            <w:tcW w:w="158" w:type="pct"/>
            <w:vMerge w:val="restart"/>
            <w:tcBorders>
              <w:tl2br w:val="nil"/>
              <w:tr2bl w:val="nil"/>
            </w:tcBorders>
            <w:noWrap w:val="0"/>
            <w:vAlign w:val="center"/>
          </w:tcPr>
          <w:p w14:paraId="40C7CFA5">
            <w:pPr>
              <w:widowControl/>
              <w:snapToGrid w:val="0"/>
              <w:spacing w:line="240" w:lineRule="auto"/>
              <w:ind w:firstLine="0" w:firstLineChars="0"/>
              <w:jc w:val="center"/>
              <w:rPr>
                <w:rFonts w:hint="eastAsia"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建民乡</w:t>
            </w:r>
          </w:p>
        </w:tc>
        <w:tc>
          <w:tcPr>
            <w:tcW w:w="515" w:type="pct"/>
            <w:tcBorders>
              <w:tl2br w:val="nil"/>
              <w:tr2bl w:val="nil"/>
            </w:tcBorders>
            <w:noWrap w:val="0"/>
            <w:vAlign w:val="center"/>
          </w:tcPr>
          <w:p w14:paraId="357DEE5D">
            <w:pPr>
              <w:widowControl/>
              <w:snapToGrid w:val="0"/>
              <w:spacing w:line="240" w:lineRule="auto"/>
              <w:ind w:firstLine="0" w:firstLineChars="0"/>
              <w:jc w:val="center"/>
              <w:rPr>
                <w:rFonts w:hint="eastAsia"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建民乡建兴村饮用水水源地</w:t>
            </w:r>
          </w:p>
        </w:tc>
        <w:tc>
          <w:tcPr>
            <w:tcW w:w="252" w:type="pct"/>
            <w:tcBorders>
              <w:tl2br w:val="nil"/>
              <w:tr2bl w:val="nil"/>
            </w:tcBorders>
            <w:noWrap w:val="0"/>
            <w:vAlign w:val="center"/>
          </w:tcPr>
          <w:p w14:paraId="1391D287">
            <w:pPr>
              <w:widowControl/>
              <w:snapToGrid w:val="0"/>
              <w:spacing w:line="240" w:lineRule="auto"/>
              <w:ind w:firstLine="0" w:firstLineChars="0"/>
              <w:jc w:val="center"/>
              <w:rPr>
                <w:rFonts w:hint="eastAsia"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1#</w:t>
            </w:r>
          </w:p>
        </w:tc>
        <w:tc>
          <w:tcPr>
            <w:tcW w:w="503" w:type="pct"/>
            <w:tcBorders>
              <w:tl2br w:val="nil"/>
              <w:tr2bl w:val="nil"/>
            </w:tcBorders>
            <w:noWrap w:val="0"/>
            <w:vAlign w:val="center"/>
          </w:tcPr>
          <w:p w14:paraId="59F1B47A">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127°30’11.03”</w:t>
            </w:r>
          </w:p>
        </w:tc>
        <w:tc>
          <w:tcPr>
            <w:tcW w:w="488" w:type="pct"/>
            <w:tcBorders>
              <w:tl2br w:val="nil"/>
              <w:tr2bl w:val="nil"/>
            </w:tcBorders>
            <w:noWrap w:val="0"/>
            <w:vAlign w:val="center"/>
          </w:tcPr>
          <w:p w14:paraId="2F95C29A">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46°46’40.53”</w:t>
            </w:r>
          </w:p>
        </w:tc>
        <w:tc>
          <w:tcPr>
            <w:tcW w:w="275" w:type="pct"/>
            <w:tcBorders>
              <w:tl2br w:val="nil"/>
              <w:tr2bl w:val="nil"/>
            </w:tcBorders>
            <w:noWrap w:val="0"/>
            <w:vAlign w:val="center"/>
          </w:tcPr>
          <w:p w14:paraId="246CD182">
            <w:pPr>
              <w:widowControl/>
              <w:snapToGrid w:val="0"/>
              <w:spacing w:line="240" w:lineRule="auto"/>
              <w:ind w:firstLine="0" w:firstLineChars="0"/>
              <w:jc w:val="center"/>
              <w:rPr>
                <w:rFonts w:hint="eastAsia"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2015</w:t>
            </w:r>
          </w:p>
        </w:tc>
        <w:tc>
          <w:tcPr>
            <w:tcW w:w="318" w:type="pct"/>
            <w:tcBorders>
              <w:tl2br w:val="nil"/>
              <w:tr2bl w:val="nil"/>
            </w:tcBorders>
            <w:noWrap w:val="0"/>
            <w:vAlign w:val="center"/>
          </w:tcPr>
          <w:p w14:paraId="2C3CCC7B">
            <w:pPr>
              <w:widowControl/>
              <w:snapToGrid w:val="0"/>
              <w:spacing w:line="240" w:lineRule="auto"/>
              <w:ind w:firstLine="0" w:firstLineChars="0"/>
              <w:jc w:val="center"/>
              <w:rPr>
                <w:rFonts w:hint="eastAsia"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 xml:space="preserve">512 </w:t>
            </w:r>
          </w:p>
        </w:tc>
        <w:tc>
          <w:tcPr>
            <w:tcW w:w="270" w:type="pct"/>
            <w:tcBorders>
              <w:tl2br w:val="nil"/>
              <w:tr2bl w:val="nil"/>
            </w:tcBorders>
            <w:noWrap w:val="0"/>
            <w:vAlign w:val="center"/>
          </w:tcPr>
          <w:p w14:paraId="50B2217E">
            <w:pPr>
              <w:widowControl/>
              <w:snapToGrid w:val="0"/>
              <w:spacing w:line="240" w:lineRule="auto"/>
              <w:ind w:firstLine="0" w:firstLineChars="0"/>
              <w:jc w:val="center"/>
              <w:rPr>
                <w:rFonts w:hint="eastAsia"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承压水</w:t>
            </w:r>
          </w:p>
        </w:tc>
        <w:tc>
          <w:tcPr>
            <w:tcW w:w="397" w:type="pct"/>
            <w:tcBorders>
              <w:tl2br w:val="nil"/>
              <w:tr2bl w:val="nil"/>
            </w:tcBorders>
            <w:noWrap w:val="0"/>
            <w:vAlign w:val="center"/>
          </w:tcPr>
          <w:p w14:paraId="202164FC">
            <w:pPr>
              <w:widowControl/>
              <w:snapToGrid w:val="0"/>
              <w:spacing w:line="240" w:lineRule="auto"/>
              <w:ind w:firstLine="0" w:firstLineChars="0"/>
              <w:jc w:val="center"/>
              <w:rPr>
                <w:rFonts w:hint="eastAsia"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孔隙—裂隙承压水</w:t>
            </w:r>
          </w:p>
        </w:tc>
        <w:tc>
          <w:tcPr>
            <w:tcW w:w="244" w:type="pct"/>
            <w:tcBorders>
              <w:tl2br w:val="nil"/>
              <w:tr2bl w:val="nil"/>
            </w:tcBorders>
            <w:noWrap w:val="0"/>
            <w:vAlign w:val="center"/>
          </w:tcPr>
          <w:p w14:paraId="79AF1064">
            <w:pPr>
              <w:widowControl/>
              <w:snapToGrid w:val="0"/>
              <w:spacing w:line="240" w:lineRule="auto"/>
              <w:ind w:firstLine="0" w:firstLineChars="0"/>
              <w:jc w:val="center"/>
              <w:rPr>
                <w:rFonts w:hint="eastAsia"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70</w:t>
            </w:r>
          </w:p>
        </w:tc>
        <w:tc>
          <w:tcPr>
            <w:tcW w:w="938" w:type="pct"/>
            <w:tcBorders>
              <w:tl2br w:val="nil"/>
              <w:tr2bl w:val="nil"/>
            </w:tcBorders>
            <w:noWrap w:val="0"/>
            <w:vAlign w:val="center"/>
          </w:tcPr>
          <w:p w14:paraId="62520895">
            <w:pPr>
              <w:widowControl/>
              <w:snapToGrid w:val="0"/>
              <w:spacing w:line="240" w:lineRule="auto"/>
              <w:ind w:firstLine="0" w:firstLineChars="0"/>
              <w:jc w:val="center"/>
              <w:rPr>
                <w:rFonts w:hint="default" w:ascii="Times New Roman" w:hAnsi="Times New Roman"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建民乡建兴村姜油房、王兆合、老翁家屯、半截岗、后佘家、张炉、杨林、小门姜、王政、杨玉坡、徐乡油东、徐乡油西、姜发屯；建安村姜大喇叭、彭家岗、李风春、刘大先生、平岗、张太、曲中福、许万发；张焕屯、后周家；西焦家屯、东焦家屯、杨青屯、瓦盆窑屯、郭带书屯</w:t>
            </w:r>
          </w:p>
        </w:tc>
        <w:tc>
          <w:tcPr>
            <w:tcW w:w="339" w:type="pct"/>
            <w:tcBorders>
              <w:tl2br w:val="nil"/>
              <w:tr2bl w:val="nil"/>
            </w:tcBorders>
            <w:noWrap w:val="0"/>
            <w:vAlign w:val="center"/>
          </w:tcPr>
          <w:p w14:paraId="29408FBE">
            <w:pPr>
              <w:widowControl/>
              <w:snapToGrid w:val="0"/>
              <w:spacing w:line="240" w:lineRule="auto"/>
              <w:ind w:firstLine="0" w:firstLineChars="0"/>
              <w:jc w:val="center"/>
              <w:rPr>
                <w:rFonts w:hint="eastAsia"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8539</w:t>
            </w:r>
          </w:p>
        </w:tc>
        <w:tc>
          <w:tcPr>
            <w:tcW w:w="296" w:type="pct"/>
            <w:tcBorders>
              <w:tl2br w:val="nil"/>
              <w:tr2bl w:val="nil"/>
            </w:tcBorders>
            <w:noWrap w:val="0"/>
            <w:vAlign w:val="center"/>
          </w:tcPr>
          <w:p w14:paraId="2C7E1D88">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default" w:ascii="Times New Roman" w:hAnsi="Times New Roman" w:cs="Times New Roman"/>
                <w:color w:val="auto"/>
                <w:kern w:val="0"/>
                <w:sz w:val="21"/>
                <w:szCs w:val="21"/>
                <w:highlight w:val="none"/>
                <w:lang w:val="en-US" w:eastAsia="zh-CN"/>
              </w:rPr>
              <w:t>除铁锰过滤</w:t>
            </w:r>
          </w:p>
        </w:tc>
      </w:tr>
      <w:tr w14:paraId="314A663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57" w:type="dxa"/>
            <w:bottom w:w="0" w:type="dxa"/>
            <w:right w:w="57" w:type="dxa"/>
          </w:tblCellMar>
        </w:tblPrEx>
        <w:trPr>
          <w:trHeight w:val="846" w:hRule="atLeast"/>
        </w:trPr>
        <w:tc>
          <w:tcPr>
            <w:tcW w:w="158" w:type="pct"/>
            <w:vMerge w:val="continue"/>
            <w:tcBorders>
              <w:tl2br w:val="nil"/>
              <w:tr2bl w:val="nil"/>
            </w:tcBorders>
            <w:noWrap w:val="0"/>
            <w:vAlign w:val="center"/>
          </w:tcPr>
          <w:p w14:paraId="48BF639F">
            <w:pPr>
              <w:widowControl/>
              <w:snapToGrid w:val="0"/>
              <w:spacing w:line="240" w:lineRule="auto"/>
              <w:ind w:firstLine="0" w:firstLineChars="0"/>
              <w:jc w:val="center"/>
              <w:rPr>
                <w:rFonts w:hint="eastAsia" w:cs="Times New Roman"/>
                <w:color w:val="auto"/>
                <w:kern w:val="0"/>
                <w:sz w:val="21"/>
                <w:szCs w:val="21"/>
                <w:highlight w:val="none"/>
                <w:lang w:val="en-US" w:eastAsia="zh-CN"/>
              </w:rPr>
            </w:pPr>
          </w:p>
        </w:tc>
        <w:tc>
          <w:tcPr>
            <w:tcW w:w="515" w:type="pct"/>
            <w:vMerge w:val="restart"/>
            <w:tcBorders>
              <w:tl2br w:val="nil"/>
              <w:tr2bl w:val="nil"/>
            </w:tcBorders>
            <w:noWrap w:val="0"/>
            <w:vAlign w:val="center"/>
          </w:tcPr>
          <w:p w14:paraId="070747C7">
            <w:pPr>
              <w:widowControl/>
              <w:snapToGrid w:val="0"/>
              <w:spacing w:line="240" w:lineRule="auto"/>
              <w:ind w:firstLine="0" w:firstLineChars="0"/>
              <w:jc w:val="center"/>
              <w:rPr>
                <w:rFonts w:hint="eastAsia"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建民乡乡政府饮用水水源地</w:t>
            </w:r>
          </w:p>
        </w:tc>
        <w:tc>
          <w:tcPr>
            <w:tcW w:w="252" w:type="pct"/>
            <w:tcBorders>
              <w:tl2br w:val="nil"/>
              <w:tr2bl w:val="nil"/>
            </w:tcBorders>
            <w:noWrap w:val="0"/>
            <w:vAlign w:val="center"/>
          </w:tcPr>
          <w:p w14:paraId="29F8E1F5">
            <w:pPr>
              <w:widowControl/>
              <w:snapToGrid w:val="0"/>
              <w:spacing w:line="240" w:lineRule="auto"/>
              <w:ind w:firstLine="0" w:firstLineChars="0"/>
              <w:jc w:val="center"/>
              <w:rPr>
                <w:rFonts w:hint="eastAsia"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1#</w:t>
            </w:r>
          </w:p>
        </w:tc>
        <w:tc>
          <w:tcPr>
            <w:tcW w:w="503" w:type="pct"/>
            <w:tcBorders>
              <w:tl2br w:val="nil"/>
              <w:tr2bl w:val="nil"/>
            </w:tcBorders>
            <w:noWrap w:val="0"/>
            <w:vAlign w:val="center"/>
          </w:tcPr>
          <w:p w14:paraId="6E902107">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127°33’39.29”</w:t>
            </w:r>
          </w:p>
        </w:tc>
        <w:tc>
          <w:tcPr>
            <w:tcW w:w="488" w:type="pct"/>
            <w:tcBorders>
              <w:tl2br w:val="nil"/>
              <w:tr2bl w:val="nil"/>
            </w:tcBorders>
            <w:noWrap w:val="0"/>
            <w:vAlign w:val="center"/>
          </w:tcPr>
          <w:p w14:paraId="42FA1D40">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46°45’32.21”</w:t>
            </w:r>
          </w:p>
        </w:tc>
        <w:tc>
          <w:tcPr>
            <w:tcW w:w="275" w:type="pct"/>
            <w:vMerge w:val="restart"/>
            <w:tcBorders>
              <w:tl2br w:val="nil"/>
              <w:tr2bl w:val="nil"/>
            </w:tcBorders>
            <w:noWrap w:val="0"/>
            <w:vAlign w:val="center"/>
          </w:tcPr>
          <w:p w14:paraId="686C39AD">
            <w:pPr>
              <w:widowControl/>
              <w:snapToGrid w:val="0"/>
              <w:spacing w:line="240" w:lineRule="auto"/>
              <w:ind w:firstLine="0" w:firstLineChars="0"/>
              <w:jc w:val="center"/>
              <w:rPr>
                <w:rFonts w:hint="eastAsia"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2012</w:t>
            </w:r>
          </w:p>
        </w:tc>
        <w:tc>
          <w:tcPr>
            <w:tcW w:w="318" w:type="pct"/>
            <w:vMerge w:val="restart"/>
            <w:tcBorders>
              <w:tl2br w:val="nil"/>
              <w:tr2bl w:val="nil"/>
            </w:tcBorders>
            <w:noWrap w:val="0"/>
            <w:vAlign w:val="center"/>
          </w:tcPr>
          <w:p w14:paraId="261907B7">
            <w:pPr>
              <w:widowControl/>
              <w:snapToGrid w:val="0"/>
              <w:spacing w:line="240" w:lineRule="auto"/>
              <w:ind w:firstLine="0" w:firstLineChars="0"/>
              <w:jc w:val="center"/>
              <w:rPr>
                <w:rFonts w:hint="eastAsia"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 xml:space="preserve">395 </w:t>
            </w:r>
          </w:p>
        </w:tc>
        <w:tc>
          <w:tcPr>
            <w:tcW w:w="270" w:type="pct"/>
            <w:tcBorders>
              <w:tl2br w:val="nil"/>
              <w:tr2bl w:val="nil"/>
            </w:tcBorders>
            <w:noWrap w:val="0"/>
            <w:vAlign w:val="center"/>
          </w:tcPr>
          <w:p w14:paraId="159D0B91">
            <w:pPr>
              <w:widowControl/>
              <w:snapToGrid w:val="0"/>
              <w:spacing w:line="240" w:lineRule="auto"/>
              <w:ind w:firstLine="0" w:firstLineChars="0"/>
              <w:jc w:val="center"/>
              <w:rPr>
                <w:rFonts w:hint="eastAsia"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承压水</w:t>
            </w:r>
          </w:p>
        </w:tc>
        <w:tc>
          <w:tcPr>
            <w:tcW w:w="397" w:type="pct"/>
            <w:vMerge w:val="restart"/>
            <w:tcBorders>
              <w:tl2br w:val="nil"/>
              <w:tr2bl w:val="nil"/>
            </w:tcBorders>
            <w:noWrap w:val="0"/>
            <w:vAlign w:val="center"/>
          </w:tcPr>
          <w:p w14:paraId="5EF54A0B">
            <w:pPr>
              <w:widowControl/>
              <w:snapToGrid w:val="0"/>
              <w:spacing w:line="240" w:lineRule="auto"/>
              <w:ind w:firstLine="0" w:firstLineChars="0"/>
              <w:jc w:val="center"/>
              <w:rPr>
                <w:rFonts w:hint="eastAsia"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孔隙—裂隙承压水</w:t>
            </w:r>
          </w:p>
        </w:tc>
        <w:tc>
          <w:tcPr>
            <w:tcW w:w="244" w:type="pct"/>
            <w:vMerge w:val="restart"/>
            <w:tcBorders>
              <w:tl2br w:val="nil"/>
              <w:tr2bl w:val="nil"/>
            </w:tcBorders>
            <w:noWrap w:val="0"/>
            <w:vAlign w:val="center"/>
          </w:tcPr>
          <w:p w14:paraId="5F5E62B7">
            <w:pPr>
              <w:widowControl/>
              <w:snapToGrid w:val="0"/>
              <w:spacing w:line="240" w:lineRule="auto"/>
              <w:ind w:firstLine="0" w:firstLineChars="0"/>
              <w:jc w:val="center"/>
              <w:rPr>
                <w:rFonts w:hint="eastAsia"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90</w:t>
            </w:r>
          </w:p>
        </w:tc>
        <w:tc>
          <w:tcPr>
            <w:tcW w:w="938" w:type="pct"/>
            <w:vMerge w:val="restart"/>
            <w:tcBorders>
              <w:tl2br w:val="nil"/>
              <w:tr2bl w:val="nil"/>
            </w:tcBorders>
            <w:noWrap w:val="0"/>
            <w:vAlign w:val="center"/>
          </w:tcPr>
          <w:p w14:paraId="0118EBEC">
            <w:pPr>
              <w:widowControl/>
              <w:snapToGrid w:val="0"/>
              <w:spacing w:line="240" w:lineRule="auto"/>
              <w:ind w:firstLine="0" w:firstLineChars="0"/>
              <w:jc w:val="center"/>
              <w:rPr>
                <w:rFonts w:hint="default" w:ascii="Times New Roman" w:hAnsi="Times New Roman"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建发村腰曲家、王殿臣、孙大胡子、杨河、后曲家、前曲家、杨玉、崔家岗、宿国峰、建民村巨元泡、张央子、崔富烧、商油房、刘凤山、于凤阳、山湾屯</w:t>
            </w:r>
          </w:p>
        </w:tc>
        <w:tc>
          <w:tcPr>
            <w:tcW w:w="339" w:type="pct"/>
            <w:vMerge w:val="restart"/>
            <w:tcBorders>
              <w:tl2br w:val="nil"/>
              <w:tr2bl w:val="nil"/>
            </w:tcBorders>
            <w:noWrap w:val="0"/>
            <w:vAlign w:val="center"/>
          </w:tcPr>
          <w:p w14:paraId="5281A076">
            <w:pPr>
              <w:widowControl/>
              <w:snapToGrid w:val="0"/>
              <w:spacing w:line="240" w:lineRule="auto"/>
              <w:ind w:firstLine="0" w:firstLineChars="0"/>
              <w:jc w:val="center"/>
              <w:rPr>
                <w:rFonts w:hint="eastAsia"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6583</w:t>
            </w:r>
          </w:p>
        </w:tc>
        <w:tc>
          <w:tcPr>
            <w:tcW w:w="296" w:type="pct"/>
            <w:tcBorders>
              <w:tl2br w:val="nil"/>
              <w:tr2bl w:val="nil"/>
            </w:tcBorders>
            <w:noWrap w:val="0"/>
            <w:vAlign w:val="center"/>
          </w:tcPr>
          <w:p w14:paraId="34FD44BC">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default" w:ascii="Times New Roman" w:hAnsi="Times New Roman" w:cs="Times New Roman"/>
                <w:color w:val="auto"/>
                <w:kern w:val="0"/>
                <w:sz w:val="21"/>
                <w:szCs w:val="21"/>
                <w:highlight w:val="none"/>
                <w:lang w:val="en-US" w:eastAsia="zh-CN"/>
              </w:rPr>
              <w:t>除铁锰过滤</w:t>
            </w:r>
          </w:p>
        </w:tc>
      </w:tr>
      <w:tr w14:paraId="2E1EF8C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57" w:type="dxa"/>
            <w:bottom w:w="0" w:type="dxa"/>
            <w:right w:w="57" w:type="dxa"/>
          </w:tblCellMar>
        </w:tblPrEx>
        <w:trPr>
          <w:trHeight w:val="482" w:hRule="atLeast"/>
        </w:trPr>
        <w:tc>
          <w:tcPr>
            <w:tcW w:w="158" w:type="pct"/>
            <w:vMerge w:val="continue"/>
            <w:tcBorders>
              <w:tl2br w:val="nil"/>
              <w:tr2bl w:val="nil"/>
            </w:tcBorders>
            <w:noWrap w:val="0"/>
            <w:vAlign w:val="center"/>
          </w:tcPr>
          <w:p w14:paraId="283D61E4">
            <w:pPr>
              <w:widowControl/>
              <w:snapToGrid w:val="0"/>
              <w:spacing w:line="240" w:lineRule="auto"/>
              <w:ind w:firstLine="0" w:firstLineChars="0"/>
              <w:jc w:val="center"/>
              <w:rPr>
                <w:rFonts w:hint="eastAsia" w:cs="Times New Roman"/>
                <w:color w:val="auto"/>
                <w:kern w:val="0"/>
                <w:sz w:val="21"/>
                <w:szCs w:val="21"/>
                <w:highlight w:val="none"/>
                <w:lang w:val="en-US" w:eastAsia="zh-CN"/>
              </w:rPr>
            </w:pPr>
          </w:p>
        </w:tc>
        <w:tc>
          <w:tcPr>
            <w:tcW w:w="515" w:type="pct"/>
            <w:vMerge w:val="continue"/>
            <w:tcBorders>
              <w:tl2br w:val="nil"/>
              <w:tr2bl w:val="nil"/>
            </w:tcBorders>
            <w:noWrap w:val="0"/>
            <w:vAlign w:val="center"/>
          </w:tcPr>
          <w:p w14:paraId="483272FC">
            <w:pPr>
              <w:widowControl/>
              <w:snapToGrid w:val="0"/>
              <w:spacing w:line="240" w:lineRule="auto"/>
              <w:ind w:firstLine="0" w:firstLineChars="0"/>
              <w:jc w:val="center"/>
              <w:rPr>
                <w:rFonts w:hint="eastAsia" w:cs="Times New Roman"/>
                <w:color w:val="auto"/>
                <w:kern w:val="0"/>
                <w:sz w:val="21"/>
                <w:szCs w:val="21"/>
                <w:highlight w:val="none"/>
                <w:lang w:val="en-US" w:eastAsia="zh-CN"/>
              </w:rPr>
            </w:pPr>
          </w:p>
        </w:tc>
        <w:tc>
          <w:tcPr>
            <w:tcW w:w="252" w:type="pct"/>
            <w:tcBorders>
              <w:tl2br w:val="nil"/>
              <w:tr2bl w:val="nil"/>
            </w:tcBorders>
            <w:noWrap w:val="0"/>
            <w:vAlign w:val="center"/>
          </w:tcPr>
          <w:p w14:paraId="55D2E149">
            <w:pPr>
              <w:widowControl/>
              <w:snapToGrid w:val="0"/>
              <w:spacing w:line="240" w:lineRule="auto"/>
              <w:ind w:firstLine="0" w:firstLineChars="0"/>
              <w:jc w:val="center"/>
              <w:rPr>
                <w:rFonts w:hint="eastAsia"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2#</w:t>
            </w:r>
          </w:p>
        </w:tc>
        <w:tc>
          <w:tcPr>
            <w:tcW w:w="503" w:type="pct"/>
            <w:tcBorders>
              <w:tl2br w:val="nil"/>
              <w:tr2bl w:val="nil"/>
            </w:tcBorders>
            <w:noWrap w:val="0"/>
            <w:vAlign w:val="center"/>
          </w:tcPr>
          <w:p w14:paraId="0431A7EF">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127°33’39.53”</w:t>
            </w:r>
          </w:p>
        </w:tc>
        <w:tc>
          <w:tcPr>
            <w:tcW w:w="488" w:type="pct"/>
            <w:tcBorders>
              <w:tl2br w:val="nil"/>
              <w:tr2bl w:val="nil"/>
            </w:tcBorders>
            <w:noWrap w:val="0"/>
            <w:vAlign w:val="center"/>
          </w:tcPr>
          <w:p w14:paraId="2362E76C">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46°45’32.10”</w:t>
            </w:r>
          </w:p>
        </w:tc>
        <w:tc>
          <w:tcPr>
            <w:tcW w:w="275" w:type="pct"/>
            <w:vMerge w:val="continue"/>
            <w:tcBorders>
              <w:tl2br w:val="nil"/>
              <w:tr2bl w:val="nil"/>
            </w:tcBorders>
            <w:noWrap w:val="0"/>
            <w:vAlign w:val="center"/>
          </w:tcPr>
          <w:p w14:paraId="702B8481">
            <w:pPr>
              <w:widowControl/>
              <w:snapToGrid w:val="0"/>
              <w:spacing w:line="240" w:lineRule="auto"/>
              <w:ind w:firstLine="0" w:firstLineChars="0"/>
              <w:jc w:val="center"/>
              <w:rPr>
                <w:rFonts w:hint="eastAsia" w:cs="Times New Roman"/>
                <w:color w:val="auto"/>
                <w:kern w:val="0"/>
                <w:sz w:val="21"/>
                <w:szCs w:val="21"/>
                <w:highlight w:val="none"/>
                <w:lang w:val="en-US" w:eastAsia="zh-CN"/>
              </w:rPr>
            </w:pPr>
          </w:p>
        </w:tc>
        <w:tc>
          <w:tcPr>
            <w:tcW w:w="318" w:type="pct"/>
            <w:vMerge w:val="continue"/>
            <w:tcBorders>
              <w:tl2br w:val="nil"/>
              <w:tr2bl w:val="nil"/>
            </w:tcBorders>
            <w:noWrap w:val="0"/>
            <w:vAlign w:val="center"/>
          </w:tcPr>
          <w:p w14:paraId="7A8ADE74">
            <w:pPr>
              <w:widowControl/>
              <w:snapToGrid w:val="0"/>
              <w:spacing w:line="240" w:lineRule="auto"/>
              <w:ind w:firstLine="0" w:firstLineChars="0"/>
              <w:jc w:val="center"/>
              <w:rPr>
                <w:rFonts w:hint="eastAsia" w:cs="Times New Roman"/>
                <w:color w:val="auto"/>
                <w:kern w:val="0"/>
                <w:sz w:val="21"/>
                <w:szCs w:val="21"/>
                <w:highlight w:val="none"/>
                <w:lang w:val="en-US" w:eastAsia="zh-CN"/>
              </w:rPr>
            </w:pPr>
          </w:p>
        </w:tc>
        <w:tc>
          <w:tcPr>
            <w:tcW w:w="270" w:type="pct"/>
            <w:tcBorders>
              <w:tl2br w:val="nil"/>
              <w:tr2bl w:val="nil"/>
            </w:tcBorders>
            <w:noWrap w:val="0"/>
            <w:vAlign w:val="center"/>
          </w:tcPr>
          <w:p w14:paraId="3554FC9D">
            <w:pPr>
              <w:widowControl/>
              <w:snapToGrid w:val="0"/>
              <w:spacing w:line="240" w:lineRule="auto"/>
              <w:ind w:firstLine="0" w:firstLineChars="0"/>
              <w:jc w:val="center"/>
              <w:rPr>
                <w:rFonts w:hint="eastAsia"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承压水</w:t>
            </w:r>
          </w:p>
        </w:tc>
        <w:tc>
          <w:tcPr>
            <w:tcW w:w="397" w:type="pct"/>
            <w:vMerge w:val="continue"/>
            <w:tcBorders>
              <w:tl2br w:val="nil"/>
              <w:tr2bl w:val="nil"/>
            </w:tcBorders>
            <w:noWrap w:val="0"/>
            <w:vAlign w:val="center"/>
          </w:tcPr>
          <w:p w14:paraId="64CA6452">
            <w:pPr>
              <w:widowControl/>
              <w:snapToGrid w:val="0"/>
              <w:spacing w:line="240" w:lineRule="auto"/>
              <w:ind w:firstLine="0" w:firstLineChars="0"/>
              <w:jc w:val="center"/>
              <w:rPr>
                <w:rFonts w:hint="eastAsia" w:cs="Times New Roman"/>
                <w:color w:val="auto"/>
                <w:kern w:val="0"/>
                <w:sz w:val="21"/>
                <w:szCs w:val="21"/>
                <w:highlight w:val="none"/>
                <w:lang w:val="en-US" w:eastAsia="zh-CN"/>
              </w:rPr>
            </w:pPr>
          </w:p>
        </w:tc>
        <w:tc>
          <w:tcPr>
            <w:tcW w:w="244" w:type="pct"/>
            <w:vMerge w:val="continue"/>
            <w:tcBorders>
              <w:tl2br w:val="nil"/>
              <w:tr2bl w:val="nil"/>
            </w:tcBorders>
            <w:noWrap w:val="0"/>
            <w:vAlign w:val="center"/>
          </w:tcPr>
          <w:p w14:paraId="06E8D61F">
            <w:pPr>
              <w:widowControl/>
              <w:snapToGrid w:val="0"/>
              <w:spacing w:line="240" w:lineRule="auto"/>
              <w:ind w:firstLine="0" w:firstLineChars="0"/>
              <w:jc w:val="center"/>
              <w:rPr>
                <w:rFonts w:hint="eastAsia" w:cs="Times New Roman"/>
                <w:color w:val="auto"/>
                <w:kern w:val="0"/>
                <w:sz w:val="21"/>
                <w:szCs w:val="21"/>
                <w:highlight w:val="none"/>
                <w:lang w:val="en-US" w:eastAsia="zh-CN"/>
              </w:rPr>
            </w:pPr>
          </w:p>
        </w:tc>
        <w:tc>
          <w:tcPr>
            <w:tcW w:w="938" w:type="pct"/>
            <w:vMerge w:val="continue"/>
            <w:tcBorders>
              <w:tl2br w:val="nil"/>
              <w:tr2bl w:val="nil"/>
            </w:tcBorders>
            <w:noWrap w:val="0"/>
            <w:vAlign w:val="center"/>
          </w:tcPr>
          <w:p w14:paraId="5E523B58">
            <w:pPr>
              <w:widowControl/>
              <w:snapToGrid w:val="0"/>
              <w:spacing w:line="240" w:lineRule="auto"/>
              <w:ind w:firstLine="0" w:firstLineChars="0"/>
              <w:jc w:val="center"/>
              <w:rPr>
                <w:rFonts w:hint="eastAsia" w:cs="Times New Roman"/>
                <w:color w:val="auto"/>
                <w:kern w:val="0"/>
                <w:sz w:val="21"/>
                <w:szCs w:val="21"/>
                <w:highlight w:val="none"/>
                <w:lang w:val="en-US" w:eastAsia="zh-CN"/>
              </w:rPr>
            </w:pPr>
          </w:p>
        </w:tc>
        <w:tc>
          <w:tcPr>
            <w:tcW w:w="339" w:type="pct"/>
            <w:vMerge w:val="continue"/>
            <w:tcBorders>
              <w:tl2br w:val="nil"/>
              <w:tr2bl w:val="nil"/>
            </w:tcBorders>
            <w:noWrap w:val="0"/>
            <w:vAlign w:val="center"/>
          </w:tcPr>
          <w:p w14:paraId="3B455921">
            <w:pPr>
              <w:widowControl/>
              <w:snapToGrid w:val="0"/>
              <w:spacing w:line="240" w:lineRule="auto"/>
              <w:ind w:firstLine="0" w:firstLineChars="0"/>
              <w:jc w:val="center"/>
              <w:rPr>
                <w:rFonts w:hint="eastAsia" w:cs="Times New Roman"/>
                <w:color w:val="auto"/>
                <w:kern w:val="0"/>
                <w:sz w:val="21"/>
                <w:szCs w:val="21"/>
                <w:highlight w:val="none"/>
                <w:lang w:val="en-US" w:eastAsia="zh-CN"/>
              </w:rPr>
            </w:pPr>
          </w:p>
        </w:tc>
        <w:tc>
          <w:tcPr>
            <w:tcW w:w="296" w:type="pct"/>
            <w:tcBorders>
              <w:tl2br w:val="nil"/>
              <w:tr2bl w:val="nil"/>
            </w:tcBorders>
            <w:noWrap w:val="0"/>
            <w:vAlign w:val="center"/>
          </w:tcPr>
          <w:p w14:paraId="720CC4D0">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default" w:ascii="Times New Roman" w:hAnsi="Times New Roman" w:cs="Times New Roman"/>
                <w:color w:val="auto"/>
                <w:kern w:val="0"/>
                <w:sz w:val="21"/>
                <w:szCs w:val="21"/>
                <w:highlight w:val="none"/>
                <w:lang w:val="en-US" w:eastAsia="zh-CN"/>
              </w:rPr>
              <w:t>除铁锰过滤</w:t>
            </w:r>
          </w:p>
        </w:tc>
      </w:tr>
      <w:tr w14:paraId="0608C1D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57" w:type="dxa"/>
            <w:bottom w:w="0" w:type="dxa"/>
            <w:right w:w="57" w:type="dxa"/>
          </w:tblCellMar>
        </w:tblPrEx>
        <w:trPr>
          <w:trHeight w:val="482" w:hRule="atLeast"/>
        </w:trPr>
        <w:tc>
          <w:tcPr>
            <w:tcW w:w="158" w:type="pct"/>
            <w:vMerge w:val="continue"/>
            <w:tcBorders>
              <w:tl2br w:val="nil"/>
              <w:tr2bl w:val="nil"/>
            </w:tcBorders>
            <w:noWrap w:val="0"/>
            <w:vAlign w:val="center"/>
          </w:tcPr>
          <w:p w14:paraId="0BAF0BF9">
            <w:pPr>
              <w:widowControl/>
              <w:snapToGrid w:val="0"/>
              <w:spacing w:line="240" w:lineRule="auto"/>
              <w:ind w:firstLine="0" w:firstLineChars="0"/>
              <w:jc w:val="center"/>
              <w:rPr>
                <w:rFonts w:hint="eastAsia" w:cs="Times New Roman"/>
                <w:color w:val="auto"/>
                <w:kern w:val="0"/>
                <w:sz w:val="21"/>
                <w:szCs w:val="21"/>
                <w:highlight w:val="none"/>
                <w:lang w:val="en-US" w:eastAsia="zh-CN"/>
              </w:rPr>
            </w:pPr>
          </w:p>
        </w:tc>
        <w:tc>
          <w:tcPr>
            <w:tcW w:w="515" w:type="pct"/>
            <w:tcBorders>
              <w:tl2br w:val="nil"/>
              <w:tr2bl w:val="nil"/>
            </w:tcBorders>
            <w:noWrap w:val="0"/>
            <w:vAlign w:val="center"/>
          </w:tcPr>
          <w:p w14:paraId="7D3BBB03">
            <w:pPr>
              <w:widowControl/>
              <w:snapToGrid w:val="0"/>
              <w:spacing w:line="240" w:lineRule="auto"/>
              <w:ind w:firstLine="0" w:firstLineChars="0"/>
              <w:jc w:val="center"/>
              <w:rPr>
                <w:rFonts w:hint="eastAsia"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建民乡建功村饮用水水源地</w:t>
            </w:r>
          </w:p>
        </w:tc>
        <w:tc>
          <w:tcPr>
            <w:tcW w:w="252" w:type="pct"/>
            <w:tcBorders>
              <w:tl2br w:val="nil"/>
              <w:tr2bl w:val="nil"/>
            </w:tcBorders>
            <w:noWrap w:val="0"/>
            <w:vAlign w:val="center"/>
          </w:tcPr>
          <w:p w14:paraId="589A5B01">
            <w:pPr>
              <w:widowControl/>
              <w:snapToGrid w:val="0"/>
              <w:spacing w:line="240" w:lineRule="auto"/>
              <w:ind w:firstLine="0" w:firstLineChars="0"/>
              <w:jc w:val="center"/>
              <w:rPr>
                <w:rFonts w:hint="eastAsia"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1#</w:t>
            </w:r>
          </w:p>
        </w:tc>
        <w:tc>
          <w:tcPr>
            <w:tcW w:w="503" w:type="pct"/>
            <w:tcBorders>
              <w:tl2br w:val="nil"/>
              <w:tr2bl w:val="nil"/>
            </w:tcBorders>
            <w:noWrap w:val="0"/>
            <w:vAlign w:val="center"/>
          </w:tcPr>
          <w:p w14:paraId="69A04B34">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127°30’27.21”</w:t>
            </w:r>
          </w:p>
        </w:tc>
        <w:tc>
          <w:tcPr>
            <w:tcW w:w="488" w:type="pct"/>
            <w:tcBorders>
              <w:tl2br w:val="nil"/>
              <w:tr2bl w:val="nil"/>
            </w:tcBorders>
            <w:noWrap w:val="0"/>
            <w:vAlign w:val="center"/>
          </w:tcPr>
          <w:p w14:paraId="1257ED18">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46°42’30.78”</w:t>
            </w:r>
          </w:p>
        </w:tc>
        <w:tc>
          <w:tcPr>
            <w:tcW w:w="275" w:type="pct"/>
            <w:tcBorders>
              <w:tl2br w:val="nil"/>
              <w:tr2bl w:val="nil"/>
            </w:tcBorders>
            <w:noWrap w:val="0"/>
            <w:vAlign w:val="center"/>
          </w:tcPr>
          <w:p w14:paraId="39BCF1F4">
            <w:pPr>
              <w:widowControl/>
              <w:snapToGrid w:val="0"/>
              <w:spacing w:line="240" w:lineRule="auto"/>
              <w:ind w:firstLine="0" w:firstLineChars="0"/>
              <w:jc w:val="center"/>
              <w:rPr>
                <w:rFonts w:hint="eastAsia"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2015</w:t>
            </w:r>
          </w:p>
        </w:tc>
        <w:tc>
          <w:tcPr>
            <w:tcW w:w="318" w:type="pct"/>
            <w:tcBorders>
              <w:tl2br w:val="nil"/>
              <w:tr2bl w:val="nil"/>
            </w:tcBorders>
            <w:noWrap w:val="0"/>
            <w:vAlign w:val="center"/>
          </w:tcPr>
          <w:p w14:paraId="4841DE28">
            <w:pPr>
              <w:widowControl/>
              <w:snapToGrid w:val="0"/>
              <w:spacing w:line="240" w:lineRule="auto"/>
              <w:ind w:firstLine="0" w:firstLineChars="0"/>
              <w:jc w:val="center"/>
              <w:rPr>
                <w:rFonts w:hint="eastAsia"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 xml:space="preserve">142 </w:t>
            </w:r>
          </w:p>
        </w:tc>
        <w:tc>
          <w:tcPr>
            <w:tcW w:w="270" w:type="pct"/>
            <w:tcBorders>
              <w:tl2br w:val="nil"/>
              <w:tr2bl w:val="nil"/>
            </w:tcBorders>
            <w:noWrap w:val="0"/>
            <w:vAlign w:val="center"/>
          </w:tcPr>
          <w:p w14:paraId="7510F1E7">
            <w:pPr>
              <w:widowControl/>
              <w:snapToGrid w:val="0"/>
              <w:spacing w:line="240" w:lineRule="auto"/>
              <w:ind w:firstLine="0" w:firstLineChars="0"/>
              <w:jc w:val="center"/>
              <w:rPr>
                <w:rFonts w:hint="eastAsia"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承压水</w:t>
            </w:r>
          </w:p>
        </w:tc>
        <w:tc>
          <w:tcPr>
            <w:tcW w:w="397" w:type="pct"/>
            <w:tcBorders>
              <w:tl2br w:val="nil"/>
              <w:tr2bl w:val="nil"/>
            </w:tcBorders>
            <w:noWrap w:val="0"/>
            <w:vAlign w:val="center"/>
          </w:tcPr>
          <w:p w14:paraId="1000B242">
            <w:pPr>
              <w:widowControl/>
              <w:snapToGrid w:val="0"/>
              <w:spacing w:line="240" w:lineRule="auto"/>
              <w:ind w:firstLine="0" w:firstLineChars="0"/>
              <w:jc w:val="center"/>
              <w:rPr>
                <w:rFonts w:hint="eastAsia"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孔隙—裂隙承压水</w:t>
            </w:r>
          </w:p>
        </w:tc>
        <w:tc>
          <w:tcPr>
            <w:tcW w:w="244" w:type="pct"/>
            <w:tcBorders>
              <w:tl2br w:val="nil"/>
              <w:tr2bl w:val="nil"/>
            </w:tcBorders>
            <w:noWrap w:val="0"/>
            <w:vAlign w:val="center"/>
          </w:tcPr>
          <w:p w14:paraId="6B5CA327">
            <w:pPr>
              <w:widowControl/>
              <w:snapToGrid w:val="0"/>
              <w:spacing w:line="240" w:lineRule="auto"/>
              <w:ind w:firstLine="0" w:firstLineChars="0"/>
              <w:jc w:val="center"/>
              <w:rPr>
                <w:rFonts w:hint="eastAsia"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90</w:t>
            </w:r>
          </w:p>
        </w:tc>
        <w:tc>
          <w:tcPr>
            <w:tcW w:w="938" w:type="pct"/>
            <w:tcBorders>
              <w:tl2br w:val="nil"/>
              <w:tr2bl w:val="nil"/>
            </w:tcBorders>
            <w:noWrap w:val="0"/>
            <w:vAlign w:val="center"/>
          </w:tcPr>
          <w:p w14:paraId="77752300">
            <w:pPr>
              <w:widowControl/>
              <w:snapToGrid w:val="0"/>
              <w:spacing w:line="240" w:lineRule="auto"/>
              <w:ind w:firstLine="0" w:firstLineChars="0"/>
              <w:jc w:val="center"/>
              <w:rPr>
                <w:rFonts w:hint="default" w:ascii="Times New Roman" w:hAnsi="Times New Roman"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建功村于小铺、东吴家、吴家沟、西河窑、东河窑、后王家、后梁家、三门李家、前高家、腰吴家</w:t>
            </w:r>
          </w:p>
        </w:tc>
        <w:tc>
          <w:tcPr>
            <w:tcW w:w="339" w:type="pct"/>
            <w:tcBorders>
              <w:tl2br w:val="nil"/>
              <w:tr2bl w:val="nil"/>
            </w:tcBorders>
            <w:noWrap w:val="0"/>
            <w:vAlign w:val="center"/>
          </w:tcPr>
          <w:p w14:paraId="77F62D1D">
            <w:pPr>
              <w:widowControl/>
              <w:snapToGrid w:val="0"/>
              <w:spacing w:line="240" w:lineRule="auto"/>
              <w:ind w:firstLine="0" w:firstLineChars="0"/>
              <w:jc w:val="center"/>
              <w:rPr>
                <w:rFonts w:hint="eastAsia"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2370</w:t>
            </w:r>
          </w:p>
        </w:tc>
        <w:tc>
          <w:tcPr>
            <w:tcW w:w="296" w:type="pct"/>
            <w:tcBorders>
              <w:tl2br w:val="nil"/>
              <w:tr2bl w:val="nil"/>
            </w:tcBorders>
            <w:noWrap w:val="0"/>
            <w:vAlign w:val="center"/>
          </w:tcPr>
          <w:p w14:paraId="2EAAB1F8">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default" w:ascii="Times New Roman" w:hAnsi="Times New Roman" w:cs="Times New Roman"/>
                <w:color w:val="auto"/>
                <w:kern w:val="0"/>
                <w:sz w:val="21"/>
                <w:szCs w:val="21"/>
                <w:highlight w:val="none"/>
                <w:lang w:val="en-US" w:eastAsia="zh-CN"/>
              </w:rPr>
              <w:t>除铁锰过滤</w:t>
            </w:r>
          </w:p>
        </w:tc>
      </w:tr>
      <w:tr w14:paraId="5C3AB12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57" w:type="dxa"/>
            <w:bottom w:w="0" w:type="dxa"/>
            <w:right w:w="57" w:type="dxa"/>
          </w:tblCellMar>
        </w:tblPrEx>
        <w:trPr>
          <w:trHeight w:val="482" w:hRule="atLeast"/>
        </w:trPr>
        <w:tc>
          <w:tcPr>
            <w:tcW w:w="158" w:type="pct"/>
            <w:vMerge w:val="continue"/>
            <w:tcBorders>
              <w:tl2br w:val="nil"/>
              <w:tr2bl w:val="nil"/>
            </w:tcBorders>
            <w:noWrap w:val="0"/>
            <w:vAlign w:val="center"/>
          </w:tcPr>
          <w:p w14:paraId="25DBF887">
            <w:pPr>
              <w:widowControl/>
              <w:snapToGrid w:val="0"/>
              <w:spacing w:line="240" w:lineRule="auto"/>
              <w:ind w:firstLine="0" w:firstLineChars="0"/>
              <w:jc w:val="center"/>
              <w:rPr>
                <w:rFonts w:hint="eastAsia" w:cs="Times New Roman"/>
                <w:color w:val="auto"/>
                <w:kern w:val="0"/>
                <w:sz w:val="21"/>
                <w:szCs w:val="21"/>
                <w:highlight w:val="none"/>
                <w:lang w:val="en-US" w:eastAsia="zh-CN"/>
              </w:rPr>
            </w:pPr>
          </w:p>
        </w:tc>
        <w:tc>
          <w:tcPr>
            <w:tcW w:w="515" w:type="pct"/>
            <w:tcBorders>
              <w:tl2br w:val="nil"/>
              <w:tr2bl w:val="nil"/>
            </w:tcBorders>
            <w:noWrap w:val="0"/>
            <w:vAlign w:val="center"/>
          </w:tcPr>
          <w:p w14:paraId="75717A6A">
            <w:pPr>
              <w:widowControl/>
              <w:snapToGrid w:val="0"/>
              <w:spacing w:line="240" w:lineRule="auto"/>
              <w:ind w:firstLine="0" w:firstLineChars="0"/>
              <w:jc w:val="center"/>
              <w:rPr>
                <w:rFonts w:hint="eastAsia"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建民乡建业村饮用水水源地</w:t>
            </w:r>
          </w:p>
        </w:tc>
        <w:tc>
          <w:tcPr>
            <w:tcW w:w="252" w:type="pct"/>
            <w:tcBorders>
              <w:tl2br w:val="nil"/>
              <w:tr2bl w:val="nil"/>
            </w:tcBorders>
            <w:noWrap w:val="0"/>
            <w:vAlign w:val="center"/>
          </w:tcPr>
          <w:p w14:paraId="252940A7">
            <w:pPr>
              <w:widowControl/>
              <w:snapToGrid w:val="0"/>
              <w:spacing w:line="240" w:lineRule="auto"/>
              <w:ind w:firstLine="0" w:firstLineChars="0"/>
              <w:jc w:val="center"/>
              <w:rPr>
                <w:rFonts w:hint="eastAsia"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JY</w:t>
            </w:r>
          </w:p>
        </w:tc>
        <w:tc>
          <w:tcPr>
            <w:tcW w:w="503" w:type="pct"/>
            <w:tcBorders>
              <w:tl2br w:val="nil"/>
              <w:tr2bl w:val="nil"/>
            </w:tcBorders>
            <w:noWrap w:val="0"/>
            <w:vAlign w:val="center"/>
          </w:tcPr>
          <w:p w14:paraId="21F564C4">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127°31′13.61″</w:t>
            </w:r>
          </w:p>
        </w:tc>
        <w:tc>
          <w:tcPr>
            <w:tcW w:w="488" w:type="pct"/>
            <w:tcBorders>
              <w:tl2br w:val="nil"/>
              <w:tr2bl w:val="nil"/>
            </w:tcBorders>
            <w:noWrap w:val="0"/>
            <w:vAlign w:val="center"/>
          </w:tcPr>
          <w:p w14:paraId="444F3240">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46°44′27.45″</w:t>
            </w:r>
          </w:p>
        </w:tc>
        <w:tc>
          <w:tcPr>
            <w:tcW w:w="275" w:type="pct"/>
            <w:tcBorders>
              <w:tl2br w:val="nil"/>
              <w:tr2bl w:val="nil"/>
            </w:tcBorders>
            <w:noWrap w:val="0"/>
            <w:vAlign w:val="center"/>
          </w:tcPr>
          <w:p w14:paraId="42C22DA9">
            <w:pPr>
              <w:widowControl/>
              <w:snapToGrid w:val="0"/>
              <w:spacing w:line="240" w:lineRule="auto"/>
              <w:ind w:firstLine="0" w:firstLineChars="0"/>
              <w:jc w:val="center"/>
              <w:rPr>
                <w:rFonts w:hint="eastAsia"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2019</w:t>
            </w:r>
          </w:p>
        </w:tc>
        <w:tc>
          <w:tcPr>
            <w:tcW w:w="318" w:type="pct"/>
            <w:tcBorders>
              <w:tl2br w:val="nil"/>
              <w:tr2bl w:val="nil"/>
            </w:tcBorders>
            <w:noWrap w:val="0"/>
            <w:vAlign w:val="center"/>
          </w:tcPr>
          <w:p w14:paraId="176D4FB3">
            <w:pPr>
              <w:widowControl/>
              <w:snapToGrid w:val="0"/>
              <w:spacing w:line="240" w:lineRule="auto"/>
              <w:ind w:firstLine="0" w:firstLineChars="0"/>
              <w:jc w:val="center"/>
              <w:rPr>
                <w:rFonts w:hint="eastAsia"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200</w:t>
            </w:r>
          </w:p>
        </w:tc>
        <w:tc>
          <w:tcPr>
            <w:tcW w:w="270" w:type="pct"/>
            <w:tcBorders>
              <w:tl2br w:val="nil"/>
              <w:tr2bl w:val="nil"/>
            </w:tcBorders>
            <w:noWrap w:val="0"/>
            <w:vAlign w:val="center"/>
          </w:tcPr>
          <w:p w14:paraId="268E802B">
            <w:pPr>
              <w:widowControl/>
              <w:snapToGrid w:val="0"/>
              <w:spacing w:line="240" w:lineRule="auto"/>
              <w:ind w:firstLine="0" w:firstLineChars="0"/>
              <w:jc w:val="center"/>
              <w:rPr>
                <w:rFonts w:hint="eastAsia"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承压水</w:t>
            </w:r>
          </w:p>
        </w:tc>
        <w:tc>
          <w:tcPr>
            <w:tcW w:w="397" w:type="pct"/>
            <w:tcBorders>
              <w:tl2br w:val="nil"/>
              <w:tr2bl w:val="nil"/>
            </w:tcBorders>
            <w:noWrap w:val="0"/>
            <w:vAlign w:val="center"/>
          </w:tcPr>
          <w:p w14:paraId="60742301">
            <w:pPr>
              <w:widowControl/>
              <w:snapToGrid w:val="0"/>
              <w:spacing w:line="240" w:lineRule="auto"/>
              <w:ind w:firstLine="0" w:firstLineChars="0"/>
              <w:jc w:val="center"/>
              <w:rPr>
                <w:rFonts w:hint="eastAsia"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孔隙水</w:t>
            </w:r>
          </w:p>
        </w:tc>
        <w:tc>
          <w:tcPr>
            <w:tcW w:w="244" w:type="pct"/>
            <w:tcBorders>
              <w:tl2br w:val="nil"/>
              <w:tr2bl w:val="nil"/>
            </w:tcBorders>
            <w:noWrap w:val="0"/>
            <w:vAlign w:val="center"/>
          </w:tcPr>
          <w:p w14:paraId="4EC60FC4">
            <w:pPr>
              <w:widowControl/>
              <w:snapToGrid w:val="0"/>
              <w:spacing w:line="240" w:lineRule="auto"/>
              <w:ind w:firstLine="0" w:firstLineChars="0"/>
              <w:jc w:val="center"/>
              <w:rPr>
                <w:rFonts w:hint="eastAsia"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90</w:t>
            </w:r>
          </w:p>
        </w:tc>
        <w:tc>
          <w:tcPr>
            <w:tcW w:w="938" w:type="pct"/>
            <w:tcBorders>
              <w:tl2br w:val="nil"/>
              <w:tr2bl w:val="nil"/>
            </w:tcBorders>
            <w:noWrap w:val="0"/>
            <w:vAlign w:val="center"/>
          </w:tcPr>
          <w:p w14:paraId="5C5B95BE">
            <w:pPr>
              <w:widowControl/>
              <w:snapToGrid w:val="0"/>
              <w:spacing w:line="240" w:lineRule="auto"/>
              <w:ind w:firstLine="0" w:firstLineChars="0"/>
              <w:jc w:val="center"/>
              <w:rPr>
                <w:rFonts w:hint="default" w:ascii="Times New Roman" w:hAnsi="Times New Roman"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建业村祁家屯、邢家屯、马富屯、周方屯、沈小铺屯、高马架屯</w:t>
            </w:r>
          </w:p>
        </w:tc>
        <w:tc>
          <w:tcPr>
            <w:tcW w:w="339" w:type="pct"/>
            <w:tcBorders>
              <w:tl2br w:val="nil"/>
              <w:tr2bl w:val="nil"/>
            </w:tcBorders>
            <w:noWrap w:val="0"/>
            <w:vAlign w:val="center"/>
          </w:tcPr>
          <w:p w14:paraId="7B6F8CC2">
            <w:pPr>
              <w:widowControl/>
              <w:snapToGrid w:val="0"/>
              <w:spacing w:line="240" w:lineRule="auto"/>
              <w:ind w:firstLine="0" w:firstLineChars="0"/>
              <w:jc w:val="center"/>
              <w:rPr>
                <w:rFonts w:hint="eastAsia"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2320</w:t>
            </w:r>
          </w:p>
        </w:tc>
        <w:tc>
          <w:tcPr>
            <w:tcW w:w="296" w:type="pct"/>
            <w:tcBorders>
              <w:tl2br w:val="nil"/>
              <w:tr2bl w:val="nil"/>
            </w:tcBorders>
            <w:noWrap w:val="0"/>
            <w:vAlign w:val="center"/>
          </w:tcPr>
          <w:p w14:paraId="501F2653">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default" w:ascii="Times New Roman" w:hAnsi="Times New Roman" w:cs="Times New Roman"/>
                <w:color w:val="auto"/>
                <w:kern w:val="0"/>
                <w:sz w:val="21"/>
                <w:szCs w:val="21"/>
                <w:highlight w:val="none"/>
                <w:lang w:val="en-US" w:eastAsia="zh-CN"/>
              </w:rPr>
              <w:t>锰砂过滤+消毒</w:t>
            </w:r>
          </w:p>
        </w:tc>
      </w:tr>
      <w:tr w14:paraId="352A1A1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57" w:type="dxa"/>
            <w:bottom w:w="0" w:type="dxa"/>
            <w:right w:w="57" w:type="dxa"/>
          </w:tblCellMar>
        </w:tblPrEx>
        <w:trPr>
          <w:trHeight w:val="482" w:hRule="atLeast"/>
        </w:trPr>
        <w:tc>
          <w:tcPr>
            <w:tcW w:w="158" w:type="pct"/>
            <w:vMerge w:val="restart"/>
            <w:tcBorders>
              <w:tl2br w:val="nil"/>
              <w:tr2bl w:val="nil"/>
            </w:tcBorders>
            <w:noWrap w:val="0"/>
            <w:vAlign w:val="center"/>
          </w:tcPr>
          <w:p w14:paraId="09A16F27">
            <w:pPr>
              <w:widowControl/>
              <w:snapToGrid w:val="0"/>
              <w:spacing w:line="240" w:lineRule="auto"/>
              <w:ind w:firstLine="0" w:firstLineChars="0"/>
              <w:jc w:val="center"/>
              <w:rPr>
                <w:rFonts w:hint="eastAsia"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同乐乡</w:t>
            </w:r>
          </w:p>
        </w:tc>
        <w:tc>
          <w:tcPr>
            <w:tcW w:w="515" w:type="pct"/>
            <w:tcBorders>
              <w:tl2br w:val="nil"/>
              <w:tr2bl w:val="nil"/>
            </w:tcBorders>
            <w:shd w:val="clear" w:color="auto" w:fill="auto"/>
            <w:noWrap w:val="0"/>
            <w:vAlign w:val="center"/>
          </w:tcPr>
          <w:p w14:paraId="5A876A9C">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
              </w:rPr>
              <w:t>同乐乡地下水饮用水水源地</w:t>
            </w:r>
          </w:p>
        </w:tc>
        <w:tc>
          <w:tcPr>
            <w:tcW w:w="252" w:type="pct"/>
            <w:tcBorders>
              <w:tl2br w:val="nil"/>
              <w:tr2bl w:val="nil"/>
            </w:tcBorders>
            <w:shd w:val="clear" w:color="auto" w:fill="auto"/>
            <w:noWrap w:val="0"/>
            <w:vAlign w:val="center"/>
          </w:tcPr>
          <w:p w14:paraId="22A4C35A">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1#</w:t>
            </w:r>
          </w:p>
        </w:tc>
        <w:tc>
          <w:tcPr>
            <w:tcW w:w="503" w:type="pct"/>
            <w:tcBorders>
              <w:tl2br w:val="nil"/>
              <w:tr2bl w:val="nil"/>
            </w:tcBorders>
            <w:shd w:val="clear" w:color="auto" w:fill="auto"/>
            <w:noWrap w:val="0"/>
            <w:vAlign w:val="center"/>
          </w:tcPr>
          <w:p w14:paraId="1855DF99">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127°24′1.5482″</w:t>
            </w:r>
          </w:p>
        </w:tc>
        <w:tc>
          <w:tcPr>
            <w:tcW w:w="488" w:type="pct"/>
            <w:tcBorders>
              <w:tl2br w:val="nil"/>
              <w:tr2bl w:val="nil"/>
            </w:tcBorders>
            <w:shd w:val="clear" w:color="auto" w:fill="auto"/>
            <w:noWrap w:val="0"/>
            <w:vAlign w:val="center"/>
          </w:tcPr>
          <w:p w14:paraId="788036D0">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47°4′24.857″</w:t>
            </w:r>
          </w:p>
        </w:tc>
        <w:tc>
          <w:tcPr>
            <w:tcW w:w="275" w:type="pct"/>
            <w:tcBorders>
              <w:tl2br w:val="nil"/>
              <w:tr2bl w:val="nil"/>
            </w:tcBorders>
            <w:shd w:val="clear" w:color="auto" w:fill="auto"/>
            <w:noWrap w:val="0"/>
            <w:vAlign w:val="center"/>
          </w:tcPr>
          <w:p w14:paraId="036A12D5">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2011</w:t>
            </w:r>
          </w:p>
        </w:tc>
        <w:tc>
          <w:tcPr>
            <w:tcW w:w="318" w:type="pct"/>
            <w:tcBorders>
              <w:tl2br w:val="nil"/>
              <w:tr2bl w:val="nil"/>
            </w:tcBorders>
            <w:shd w:val="clear" w:color="auto" w:fill="auto"/>
            <w:noWrap w:val="0"/>
            <w:vAlign w:val="center"/>
          </w:tcPr>
          <w:p w14:paraId="09243481">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500</w:t>
            </w:r>
          </w:p>
        </w:tc>
        <w:tc>
          <w:tcPr>
            <w:tcW w:w="270" w:type="pct"/>
            <w:tcBorders>
              <w:tl2br w:val="nil"/>
              <w:tr2bl w:val="nil"/>
            </w:tcBorders>
            <w:shd w:val="clear" w:color="auto" w:fill="auto"/>
            <w:noWrap w:val="0"/>
            <w:vAlign w:val="center"/>
          </w:tcPr>
          <w:p w14:paraId="3E2A6EBC">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承压水</w:t>
            </w:r>
          </w:p>
        </w:tc>
        <w:tc>
          <w:tcPr>
            <w:tcW w:w="397" w:type="pct"/>
            <w:tcBorders>
              <w:tl2br w:val="nil"/>
              <w:tr2bl w:val="nil"/>
            </w:tcBorders>
            <w:shd w:val="clear" w:color="auto" w:fill="auto"/>
            <w:noWrap w:val="0"/>
            <w:vAlign w:val="center"/>
          </w:tcPr>
          <w:p w14:paraId="74D445BC">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孔隙-裂隙水</w:t>
            </w:r>
          </w:p>
        </w:tc>
        <w:tc>
          <w:tcPr>
            <w:tcW w:w="244" w:type="pct"/>
            <w:tcBorders>
              <w:tl2br w:val="nil"/>
              <w:tr2bl w:val="nil"/>
            </w:tcBorders>
            <w:shd w:val="clear" w:color="auto" w:fill="auto"/>
            <w:noWrap w:val="0"/>
            <w:vAlign w:val="center"/>
          </w:tcPr>
          <w:p w14:paraId="1EAF1B8B">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112</w:t>
            </w:r>
          </w:p>
        </w:tc>
        <w:tc>
          <w:tcPr>
            <w:tcW w:w="938" w:type="pct"/>
            <w:tcBorders>
              <w:tl2br w:val="nil"/>
              <w:tr2bl w:val="nil"/>
            </w:tcBorders>
            <w:shd w:val="clear" w:color="auto" w:fill="auto"/>
            <w:noWrap w:val="0"/>
            <w:vAlign w:val="center"/>
          </w:tcPr>
          <w:p w14:paraId="7DE4321B">
            <w:pPr>
              <w:widowControl/>
              <w:snapToGrid w:val="0"/>
              <w:spacing w:line="240" w:lineRule="auto"/>
              <w:ind w:firstLine="0" w:firstLineChars="0"/>
              <w:jc w:val="center"/>
              <w:rPr>
                <w:rFonts w:hint="default" w:ascii="Times New Roman" w:hAnsi="Times New Roman"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同乐乡同乐村任国桥、杨万里、施家屯，赵英屯、刘老坦、山头、彭德广、同富村老候家屯、老隋家屯、王义柱、邹万金、宋得先、腰屯、姜家屯、田万良、周家唐坊、同发村刘玉屯、南城张屯、程发德、商窑屯、宋方屯；山湾屯、川立杆</w:t>
            </w:r>
          </w:p>
        </w:tc>
        <w:tc>
          <w:tcPr>
            <w:tcW w:w="339" w:type="pct"/>
            <w:tcBorders>
              <w:tl2br w:val="nil"/>
              <w:tr2bl w:val="nil"/>
            </w:tcBorders>
            <w:shd w:val="clear" w:color="auto" w:fill="auto"/>
            <w:noWrap w:val="0"/>
            <w:vAlign w:val="center"/>
          </w:tcPr>
          <w:p w14:paraId="1CA5EE1D">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10800</w:t>
            </w:r>
          </w:p>
        </w:tc>
        <w:tc>
          <w:tcPr>
            <w:tcW w:w="296" w:type="pct"/>
            <w:tcBorders>
              <w:tl2br w:val="nil"/>
              <w:tr2bl w:val="nil"/>
            </w:tcBorders>
            <w:shd w:val="clear" w:color="auto" w:fill="auto"/>
            <w:noWrap w:val="0"/>
            <w:vAlign w:val="center"/>
          </w:tcPr>
          <w:p w14:paraId="730A0E73">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锰砂过滤、紫外线消毒</w:t>
            </w:r>
          </w:p>
        </w:tc>
      </w:tr>
      <w:tr w14:paraId="1C40EE9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57" w:type="dxa"/>
            <w:bottom w:w="0" w:type="dxa"/>
            <w:right w:w="57" w:type="dxa"/>
          </w:tblCellMar>
        </w:tblPrEx>
        <w:trPr>
          <w:trHeight w:val="90" w:hRule="atLeast"/>
        </w:trPr>
        <w:tc>
          <w:tcPr>
            <w:tcW w:w="158" w:type="pct"/>
            <w:vMerge w:val="continue"/>
            <w:tcBorders>
              <w:tl2br w:val="nil"/>
              <w:tr2bl w:val="nil"/>
            </w:tcBorders>
            <w:noWrap w:val="0"/>
            <w:vAlign w:val="center"/>
          </w:tcPr>
          <w:p w14:paraId="30D8623F">
            <w:pPr>
              <w:widowControl/>
              <w:snapToGrid w:val="0"/>
              <w:spacing w:line="240" w:lineRule="auto"/>
              <w:ind w:firstLine="0" w:firstLineChars="0"/>
              <w:jc w:val="center"/>
              <w:rPr>
                <w:rFonts w:hint="eastAsia" w:cs="Times New Roman"/>
                <w:color w:val="auto"/>
                <w:kern w:val="0"/>
                <w:sz w:val="21"/>
                <w:szCs w:val="21"/>
                <w:highlight w:val="none"/>
                <w:lang w:val="en-US" w:eastAsia="zh-CN"/>
              </w:rPr>
            </w:pPr>
          </w:p>
        </w:tc>
        <w:tc>
          <w:tcPr>
            <w:tcW w:w="515" w:type="pct"/>
            <w:tcBorders>
              <w:tl2br w:val="nil"/>
              <w:tr2bl w:val="nil"/>
            </w:tcBorders>
            <w:shd w:val="clear" w:color="auto" w:fill="auto"/>
            <w:noWrap w:val="0"/>
            <w:vAlign w:val="center"/>
          </w:tcPr>
          <w:p w14:paraId="0CE68001">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同乐乡同庆村王振河饮用水水源地</w:t>
            </w:r>
          </w:p>
        </w:tc>
        <w:tc>
          <w:tcPr>
            <w:tcW w:w="252" w:type="pct"/>
            <w:tcBorders>
              <w:tl2br w:val="nil"/>
              <w:tr2bl w:val="nil"/>
            </w:tcBorders>
            <w:shd w:val="clear" w:color="auto" w:fill="auto"/>
            <w:noWrap w:val="0"/>
            <w:vAlign w:val="center"/>
          </w:tcPr>
          <w:p w14:paraId="1944EC36">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1#</w:t>
            </w:r>
          </w:p>
        </w:tc>
        <w:tc>
          <w:tcPr>
            <w:tcW w:w="503" w:type="pct"/>
            <w:tcBorders>
              <w:tl2br w:val="nil"/>
              <w:tr2bl w:val="nil"/>
            </w:tcBorders>
            <w:shd w:val="clear" w:color="auto" w:fill="auto"/>
            <w:noWrap w:val="0"/>
            <w:vAlign w:val="center"/>
          </w:tcPr>
          <w:p w14:paraId="7ECD4FD2">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127°29’01.54”</w:t>
            </w:r>
          </w:p>
        </w:tc>
        <w:tc>
          <w:tcPr>
            <w:tcW w:w="488" w:type="pct"/>
            <w:tcBorders>
              <w:tl2br w:val="nil"/>
              <w:tr2bl w:val="nil"/>
            </w:tcBorders>
            <w:shd w:val="clear" w:color="auto" w:fill="auto"/>
            <w:noWrap w:val="0"/>
            <w:vAlign w:val="center"/>
          </w:tcPr>
          <w:p w14:paraId="29C2073E">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47°08’17.84”</w:t>
            </w:r>
          </w:p>
        </w:tc>
        <w:tc>
          <w:tcPr>
            <w:tcW w:w="275" w:type="pct"/>
            <w:tcBorders>
              <w:tl2br w:val="nil"/>
              <w:tr2bl w:val="nil"/>
            </w:tcBorders>
            <w:shd w:val="clear" w:color="auto" w:fill="auto"/>
            <w:noWrap w:val="0"/>
            <w:vAlign w:val="center"/>
          </w:tcPr>
          <w:p w14:paraId="1605E822">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2011</w:t>
            </w:r>
          </w:p>
        </w:tc>
        <w:tc>
          <w:tcPr>
            <w:tcW w:w="318" w:type="pct"/>
            <w:tcBorders>
              <w:tl2br w:val="nil"/>
              <w:tr2bl w:val="nil"/>
            </w:tcBorders>
            <w:shd w:val="clear" w:color="auto" w:fill="auto"/>
            <w:noWrap w:val="0"/>
            <w:vAlign w:val="center"/>
          </w:tcPr>
          <w:p w14:paraId="062BB67A">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 xml:space="preserve">325 </w:t>
            </w:r>
          </w:p>
        </w:tc>
        <w:tc>
          <w:tcPr>
            <w:tcW w:w="270" w:type="pct"/>
            <w:tcBorders>
              <w:tl2br w:val="nil"/>
              <w:tr2bl w:val="nil"/>
            </w:tcBorders>
            <w:shd w:val="clear" w:color="auto" w:fill="auto"/>
            <w:noWrap w:val="0"/>
            <w:vAlign w:val="center"/>
          </w:tcPr>
          <w:p w14:paraId="4B221777">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承压水</w:t>
            </w:r>
          </w:p>
        </w:tc>
        <w:tc>
          <w:tcPr>
            <w:tcW w:w="397" w:type="pct"/>
            <w:tcBorders>
              <w:tl2br w:val="nil"/>
              <w:tr2bl w:val="nil"/>
            </w:tcBorders>
            <w:shd w:val="clear" w:color="auto" w:fill="auto"/>
            <w:noWrap w:val="0"/>
            <w:vAlign w:val="center"/>
          </w:tcPr>
          <w:p w14:paraId="3B272947">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孔隙-裂隙水</w:t>
            </w:r>
          </w:p>
        </w:tc>
        <w:tc>
          <w:tcPr>
            <w:tcW w:w="244" w:type="pct"/>
            <w:tcBorders>
              <w:tl2br w:val="nil"/>
              <w:tr2bl w:val="nil"/>
            </w:tcBorders>
            <w:shd w:val="clear" w:color="auto" w:fill="auto"/>
            <w:noWrap w:val="0"/>
            <w:vAlign w:val="center"/>
          </w:tcPr>
          <w:p w14:paraId="2E4BDA90">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102</w:t>
            </w:r>
          </w:p>
        </w:tc>
        <w:tc>
          <w:tcPr>
            <w:tcW w:w="938" w:type="pct"/>
            <w:tcBorders>
              <w:tl2br w:val="nil"/>
              <w:tr2bl w:val="nil"/>
            </w:tcBorders>
            <w:shd w:val="clear" w:color="auto" w:fill="auto"/>
            <w:noWrap w:val="0"/>
            <w:vAlign w:val="center"/>
          </w:tcPr>
          <w:p w14:paraId="75BEFFD5">
            <w:pPr>
              <w:widowControl/>
              <w:snapToGrid w:val="0"/>
              <w:spacing w:line="240" w:lineRule="auto"/>
              <w:ind w:firstLine="0" w:firstLineChars="0"/>
              <w:jc w:val="center"/>
              <w:rPr>
                <w:rFonts w:hint="default" w:ascii="Times New Roman" w:hAnsi="Times New Roman"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同庆村新庆屯、东升河屯、王振河、一撮毛、韩画匠、蚕场、老山头、小石队</w:t>
            </w:r>
          </w:p>
        </w:tc>
        <w:tc>
          <w:tcPr>
            <w:tcW w:w="339" w:type="pct"/>
            <w:tcBorders>
              <w:tl2br w:val="nil"/>
              <w:tr2bl w:val="nil"/>
            </w:tcBorders>
            <w:shd w:val="clear" w:color="auto" w:fill="auto"/>
            <w:noWrap w:val="0"/>
            <w:vAlign w:val="center"/>
          </w:tcPr>
          <w:p w14:paraId="45344999">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5419</w:t>
            </w:r>
          </w:p>
        </w:tc>
        <w:tc>
          <w:tcPr>
            <w:tcW w:w="296" w:type="pct"/>
            <w:tcBorders>
              <w:tl2br w:val="nil"/>
              <w:tr2bl w:val="nil"/>
            </w:tcBorders>
            <w:shd w:val="clear" w:color="auto" w:fill="auto"/>
            <w:noWrap w:val="0"/>
            <w:vAlign w:val="center"/>
          </w:tcPr>
          <w:p w14:paraId="3649312C">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除铁锰过滤</w:t>
            </w:r>
          </w:p>
        </w:tc>
      </w:tr>
      <w:tr w14:paraId="5807435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57" w:type="dxa"/>
            <w:bottom w:w="0" w:type="dxa"/>
            <w:right w:w="57" w:type="dxa"/>
          </w:tblCellMar>
        </w:tblPrEx>
        <w:trPr>
          <w:trHeight w:val="482" w:hRule="atLeast"/>
        </w:trPr>
        <w:tc>
          <w:tcPr>
            <w:tcW w:w="158" w:type="pct"/>
            <w:vMerge w:val="continue"/>
            <w:tcBorders>
              <w:tl2br w:val="nil"/>
              <w:tr2bl w:val="nil"/>
            </w:tcBorders>
            <w:noWrap w:val="0"/>
            <w:vAlign w:val="center"/>
          </w:tcPr>
          <w:p w14:paraId="7ED075F5">
            <w:pPr>
              <w:widowControl/>
              <w:snapToGrid w:val="0"/>
              <w:spacing w:line="240" w:lineRule="auto"/>
              <w:ind w:firstLine="0" w:firstLineChars="0"/>
              <w:jc w:val="center"/>
              <w:rPr>
                <w:rFonts w:hint="eastAsia" w:cs="Times New Roman"/>
                <w:color w:val="auto"/>
                <w:kern w:val="0"/>
                <w:sz w:val="21"/>
                <w:szCs w:val="21"/>
                <w:highlight w:val="none"/>
                <w:lang w:val="en-US" w:eastAsia="zh-CN"/>
              </w:rPr>
            </w:pPr>
          </w:p>
        </w:tc>
        <w:tc>
          <w:tcPr>
            <w:tcW w:w="515" w:type="pct"/>
            <w:tcBorders>
              <w:tl2br w:val="nil"/>
              <w:tr2bl w:val="nil"/>
            </w:tcBorders>
            <w:shd w:val="clear" w:color="auto" w:fill="auto"/>
            <w:noWrap w:val="0"/>
            <w:vAlign w:val="center"/>
          </w:tcPr>
          <w:p w14:paraId="5094972B">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同乐乡同兴村沟里饮用水水源地</w:t>
            </w:r>
          </w:p>
        </w:tc>
        <w:tc>
          <w:tcPr>
            <w:tcW w:w="252" w:type="pct"/>
            <w:tcBorders>
              <w:tl2br w:val="nil"/>
              <w:tr2bl w:val="nil"/>
            </w:tcBorders>
            <w:shd w:val="clear" w:color="auto" w:fill="auto"/>
            <w:noWrap w:val="0"/>
            <w:vAlign w:val="center"/>
          </w:tcPr>
          <w:p w14:paraId="6A127C86">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1#</w:t>
            </w:r>
          </w:p>
        </w:tc>
        <w:tc>
          <w:tcPr>
            <w:tcW w:w="503" w:type="pct"/>
            <w:tcBorders>
              <w:tl2br w:val="nil"/>
              <w:tr2bl w:val="nil"/>
            </w:tcBorders>
            <w:shd w:val="clear" w:color="auto" w:fill="auto"/>
            <w:noWrap w:val="0"/>
            <w:vAlign w:val="center"/>
          </w:tcPr>
          <w:p w14:paraId="2C794CAB">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127°25’15.21”</w:t>
            </w:r>
          </w:p>
        </w:tc>
        <w:tc>
          <w:tcPr>
            <w:tcW w:w="488" w:type="pct"/>
            <w:tcBorders>
              <w:tl2br w:val="nil"/>
              <w:tr2bl w:val="nil"/>
            </w:tcBorders>
            <w:shd w:val="clear" w:color="auto" w:fill="auto"/>
            <w:noWrap w:val="0"/>
            <w:vAlign w:val="center"/>
          </w:tcPr>
          <w:p w14:paraId="791B2A2C">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47°05’31.31”</w:t>
            </w:r>
          </w:p>
        </w:tc>
        <w:tc>
          <w:tcPr>
            <w:tcW w:w="275" w:type="pct"/>
            <w:tcBorders>
              <w:tl2br w:val="nil"/>
              <w:tr2bl w:val="nil"/>
            </w:tcBorders>
            <w:shd w:val="clear" w:color="auto" w:fill="auto"/>
            <w:noWrap w:val="0"/>
            <w:vAlign w:val="center"/>
          </w:tcPr>
          <w:p w14:paraId="2810079C">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2010</w:t>
            </w:r>
          </w:p>
        </w:tc>
        <w:tc>
          <w:tcPr>
            <w:tcW w:w="318" w:type="pct"/>
            <w:tcBorders>
              <w:tl2br w:val="nil"/>
              <w:tr2bl w:val="nil"/>
            </w:tcBorders>
            <w:shd w:val="clear" w:color="auto" w:fill="auto"/>
            <w:noWrap w:val="0"/>
            <w:vAlign w:val="center"/>
          </w:tcPr>
          <w:p w14:paraId="31747776">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 xml:space="preserve">110 </w:t>
            </w:r>
          </w:p>
        </w:tc>
        <w:tc>
          <w:tcPr>
            <w:tcW w:w="270" w:type="pct"/>
            <w:tcBorders>
              <w:tl2br w:val="nil"/>
              <w:tr2bl w:val="nil"/>
            </w:tcBorders>
            <w:shd w:val="clear" w:color="auto" w:fill="auto"/>
            <w:noWrap w:val="0"/>
            <w:vAlign w:val="center"/>
          </w:tcPr>
          <w:p w14:paraId="45F95DE7">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承压水</w:t>
            </w:r>
          </w:p>
        </w:tc>
        <w:tc>
          <w:tcPr>
            <w:tcW w:w="397" w:type="pct"/>
            <w:tcBorders>
              <w:tl2br w:val="nil"/>
              <w:tr2bl w:val="nil"/>
            </w:tcBorders>
            <w:shd w:val="clear" w:color="auto" w:fill="auto"/>
            <w:noWrap w:val="0"/>
            <w:vAlign w:val="center"/>
          </w:tcPr>
          <w:p w14:paraId="7667F36E">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孔隙水，孔隙-裂隙水</w:t>
            </w:r>
          </w:p>
        </w:tc>
        <w:tc>
          <w:tcPr>
            <w:tcW w:w="244" w:type="pct"/>
            <w:tcBorders>
              <w:tl2br w:val="nil"/>
              <w:tr2bl w:val="nil"/>
            </w:tcBorders>
            <w:shd w:val="clear" w:color="auto" w:fill="auto"/>
            <w:noWrap w:val="0"/>
            <w:vAlign w:val="center"/>
          </w:tcPr>
          <w:p w14:paraId="1CE9AAA6">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55</w:t>
            </w:r>
          </w:p>
        </w:tc>
        <w:tc>
          <w:tcPr>
            <w:tcW w:w="938" w:type="pct"/>
            <w:tcBorders>
              <w:tl2br w:val="nil"/>
              <w:tr2bl w:val="nil"/>
            </w:tcBorders>
            <w:shd w:val="clear" w:color="auto" w:fill="auto"/>
            <w:noWrap w:val="0"/>
            <w:vAlign w:val="center"/>
          </w:tcPr>
          <w:p w14:paraId="19C4F288">
            <w:pPr>
              <w:widowControl/>
              <w:snapToGrid w:val="0"/>
              <w:spacing w:line="240" w:lineRule="auto"/>
              <w:ind w:firstLine="0" w:firstLineChars="0"/>
              <w:jc w:val="center"/>
              <w:rPr>
                <w:rFonts w:hint="default" w:ascii="Times New Roman" w:hAnsi="Times New Roman"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同兴村曲家屯、沟里屯、刘油坊、刘玉彬</w:t>
            </w:r>
          </w:p>
        </w:tc>
        <w:tc>
          <w:tcPr>
            <w:tcW w:w="339" w:type="pct"/>
            <w:tcBorders>
              <w:tl2br w:val="nil"/>
              <w:tr2bl w:val="nil"/>
            </w:tcBorders>
            <w:shd w:val="clear" w:color="auto" w:fill="auto"/>
            <w:noWrap w:val="0"/>
            <w:vAlign w:val="center"/>
          </w:tcPr>
          <w:p w14:paraId="49611033">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1834</w:t>
            </w:r>
          </w:p>
        </w:tc>
        <w:tc>
          <w:tcPr>
            <w:tcW w:w="296" w:type="pct"/>
            <w:tcBorders>
              <w:tl2br w:val="nil"/>
              <w:tr2bl w:val="nil"/>
            </w:tcBorders>
            <w:shd w:val="clear" w:color="auto" w:fill="auto"/>
            <w:noWrap w:val="0"/>
            <w:vAlign w:val="center"/>
          </w:tcPr>
          <w:p w14:paraId="25205DDE">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除铁锰过滤</w:t>
            </w:r>
          </w:p>
        </w:tc>
      </w:tr>
      <w:tr w14:paraId="03FFAAC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57" w:type="dxa"/>
            <w:bottom w:w="0" w:type="dxa"/>
            <w:right w:w="57" w:type="dxa"/>
          </w:tblCellMar>
        </w:tblPrEx>
        <w:trPr>
          <w:trHeight w:val="482" w:hRule="atLeast"/>
        </w:trPr>
        <w:tc>
          <w:tcPr>
            <w:tcW w:w="158" w:type="pct"/>
            <w:vMerge w:val="continue"/>
            <w:tcBorders>
              <w:tl2br w:val="nil"/>
              <w:tr2bl w:val="nil"/>
            </w:tcBorders>
            <w:noWrap w:val="0"/>
            <w:vAlign w:val="center"/>
          </w:tcPr>
          <w:p w14:paraId="55D9667F">
            <w:pPr>
              <w:widowControl/>
              <w:snapToGrid w:val="0"/>
              <w:spacing w:line="240" w:lineRule="auto"/>
              <w:ind w:firstLine="0" w:firstLineChars="0"/>
              <w:jc w:val="center"/>
              <w:rPr>
                <w:rFonts w:hint="eastAsia" w:cs="Times New Roman"/>
                <w:color w:val="auto"/>
                <w:kern w:val="0"/>
                <w:sz w:val="21"/>
                <w:szCs w:val="21"/>
                <w:highlight w:val="none"/>
                <w:lang w:val="en-US" w:eastAsia="zh-CN"/>
              </w:rPr>
            </w:pPr>
          </w:p>
        </w:tc>
        <w:tc>
          <w:tcPr>
            <w:tcW w:w="515" w:type="pct"/>
            <w:tcBorders>
              <w:tl2br w:val="nil"/>
              <w:tr2bl w:val="nil"/>
            </w:tcBorders>
            <w:shd w:val="clear" w:color="auto" w:fill="auto"/>
            <w:noWrap w:val="0"/>
            <w:vAlign w:val="center"/>
          </w:tcPr>
          <w:p w14:paraId="09FAFA32">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同乐乡大老总饮用水水源地</w:t>
            </w:r>
          </w:p>
        </w:tc>
        <w:tc>
          <w:tcPr>
            <w:tcW w:w="252" w:type="pct"/>
            <w:tcBorders>
              <w:tl2br w:val="nil"/>
              <w:tr2bl w:val="nil"/>
            </w:tcBorders>
            <w:shd w:val="clear" w:color="auto" w:fill="auto"/>
            <w:noWrap w:val="0"/>
            <w:vAlign w:val="center"/>
          </w:tcPr>
          <w:p w14:paraId="5C4EB376">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1#</w:t>
            </w:r>
          </w:p>
        </w:tc>
        <w:tc>
          <w:tcPr>
            <w:tcW w:w="503" w:type="pct"/>
            <w:tcBorders>
              <w:tl2br w:val="nil"/>
              <w:tr2bl w:val="nil"/>
            </w:tcBorders>
            <w:shd w:val="clear" w:color="auto" w:fill="auto"/>
            <w:noWrap w:val="0"/>
            <w:vAlign w:val="center"/>
          </w:tcPr>
          <w:p w14:paraId="71BA648C">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127°26’38.44”</w:t>
            </w:r>
          </w:p>
        </w:tc>
        <w:tc>
          <w:tcPr>
            <w:tcW w:w="488" w:type="pct"/>
            <w:tcBorders>
              <w:tl2br w:val="nil"/>
              <w:tr2bl w:val="nil"/>
            </w:tcBorders>
            <w:shd w:val="clear" w:color="auto" w:fill="auto"/>
            <w:noWrap w:val="0"/>
            <w:vAlign w:val="center"/>
          </w:tcPr>
          <w:p w14:paraId="60032CC4">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47°06’40.38”</w:t>
            </w:r>
          </w:p>
        </w:tc>
        <w:tc>
          <w:tcPr>
            <w:tcW w:w="275" w:type="pct"/>
            <w:tcBorders>
              <w:tl2br w:val="nil"/>
              <w:tr2bl w:val="nil"/>
            </w:tcBorders>
            <w:shd w:val="clear" w:color="auto" w:fill="auto"/>
            <w:noWrap w:val="0"/>
            <w:vAlign w:val="center"/>
          </w:tcPr>
          <w:p w14:paraId="10C59C87">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2015</w:t>
            </w:r>
          </w:p>
        </w:tc>
        <w:tc>
          <w:tcPr>
            <w:tcW w:w="318" w:type="pct"/>
            <w:tcBorders>
              <w:tl2br w:val="nil"/>
              <w:tr2bl w:val="nil"/>
            </w:tcBorders>
            <w:shd w:val="clear" w:color="auto" w:fill="auto"/>
            <w:noWrap w:val="0"/>
            <w:vAlign w:val="center"/>
          </w:tcPr>
          <w:p w14:paraId="47127445">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 xml:space="preserve">115 </w:t>
            </w:r>
          </w:p>
        </w:tc>
        <w:tc>
          <w:tcPr>
            <w:tcW w:w="270" w:type="pct"/>
            <w:tcBorders>
              <w:tl2br w:val="nil"/>
              <w:tr2bl w:val="nil"/>
            </w:tcBorders>
            <w:shd w:val="clear" w:color="auto" w:fill="auto"/>
            <w:noWrap w:val="0"/>
            <w:vAlign w:val="center"/>
          </w:tcPr>
          <w:p w14:paraId="41609601">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承压水</w:t>
            </w:r>
          </w:p>
        </w:tc>
        <w:tc>
          <w:tcPr>
            <w:tcW w:w="397" w:type="pct"/>
            <w:tcBorders>
              <w:tl2br w:val="nil"/>
              <w:tr2bl w:val="nil"/>
            </w:tcBorders>
            <w:shd w:val="clear" w:color="auto" w:fill="auto"/>
            <w:noWrap w:val="0"/>
            <w:vAlign w:val="center"/>
          </w:tcPr>
          <w:p w14:paraId="73D524EB">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孔隙水，孔隙-裂隙水</w:t>
            </w:r>
          </w:p>
        </w:tc>
        <w:tc>
          <w:tcPr>
            <w:tcW w:w="244" w:type="pct"/>
            <w:tcBorders>
              <w:tl2br w:val="nil"/>
              <w:tr2bl w:val="nil"/>
            </w:tcBorders>
            <w:shd w:val="clear" w:color="auto" w:fill="auto"/>
            <w:noWrap w:val="0"/>
            <w:vAlign w:val="center"/>
          </w:tcPr>
          <w:p w14:paraId="650F1485">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51</w:t>
            </w:r>
          </w:p>
        </w:tc>
        <w:tc>
          <w:tcPr>
            <w:tcW w:w="938" w:type="pct"/>
            <w:tcBorders>
              <w:tl2br w:val="nil"/>
              <w:tr2bl w:val="nil"/>
            </w:tcBorders>
            <w:shd w:val="clear" w:color="auto" w:fill="auto"/>
            <w:noWrap w:val="0"/>
            <w:vAlign w:val="center"/>
          </w:tcPr>
          <w:p w14:paraId="5086DDBF">
            <w:pPr>
              <w:widowControl/>
              <w:snapToGrid w:val="0"/>
              <w:spacing w:line="240" w:lineRule="auto"/>
              <w:ind w:firstLine="0" w:firstLineChars="0"/>
              <w:jc w:val="center"/>
              <w:rPr>
                <w:rFonts w:hint="default" w:ascii="Times New Roman" w:hAnsi="Times New Roman"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大老总、四合成、郝家炉</w:t>
            </w:r>
          </w:p>
        </w:tc>
        <w:tc>
          <w:tcPr>
            <w:tcW w:w="339" w:type="pct"/>
            <w:tcBorders>
              <w:tl2br w:val="nil"/>
              <w:tr2bl w:val="nil"/>
            </w:tcBorders>
            <w:shd w:val="clear" w:color="auto" w:fill="auto"/>
            <w:noWrap w:val="0"/>
            <w:vAlign w:val="center"/>
          </w:tcPr>
          <w:p w14:paraId="513722A3">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1924</w:t>
            </w:r>
          </w:p>
        </w:tc>
        <w:tc>
          <w:tcPr>
            <w:tcW w:w="296" w:type="pct"/>
            <w:tcBorders>
              <w:tl2br w:val="nil"/>
              <w:tr2bl w:val="nil"/>
            </w:tcBorders>
            <w:shd w:val="clear" w:color="auto" w:fill="auto"/>
            <w:noWrap w:val="0"/>
            <w:vAlign w:val="center"/>
          </w:tcPr>
          <w:p w14:paraId="39D7DB33">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除铁锰过滤</w:t>
            </w:r>
          </w:p>
        </w:tc>
      </w:tr>
      <w:tr w14:paraId="31C37E7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57" w:type="dxa"/>
            <w:bottom w:w="0" w:type="dxa"/>
            <w:right w:w="57" w:type="dxa"/>
          </w:tblCellMar>
        </w:tblPrEx>
        <w:trPr>
          <w:trHeight w:val="90" w:hRule="atLeast"/>
        </w:trPr>
        <w:tc>
          <w:tcPr>
            <w:tcW w:w="158" w:type="pct"/>
            <w:vMerge w:val="restart"/>
            <w:tcBorders>
              <w:tl2br w:val="nil"/>
              <w:tr2bl w:val="nil"/>
            </w:tcBorders>
            <w:noWrap w:val="0"/>
            <w:vAlign w:val="center"/>
          </w:tcPr>
          <w:p w14:paraId="3A6693E2">
            <w:pPr>
              <w:widowControl/>
              <w:snapToGrid w:val="0"/>
              <w:spacing w:line="240" w:lineRule="auto"/>
              <w:ind w:firstLine="0" w:firstLineChars="0"/>
              <w:jc w:val="center"/>
              <w:rPr>
                <w:rFonts w:hint="eastAsia"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柳河镇</w:t>
            </w:r>
          </w:p>
        </w:tc>
        <w:tc>
          <w:tcPr>
            <w:tcW w:w="515" w:type="pct"/>
            <w:tcBorders>
              <w:tl2br w:val="nil"/>
              <w:tr2bl w:val="nil"/>
            </w:tcBorders>
            <w:shd w:val="clear" w:color="auto" w:fill="auto"/>
            <w:noWrap w:val="0"/>
            <w:vAlign w:val="center"/>
          </w:tcPr>
          <w:p w14:paraId="4C2FC0C3">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新胜乡新胜村饮用水水源地</w:t>
            </w:r>
          </w:p>
        </w:tc>
        <w:tc>
          <w:tcPr>
            <w:tcW w:w="252" w:type="pct"/>
            <w:tcBorders>
              <w:tl2br w:val="nil"/>
              <w:tr2bl w:val="nil"/>
            </w:tcBorders>
            <w:shd w:val="clear" w:color="auto" w:fill="auto"/>
            <w:noWrap w:val="0"/>
            <w:vAlign w:val="center"/>
          </w:tcPr>
          <w:p w14:paraId="73B6C052">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1#</w:t>
            </w:r>
          </w:p>
        </w:tc>
        <w:tc>
          <w:tcPr>
            <w:tcW w:w="503" w:type="pct"/>
            <w:tcBorders>
              <w:tl2br w:val="nil"/>
              <w:tr2bl w:val="nil"/>
            </w:tcBorders>
            <w:shd w:val="clear" w:color="auto" w:fill="auto"/>
            <w:noWrap w:val="0"/>
            <w:vAlign w:val="center"/>
          </w:tcPr>
          <w:p w14:paraId="5988961F">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127°44’20.24”</w:t>
            </w:r>
          </w:p>
        </w:tc>
        <w:tc>
          <w:tcPr>
            <w:tcW w:w="488" w:type="pct"/>
            <w:tcBorders>
              <w:tl2br w:val="nil"/>
              <w:tr2bl w:val="nil"/>
            </w:tcBorders>
            <w:shd w:val="clear" w:color="auto" w:fill="auto"/>
            <w:noWrap w:val="0"/>
            <w:vAlign w:val="center"/>
          </w:tcPr>
          <w:p w14:paraId="268F8285">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46°45’32.82”</w:t>
            </w:r>
          </w:p>
        </w:tc>
        <w:tc>
          <w:tcPr>
            <w:tcW w:w="275" w:type="pct"/>
            <w:tcBorders>
              <w:tl2br w:val="nil"/>
              <w:tr2bl w:val="nil"/>
            </w:tcBorders>
            <w:shd w:val="clear" w:color="auto" w:fill="auto"/>
            <w:noWrap w:val="0"/>
            <w:vAlign w:val="center"/>
          </w:tcPr>
          <w:p w14:paraId="10F0E24E">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2012</w:t>
            </w:r>
          </w:p>
        </w:tc>
        <w:tc>
          <w:tcPr>
            <w:tcW w:w="318" w:type="pct"/>
            <w:tcBorders>
              <w:tl2br w:val="nil"/>
              <w:tr2bl w:val="nil"/>
            </w:tcBorders>
            <w:shd w:val="clear" w:color="auto" w:fill="auto"/>
            <w:noWrap w:val="0"/>
            <w:vAlign w:val="center"/>
          </w:tcPr>
          <w:p w14:paraId="02646846">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 xml:space="preserve">372 </w:t>
            </w:r>
          </w:p>
        </w:tc>
        <w:tc>
          <w:tcPr>
            <w:tcW w:w="270" w:type="pct"/>
            <w:tcBorders>
              <w:tl2br w:val="nil"/>
              <w:tr2bl w:val="nil"/>
            </w:tcBorders>
            <w:shd w:val="clear" w:color="auto" w:fill="auto"/>
            <w:noWrap w:val="0"/>
            <w:vAlign w:val="center"/>
          </w:tcPr>
          <w:p w14:paraId="66E717AC">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承压水</w:t>
            </w:r>
          </w:p>
        </w:tc>
        <w:tc>
          <w:tcPr>
            <w:tcW w:w="397" w:type="pct"/>
            <w:tcBorders>
              <w:tl2br w:val="nil"/>
              <w:tr2bl w:val="nil"/>
            </w:tcBorders>
            <w:shd w:val="clear" w:color="auto" w:fill="auto"/>
            <w:noWrap w:val="0"/>
            <w:vAlign w:val="center"/>
          </w:tcPr>
          <w:p w14:paraId="5F3D368F">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孔隙水，孔隙-裂隙水</w:t>
            </w:r>
          </w:p>
        </w:tc>
        <w:tc>
          <w:tcPr>
            <w:tcW w:w="244" w:type="pct"/>
            <w:tcBorders>
              <w:tl2br w:val="nil"/>
              <w:tr2bl w:val="nil"/>
            </w:tcBorders>
            <w:shd w:val="clear" w:color="auto" w:fill="auto"/>
            <w:noWrap w:val="0"/>
            <w:vAlign w:val="center"/>
          </w:tcPr>
          <w:p w14:paraId="19CE8855">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65</w:t>
            </w:r>
          </w:p>
        </w:tc>
        <w:tc>
          <w:tcPr>
            <w:tcW w:w="938" w:type="pct"/>
            <w:tcBorders>
              <w:tl2br w:val="nil"/>
              <w:tr2bl w:val="nil"/>
            </w:tcBorders>
            <w:shd w:val="clear" w:color="auto" w:fill="auto"/>
            <w:noWrap w:val="0"/>
            <w:vAlign w:val="center"/>
          </w:tcPr>
          <w:p w14:paraId="37785EF0">
            <w:pPr>
              <w:widowControl/>
              <w:snapToGrid w:val="0"/>
              <w:spacing w:line="240" w:lineRule="auto"/>
              <w:ind w:firstLine="0" w:firstLineChars="0"/>
              <w:jc w:val="center"/>
              <w:rPr>
                <w:rFonts w:hint="default" w:ascii="Times New Roman" w:hAnsi="Times New Roman"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新柳村牛天成屯、腰围屯、西南围子、青山屯、许连长、新立屯；新胜村西魏屯、刘宝善屯、孙江屯、新胜屯、东魏屯</w:t>
            </w:r>
          </w:p>
        </w:tc>
        <w:tc>
          <w:tcPr>
            <w:tcW w:w="339" w:type="pct"/>
            <w:tcBorders>
              <w:tl2br w:val="nil"/>
              <w:tr2bl w:val="nil"/>
            </w:tcBorders>
            <w:shd w:val="clear" w:color="auto" w:fill="auto"/>
            <w:noWrap w:val="0"/>
            <w:vAlign w:val="center"/>
          </w:tcPr>
          <w:p w14:paraId="4794A01E">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6192</w:t>
            </w:r>
          </w:p>
        </w:tc>
        <w:tc>
          <w:tcPr>
            <w:tcW w:w="296" w:type="pct"/>
            <w:tcBorders>
              <w:tl2br w:val="nil"/>
              <w:tr2bl w:val="nil"/>
            </w:tcBorders>
            <w:shd w:val="clear" w:color="auto" w:fill="auto"/>
            <w:noWrap w:val="0"/>
            <w:vAlign w:val="center"/>
          </w:tcPr>
          <w:p w14:paraId="1DC51B39">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除铁锰过滤</w:t>
            </w:r>
          </w:p>
        </w:tc>
      </w:tr>
      <w:tr w14:paraId="07F15B0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57" w:type="dxa"/>
            <w:bottom w:w="0" w:type="dxa"/>
            <w:right w:w="57" w:type="dxa"/>
          </w:tblCellMar>
        </w:tblPrEx>
        <w:trPr>
          <w:trHeight w:val="482" w:hRule="atLeast"/>
        </w:trPr>
        <w:tc>
          <w:tcPr>
            <w:tcW w:w="158" w:type="pct"/>
            <w:vMerge w:val="continue"/>
            <w:tcBorders>
              <w:tl2br w:val="nil"/>
              <w:tr2bl w:val="nil"/>
            </w:tcBorders>
            <w:noWrap w:val="0"/>
            <w:vAlign w:val="center"/>
          </w:tcPr>
          <w:p w14:paraId="392B9A17">
            <w:pPr>
              <w:widowControl/>
              <w:snapToGrid w:val="0"/>
              <w:spacing w:line="240" w:lineRule="auto"/>
              <w:ind w:firstLine="0" w:firstLineChars="0"/>
              <w:jc w:val="center"/>
              <w:rPr>
                <w:rFonts w:hint="eastAsia" w:cs="Times New Roman"/>
                <w:color w:val="auto"/>
                <w:kern w:val="0"/>
                <w:sz w:val="21"/>
                <w:szCs w:val="21"/>
                <w:highlight w:val="none"/>
                <w:lang w:val="en-US" w:eastAsia="zh-CN"/>
              </w:rPr>
            </w:pPr>
          </w:p>
        </w:tc>
        <w:tc>
          <w:tcPr>
            <w:tcW w:w="515" w:type="pct"/>
            <w:tcBorders>
              <w:tl2br w:val="nil"/>
              <w:tr2bl w:val="nil"/>
            </w:tcBorders>
            <w:shd w:val="clear" w:color="auto" w:fill="auto"/>
            <w:noWrap w:val="0"/>
            <w:vAlign w:val="center"/>
          </w:tcPr>
          <w:p w14:paraId="32144948">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新胜乡新宏村饮用水水源地</w:t>
            </w:r>
          </w:p>
        </w:tc>
        <w:tc>
          <w:tcPr>
            <w:tcW w:w="252" w:type="pct"/>
            <w:tcBorders>
              <w:tl2br w:val="nil"/>
              <w:tr2bl w:val="nil"/>
            </w:tcBorders>
            <w:shd w:val="clear" w:color="auto" w:fill="auto"/>
            <w:noWrap w:val="0"/>
            <w:vAlign w:val="center"/>
          </w:tcPr>
          <w:p w14:paraId="08C532FA">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1#</w:t>
            </w:r>
          </w:p>
        </w:tc>
        <w:tc>
          <w:tcPr>
            <w:tcW w:w="503" w:type="pct"/>
            <w:tcBorders>
              <w:tl2br w:val="nil"/>
              <w:tr2bl w:val="nil"/>
            </w:tcBorders>
            <w:shd w:val="clear" w:color="auto" w:fill="auto"/>
            <w:noWrap w:val="0"/>
            <w:vAlign w:val="center"/>
          </w:tcPr>
          <w:p w14:paraId="4D2BC281">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127°41’56.95”</w:t>
            </w:r>
          </w:p>
        </w:tc>
        <w:tc>
          <w:tcPr>
            <w:tcW w:w="488" w:type="pct"/>
            <w:tcBorders>
              <w:tl2br w:val="nil"/>
              <w:tr2bl w:val="nil"/>
            </w:tcBorders>
            <w:shd w:val="clear" w:color="auto" w:fill="auto"/>
            <w:noWrap w:val="0"/>
            <w:vAlign w:val="center"/>
          </w:tcPr>
          <w:p w14:paraId="3E9DAE1D">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46°43’05.15”</w:t>
            </w:r>
          </w:p>
        </w:tc>
        <w:tc>
          <w:tcPr>
            <w:tcW w:w="275" w:type="pct"/>
            <w:tcBorders>
              <w:tl2br w:val="nil"/>
              <w:tr2bl w:val="nil"/>
            </w:tcBorders>
            <w:shd w:val="clear" w:color="auto" w:fill="auto"/>
            <w:noWrap w:val="0"/>
            <w:vAlign w:val="center"/>
          </w:tcPr>
          <w:p w14:paraId="0ABEA6AF">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2012</w:t>
            </w:r>
          </w:p>
        </w:tc>
        <w:tc>
          <w:tcPr>
            <w:tcW w:w="318" w:type="pct"/>
            <w:tcBorders>
              <w:tl2br w:val="nil"/>
              <w:tr2bl w:val="nil"/>
            </w:tcBorders>
            <w:shd w:val="clear" w:color="auto" w:fill="auto"/>
            <w:noWrap w:val="0"/>
            <w:vAlign w:val="center"/>
          </w:tcPr>
          <w:p w14:paraId="1F5D7058">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 xml:space="preserve">246 </w:t>
            </w:r>
          </w:p>
        </w:tc>
        <w:tc>
          <w:tcPr>
            <w:tcW w:w="270" w:type="pct"/>
            <w:tcBorders>
              <w:tl2br w:val="nil"/>
              <w:tr2bl w:val="nil"/>
            </w:tcBorders>
            <w:shd w:val="clear" w:color="auto" w:fill="auto"/>
            <w:noWrap w:val="0"/>
            <w:vAlign w:val="center"/>
          </w:tcPr>
          <w:p w14:paraId="69D3CE40">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承压水</w:t>
            </w:r>
          </w:p>
        </w:tc>
        <w:tc>
          <w:tcPr>
            <w:tcW w:w="397" w:type="pct"/>
            <w:tcBorders>
              <w:tl2br w:val="nil"/>
              <w:tr2bl w:val="nil"/>
            </w:tcBorders>
            <w:shd w:val="clear" w:color="auto" w:fill="auto"/>
            <w:noWrap w:val="0"/>
            <w:vAlign w:val="center"/>
          </w:tcPr>
          <w:p w14:paraId="7897F7F2">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孔隙—裂隙承压水</w:t>
            </w:r>
          </w:p>
        </w:tc>
        <w:tc>
          <w:tcPr>
            <w:tcW w:w="244" w:type="pct"/>
            <w:tcBorders>
              <w:tl2br w:val="nil"/>
              <w:tr2bl w:val="nil"/>
            </w:tcBorders>
            <w:shd w:val="clear" w:color="auto" w:fill="auto"/>
            <w:noWrap w:val="0"/>
            <w:vAlign w:val="center"/>
          </w:tcPr>
          <w:p w14:paraId="3546CF20">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100</w:t>
            </w:r>
          </w:p>
        </w:tc>
        <w:tc>
          <w:tcPr>
            <w:tcW w:w="938" w:type="pct"/>
            <w:tcBorders>
              <w:tl2br w:val="nil"/>
              <w:tr2bl w:val="nil"/>
            </w:tcBorders>
            <w:shd w:val="clear" w:color="auto" w:fill="auto"/>
            <w:noWrap w:val="0"/>
            <w:vAlign w:val="center"/>
          </w:tcPr>
          <w:p w14:paraId="1B81C076">
            <w:pPr>
              <w:widowControl/>
              <w:snapToGrid w:val="0"/>
              <w:spacing w:line="240" w:lineRule="auto"/>
              <w:ind w:firstLine="0" w:firstLineChars="0"/>
              <w:jc w:val="center"/>
              <w:rPr>
                <w:rFonts w:hint="default" w:ascii="Times New Roman" w:hAnsi="Times New Roman"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新宏村三门李家、纪万才屯、新发屯、八里川屯、史家店屯；</w:t>
            </w:r>
          </w:p>
        </w:tc>
        <w:tc>
          <w:tcPr>
            <w:tcW w:w="339" w:type="pct"/>
            <w:tcBorders>
              <w:tl2br w:val="nil"/>
              <w:tr2bl w:val="nil"/>
            </w:tcBorders>
            <w:shd w:val="clear" w:color="auto" w:fill="auto"/>
            <w:noWrap w:val="0"/>
            <w:vAlign w:val="center"/>
          </w:tcPr>
          <w:p w14:paraId="51E0A0B8">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4100</w:t>
            </w:r>
          </w:p>
        </w:tc>
        <w:tc>
          <w:tcPr>
            <w:tcW w:w="296" w:type="pct"/>
            <w:tcBorders>
              <w:tl2br w:val="nil"/>
              <w:tr2bl w:val="nil"/>
            </w:tcBorders>
            <w:shd w:val="clear" w:color="auto" w:fill="auto"/>
            <w:noWrap w:val="0"/>
            <w:vAlign w:val="center"/>
          </w:tcPr>
          <w:p w14:paraId="421D7CA7">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除铁锰过滤</w:t>
            </w:r>
          </w:p>
        </w:tc>
      </w:tr>
      <w:tr w14:paraId="128F3E5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57" w:type="dxa"/>
            <w:bottom w:w="0" w:type="dxa"/>
            <w:right w:w="57" w:type="dxa"/>
          </w:tblCellMar>
        </w:tblPrEx>
        <w:trPr>
          <w:trHeight w:val="482" w:hRule="atLeast"/>
        </w:trPr>
        <w:tc>
          <w:tcPr>
            <w:tcW w:w="158" w:type="pct"/>
            <w:vMerge w:val="continue"/>
            <w:tcBorders>
              <w:tl2br w:val="nil"/>
              <w:tr2bl w:val="nil"/>
            </w:tcBorders>
            <w:noWrap w:val="0"/>
            <w:vAlign w:val="center"/>
          </w:tcPr>
          <w:p w14:paraId="5C58AC4F">
            <w:pPr>
              <w:widowControl/>
              <w:snapToGrid w:val="0"/>
              <w:spacing w:line="240" w:lineRule="auto"/>
              <w:ind w:firstLine="0" w:firstLineChars="0"/>
              <w:jc w:val="center"/>
              <w:rPr>
                <w:rFonts w:hint="eastAsia" w:cs="Times New Roman"/>
                <w:color w:val="auto"/>
                <w:kern w:val="0"/>
                <w:sz w:val="21"/>
                <w:szCs w:val="21"/>
                <w:highlight w:val="none"/>
                <w:lang w:val="en-US" w:eastAsia="zh-CN"/>
              </w:rPr>
            </w:pPr>
          </w:p>
        </w:tc>
        <w:tc>
          <w:tcPr>
            <w:tcW w:w="515" w:type="pct"/>
            <w:tcBorders>
              <w:tl2br w:val="nil"/>
              <w:tr2bl w:val="nil"/>
            </w:tcBorders>
            <w:shd w:val="clear" w:color="auto" w:fill="auto"/>
            <w:noWrap w:val="0"/>
            <w:vAlign w:val="center"/>
          </w:tcPr>
          <w:p w14:paraId="2C052EF4">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新胜乡新岗村饮用水水源地</w:t>
            </w:r>
          </w:p>
        </w:tc>
        <w:tc>
          <w:tcPr>
            <w:tcW w:w="252" w:type="pct"/>
            <w:tcBorders>
              <w:tl2br w:val="nil"/>
              <w:tr2bl w:val="nil"/>
            </w:tcBorders>
            <w:shd w:val="clear" w:color="auto" w:fill="auto"/>
            <w:noWrap w:val="0"/>
            <w:vAlign w:val="center"/>
          </w:tcPr>
          <w:p w14:paraId="6C4AA0BC">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1#</w:t>
            </w:r>
          </w:p>
        </w:tc>
        <w:tc>
          <w:tcPr>
            <w:tcW w:w="503" w:type="pct"/>
            <w:tcBorders>
              <w:tl2br w:val="nil"/>
              <w:tr2bl w:val="nil"/>
            </w:tcBorders>
            <w:shd w:val="clear" w:color="auto" w:fill="auto"/>
            <w:noWrap w:val="0"/>
            <w:vAlign w:val="center"/>
          </w:tcPr>
          <w:p w14:paraId="4DEC8811">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127°40’40.75”</w:t>
            </w:r>
          </w:p>
        </w:tc>
        <w:tc>
          <w:tcPr>
            <w:tcW w:w="488" w:type="pct"/>
            <w:tcBorders>
              <w:tl2br w:val="nil"/>
              <w:tr2bl w:val="nil"/>
            </w:tcBorders>
            <w:shd w:val="clear" w:color="auto" w:fill="auto"/>
            <w:noWrap w:val="0"/>
            <w:vAlign w:val="center"/>
          </w:tcPr>
          <w:p w14:paraId="51CB63F0">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46°46’58.60”</w:t>
            </w:r>
          </w:p>
        </w:tc>
        <w:tc>
          <w:tcPr>
            <w:tcW w:w="275" w:type="pct"/>
            <w:tcBorders>
              <w:tl2br w:val="nil"/>
              <w:tr2bl w:val="nil"/>
            </w:tcBorders>
            <w:shd w:val="clear" w:color="auto" w:fill="auto"/>
            <w:noWrap w:val="0"/>
            <w:vAlign w:val="center"/>
          </w:tcPr>
          <w:p w14:paraId="22CC43B5">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2012</w:t>
            </w:r>
          </w:p>
        </w:tc>
        <w:tc>
          <w:tcPr>
            <w:tcW w:w="318" w:type="pct"/>
            <w:tcBorders>
              <w:tl2br w:val="nil"/>
              <w:tr2bl w:val="nil"/>
            </w:tcBorders>
            <w:shd w:val="clear" w:color="auto" w:fill="auto"/>
            <w:noWrap w:val="0"/>
            <w:vAlign w:val="center"/>
          </w:tcPr>
          <w:p w14:paraId="374C61DE">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 xml:space="preserve">341 </w:t>
            </w:r>
          </w:p>
        </w:tc>
        <w:tc>
          <w:tcPr>
            <w:tcW w:w="270" w:type="pct"/>
            <w:tcBorders>
              <w:tl2br w:val="nil"/>
              <w:tr2bl w:val="nil"/>
            </w:tcBorders>
            <w:shd w:val="clear" w:color="auto" w:fill="auto"/>
            <w:noWrap w:val="0"/>
            <w:vAlign w:val="center"/>
          </w:tcPr>
          <w:p w14:paraId="765C91B6">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承压水</w:t>
            </w:r>
          </w:p>
        </w:tc>
        <w:tc>
          <w:tcPr>
            <w:tcW w:w="397" w:type="pct"/>
            <w:tcBorders>
              <w:tl2br w:val="nil"/>
              <w:tr2bl w:val="nil"/>
            </w:tcBorders>
            <w:shd w:val="clear" w:color="auto" w:fill="auto"/>
            <w:noWrap w:val="0"/>
            <w:vAlign w:val="center"/>
          </w:tcPr>
          <w:p w14:paraId="75984E9F">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孔隙承压水</w:t>
            </w:r>
          </w:p>
        </w:tc>
        <w:tc>
          <w:tcPr>
            <w:tcW w:w="244" w:type="pct"/>
            <w:tcBorders>
              <w:tl2br w:val="nil"/>
              <w:tr2bl w:val="nil"/>
            </w:tcBorders>
            <w:shd w:val="clear" w:color="auto" w:fill="auto"/>
            <w:noWrap w:val="0"/>
            <w:vAlign w:val="center"/>
          </w:tcPr>
          <w:p w14:paraId="34554C5D">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60</w:t>
            </w:r>
          </w:p>
        </w:tc>
        <w:tc>
          <w:tcPr>
            <w:tcW w:w="938" w:type="pct"/>
            <w:tcBorders>
              <w:tl2br w:val="nil"/>
              <w:tr2bl w:val="nil"/>
            </w:tcBorders>
            <w:shd w:val="clear" w:color="auto" w:fill="auto"/>
            <w:noWrap w:val="0"/>
            <w:vAlign w:val="center"/>
          </w:tcPr>
          <w:p w14:paraId="0D6E0451">
            <w:pPr>
              <w:widowControl/>
              <w:snapToGrid w:val="0"/>
              <w:spacing w:line="240" w:lineRule="auto"/>
              <w:ind w:firstLine="0" w:firstLineChars="0"/>
              <w:jc w:val="center"/>
              <w:rPr>
                <w:rFonts w:hint="default" w:ascii="Times New Roman" w:hAnsi="Times New Roman"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新岗村万里号屯、东万里号、郭绿房子、揣绿房子、孙贵、柴家、王大尖屯、西岗头屯、王财富屯、苑家屯；、猪场屯、董振邦</w:t>
            </w:r>
          </w:p>
        </w:tc>
        <w:tc>
          <w:tcPr>
            <w:tcW w:w="339" w:type="pct"/>
            <w:tcBorders>
              <w:tl2br w:val="nil"/>
              <w:tr2bl w:val="nil"/>
            </w:tcBorders>
            <w:shd w:val="clear" w:color="auto" w:fill="auto"/>
            <w:noWrap w:val="0"/>
            <w:vAlign w:val="center"/>
          </w:tcPr>
          <w:p w14:paraId="144ED02C">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5679</w:t>
            </w:r>
          </w:p>
        </w:tc>
        <w:tc>
          <w:tcPr>
            <w:tcW w:w="296" w:type="pct"/>
            <w:tcBorders>
              <w:tl2br w:val="nil"/>
              <w:tr2bl w:val="nil"/>
            </w:tcBorders>
            <w:shd w:val="clear" w:color="auto" w:fill="auto"/>
            <w:noWrap w:val="0"/>
            <w:vAlign w:val="center"/>
          </w:tcPr>
          <w:p w14:paraId="09F4E385">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除铁锰过滤</w:t>
            </w:r>
          </w:p>
        </w:tc>
      </w:tr>
      <w:tr w14:paraId="196DB4D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57" w:type="dxa"/>
            <w:bottom w:w="0" w:type="dxa"/>
            <w:right w:w="57" w:type="dxa"/>
          </w:tblCellMar>
        </w:tblPrEx>
        <w:trPr>
          <w:trHeight w:val="90" w:hRule="atLeast"/>
        </w:trPr>
        <w:tc>
          <w:tcPr>
            <w:tcW w:w="158" w:type="pct"/>
            <w:vMerge w:val="continue"/>
            <w:tcBorders>
              <w:tl2br w:val="nil"/>
              <w:tr2bl w:val="nil"/>
            </w:tcBorders>
            <w:noWrap w:val="0"/>
            <w:vAlign w:val="center"/>
          </w:tcPr>
          <w:p w14:paraId="1C1C5B7E">
            <w:pPr>
              <w:widowControl/>
              <w:snapToGrid w:val="0"/>
              <w:spacing w:line="240" w:lineRule="auto"/>
              <w:ind w:firstLine="0" w:firstLineChars="0"/>
              <w:jc w:val="center"/>
              <w:rPr>
                <w:rFonts w:hint="eastAsia" w:cs="Times New Roman"/>
                <w:color w:val="auto"/>
                <w:kern w:val="0"/>
                <w:sz w:val="21"/>
                <w:szCs w:val="21"/>
                <w:highlight w:val="none"/>
                <w:lang w:val="en-US" w:eastAsia="zh-CN"/>
              </w:rPr>
            </w:pPr>
          </w:p>
        </w:tc>
        <w:tc>
          <w:tcPr>
            <w:tcW w:w="515" w:type="pct"/>
            <w:tcBorders>
              <w:tl2br w:val="nil"/>
              <w:tr2bl w:val="nil"/>
            </w:tcBorders>
            <w:shd w:val="clear" w:color="auto" w:fill="auto"/>
            <w:noWrap w:val="0"/>
            <w:vAlign w:val="center"/>
          </w:tcPr>
          <w:p w14:paraId="2D187217">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庆安县柳河镇饮用水水源地</w:t>
            </w:r>
          </w:p>
        </w:tc>
        <w:tc>
          <w:tcPr>
            <w:tcW w:w="252" w:type="pct"/>
            <w:tcBorders>
              <w:tl2br w:val="nil"/>
              <w:tr2bl w:val="nil"/>
            </w:tcBorders>
            <w:shd w:val="clear" w:color="auto" w:fill="auto"/>
            <w:noWrap w:val="0"/>
            <w:vAlign w:val="center"/>
          </w:tcPr>
          <w:p w14:paraId="4E73ADA7">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1#</w:t>
            </w:r>
          </w:p>
        </w:tc>
        <w:tc>
          <w:tcPr>
            <w:tcW w:w="503" w:type="pct"/>
            <w:tcBorders>
              <w:tl2br w:val="nil"/>
              <w:tr2bl w:val="nil"/>
            </w:tcBorders>
            <w:shd w:val="clear" w:color="auto" w:fill="auto"/>
            <w:noWrap w:val="0"/>
            <w:vAlign w:val="center"/>
          </w:tcPr>
          <w:p w14:paraId="7E256B9B">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127°41′57.51″</w:t>
            </w:r>
          </w:p>
        </w:tc>
        <w:tc>
          <w:tcPr>
            <w:tcW w:w="488" w:type="pct"/>
            <w:tcBorders>
              <w:tl2br w:val="nil"/>
              <w:tr2bl w:val="nil"/>
            </w:tcBorders>
            <w:shd w:val="clear" w:color="auto" w:fill="auto"/>
            <w:noWrap w:val="0"/>
            <w:vAlign w:val="center"/>
          </w:tcPr>
          <w:p w14:paraId="7C611930">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46°46′41.27″</w:t>
            </w:r>
          </w:p>
        </w:tc>
        <w:tc>
          <w:tcPr>
            <w:tcW w:w="275" w:type="pct"/>
            <w:tcBorders>
              <w:tl2br w:val="nil"/>
              <w:tr2bl w:val="nil"/>
            </w:tcBorders>
            <w:shd w:val="clear" w:color="auto" w:fill="auto"/>
            <w:noWrap w:val="0"/>
            <w:vAlign w:val="center"/>
          </w:tcPr>
          <w:p w14:paraId="3396CFB8">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2020</w:t>
            </w:r>
          </w:p>
        </w:tc>
        <w:tc>
          <w:tcPr>
            <w:tcW w:w="318" w:type="pct"/>
            <w:tcBorders>
              <w:tl2br w:val="nil"/>
              <w:tr2bl w:val="nil"/>
            </w:tcBorders>
            <w:shd w:val="clear" w:color="auto" w:fill="auto"/>
            <w:noWrap w:val="0"/>
            <w:vAlign w:val="center"/>
          </w:tcPr>
          <w:p w14:paraId="6609509A">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p>
        </w:tc>
        <w:tc>
          <w:tcPr>
            <w:tcW w:w="270" w:type="pct"/>
            <w:tcBorders>
              <w:tl2br w:val="nil"/>
              <w:tr2bl w:val="nil"/>
            </w:tcBorders>
            <w:shd w:val="clear" w:color="auto" w:fill="auto"/>
            <w:noWrap w:val="0"/>
            <w:vAlign w:val="center"/>
          </w:tcPr>
          <w:p w14:paraId="3D71FE5B">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承压水</w:t>
            </w:r>
          </w:p>
        </w:tc>
        <w:tc>
          <w:tcPr>
            <w:tcW w:w="397" w:type="pct"/>
            <w:tcBorders>
              <w:tl2br w:val="nil"/>
              <w:tr2bl w:val="nil"/>
            </w:tcBorders>
            <w:shd w:val="clear" w:color="auto" w:fill="auto"/>
            <w:noWrap w:val="0"/>
            <w:vAlign w:val="center"/>
          </w:tcPr>
          <w:p w14:paraId="7BC76F7A">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砂岩孔隙裂隙水</w:t>
            </w:r>
          </w:p>
        </w:tc>
        <w:tc>
          <w:tcPr>
            <w:tcW w:w="244" w:type="pct"/>
            <w:tcBorders>
              <w:tl2br w:val="nil"/>
              <w:tr2bl w:val="nil"/>
            </w:tcBorders>
            <w:shd w:val="clear" w:color="auto" w:fill="auto"/>
            <w:noWrap w:val="0"/>
            <w:vAlign w:val="center"/>
          </w:tcPr>
          <w:p w14:paraId="771CEF42">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60</w:t>
            </w:r>
          </w:p>
        </w:tc>
        <w:tc>
          <w:tcPr>
            <w:tcW w:w="938" w:type="pct"/>
            <w:tcBorders>
              <w:tl2br w:val="nil"/>
              <w:tr2bl w:val="nil"/>
            </w:tcBorders>
            <w:shd w:val="clear" w:color="auto" w:fill="auto"/>
            <w:noWrap w:val="0"/>
            <w:vAlign w:val="center"/>
          </w:tcPr>
          <w:p w14:paraId="2154D96C">
            <w:pPr>
              <w:widowControl/>
              <w:snapToGrid w:val="0"/>
              <w:spacing w:line="240" w:lineRule="auto"/>
              <w:ind w:firstLine="0" w:firstLineChars="0"/>
              <w:jc w:val="center"/>
              <w:rPr>
                <w:rFonts w:hint="default" w:ascii="Times New Roman" w:hAnsi="Times New Roman"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新胜村张喜元屯、刘德福、新泉村刘万福屯、张景芳屯、王永富屯、柳风祥屯、东庙屯、范家围子、杨花先生</w:t>
            </w:r>
            <w:r>
              <w:rPr>
                <w:rFonts w:hint="eastAsia" w:cs="Times New Roman"/>
                <w:color w:val="auto"/>
                <w:kern w:val="0"/>
                <w:sz w:val="21"/>
                <w:szCs w:val="21"/>
                <w:highlight w:val="none"/>
                <w:lang w:val="en-US" w:eastAsia="zh-CN"/>
              </w:rPr>
              <w:t>、</w:t>
            </w:r>
            <w:r>
              <w:rPr>
                <w:rFonts w:hint="default" w:ascii="Times New Roman" w:hAnsi="Times New Roman" w:cs="Times New Roman"/>
                <w:color w:val="auto"/>
                <w:kern w:val="0"/>
                <w:sz w:val="21"/>
                <w:szCs w:val="21"/>
                <w:highlight w:val="none"/>
                <w:lang w:val="en-US" w:eastAsia="zh-CN"/>
              </w:rPr>
              <w:t>小张景芳屯</w:t>
            </w:r>
          </w:p>
        </w:tc>
        <w:tc>
          <w:tcPr>
            <w:tcW w:w="339" w:type="pct"/>
            <w:tcBorders>
              <w:tl2br w:val="nil"/>
              <w:tr2bl w:val="nil"/>
            </w:tcBorders>
            <w:shd w:val="clear" w:color="auto" w:fill="auto"/>
            <w:noWrap w:val="0"/>
            <w:vAlign w:val="center"/>
          </w:tcPr>
          <w:p w14:paraId="7976D3F8">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1994</w:t>
            </w:r>
          </w:p>
        </w:tc>
        <w:tc>
          <w:tcPr>
            <w:tcW w:w="296" w:type="pct"/>
            <w:tcBorders>
              <w:tl2br w:val="nil"/>
              <w:tr2bl w:val="nil"/>
            </w:tcBorders>
            <w:shd w:val="clear" w:color="auto" w:fill="auto"/>
            <w:noWrap w:val="0"/>
            <w:vAlign w:val="center"/>
          </w:tcPr>
          <w:p w14:paraId="03198715">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锰砂过滤</w:t>
            </w:r>
          </w:p>
        </w:tc>
      </w:tr>
      <w:tr w14:paraId="11DC2A2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57" w:type="dxa"/>
            <w:bottom w:w="0" w:type="dxa"/>
            <w:right w:w="57" w:type="dxa"/>
          </w:tblCellMar>
        </w:tblPrEx>
        <w:trPr>
          <w:trHeight w:val="482" w:hRule="atLeast"/>
        </w:trPr>
        <w:tc>
          <w:tcPr>
            <w:tcW w:w="158" w:type="pct"/>
            <w:vMerge w:val="continue"/>
            <w:tcBorders>
              <w:tl2br w:val="nil"/>
              <w:tr2bl w:val="nil"/>
            </w:tcBorders>
            <w:noWrap w:val="0"/>
            <w:vAlign w:val="center"/>
          </w:tcPr>
          <w:p w14:paraId="7AF2601C">
            <w:pPr>
              <w:widowControl/>
              <w:snapToGrid w:val="0"/>
              <w:spacing w:line="240" w:lineRule="auto"/>
              <w:ind w:firstLine="0" w:firstLineChars="0"/>
              <w:jc w:val="center"/>
              <w:rPr>
                <w:rFonts w:hint="eastAsia" w:cs="Times New Roman"/>
                <w:color w:val="auto"/>
                <w:kern w:val="0"/>
                <w:sz w:val="21"/>
                <w:szCs w:val="21"/>
                <w:highlight w:val="none"/>
                <w:lang w:val="en-US" w:eastAsia="zh-CN"/>
              </w:rPr>
            </w:pPr>
          </w:p>
        </w:tc>
        <w:tc>
          <w:tcPr>
            <w:tcW w:w="515" w:type="pct"/>
            <w:tcBorders>
              <w:tl2br w:val="nil"/>
              <w:tr2bl w:val="nil"/>
            </w:tcBorders>
            <w:shd w:val="clear" w:color="auto" w:fill="auto"/>
            <w:noWrap w:val="0"/>
            <w:vAlign w:val="center"/>
          </w:tcPr>
          <w:p w14:paraId="20B01EB5">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新胜乡新清村饮用水源地</w:t>
            </w:r>
          </w:p>
        </w:tc>
        <w:tc>
          <w:tcPr>
            <w:tcW w:w="252" w:type="pct"/>
            <w:tcBorders>
              <w:tl2br w:val="nil"/>
              <w:tr2bl w:val="nil"/>
            </w:tcBorders>
            <w:shd w:val="clear" w:color="auto" w:fill="auto"/>
            <w:noWrap w:val="0"/>
            <w:vAlign w:val="center"/>
          </w:tcPr>
          <w:p w14:paraId="5FD7DE76">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1#</w:t>
            </w:r>
          </w:p>
        </w:tc>
        <w:tc>
          <w:tcPr>
            <w:tcW w:w="503" w:type="pct"/>
            <w:tcBorders>
              <w:tl2br w:val="nil"/>
              <w:tr2bl w:val="nil"/>
            </w:tcBorders>
            <w:shd w:val="clear" w:color="auto" w:fill="auto"/>
            <w:noWrap w:val="0"/>
            <w:vAlign w:val="center"/>
          </w:tcPr>
          <w:p w14:paraId="64602714">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127°37′2.7643″</w:t>
            </w:r>
          </w:p>
        </w:tc>
        <w:tc>
          <w:tcPr>
            <w:tcW w:w="488" w:type="pct"/>
            <w:tcBorders>
              <w:tl2br w:val="nil"/>
              <w:tr2bl w:val="nil"/>
            </w:tcBorders>
            <w:shd w:val="clear" w:color="auto" w:fill="auto"/>
            <w:noWrap w:val="0"/>
            <w:vAlign w:val="center"/>
          </w:tcPr>
          <w:p w14:paraId="5879EA27">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46°47′0.2473″</w:t>
            </w:r>
          </w:p>
        </w:tc>
        <w:tc>
          <w:tcPr>
            <w:tcW w:w="275" w:type="pct"/>
            <w:tcBorders>
              <w:tl2br w:val="nil"/>
              <w:tr2bl w:val="nil"/>
            </w:tcBorders>
            <w:shd w:val="clear" w:color="auto" w:fill="auto"/>
            <w:noWrap w:val="0"/>
            <w:vAlign w:val="center"/>
          </w:tcPr>
          <w:p w14:paraId="0C097D6F">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2011</w:t>
            </w:r>
          </w:p>
        </w:tc>
        <w:tc>
          <w:tcPr>
            <w:tcW w:w="318" w:type="pct"/>
            <w:tcBorders>
              <w:tl2br w:val="nil"/>
              <w:tr2bl w:val="nil"/>
            </w:tcBorders>
            <w:shd w:val="clear" w:color="auto" w:fill="auto"/>
            <w:noWrap w:val="0"/>
            <w:vAlign w:val="center"/>
          </w:tcPr>
          <w:p w14:paraId="1F7E6379">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300</w:t>
            </w:r>
          </w:p>
        </w:tc>
        <w:tc>
          <w:tcPr>
            <w:tcW w:w="270" w:type="pct"/>
            <w:tcBorders>
              <w:tl2br w:val="nil"/>
              <w:tr2bl w:val="nil"/>
            </w:tcBorders>
            <w:shd w:val="clear" w:color="auto" w:fill="auto"/>
            <w:noWrap w:val="0"/>
            <w:vAlign w:val="center"/>
          </w:tcPr>
          <w:p w14:paraId="692913FE">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承压水</w:t>
            </w:r>
          </w:p>
        </w:tc>
        <w:tc>
          <w:tcPr>
            <w:tcW w:w="397" w:type="pct"/>
            <w:tcBorders>
              <w:tl2br w:val="nil"/>
              <w:tr2bl w:val="nil"/>
            </w:tcBorders>
            <w:shd w:val="clear" w:color="auto" w:fill="auto"/>
            <w:noWrap w:val="0"/>
            <w:vAlign w:val="center"/>
          </w:tcPr>
          <w:p w14:paraId="37E43688">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孔隙-裂隙水</w:t>
            </w:r>
          </w:p>
        </w:tc>
        <w:tc>
          <w:tcPr>
            <w:tcW w:w="244" w:type="pct"/>
            <w:tcBorders>
              <w:tl2br w:val="nil"/>
              <w:tr2bl w:val="nil"/>
            </w:tcBorders>
            <w:shd w:val="clear" w:color="auto" w:fill="auto"/>
            <w:noWrap w:val="0"/>
            <w:vAlign w:val="center"/>
          </w:tcPr>
          <w:p w14:paraId="435A5A9A">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81</w:t>
            </w:r>
          </w:p>
        </w:tc>
        <w:tc>
          <w:tcPr>
            <w:tcW w:w="938" w:type="pct"/>
            <w:tcBorders>
              <w:tl2br w:val="nil"/>
              <w:tr2bl w:val="nil"/>
            </w:tcBorders>
            <w:shd w:val="clear" w:color="auto" w:fill="auto"/>
            <w:noWrap w:val="0"/>
            <w:vAlign w:val="center"/>
          </w:tcPr>
          <w:p w14:paraId="2406489C">
            <w:pPr>
              <w:widowControl/>
              <w:snapToGrid w:val="0"/>
              <w:spacing w:line="240" w:lineRule="auto"/>
              <w:ind w:firstLine="0" w:firstLineChars="0"/>
              <w:jc w:val="center"/>
              <w:rPr>
                <w:rFonts w:hint="default" w:ascii="Times New Roman" w:hAnsi="Times New Roman"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新胜乡新清村潘振海屯、盖家屯、王照万屯、东梁家屯、西梁家屯、孙大抓屯、胡生屯、高中山屯；</w:t>
            </w:r>
          </w:p>
        </w:tc>
        <w:tc>
          <w:tcPr>
            <w:tcW w:w="339" w:type="pct"/>
            <w:tcBorders>
              <w:tl2br w:val="nil"/>
              <w:tr2bl w:val="nil"/>
            </w:tcBorders>
            <w:shd w:val="clear" w:color="auto" w:fill="auto"/>
            <w:noWrap w:val="0"/>
            <w:vAlign w:val="center"/>
          </w:tcPr>
          <w:p w14:paraId="3FA98159">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4708</w:t>
            </w:r>
          </w:p>
        </w:tc>
        <w:tc>
          <w:tcPr>
            <w:tcW w:w="296" w:type="pct"/>
            <w:tcBorders>
              <w:tl2br w:val="nil"/>
              <w:tr2bl w:val="nil"/>
            </w:tcBorders>
            <w:shd w:val="clear" w:color="auto" w:fill="auto"/>
            <w:noWrap w:val="0"/>
            <w:vAlign w:val="center"/>
          </w:tcPr>
          <w:p w14:paraId="185F02CE">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锰砂过滤、紫外线消毒</w:t>
            </w:r>
          </w:p>
        </w:tc>
      </w:tr>
      <w:tr w14:paraId="21BA8CA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57" w:type="dxa"/>
            <w:bottom w:w="0" w:type="dxa"/>
            <w:right w:w="57" w:type="dxa"/>
          </w:tblCellMar>
        </w:tblPrEx>
        <w:trPr>
          <w:trHeight w:val="482" w:hRule="atLeast"/>
        </w:trPr>
        <w:tc>
          <w:tcPr>
            <w:tcW w:w="158" w:type="pct"/>
            <w:vMerge w:val="continue"/>
            <w:tcBorders>
              <w:tl2br w:val="nil"/>
              <w:tr2bl w:val="nil"/>
            </w:tcBorders>
            <w:noWrap w:val="0"/>
            <w:vAlign w:val="center"/>
          </w:tcPr>
          <w:p w14:paraId="51ECB8B8">
            <w:pPr>
              <w:widowControl/>
              <w:snapToGrid w:val="0"/>
              <w:spacing w:line="240" w:lineRule="auto"/>
              <w:ind w:firstLine="0" w:firstLineChars="0"/>
              <w:jc w:val="center"/>
              <w:rPr>
                <w:rFonts w:hint="eastAsia" w:cs="Times New Roman"/>
                <w:color w:val="auto"/>
                <w:kern w:val="0"/>
                <w:sz w:val="21"/>
                <w:szCs w:val="21"/>
                <w:highlight w:val="none"/>
                <w:lang w:val="en-US" w:eastAsia="zh-CN"/>
              </w:rPr>
            </w:pPr>
          </w:p>
        </w:tc>
        <w:tc>
          <w:tcPr>
            <w:tcW w:w="515" w:type="pct"/>
            <w:tcBorders>
              <w:tl2br w:val="nil"/>
              <w:tr2bl w:val="nil"/>
            </w:tcBorders>
            <w:shd w:val="clear" w:color="auto" w:fill="auto"/>
            <w:noWrap w:val="0"/>
            <w:vAlign w:val="center"/>
          </w:tcPr>
          <w:p w14:paraId="72BDDB60">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新胜乡新光村饮用水水源地</w:t>
            </w:r>
          </w:p>
        </w:tc>
        <w:tc>
          <w:tcPr>
            <w:tcW w:w="252" w:type="pct"/>
            <w:tcBorders>
              <w:tl2br w:val="nil"/>
              <w:tr2bl w:val="nil"/>
            </w:tcBorders>
            <w:shd w:val="clear" w:color="auto" w:fill="auto"/>
            <w:noWrap w:val="0"/>
            <w:vAlign w:val="center"/>
          </w:tcPr>
          <w:p w14:paraId="48B448F1">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1#</w:t>
            </w:r>
          </w:p>
        </w:tc>
        <w:tc>
          <w:tcPr>
            <w:tcW w:w="503" w:type="pct"/>
            <w:tcBorders>
              <w:tl2br w:val="nil"/>
              <w:tr2bl w:val="nil"/>
            </w:tcBorders>
            <w:shd w:val="clear" w:color="auto" w:fill="auto"/>
            <w:noWrap w:val="0"/>
            <w:vAlign w:val="center"/>
          </w:tcPr>
          <w:p w14:paraId="6940249E">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127°32’07.89”</w:t>
            </w:r>
          </w:p>
        </w:tc>
        <w:tc>
          <w:tcPr>
            <w:tcW w:w="488" w:type="pct"/>
            <w:tcBorders>
              <w:tl2br w:val="nil"/>
              <w:tr2bl w:val="nil"/>
            </w:tcBorders>
            <w:shd w:val="clear" w:color="auto" w:fill="auto"/>
            <w:noWrap w:val="0"/>
            <w:vAlign w:val="center"/>
          </w:tcPr>
          <w:p w14:paraId="11A5DF93">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46°50’58.92”</w:t>
            </w:r>
          </w:p>
        </w:tc>
        <w:tc>
          <w:tcPr>
            <w:tcW w:w="275" w:type="pct"/>
            <w:tcBorders>
              <w:tl2br w:val="nil"/>
              <w:tr2bl w:val="nil"/>
            </w:tcBorders>
            <w:shd w:val="clear" w:color="auto" w:fill="auto"/>
            <w:noWrap w:val="0"/>
            <w:vAlign w:val="center"/>
          </w:tcPr>
          <w:p w14:paraId="51D7DD9A">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2011</w:t>
            </w:r>
          </w:p>
        </w:tc>
        <w:tc>
          <w:tcPr>
            <w:tcW w:w="318" w:type="pct"/>
            <w:tcBorders>
              <w:tl2br w:val="nil"/>
              <w:tr2bl w:val="nil"/>
            </w:tcBorders>
            <w:shd w:val="clear" w:color="auto" w:fill="auto"/>
            <w:noWrap w:val="0"/>
            <w:vAlign w:val="center"/>
          </w:tcPr>
          <w:p w14:paraId="67FAF73C">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 xml:space="preserve">195 </w:t>
            </w:r>
          </w:p>
        </w:tc>
        <w:tc>
          <w:tcPr>
            <w:tcW w:w="270" w:type="pct"/>
            <w:tcBorders>
              <w:tl2br w:val="nil"/>
              <w:tr2bl w:val="nil"/>
            </w:tcBorders>
            <w:shd w:val="clear" w:color="auto" w:fill="auto"/>
            <w:noWrap w:val="0"/>
            <w:vAlign w:val="center"/>
          </w:tcPr>
          <w:p w14:paraId="098DDA35">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承压水</w:t>
            </w:r>
          </w:p>
        </w:tc>
        <w:tc>
          <w:tcPr>
            <w:tcW w:w="397" w:type="pct"/>
            <w:tcBorders>
              <w:tl2br w:val="nil"/>
              <w:tr2bl w:val="nil"/>
            </w:tcBorders>
            <w:shd w:val="clear" w:color="auto" w:fill="auto"/>
            <w:noWrap w:val="0"/>
            <w:vAlign w:val="center"/>
          </w:tcPr>
          <w:p w14:paraId="44CA1ACF">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孔隙水，孔隙-裂隙水</w:t>
            </w:r>
          </w:p>
        </w:tc>
        <w:tc>
          <w:tcPr>
            <w:tcW w:w="244" w:type="pct"/>
            <w:tcBorders>
              <w:tl2br w:val="nil"/>
              <w:tr2bl w:val="nil"/>
            </w:tcBorders>
            <w:shd w:val="clear" w:color="auto" w:fill="auto"/>
            <w:noWrap w:val="0"/>
            <w:vAlign w:val="center"/>
          </w:tcPr>
          <w:p w14:paraId="618B4829">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63</w:t>
            </w:r>
          </w:p>
        </w:tc>
        <w:tc>
          <w:tcPr>
            <w:tcW w:w="938" w:type="pct"/>
            <w:tcBorders>
              <w:tl2br w:val="nil"/>
              <w:tr2bl w:val="nil"/>
            </w:tcBorders>
            <w:shd w:val="clear" w:color="auto" w:fill="auto"/>
            <w:noWrap w:val="0"/>
            <w:vAlign w:val="center"/>
          </w:tcPr>
          <w:p w14:paraId="3ECD8699">
            <w:pPr>
              <w:widowControl/>
              <w:snapToGrid w:val="0"/>
              <w:spacing w:line="240" w:lineRule="auto"/>
              <w:ind w:firstLine="0" w:firstLineChars="0"/>
              <w:jc w:val="center"/>
              <w:rPr>
                <w:rFonts w:hint="default" w:ascii="Times New Roman" w:hAnsi="Times New Roman"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新光村耿家屯、李万屯、张玉屯、王举屯、付文海屯、高英屯、孙联屯、秋海田屯、车家岗屯、王启屯、吴占海屯</w:t>
            </w:r>
          </w:p>
        </w:tc>
        <w:tc>
          <w:tcPr>
            <w:tcW w:w="339" w:type="pct"/>
            <w:tcBorders>
              <w:tl2br w:val="nil"/>
              <w:tr2bl w:val="nil"/>
            </w:tcBorders>
            <w:shd w:val="clear" w:color="auto" w:fill="auto"/>
            <w:noWrap w:val="0"/>
            <w:vAlign w:val="center"/>
          </w:tcPr>
          <w:p w14:paraId="68A3BCC8">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3258</w:t>
            </w:r>
          </w:p>
        </w:tc>
        <w:tc>
          <w:tcPr>
            <w:tcW w:w="296" w:type="pct"/>
            <w:tcBorders>
              <w:tl2br w:val="nil"/>
              <w:tr2bl w:val="nil"/>
            </w:tcBorders>
            <w:shd w:val="clear" w:color="auto" w:fill="auto"/>
            <w:noWrap w:val="0"/>
            <w:vAlign w:val="center"/>
          </w:tcPr>
          <w:p w14:paraId="7EB5B7A2">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除铁锰过滤</w:t>
            </w:r>
          </w:p>
        </w:tc>
      </w:tr>
      <w:tr w14:paraId="58A5B5C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57" w:type="dxa"/>
            <w:bottom w:w="0" w:type="dxa"/>
            <w:right w:w="57" w:type="dxa"/>
          </w:tblCellMar>
        </w:tblPrEx>
        <w:trPr>
          <w:trHeight w:val="482" w:hRule="atLeast"/>
        </w:trPr>
        <w:tc>
          <w:tcPr>
            <w:tcW w:w="158" w:type="pct"/>
            <w:vMerge w:val="continue"/>
            <w:tcBorders>
              <w:tl2br w:val="nil"/>
              <w:tr2bl w:val="nil"/>
            </w:tcBorders>
            <w:noWrap w:val="0"/>
            <w:vAlign w:val="center"/>
          </w:tcPr>
          <w:p w14:paraId="7A1947FC">
            <w:pPr>
              <w:widowControl/>
              <w:snapToGrid w:val="0"/>
              <w:spacing w:line="240" w:lineRule="auto"/>
              <w:ind w:firstLine="0" w:firstLineChars="0"/>
              <w:jc w:val="center"/>
              <w:rPr>
                <w:rFonts w:hint="eastAsia" w:cs="Times New Roman"/>
                <w:color w:val="auto"/>
                <w:kern w:val="0"/>
                <w:sz w:val="21"/>
                <w:szCs w:val="21"/>
                <w:highlight w:val="none"/>
                <w:lang w:val="en-US" w:eastAsia="zh-CN"/>
              </w:rPr>
            </w:pPr>
          </w:p>
        </w:tc>
        <w:tc>
          <w:tcPr>
            <w:tcW w:w="515" w:type="pct"/>
            <w:tcBorders>
              <w:tl2br w:val="nil"/>
              <w:tr2bl w:val="nil"/>
            </w:tcBorders>
            <w:shd w:val="clear" w:color="auto" w:fill="auto"/>
            <w:noWrap w:val="0"/>
            <w:vAlign w:val="center"/>
          </w:tcPr>
          <w:p w14:paraId="10DF8647">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新胜乡新明村饮用水水源地</w:t>
            </w:r>
          </w:p>
        </w:tc>
        <w:tc>
          <w:tcPr>
            <w:tcW w:w="252" w:type="pct"/>
            <w:tcBorders>
              <w:tl2br w:val="nil"/>
              <w:tr2bl w:val="nil"/>
            </w:tcBorders>
            <w:shd w:val="clear" w:color="auto" w:fill="auto"/>
            <w:noWrap w:val="0"/>
            <w:vAlign w:val="center"/>
          </w:tcPr>
          <w:p w14:paraId="7B7453A5">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1#</w:t>
            </w:r>
          </w:p>
        </w:tc>
        <w:tc>
          <w:tcPr>
            <w:tcW w:w="503" w:type="pct"/>
            <w:tcBorders>
              <w:tl2br w:val="nil"/>
              <w:tr2bl w:val="nil"/>
            </w:tcBorders>
            <w:shd w:val="clear" w:color="auto" w:fill="auto"/>
            <w:noWrap w:val="0"/>
            <w:vAlign w:val="center"/>
          </w:tcPr>
          <w:p w14:paraId="00CA3783">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127°34’28.82”</w:t>
            </w:r>
          </w:p>
        </w:tc>
        <w:tc>
          <w:tcPr>
            <w:tcW w:w="488" w:type="pct"/>
            <w:tcBorders>
              <w:tl2br w:val="nil"/>
              <w:tr2bl w:val="nil"/>
            </w:tcBorders>
            <w:shd w:val="clear" w:color="auto" w:fill="auto"/>
            <w:noWrap w:val="0"/>
            <w:vAlign w:val="center"/>
          </w:tcPr>
          <w:p w14:paraId="7E7E2AC8">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46°49’11.21”</w:t>
            </w:r>
          </w:p>
        </w:tc>
        <w:tc>
          <w:tcPr>
            <w:tcW w:w="275" w:type="pct"/>
            <w:tcBorders>
              <w:tl2br w:val="nil"/>
              <w:tr2bl w:val="nil"/>
            </w:tcBorders>
            <w:shd w:val="clear" w:color="auto" w:fill="auto"/>
            <w:noWrap w:val="0"/>
            <w:vAlign w:val="center"/>
          </w:tcPr>
          <w:p w14:paraId="679D8AA7">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2012</w:t>
            </w:r>
          </w:p>
        </w:tc>
        <w:tc>
          <w:tcPr>
            <w:tcW w:w="318" w:type="pct"/>
            <w:tcBorders>
              <w:tl2br w:val="nil"/>
              <w:tr2bl w:val="nil"/>
            </w:tcBorders>
            <w:shd w:val="clear" w:color="auto" w:fill="auto"/>
            <w:noWrap w:val="0"/>
            <w:vAlign w:val="center"/>
          </w:tcPr>
          <w:p w14:paraId="57753329">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 xml:space="preserve">167 </w:t>
            </w:r>
          </w:p>
        </w:tc>
        <w:tc>
          <w:tcPr>
            <w:tcW w:w="270" w:type="pct"/>
            <w:tcBorders>
              <w:tl2br w:val="nil"/>
              <w:tr2bl w:val="nil"/>
            </w:tcBorders>
            <w:shd w:val="clear" w:color="auto" w:fill="auto"/>
            <w:noWrap w:val="0"/>
            <w:vAlign w:val="center"/>
          </w:tcPr>
          <w:p w14:paraId="1D6A079B">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承压水</w:t>
            </w:r>
          </w:p>
        </w:tc>
        <w:tc>
          <w:tcPr>
            <w:tcW w:w="397" w:type="pct"/>
            <w:tcBorders>
              <w:tl2br w:val="nil"/>
              <w:tr2bl w:val="nil"/>
            </w:tcBorders>
            <w:shd w:val="clear" w:color="auto" w:fill="auto"/>
            <w:noWrap w:val="0"/>
            <w:vAlign w:val="center"/>
          </w:tcPr>
          <w:p w14:paraId="068482AE">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孔隙水，孔隙-裂隙水</w:t>
            </w:r>
          </w:p>
        </w:tc>
        <w:tc>
          <w:tcPr>
            <w:tcW w:w="244" w:type="pct"/>
            <w:tcBorders>
              <w:tl2br w:val="nil"/>
              <w:tr2bl w:val="nil"/>
            </w:tcBorders>
            <w:shd w:val="clear" w:color="auto" w:fill="auto"/>
            <w:noWrap w:val="0"/>
            <w:vAlign w:val="center"/>
          </w:tcPr>
          <w:p w14:paraId="5840FB2C">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70</w:t>
            </w:r>
          </w:p>
        </w:tc>
        <w:tc>
          <w:tcPr>
            <w:tcW w:w="938" w:type="pct"/>
            <w:tcBorders>
              <w:tl2br w:val="nil"/>
              <w:tr2bl w:val="nil"/>
            </w:tcBorders>
            <w:shd w:val="clear" w:color="auto" w:fill="auto"/>
            <w:noWrap w:val="0"/>
            <w:vAlign w:val="center"/>
          </w:tcPr>
          <w:p w14:paraId="03C4899E">
            <w:pPr>
              <w:widowControl/>
              <w:snapToGrid w:val="0"/>
              <w:spacing w:line="240" w:lineRule="auto"/>
              <w:ind w:firstLine="0" w:firstLineChars="0"/>
              <w:jc w:val="center"/>
              <w:rPr>
                <w:rFonts w:hint="default" w:ascii="Times New Roman" w:hAnsi="Times New Roman"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新明村贾林屯、曾家屯、老会家屯、崔祥屯、三不正屯、吴春屯、李福大桥、王利祥屯、陈香油屯、王殿文屯、刘殿奎屯、王久西、赵琴屯、前刘家；林风伍</w:t>
            </w:r>
          </w:p>
        </w:tc>
        <w:tc>
          <w:tcPr>
            <w:tcW w:w="339" w:type="pct"/>
            <w:tcBorders>
              <w:tl2br w:val="nil"/>
              <w:tr2bl w:val="nil"/>
            </w:tcBorders>
            <w:shd w:val="clear" w:color="auto" w:fill="auto"/>
            <w:noWrap w:val="0"/>
            <w:vAlign w:val="center"/>
          </w:tcPr>
          <w:p w14:paraId="659E5357">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2777</w:t>
            </w:r>
          </w:p>
        </w:tc>
        <w:tc>
          <w:tcPr>
            <w:tcW w:w="296" w:type="pct"/>
            <w:tcBorders>
              <w:tl2br w:val="nil"/>
              <w:tr2bl w:val="nil"/>
            </w:tcBorders>
            <w:shd w:val="clear" w:color="auto" w:fill="auto"/>
            <w:noWrap w:val="0"/>
            <w:vAlign w:val="center"/>
          </w:tcPr>
          <w:p w14:paraId="7D773800">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除铁锰过滤</w:t>
            </w:r>
          </w:p>
        </w:tc>
      </w:tr>
      <w:tr w14:paraId="59E9621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57" w:type="dxa"/>
            <w:bottom w:w="0" w:type="dxa"/>
            <w:right w:w="57" w:type="dxa"/>
          </w:tblCellMar>
        </w:tblPrEx>
        <w:trPr>
          <w:trHeight w:val="908" w:hRule="atLeast"/>
        </w:trPr>
        <w:tc>
          <w:tcPr>
            <w:tcW w:w="158" w:type="pct"/>
            <w:vMerge w:val="continue"/>
            <w:tcBorders>
              <w:tl2br w:val="nil"/>
              <w:tr2bl w:val="nil"/>
            </w:tcBorders>
            <w:noWrap w:val="0"/>
            <w:vAlign w:val="center"/>
          </w:tcPr>
          <w:p w14:paraId="207990B1">
            <w:pPr>
              <w:widowControl/>
              <w:snapToGrid w:val="0"/>
              <w:spacing w:line="240" w:lineRule="auto"/>
              <w:ind w:firstLine="0" w:firstLineChars="0"/>
              <w:jc w:val="center"/>
              <w:rPr>
                <w:rFonts w:hint="eastAsia" w:cs="Times New Roman"/>
                <w:color w:val="auto"/>
                <w:kern w:val="0"/>
                <w:sz w:val="21"/>
                <w:szCs w:val="21"/>
                <w:highlight w:val="none"/>
                <w:lang w:val="en-US" w:eastAsia="zh-CN"/>
              </w:rPr>
            </w:pPr>
          </w:p>
        </w:tc>
        <w:tc>
          <w:tcPr>
            <w:tcW w:w="515" w:type="pct"/>
            <w:tcBorders>
              <w:tl2br w:val="nil"/>
              <w:tr2bl w:val="nil"/>
            </w:tcBorders>
            <w:shd w:val="clear" w:color="auto" w:fill="auto"/>
            <w:noWrap w:val="0"/>
            <w:vAlign w:val="center"/>
          </w:tcPr>
          <w:p w14:paraId="47184F0E">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新胜乡新强村饮用水水源地</w:t>
            </w:r>
          </w:p>
        </w:tc>
        <w:tc>
          <w:tcPr>
            <w:tcW w:w="252" w:type="pct"/>
            <w:tcBorders>
              <w:tl2br w:val="nil"/>
              <w:tr2bl w:val="nil"/>
            </w:tcBorders>
            <w:shd w:val="clear" w:color="auto" w:fill="auto"/>
            <w:noWrap w:val="0"/>
            <w:vAlign w:val="center"/>
          </w:tcPr>
          <w:p w14:paraId="021A6C7A">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1#</w:t>
            </w:r>
          </w:p>
        </w:tc>
        <w:tc>
          <w:tcPr>
            <w:tcW w:w="503" w:type="pct"/>
            <w:tcBorders>
              <w:tl2br w:val="nil"/>
              <w:tr2bl w:val="nil"/>
            </w:tcBorders>
            <w:shd w:val="clear" w:color="auto" w:fill="auto"/>
            <w:noWrap w:val="0"/>
            <w:vAlign w:val="center"/>
          </w:tcPr>
          <w:p w14:paraId="7DDB82BC">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127°36’08.08”</w:t>
            </w:r>
          </w:p>
        </w:tc>
        <w:tc>
          <w:tcPr>
            <w:tcW w:w="488" w:type="pct"/>
            <w:tcBorders>
              <w:tl2br w:val="nil"/>
              <w:tr2bl w:val="nil"/>
            </w:tcBorders>
            <w:shd w:val="clear" w:color="auto" w:fill="auto"/>
            <w:noWrap w:val="0"/>
            <w:vAlign w:val="center"/>
          </w:tcPr>
          <w:p w14:paraId="51C5754D">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46°43’49.57”</w:t>
            </w:r>
          </w:p>
        </w:tc>
        <w:tc>
          <w:tcPr>
            <w:tcW w:w="275" w:type="pct"/>
            <w:tcBorders>
              <w:tl2br w:val="nil"/>
              <w:tr2bl w:val="nil"/>
            </w:tcBorders>
            <w:shd w:val="clear" w:color="auto" w:fill="auto"/>
            <w:noWrap w:val="0"/>
            <w:vAlign w:val="center"/>
          </w:tcPr>
          <w:p w14:paraId="345C9759">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2015</w:t>
            </w:r>
          </w:p>
        </w:tc>
        <w:tc>
          <w:tcPr>
            <w:tcW w:w="318" w:type="pct"/>
            <w:tcBorders>
              <w:tl2br w:val="nil"/>
              <w:tr2bl w:val="nil"/>
            </w:tcBorders>
            <w:shd w:val="clear" w:color="auto" w:fill="auto"/>
            <w:noWrap w:val="0"/>
            <w:vAlign w:val="center"/>
          </w:tcPr>
          <w:p w14:paraId="6CA08EDA">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 xml:space="preserve">119 </w:t>
            </w:r>
          </w:p>
        </w:tc>
        <w:tc>
          <w:tcPr>
            <w:tcW w:w="270" w:type="pct"/>
            <w:tcBorders>
              <w:tl2br w:val="nil"/>
              <w:tr2bl w:val="nil"/>
            </w:tcBorders>
            <w:shd w:val="clear" w:color="auto" w:fill="auto"/>
            <w:noWrap w:val="0"/>
            <w:vAlign w:val="center"/>
          </w:tcPr>
          <w:p w14:paraId="7C9300FC">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承压水</w:t>
            </w:r>
          </w:p>
        </w:tc>
        <w:tc>
          <w:tcPr>
            <w:tcW w:w="397" w:type="pct"/>
            <w:tcBorders>
              <w:tl2br w:val="nil"/>
              <w:tr2bl w:val="nil"/>
            </w:tcBorders>
            <w:shd w:val="clear" w:color="auto" w:fill="auto"/>
            <w:noWrap w:val="0"/>
            <w:vAlign w:val="center"/>
          </w:tcPr>
          <w:p w14:paraId="0D38A394">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孔隙水，孔隙-裂隙水</w:t>
            </w:r>
          </w:p>
        </w:tc>
        <w:tc>
          <w:tcPr>
            <w:tcW w:w="244" w:type="pct"/>
            <w:tcBorders>
              <w:tl2br w:val="nil"/>
              <w:tr2bl w:val="nil"/>
            </w:tcBorders>
            <w:shd w:val="clear" w:color="auto" w:fill="auto"/>
            <w:noWrap w:val="0"/>
            <w:vAlign w:val="center"/>
          </w:tcPr>
          <w:p w14:paraId="0FD49167">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97</w:t>
            </w:r>
          </w:p>
        </w:tc>
        <w:tc>
          <w:tcPr>
            <w:tcW w:w="938" w:type="pct"/>
            <w:tcBorders>
              <w:tl2br w:val="nil"/>
              <w:tr2bl w:val="nil"/>
            </w:tcBorders>
            <w:shd w:val="clear" w:color="auto" w:fill="auto"/>
            <w:noWrap w:val="0"/>
            <w:vAlign w:val="center"/>
          </w:tcPr>
          <w:p w14:paraId="0B33D113">
            <w:pPr>
              <w:widowControl/>
              <w:snapToGrid w:val="0"/>
              <w:spacing w:line="240" w:lineRule="auto"/>
              <w:ind w:firstLine="0" w:firstLineChars="0"/>
              <w:jc w:val="center"/>
              <w:rPr>
                <w:rFonts w:hint="default" w:ascii="Times New Roman" w:hAnsi="Times New Roman"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新强村陈良屯、刘风明屯、烧窝棚屯、焦仁匠屯、周富屯、梨树园屯；</w:t>
            </w:r>
          </w:p>
        </w:tc>
        <w:tc>
          <w:tcPr>
            <w:tcW w:w="339" w:type="pct"/>
            <w:tcBorders>
              <w:tl2br w:val="nil"/>
              <w:tr2bl w:val="nil"/>
            </w:tcBorders>
            <w:shd w:val="clear" w:color="auto" w:fill="auto"/>
            <w:noWrap w:val="0"/>
            <w:vAlign w:val="center"/>
          </w:tcPr>
          <w:p w14:paraId="4E176166">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1988</w:t>
            </w:r>
          </w:p>
        </w:tc>
        <w:tc>
          <w:tcPr>
            <w:tcW w:w="296" w:type="pct"/>
            <w:tcBorders>
              <w:tl2br w:val="nil"/>
              <w:tr2bl w:val="nil"/>
            </w:tcBorders>
            <w:shd w:val="clear" w:color="auto" w:fill="auto"/>
            <w:noWrap w:val="0"/>
            <w:vAlign w:val="center"/>
          </w:tcPr>
          <w:p w14:paraId="63967F70">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除铁锰过滤</w:t>
            </w:r>
          </w:p>
        </w:tc>
      </w:tr>
      <w:tr w14:paraId="39D11E9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57" w:type="dxa"/>
            <w:bottom w:w="0" w:type="dxa"/>
            <w:right w:w="57" w:type="dxa"/>
          </w:tblCellMar>
        </w:tblPrEx>
        <w:trPr>
          <w:trHeight w:val="482" w:hRule="atLeast"/>
        </w:trPr>
        <w:tc>
          <w:tcPr>
            <w:tcW w:w="158" w:type="pct"/>
            <w:vMerge w:val="continue"/>
            <w:tcBorders>
              <w:tl2br w:val="nil"/>
              <w:tr2bl w:val="nil"/>
            </w:tcBorders>
            <w:noWrap w:val="0"/>
            <w:vAlign w:val="center"/>
          </w:tcPr>
          <w:p w14:paraId="2E9786D1">
            <w:pPr>
              <w:widowControl/>
              <w:snapToGrid w:val="0"/>
              <w:spacing w:line="240" w:lineRule="auto"/>
              <w:ind w:firstLine="0" w:firstLineChars="0"/>
              <w:jc w:val="center"/>
              <w:rPr>
                <w:rFonts w:hint="eastAsia" w:cs="Times New Roman"/>
                <w:color w:val="auto"/>
                <w:kern w:val="0"/>
                <w:sz w:val="21"/>
                <w:szCs w:val="21"/>
                <w:highlight w:val="none"/>
                <w:lang w:val="en-US" w:eastAsia="zh-CN"/>
              </w:rPr>
            </w:pPr>
          </w:p>
        </w:tc>
        <w:tc>
          <w:tcPr>
            <w:tcW w:w="515" w:type="pct"/>
            <w:tcBorders>
              <w:tl2br w:val="nil"/>
              <w:tr2bl w:val="nil"/>
            </w:tcBorders>
            <w:shd w:val="clear" w:color="auto" w:fill="auto"/>
            <w:noWrap w:val="0"/>
            <w:vAlign w:val="center"/>
          </w:tcPr>
          <w:p w14:paraId="4A5013CA">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柳河镇新升村饮用水水源地</w:t>
            </w:r>
          </w:p>
        </w:tc>
        <w:tc>
          <w:tcPr>
            <w:tcW w:w="252" w:type="pct"/>
            <w:tcBorders>
              <w:tl2br w:val="nil"/>
              <w:tr2bl w:val="nil"/>
            </w:tcBorders>
            <w:shd w:val="clear" w:color="auto" w:fill="auto"/>
            <w:noWrap w:val="0"/>
            <w:vAlign w:val="center"/>
          </w:tcPr>
          <w:p w14:paraId="76D8CA4F">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XS</w:t>
            </w:r>
          </w:p>
        </w:tc>
        <w:tc>
          <w:tcPr>
            <w:tcW w:w="503" w:type="pct"/>
            <w:tcBorders>
              <w:tl2br w:val="nil"/>
              <w:tr2bl w:val="nil"/>
            </w:tcBorders>
            <w:shd w:val="clear" w:color="auto" w:fill="auto"/>
            <w:noWrap w:val="0"/>
            <w:vAlign w:val="center"/>
          </w:tcPr>
          <w:p w14:paraId="49783275">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127°38′22.30″</w:t>
            </w:r>
          </w:p>
        </w:tc>
        <w:tc>
          <w:tcPr>
            <w:tcW w:w="488" w:type="pct"/>
            <w:tcBorders>
              <w:tl2br w:val="nil"/>
              <w:tr2bl w:val="nil"/>
            </w:tcBorders>
            <w:shd w:val="clear" w:color="auto" w:fill="auto"/>
            <w:noWrap w:val="0"/>
            <w:vAlign w:val="center"/>
          </w:tcPr>
          <w:p w14:paraId="6C836029">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46°45′30.02″</w:t>
            </w:r>
          </w:p>
        </w:tc>
        <w:tc>
          <w:tcPr>
            <w:tcW w:w="275" w:type="pct"/>
            <w:tcBorders>
              <w:tl2br w:val="nil"/>
              <w:tr2bl w:val="nil"/>
            </w:tcBorders>
            <w:shd w:val="clear" w:color="auto" w:fill="auto"/>
            <w:noWrap w:val="0"/>
            <w:vAlign w:val="center"/>
          </w:tcPr>
          <w:p w14:paraId="7E2352C2">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2018</w:t>
            </w:r>
          </w:p>
        </w:tc>
        <w:tc>
          <w:tcPr>
            <w:tcW w:w="318" w:type="pct"/>
            <w:tcBorders>
              <w:tl2br w:val="nil"/>
              <w:tr2bl w:val="nil"/>
            </w:tcBorders>
            <w:shd w:val="clear" w:color="auto" w:fill="auto"/>
            <w:noWrap w:val="0"/>
            <w:vAlign w:val="center"/>
          </w:tcPr>
          <w:p w14:paraId="35367542">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200</w:t>
            </w:r>
          </w:p>
        </w:tc>
        <w:tc>
          <w:tcPr>
            <w:tcW w:w="270" w:type="pct"/>
            <w:tcBorders>
              <w:tl2br w:val="nil"/>
              <w:tr2bl w:val="nil"/>
            </w:tcBorders>
            <w:shd w:val="clear" w:color="auto" w:fill="auto"/>
            <w:noWrap w:val="0"/>
            <w:vAlign w:val="center"/>
          </w:tcPr>
          <w:p w14:paraId="143ED483">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承压水</w:t>
            </w:r>
          </w:p>
        </w:tc>
        <w:tc>
          <w:tcPr>
            <w:tcW w:w="397" w:type="pct"/>
            <w:tcBorders>
              <w:tl2br w:val="nil"/>
              <w:tr2bl w:val="nil"/>
            </w:tcBorders>
            <w:shd w:val="clear" w:color="auto" w:fill="auto"/>
            <w:noWrap w:val="0"/>
            <w:vAlign w:val="center"/>
          </w:tcPr>
          <w:p w14:paraId="46D5C241">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孔隙水</w:t>
            </w:r>
          </w:p>
        </w:tc>
        <w:tc>
          <w:tcPr>
            <w:tcW w:w="244" w:type="pct"/>
            <w:tcBorders>
              <w:tl2br w:val="nil"/>
              <w:tr2bl w:val="nil"/>
            </w:tcBorders>
            <w:shd w:val="clear" w:color="auto" w:fill="auto"/>
            <w:noWrap w:val="0"/>
            <w:vAlign w:val="center"/>
          </w:tcPr>
          <w:p w14:paraId="6764F36E">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89</w:t>
            </w:r>
          </w:p>
        </w:tc>
        <w:tc>
          <w:tcPr>
            <w:tcW w:w="938" w:type="pct"/>
            <w:tcBorders>
              <w:tl2br w:val="nil"/>
              <w:tr2bl w:val="nil"/>
            </w:tcBorders>
            <w:shd w:val="clear" w:color="auto" w:fill="auto"/>
            <w:noWrap w:val="0"/>
            <w:vAlign w:val="center"/>
          </w:tcPr>
          <w:p w14:paraId="236383B3">
            <w:pPr>
              <w:widowControl/>
              <w:snapToGrid w:val="0"/>
              <w:spacing w:line="240" w:lineRule="auto"/>
              <w:ind w:firstLine="0" w:firstLineChars="0"/>
              <w:jc w:val="center"/>
              <w:rPr>
                <w:rFonts w:hint="default" w:ascii="Times New Roman" w:hAnsi="Times New Roman"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新升村夏占王、葛山屯、王凤刚窝棚、于小铺屯、王风刚屯、夏洪太屯、丁爽屯</w:t>
            </w:r>
          </w:p>
        </w:tc>
        <w:tc>
          <w:tcPr>
            <w:tcW w:w="339" w:type="pct"/>
            <w:tcBorders>
              <w:tl2br w:val="nil"/>
              <w:tr2bl w:val="nil"/>
            </w:tcBorders>
            <w:shd w:val="clear" w:color="auto" w:fill="auto"/>
            <w:noWrap w:val="0"/>
            <w:vAlign w:val="center"/>
          </w:tcPr>
          <w:p w14:paraId="724073C3">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1300</w:t>
            </w:r>
          </w:p>
        </w:tc>
        <w:tc>
          <w:tcPr>
            <w:tcW w:w="296" w:type="pct"/>
            <w:tcBorders>
              <w:tl2br w:val="nil"/>
              <w:tr2bl w:val="nil"/>
            </w:tcBorders>
            <w:shd w:val="clear" w:color="auto" w:fill="auto"/>
            <w:noWrap w:val="0"/>
            <w:vAlign w:val="center"/>
          </w:tcPr>
          <w:p w14:paraId="279F3076">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锰砂过滤+消毒</w:t>
            </w:r>
          </w:p>
        </w:tc>
      </w:tr>
      <w:tr w14:paraId="70123FA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57" w:type="dxa"/>
            <w:bottom w:w="0" w:type="dxa"/>
            <w:right w:w="57" w:type="dxa"/>
          </w:tblCellMar>
        </w:tblPrEx>
        <w:trPr>
          <w:trHeight w:val="249" w:hRule="atLeast"/>
        </w:trPr>
        <w:tc>
          <w:tcPr>
            <w:tcW w:w="158" w:type="pct"/>
            <w:vMerge w:val="restart"/>
            <w:tcBorders>
              <w:tl2br w:val="nil"/>
              <w:tr2bl w:val="nil"/>
            </w:tcBorders>
            <w:noWrap w:val="0"/>
            <w:vAlign w:val="center"/>
          </w:tcPr>
          <w:p w14:paraId="5AB03DDB">
            <w:pPr>
              <w:widowControl/>
              <w:snapToGrid w:val="0"/>
              <w:spacing w:line="240" w:lineRule="auto"/>
              <w:ind w:firstLine="0" w:firstLineChars="0"/>
              <w:jc w:val="center"/>
              <w:rPr>
                <w:rFonts w:hint="eastAsia"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丰收乡</w:t>
            </w:r>
          </w:p>
        </w:tc>
        <w:tc>
          <w:tcPr>
            <w:tcW w:w="515" w:type="pct"/>
            <w:tcBorders>
              <w:tl2br w:val="nil"/>
              <w:tr2bl w:val="nil"/>
            </w:tcBorders>
            <w:shd w:val="clear" w:color="auto" w:fill="auto"/>
            <w:noWrap w:val="0"/>
            <w:vAlign w:val="center"/>
          </w:tcPr>
          <w:p w14:paraId="79879191">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丰收乡丰满村饮用水水源地</w:t>
            </w:r>
          </w:p>
        </w:tc>
        <w:tc>
          <w:tcPr>
            <w:tcW w:w="252" w:type="pct"/>
            <w:tcBorders>
              <w:tl2br w:val="nil"/>
              <w:tr2bl w:val="nil"/>
            </w:tcBorders>
            <w:shd w:val="clear" w:color="auto" w:fill="auto"/>
            <w:noWrap w:val="0"/>
            <w:vAlign w:val="center"/>
          </w:tcPr>
          <w:p w14:paraId="5467E320">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1#</w:t>
            </w:r>
          </w:p>
        </w:tc>
        <w:tc>
          <w:tcPr>
            <w:tcW w:w="503" w:type="pct"/>
            <w:tcBorders>
              <w:tl2br w:val="nil"/>
              <w:tr2bl w:val="nil"/>
            </w:tcBorders>
            <w:shd w:val="clear" w:color="auto" w:fill="auto"/>
            <w:noWrap w:val="0"/>
            <w:vAlign w:val="center"/>
          </w:tcPr>
          <w:p w14:paraId="05E6573D">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127°43’23.22”</w:t>
            </w:r>
          </w:p>
        </w:tc>
        <w:tc>
          <w:tcPr>
            <w:tcW w:w="488" w:type="pct"/>
            <w:tcBorders>
              <w:tl2br w:val="nil"/>
              <w:tr2bl w:val="nil"/>
            </w:tcBorders>
            <w:shd w:val="clear" w:color="auto" w:fill="auto"/>
            <w:noWrap w:val="0"/>
            <w:vAlign w:val="center"/>
          </w:tcPr>
          <w:p w14:paraId="5C067E4D">
            <w:pPr>
              <w:widowControl/>
              <w:snapToGrid w:val="0"/>
              <w:spacing w:line="240" w:lineRule="auto"/>
              <w:ind w:firstLine="0" w:firstLineChars="0"/>
              <w:jc w:val="center"/>
              <w:rPr>
                <w:rFonts w:hint="default" w:ascii="Times New Roman" w:hAnsi="Times New Roman"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46°51’48.13”</w:t>
            </w:r>
          </w:p>
          <w:p w14:paraId="1B9590C0">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SA"/>
              </w:rPr>
            </w:pPr>
          </w:p>
        </w:tc>
        <w:tc>
          <w:tcPr>
            <w:tcW w:w="275" w:type="pct"/>
            <w:tcBorders>
              <w:tl2br w:val="nil"/>
              <w:tr2bl w:val="nil"/>
            </w:tcBorders>
            <w:shd w:val="clear" w:color="auto" w:fill="auto"/>
            <w:noWrap w:val="0"/>
            <w:vAlign w:val="center"/>
          </w:tcPr>
          <w:p w14:paraId="320F0BFA">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2011</w:t>
            </w:r>
          </w:p>
        </w:tc>
        <w:tc>
          <w:tcPr>
            <w:tcW w:w="318" w:type="pct"/>
            <w:tcBorders>
              <w:tl2br w:val="nil"/>
              <w:tr2bl w:val="nil"/>
            </w:tcBorders>
            <w:shd w:val="clear" w:color="auto" w:fill="auto"/>
            <w:noWrap w:val="0"/>
            <w:vAlign w:val="center"/>
          </w:tcPr>
          <w:p w14:paraId="7CF4E331">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 xml:space="preserve">233 </w:t>
            </w:r>
          </w:p>
        </w:tc>
        <w:tc>
          <w:tcPr>
            <w:tcW w:w="270" w:type="pct"/>
            <w:tcBorders>
              <w:tl2br w:val="nil"/>
              <w:tr2bl w:val="nil"/>
            </w:tcBorders>
            <w:shd w:val="clear" w:color="auto" w:fill="auto"/>
            <w:noWrap w:val="0"/>
            <w:vAlign w:val="center"/>
          </w:tcPr>
          <w:p w14:paraId="5AEA171C">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承压水</w:t>
            </w:r>
          </w:p>
        </w:tc>
        <w:tc>
          <w:tcPr>
            <w:tcW w:w="397" w:type="pct"/>
            <w:tcBorders>
              <w:tl2br w:val="nil"/>
              <w:tr2bl w:val="nil"/>
            </w:tcBorders>
            <w:shd w:val="clear" w:color="auto" w:fill="auto"/>
            <w:noWrap w:val="0"/>
            <w:vAlign w:val="center"/>
          </w:tcPr>
          <w:p w14:paraId="551E990C">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孔隙-裂隙水</w:t>
            </w:r>
          </w:p>
        </w:tc>
        <w:tc>
          <w:tcPr>
            <w:tcW w:w="244" w:type="pct"/>
            <w:tcBorders>
              <w:tl2br w:val="nil"/>
              <w:tr2bl w:val="nil"/>
            </w:tcBorders>
            <w:shd w:val="clear" w:color="auto" w:fill="auto"/>
            <w:noWrap w:val="0"/>
            <w:vAlign w:val="center"/>
          </w:tcPr>
          <w:p w14:paraId="2056E1AF">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104</w:t>
            </w:r>
          </w:p>
        </w:tc>
        <w:tc>
          <w:tcPr>
            <w:tcW w:w="938" w:type="pct"/>
            <w:tcBorders>
              <w:tl2br w:val="nil"/>
              <w:tr2bl w:val="nil"/>
            </w:tcBorders>
            <w:shd w:val="clear" w:color="auto" w:fill="auto"/>
            <w:noWrap w:val="0"/>
            <w:vAlign w:val="center"/>
          </w:tcPr>
          <w:p w14:paraId="6513FAE1">
            <w:pPr>
              <w:widowControl/>
              <w:snapToGrid w:val="0"/>
              <w:spacing w:line="240" w:lineRule="auto"/>
              <w:ind w:firstLine="0" w:firstLineChars="0"/>
              <w:jc w:val="center"/>
              <w:rPr>
                <w:rFonts w:hint="default" w:ascii="Times New Roman" w:hAnsi="Times New Roman"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丰满村熊家沟、刘振国、柯银铺、李小伙、徐万春、张大个子、前彭家、张先生、李宫、南城王；丰收乡星光村大桥屯、新立屯；孟继春</w:t>
            </w:r>
          </w:p>
        </w:tc>
        <w:tc>
          <w:tcPr>
            <w:tcW w:w="339" w:type="pct"/>
            <w:tcBorders>
              <w:tl2br w:val="nil"/>
              <w:tr2bl w:val="nil"/>
            </w:tcBorders>
            <w:shd w:val="clear" w:color="auto" w:fill="auto"/>
            <w:noWrap w:val="0"/>
            <w:vAlign w:val="center"/>
          </w:tcPr>
          <w:p w14:paraId="2D459AA3">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3880</w:t>
            </w:r>
          </w:p>
        </w:tc>
        <w:tc>
          <w:tcPr>
            <w:tcW w:w="296" w:type="pct"/>
            <w:tcBorders>
              <w:tl2br w:val="nil"/>
              <w:tr2bl w:val="nil"/>
            </w:tcBorders>
            <w:shd w:val="clear" w:color="auto" w:fill="auto"/>
            <w:noWrap w:val="0"/>
            <w:vAlign w:val="center"/>
          </w:tcPr>
          <w:p w14:paraId="38AEB93E">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除铁锰过滤</w:t>
            </w:r>
          </w:p>
        </w:tc>
      </w:tr>
      <w:tr w14:paraId="1B13392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57" w:type="dxa"/>
            <w:bottom w:w="0" w:type="dxa"/>
            <w:right w:w="57" w:type="dxa"/>
          </w:tblCellMar>
        </w:tblPrEx>
        <w:trPr>
          <w:trHeight w:val="482" w:hRule="atLeast"/>
        </w:trPr>
        <w:tc>
          <w:tcPr>
            <w:tcW w:w="158" w:type="pct"/>
            <w:vMerge w:val="continue"/>
            <w:tcBorders>
              <w:tl2br w:val="nil"/>
              <w:tr2bl w:val="nil"/>
            </w:tcBorders>
            <w:noWrap w:val="0"/>
            <w:vAlign w:val="center"/>
          </w:tcPr>
          <w:p w14:paraId="018337B4">
            <w:pPr>
              <w:widowControl/>
              <w:snapToGrid w:val="0"/>
              <w:spacing w:line="240" w:lineRule="auto"/>
              <w:ind w:firstLine="0" w:firstLineChars="0"/>
              <w:jc w:val="center"/>
              <w:rPr>
                <w:rFonts w:hint="eastAsia" w:cs="Times New Roman"/>
                <w:color w:val="auto"/>
                <w:kern w:val="0"/>
                <w:sz w:val="21"/>
                <w:szCs w:val="21"/>
                <w:highlight w:val="none"/>
                <w:lang w:val="en-US" w:eastAsia="zh-CN"/>
              </w:rPr>
            </w:pPr>
          </w:p>
        </w:tc>
        <w:tc>
          <w:tcPr>
            <w:tcW w:w="515" w:type="pct"/>
            <w:tcBorders>
              <w:tl2br w:val="nil"/>
              <w:tr2bl w:val="nil"/>
            </w:tcBorders>
            <w:shd w:val="clear" w:color="auto" w:fill="auto"/>
            <w:noWrap w:val="0"/>
            <w:vAlign w:val="center"/>
          </w:tcPr>
          <w:p w14:paraId="2E621601">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丰收乡丰林村饮用水水源地</w:t>
            </w:r>
          </w:p>
        </w:tc>
        <w:tc>
          <w:tcPr>
            <w:tcW w:w="252" w:type="pct"/>
            <w:tcBorders>
              <w:tl2br w:val="nil"/>
              <w:tr2bl w:val="nil"/>
            </w:tcBorders>
            <w:shd w:val="clear" w:color="auto" w:fill="auto"/>
            <w:noWrap w:val="0"/>
            <w:vAlign w:val="center"/>
          </w:tcPr>
          <w:p w14:paraId="502192B8">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1#</w:t>
            </w:r>
          </w:p>
        </w:tc>
        <w:tc>
          <w:tcPr>
            <w:tcW w:w="503" w:type="pct"/>
            <w:tcBorders>
              <w:tl2br w:val="nil"/>
              <w:tr2bl w:val="nil"/>
            </w:tcBorders>
            <w:shd w:val="clear" w:color="auto" w:fill="auto"/>
            <w:noWrap w:val="0"/>
            <w:vAlign w:val="center"/>
          </w:tcPr>
          <w:p w14:paraId="0122F261">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127°48’54.73”</w:t>
            </w:r>
          </w:p>
        </w:tc>
        <w:tc>
          <w:tcPr>
            <w:tcW w:w="488" w:type="pct"/>
            <w:tcBorders>
              <w:tl2br w:val="nil"/>
              <w:tr2bl w:val="nil"/>
            </w:tcBorders>
            <w:shd w:val="clear" w:color="auto" w:fill="auto"/>
            <w:noWrap w:val="0"/>
            <w:vAlign w:val="center"/>
          </w:tcPr>
          <w:p w14:paraId="2C7E4500">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46°49’54.60”</w:t>
            </w:r>
          </w:p>
        </w:tc>
        <w:tc>
          <w:tcPr>
            <w:tcW w:w="275" w:type="pct"/>
            <w:tcBorders>
              <w:tl2br w:val="nil"/>
              <w:tr2bl w:val="nil"/>
            </w:tcBorders>
            <w:shd w:val="clear" w:color="auto" w:fill="auto"/>
            <w:noWrap w:val="0"/>
            <w:vAlign w:val="center"/>
          </w:tcPr>
          <w:p w14:paraId="1DE242CD">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2012</w:t>
            </w:r>
          </w:p>
        </w:tc>
        <w:tc>
          <w:tcPr>
            <w:tcW w:w="318" w:type="pct"/>
            <w:tcBorders>
              <w:tl2br w:val="nil"/>
              <w:tr2bl w:val="nil"/>
            </w:tcBorders>
            <w:shd w:val="clear" w:color="auto" w:fill="auto"/>
            <w:noWrap w:val="0"/>
            <w:vAlign w:val="center"/>
          </w:tcPr>
          <w:p w14:paraId="4563ABA7">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 xml:space="preserve">314 </w:t>
            </w:r>
          </w:p>
        </w:tc>
        <w:tc>
          <w:tcPr>
            <w:tcW w:w="270" w:type="pct"/>
            <w:tcBorders>
              <w:tl2br w:val="nil"/>
              <w:tr2bl w:val="nil"/>
            </w:tcBorders>
            <w:shd w:val="clear" w:color="auto" w:fill="auto"/>
            <w:noWrap w:val="0"/>
            <w:vAlign w:val="center"/>
          </w:tcPr>
          <w:p w14:paraId="42A8C8C5">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承压水</w:t>
            </w:r>
          </w:p>
        </w:tc>
        <w:tc>
          <w:tcPr>
            <w:tcW w:w="397" w:type="pct"/>
            <w:tcBorders>
              <w:tl2br w:val="nil"/>
              <w:tr2bl w:val="nil"/>
            </w:tcBorders>
            <w:shd w:val="clear" w:color="auto" w:fill="auto"/>
            <w:noWrap w:val="0"/>
            <w:vAlign w:val="center"/>
          </w:tcPr>
          <w:p w14:paraId="256A71B3">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孔隙水，孔隙-裂隙水</w:t>
            </w:r>
          </w:p>
        </w:tc>
        <w:tc>
          <w:tcPr>
            <w:tcW w:w="244" w:type="pct"/>
            <w:tcBorders>
              <w:tl2br w:val="nil"/>
              <w:tr2bl w:val="nil"/>
            </w:tcBorders>
            <w:shd w:val="clear" w:color="auto" w:fill="auto"/>
            <w:noWrap w:val="0"/>
            <w:vAlign w:val="center"/>
          </w:tcPr>
          <w:p w14:paraId="0E8F159C">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65</w:t>
            </w:r>
          </w:p>
        </w:tc>
        <w:tc>
          <w:tcPr>
            <w:tcW w:w="938" w:type="pct"/>
            <w:tcBorders>
              <w:tl2br w:val="nil"/>
              <w:tr2bl w:val="nil"/>
            </w:tcBorders>
            <w:shd w:val="clear" w:color="auto" w:fill="auto"/>
            <w:noWrap w:val="0"/>
            <w:vAlign w:val="center"/>
          </w:tcPr>
          <w:p w14:paraId="2C6025FC">
            <w:pPr>
              <w:widowControl/>
              <w:snapToGrid w:val="0"/>
              <w:spacing w:line="240" w:lineRule="auto"/>
              <w:ind w:firstLine="0" w:firstLineChars="0"/>
              <w:jc w:val="center"/>
              <w:rPr>
                <w:rFonts w:hint="default" w:ascii="Times New Roman" w:hAnsi="Times New Roman"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丰林村二分屯、板房、六分屯、平房、张家湾、吴大郎、三分屯、四分屯、五分屯、王老勺、王洪美、林家炉、赵家店；五间房、张青、吊桥于；丘发</w:t>
            </w:r>
          </w:p>
        </w:tc>
        <w:tc>
          <w:tcPr>
            <w:tcW w:w="339" w:type="pct"/>
            <w:tcBorders>
              <w:tl2br w:val="nil"/>
              <w:tr2bl w:val="nil"/>
            </w:tcBorders>
            <w:shd w:val="clear" w:color="auto" w:fill="auto"/>
            <w:noWrap w:val="0"/>
            <w:vAlign w:val="center"/>
          </w:tcPr>
          <w:p w14:paraId="521ED39A">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5226</w:t>
            </w:r>
          </w:p>
        </w:tc>
        <w:tc>
          <w:tcPr>
            <w:tcW w:w="296" w:type="pct"/>
            <w:tcBorders>
              <w:tl2br w:val="nil"/>
              <w:tr2bl w:val="nil"/>
            </w:tcBorders>
            <w:shd w:val="clear" w:color="auto" w:fill="auto"/>
            <w:noWrap w:val="0"/>
            <w:vAlign w:val="center"/>
          </w:tcPr>
          <w:p w14:paraId="386E0B02">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除铁锰过滤</w:t>
            </w:r>
          </w:p>
        </w:tc>
      </w:tr>
      <w:tr w14:paraId="2CC895A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57" w:type="dxa"/>
            <w:bottom w:w="0" w:type="dxa"/>
            <w:right w:w="57" w:type="dxa"/>
          </w:tblCellMar>
        </w:tblPrEx>
        <w:trPr>
          <w:trHeight w:val="482" w:hRule="atLeast"/>
        </w:trPr>
        <w:tc>
          <w:tcPr>
            <w:tcW w:w="158" w:type="pct"/>
            <w:vMerge w:val="continue"/>
            <w:tcBorders>
              <w:tl2br w:val="nil"/>
              <w:tr2bl w:val="nil"/>
            </w:tcBorders>
            <w:noWrap w:val="0"/>
            <w:vAlign w:val="center"/>
          </w:tcPr>
          <w:p w14:paraId="576CC004">
            <w:pPr>
              <w:widowControl/>
              <w:snapToGrid w:val="0"/>
              <w:spacing w:line="240" w:lineRule="auto"/>
              <w:ind w:firstLine="0" w:firstLineChars="0"/>
              <w:jc w:val="center"/>
              <w:rPr>
                <w:rFonts w:hint="eastAsia" w:cs="Times New Roman"/>
                <w:color w:val="auto"/>
                <w:kern w:val="0"/>
                <w:sz w:val="21"/>
                <w:szCs w:val="21"/>
                <w:highlight w:val="none"/>
                <w:lang w:val="en-US" w:eastAsia="zh-CN"/>
              </w:rPr>
            </w:pPr>
          </w:p>
        </w:tc>
        <w:tc>
          <w:tcPr>
            <w:tcW w:w="515" w:type="pct"/>
            <w:tcBorders>
              <w:tl2br w:val="nil"/>
              <w:tr2bl w:val="nil"/>
            </w:tcBorders>
            <w:shd w:val="clear" w:color="auto" w:fill="auto"/>
            <w:noWrap w:val="0"/>
            <w:vAlign w:val="center"/>
          </w:tcPr>
          <w:p w14:paraId="55602806">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丰收乡丰裕村饮用水水源地</w:t>
            </w:r>
          </w:p>
        </w:tc>
        <w:tc>
          <w:tcPr>
            <w:tcW w:w="252" w:type="pct"/>
            <w:tcBorders>
              <w:tl2br w:val="nil"/>
              <w:tr2bl w:val="nil"/>
            </w:tcBorders>
            <w:shd w:val="clear" w:color="auto" w:fill="auto"/>
            <w:noWrap w:val="0"/>
            <w:vAlign w:val="center"/>
          </w:tcPr>
          <w:p w14:paraId="0E7452C5">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1#</w:t>
            </w:r>
          </w:p>
        </w:tc>
        <w:tc>
          <w:tcPr>
            <w:tcW w:w="503" w:type="pct"/>
            <w:tcBorders>
              <w:tl2br w:val="nil"/>
              <w:tr2bl w:val="nil"/>
            </w:tcBorders>
            <w:shd w:val="clear" w:color="auto" w:fill="auto"/>
            <w:noWrap w:val="0"/>
            <w:vAlign w:val="center"/>
          </w:tcPr>
          <w:p w14:paraId="0366FEA6">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127°44’44.11”</w:t>
            </w:r>
          </w:p>
        </w:tc>
        <w:tc>
          <w:tcPr>
            <w:tcW w:w="488" w:type="pct"/>
            <w:tcBorders>
              <w:tl2br w:val="nil"/>
              <w:tr2bl w:val="nil"/>
            </w:tcBorders>
            <w:shd w:val="clear" w:color="auto" w:fill="auto"/>
            <w:noWrap w:val="0"/>
            <w:vAlign w:val="center"/>
          </w:tcPr>
          <w:p w14:paraId="37F2A8C8">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46°53’06.86”</w:t>
            </w:r>
          </w:p>
        </w:tc>
        <w:tc>
          <w:tcPr>
            <w:tcW w:w="275" w:type="pct"/>
            <w:tcBorders>
              <w:tl2br w:val="nil"/>
              <w:tr2bl w:val="nil"/>
            </w:tcBorders>
            <w:shd w:val="clear" w:color="auto" w:fill="auto"/>
            <w:noWrap w:val="0"/>
            <w:vAlign w:val="center"/>
          </w:tcPr>
          <w:p w14:paraId="0C1C5E78">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2012</w:t>
            </w:r>
          </w:p>
        </w:tc>
        <w:tc>
          <w:tcPr>
            <w:tcW w:w="318" w:type="pct"/>
            <w:tcBorders>
              <w:tl2br w:val="nil"/>
              <w:tr2bl w:val="nil"/>
            </w:tcBorders>
            <w:shd w:val="clear" w:color="auto" w:fill="auto"/>
            <w:noWrap w:val="0"/>
            <w:vAlign w:val="center"/>
          </w:tcPr>
          <w:p w14:paraId="40AD7E21">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 xml:space="preserve">200 </w:t>
            </w:r>
          </w:p>
        </w:tc>
        <w:tc>
          <w:tcPr>
            <w:tcW w:w="270" w:type="pct"/>
            <w:tcBorders>
              <w:tl2br w:val="nil"/>
              <w:tr2bl w:val="nil"/>
            </w:tcBorders>
            <w:shd w:val="clear" w:color="auto" w:fill="auto"/>
            <w:noWrap w:val="0"/>
            <w:vAlign w:val="center"/>
          </w:tcPr>
          <w:p w14:paraId="51E5D6AC">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承压水</w:t>
            </w:r>
          </w:p>
        </w:tc>
        <w:tc>
          <w:tcPr>
            <w:tcW w:w="397" w:type="pct"/>
            <w:tcBorders>
              <w:tl2br w:val="nil"/>
              <w:tr2bl w:val="nil"/>
            </w:tcBorders>
            <w:shd w:val="clear" w:color="auto" w:fill="auto"/>
            <w:noWrap w:val="0"/>
            <w:vAlign w:val="center"/>
          </w:tcPr>
          <w:p w14:paraId="2F341438">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孔隙水</w:t>
            </w:r>
          </w:p>
        </w:tc>
        <w:tc>
          <w:tcPr>
            <w:tcW w:w="244" w:type="pct"/>
            <w:tcBorders>
              <w:tl2br w:val="nil"/>
              <w:tr2bl w:val="nil"/>
            </w:tcBorders>
            <w:shd w:val="clear" w:color="auto" w:fill="auto"/>
            <w:noWrap w:val="0"/>
            <w:vAlign w:val="center"/>
          </w:tcPr>
          <w:p w14:paraId="4391746C">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70</w:t>
            </w:r>
          </w:p>
        </w:tc>
        <w:tc>
          <w:tcPr>
            <w:tcW w:w="938" w:type="pct"/>
            <w:tcBorders>
              <w:tl2br w:val="nil"/>
              <w:tr2bl w:val="nil"/>
            </w:tcBorders>
            <w:shd w:val="clear" w:color="auto" w:fill="auto"/>
            <w:noWrap w:val="0"/>
            <w:vAlign w:val="center"/>
          </w:tcPr>
          <w:p w14:paraId="2428A3D1">
            <w:pPr>
              <w:widowControl/>
              <w:snapToGrid w:val="0"/>
              <w:spacing w:line="240" w:lineRule="auto"/>
              <w:ind w:firstLine="0" w:firstLineChars="0"/>
              <w:jc w:val="center"/>
              <w:rPr>
                <w:rFonts w:hint="default" w:ascii="Times New Roman" w:hAnsi="Times New Roman"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丰裕村于友、小腰屯、刘碗铺、张子彬、自成立、刘花马、孙家围子</w:t>
            </w:r>
          </w:p>
        </w:tc>
        <w:tc>
          <w:tcPr>
            <w:tcW w:w="339" w:type="pct"/>
            <w:tcBorders>
              <w:tl2br w:val="nil"/>
              <w:tr2bl w:val="nil"/>
            </w:tcBorders>
            <w:shd w:val="clear" w:color="auto" w:fill="auto"/>
            <w:noWrap w:val="0"/>
            <w:vAlign w:val="center"/>
          </w:tcPr>
          <w:p w14:paraId="00E9B434">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3336</w:t>
            </w:r>
          </w:p>
        </w:tc>
        <w:tc>
          <w:tcPr>
            <w:tcW w:w="296" w:type="pct"/>
            <w:tcBorders>
              <w:tl2br w:val="nil"/>
              <w:tr2bl w:val="nil"/>
            </w:tcBorders>
            <w:shd w:val="clear" w:color="auto" w:fill="auto"/>
            <w:noWrap w:val="0"/>
            <w:vAlign w:val="center"/>
          </w:tcPr>
          <w:p w14:paraId="42E02689">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除铁锰过滤</w:t>
            </w:r>
          </w:p>
        </w:tc>
      </w:tr>
      <w:tr w14:paraId="105441D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57" w:type="dxa"/>
            <w:bottom w:w="0" w:type="dxa"/>
            <w:right w:w="57" w:type="dxa"/>
          </w:tblCellMar>
        </w:tblPrEx>
        <w:trPr>
          <w:trHeight w:val="482" w:hRule="atLeast"/>
        </w:trPr>
        <w:tc>
          <w:tcPr>
            <w:tcW w:w="158" w:type="pct"/>
            <w:vMerge w:val="continue"/>
            <w:tcBorders>
              <w:tl2br w:val="nil"/>
              <w:tr2bl w:val="nil"/>
            </w:tcBorders>
            <w:noWrap w:val="0"/>
            <w:vAlign w:val="center"/>
          </w:tcPr>
          <w:p w14:paraId="08151569">
            <w:pPr>
              <w:widowControl/>
              <w:snapToGrid w:val="0"/>
              <w:spacing w:line="240" w:lineRule="auto"/>
              <w:ind w:firstLine="0" w:firstLineChars="0"/>
              <w:jc w:val="center"/>
              <w:rPr>
                <w:rFonts w:hint="eastAsia" w:cs="Times New Roman"/>
                <w:color w:val="auto"/>
                <w:kern w:val="0"/>
                <w:sz w:val="21"/>
                <w:szCs w:val="21"/>
                <w:highlight w:val="none"/>
                <w:lang w:val="en-US" w:eastAsia="zh-CN"/>
              </w:rPr>
            </w:pPr>
          </w:p>
        </w:tc>
        <w:tc>
          <w:tcPr>
            <w:tcW w:w="515" w:type="pct"/>
            <w:tcBorders>
              <w:tl2br w:val="nil"/>
              <w:tr2bl w:val="nil"/>
            </w:tcBorders>
            <w:shd w:val="clear" w:color="auto" w:fill="auto"/>
            <w:noWrap w:val="0"/>
            <w:vAlign w:val="center"/>
          </w:tcPr>
          <w:p w14:paraId="30AC708B">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丰收乡丰田村饮用水水源地</w:t>
            </w:r>
          </w:p>
        </w:tc>
        <w:tc>
          <w:tcPr>
            <w:tcW w:w="252" w:type="pct"/>
            <w:tcBorders>
              <w:tl2br w:val="nil"/>
              <w:tr2bl w:val="nil"/>
            </w:tcBorders>
            <w:shd w:val="clear" w:color="auto" w:fill="auto"/>
            <w:noWrap w:val="0"/>
            <w:vAlign w:val="center"/>
          </w:tcPr>
          <w:p w14:paraId="7188B2E7">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1#</w:t>
            </w:r>
          </w:p>
        </w:tc>
        <w:tc>
          <w:tcPr>
            <w:tcW w:w="503" w:type="pct"/>
            <w:tcBorders>
              <w:tl2br w:val="nil"/>
              <w:tr2bl w:val="nil"/>
            </w:tcBorders>
            <w:shd w:val="clear" w:color="auto" w:fill="auto"/>
            <w:noWrap w:val="0"/>
            <w:vAlign w:val="center"/>
          </w:tcPr>
          <w:p w14:paraId="1785A883">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127°34’55.96”</w:t>
            </w:r>
          </w:p>
        </w:tc>
        <w:tc>
          <w:tcPr>
            <w:tcW w:w="488" w:type="pct"/>
            <w:tcBorders>
              <w:tl2br w:val="nil"/>
              <w:tr2bl w:val="nil"/>
            </w:tcBorders>
            <w:shd w:val="clear" w:color="auto" w:fill="auto"/>
            <w:noWrap w:val="0"/>
            <w:vAlign w:val="center"/>
          </w:tcPr>
          <w:p w14:paraId="79A73558">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46°54’16.08”</w:t>
            </w:r>
          </w:p>
        </w:tc>
        <w:tc>
          <w:tcPr>
            <w:tcW w:w="275" w:type="pct"/>
            <w:tcBorders>
              <w:tl2br w:val="nil"/>
              <w:tr2bl w:val="nil"/>
            </w:tcBorders>
            <w:shd w:val="clear" w:color="auto" w:fill="auto"/>
            <w:noWrap w:val="0"/>
            <w:vAlign w:val="center"/>
          </w:tcPr>
          <w:p w14:paraId="58FC6529">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2012</w:t>
            </w:r>
          </w:p>
        </w:tc>
        <w:tc>
          <w:tcPr>
            <w:tcW w:w="318" w:type="pct"/>
            <w:tcBorders>
              <w:tl2br w:val="nil"/>
              <w:tr2bl w:val="nil"/>
            </w:tcBorders>
            <w:shd w:val="clear" w:color="auto" w:fill="auto"/>
            <w:noWrap w:val="0"/>
            <w:vAlign w:val="center"/>
          </w:tcPr>
          <w:p w14:paraId="1DE21247">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 xml:space="preserve">229 </w:t>
            </w:r>
          </w:p>
        </w:tc>
        <w:tc>
          <w:tcPr>
            <w:tcW w:w="270" w:type="pct"/>
            <w:tcBorders>
              <w:tl2br w:val="nil"/>
              <w:tr2bl w:val="nil"/>
            </w:tcBorders>
            <w:shd w:val="clear" w:color="auto" w:fill="auto"/>
            <w:noWrap w:val="0"/>
            <w:vAlign w:val="center"/>
          </w:tcPr>
          <w:p w14:paraId="6E8FF5FF">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承压水</w:t>
            </w:r>
          </w:p>
        </w:tc>
        <w:tc>
          <w:tcPr>
            <w:tcW w:w="397" w:type="pct"/>
            <w:tcBorders>
              <w:tl2br w:val="nil"/>
              <w:tr2bl w:val="nil"/>
            </w:tcBorders>
            <w:shd w:val="clear" w:color="auto" w:fill="auto"/>
            <w:noWrap w:val="0"/>
            <w:vAlign w:val="center"/>
          </w:tcPr>
          <w:p w14:paraId="4B029B8F">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孔隙水</w:t>
            </w:r>
          </w:p>
        </w:tc>
        <w:tc>
          <w:tcPr>
            <w:tcW w:w="244" w:type="pct"/>
            <w:tcBorders>
              <w:tl2br w:val="nil"/>
              <w:tr2bl w:val="nil"/>
            </w:tcBorders>
            <w:shd w:val="clear" w:color="auto" w:fill="auto"/>
            <w:noWrap w:val="0"/>
            <w:vAlign w:val="center"/>
          </w:tcPr>
          <w:p w14:paraId="4761BCC7">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68</w:t>
            </w:r>
          </w:p>
        </w:tc>
        <w:tc>
          <w:tcPr>
            <w:tcW w:w="938" w:type="pct"/>
            <w:tcBorders>
              <w:tl2br w:val="nil"/>
              <w:tr2bl w:val="nil"/>
            </w:tcBorders>
            <w:shd w:val="clear" w:color="auto" w:fill="auto"/>
            <w:noWrap w:val="0"/>
            <w:vAlign w:val="center"/>
          </w:tcPr>
          <w:p w14:paraId="36464CF4">
            <w:pPr>
              <w:widowControl/>
              <w:snapToGrid w:val="0"/>
              <w:spacing w:line="240" w:lineRule="auto"/>
              <w:ind w:firstLine="0" w:firstLineChars="0"/>
              <w:jc w:val="center"/>
              <w:rPr>
                <w:rFonts w:hint="default" w:ascii="Times New Roman" w:hAnsi="Times New Roman"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丰田村李老德，王宽，王菜园子、王月、何家窝棚、姜万海、于福、丰年村郑文举、王殿、张十三、王乃珠；方公屯、柳秧子</w:t>
            </w:r>
          </w:p>
        </w:tc>
        <w:tc>
          <w:tcPr>
            <w:tcW w:w="339" w:type="pct"/>
            <w:tcBorders>
              <w:tl2br w:val="nil"/>
              <w:tr2bl w:val="nil"/>
            </w:tcBorders>
            <w:shd w:val="clear" w:color="auto" w:fill="auto"/>
            <w:noWrap w:val="0"/>
            <w:vAlign w:val="center"/>
          </w:tcPr>
          <w:p w14:paraId="2A13CAEF">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3813</w:t>
            </w:r>
          </w:p>
        </w:tc>
        <w:tc>
          <w:tcPr>
            <w:tcW w:w="296" w:type="pct"/>
            <w:tcBorders>
              <w:tl2br w:val="nil"/>
              <w:tr2bl w:val="nil"/>
            </w:tcBorders>
            <w:shd w:val="clear" w:color="auto" w:fill="auto"/>
            <w:noWrap w:val="0"/>
            <w:vAlign w:val="center"/>
          </w:tcPr>
          <w:p w14:paraId="350AE48E">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除铁锰过滤</w:t>
            </w:r>
          </w:p>
        </w:tc>
      </w:tr>
      <w:tr w14:paraId="79CC8EC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57" w:type="dxa"/>
            <w:bottom w:w="0" w:type="dxa"/>
            <w:right w:w="57" w:type="dxa"/>
          </w:tblCellMar>
        </w:tblPrEx>
        <w:trPr>
          <w:trHeight w:val="482" w:hRule="atLeast"/>
        </w:trPr>
        <w:tc>
          <w:tcPr>
            <w:tcW w:w="158" w:type="pct"/>
            <w:vMerge w:val="continue"/>
            <w:tcBorders>
              <w:tl2br w:val="nil"/>
              <w:tr2bl w:val="nil"/>
            </w:tcBorders>
            <w:noWrap w:val="0"/>
            <w:vAlign w:val="center"/>
          </w:tcPr>
          <w:p w14:paraId="641E600C">
            <w:pPr>
              <w:widowControl/>
              <w:snapToGrid w:val="0"/>
              <w:spacing w:line="240" w:lineRule="auto"/>
              <w:ind w:firstLine="0" w:firstLineChars="0"/>
              <w:jc w:val="center"/>
              <w:rPr>
                <w:rFonts w:hint="eastAsia" w:cs="Times New Roman"/>
                <w:color w:val="auto"/>
                <w:kern w:val="0"/>
                <w:sz w:val="21"/>
                <w:szCs w:val="21"/>
                <w:highlight w:val="none"/>
                <w:lang w:val="en-US" w:eastAsia="zh-CN"/>
              </w:rPr>
            </w:pPr>
          </w:p>
        </w:tc>
        <w:tc>
          <w:tcPr>
            <w:tcW w:w="515" w:type="pct"/>
            <w:tcBorders>
              <w:tl2br w:val="nil"/>
              <w:tr2bl w:val="nil"/>
            </w:tcBorders>
            <w:shd w:val="clear" w:color="auto" w:fill="auto"/>
            <w:noWrap w:val="0"/>
            <w:vAlign w:val="center"/>
          </w:tcPr>
          <w:p w14:paraId="60BE1EFF">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丰收乡丰山村饮用水水源地</w:t>
            </w:r>
          </w:p>
        </w:tc>
        <w:tc>
          <w:tcPr>
            <w:tcW w:w="252" w:type="pct"/>
            <w:tcBorders>
              <w:tl2br w:val="nil"/>
              <w:tr2bl w:val="nil"/>
            </w:tcBorders>
            <w:shd w:val="clear" w:color="auto" w:fill="auto"/>
            <w:noWrap w:val="0"/>
            <w:vAlign w:val="center"/>
          </w:tcPr>
          <w:p w14:paraId="7DDE6A56">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1#</w:t>
            </w:r>
          </w:p>
        </w:tc>
        <w:tc>
          <w:tcPr>
            <w:tcW w:w="503" w:type="pct"/>
            <w:tcBorders>
              <w:tl2br w:val="nil"/>
              <w:tr2bl w:val="nil"/>
            </w:tcBorders>
            <w:shd w:val="clear" w:color="auto" w:fill="auto"/>
            <w:noWrap w:val="0"/>
            <w:vAlign w:val="center"/>
          </w:tcPr>
          <w:p w14:paraId="292A0B1C">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127°46’13.56”</w:t>
            </w:r>
          </w:p>
        </w:tc>
        <w:tc>
          <w:tcPr>
            <w:tcW w:w="488" w:type="pct"/>
            <w:tcBorders>
              <w:tl2br w:val="nil"/>
              <w:tr2bl w:val="nil"/>
            </w:tcBorders>
            <w:shd w:val="clear" w:color="auto" w:fill="auto"/>
            <w:noWrap w:val="0"/>
            <w:vAlign w:val="center"/>
          </w:tcPr>
          <w:p w14:paraId="4FB29659">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46°51’27.13”</w:t>
            </w:r>
          </w:p>
        </w:tc>
        <w:tc>
          <w:tcPr>
            <w:tcW w:w="275" w:type="pct"/>
            <w:tcBorders>
              <w:tl2br w:val="nil"/>
              <w:tr2bl w:val="nil"/>
            </w:tcBorders>
            <w:shd w:val="clear" w:color="auto" w:fill="auto"/>
            <w:noWrap w:val="0"/>
            <w:vAlign w:val="center"/>
          </w:tcPr>
          <w:p w14:paraId="3E252EF7">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2011</w:t>
            </w:r>
          </w:p>
        </w:tc>
        <w:tc>
          <w:tcPr>
            <w:tcW w:w="318" w:type="pct"/>
            <w:tcBorders>
              <w:tl2br w:val="nil"/>
              <w:tr2bl w:val="nil"/>
            </w:tcBorders>
            <w:shd w:val="clear" w:color="auto" w:fill="auto"/>
            <w:noWrap w:val="0"/>
            <w:vAlign w:val="center"/>
          </w:tcPr>
          <w:p w14:paraId="304CE44B">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 xml:space="preserve">171 </w:t>
            </w:r>
          </w:p>
        </w:tc>
        <w:tc>
          <w:tcPr>
            <w:tcW w:w="270" w:type="pct"/>
            <w:tcBorders>
              <w:tl2br w:val="nil"/>
              <w:tr2bl w:val="nil"/>
            </w:tcBorders>
            <w:shd w:val="clear" w:color="auto" w:fill="auto"/>
            <w:noWrap w:val="0"/>
            <w:vAlign w:val="center"/>
          </w:tcPr>
          <w:p w14:paraId="1E2EC2A9">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承压水</w:t>
            </w:r>
          </w:p>
        </w:tc>
        <w:tc>
          <w:tcPr>
            <w:tcW w:w="397" w:type="pct"/>
            <w:tcBorders>
              <w:tl2br w:val="nil"/>
              <w:tr2bl w:val="nil"/>
            </w:tcBorders>
            <w:shd w:val="clear" w:color="auto" w:fill="auto"/>
            <w:noWrap w:val="0"/>
            <w:vAlign w:val="center"/>
          </w:tcPr>
          <w:p w14:paraId="3BBEB616">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孔隙水，孔隙-裂隙水</w:t>
            </w:r>
          </w:p>
        </w:tc>
        <w:tc>
          <w:tcPr>
            <w:tcW w:w="244" w:type="pct"/>
            <w:tcBorders>
              <w:tl2br w:val="nil"/>
              <w:tr2bl w:val="nil"/>
            </w:tcBorders>
            <w:shd w:val="clear" w:color="auto" w:fill="auto"/>
            <w:noWrap w:val="0"/>
            <w:vAlign w:val="center"/>
          </w:tcPr>
          <w:p w14:paraId="2D9ACCEA">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63</w:t>
            </w:r>
          </w:p>
        </w:tc>
        <w:tc>
          <w:tcPr>
            <w:tcW w:w="938" w:type="pct"/>
            <w:tcBorders>
              <w:tl2br w:val="nil"/>
              <w:tr2bl w:val="nil"/>
            </w:tcBorders>
            <w:shd w:val="clear" w:color="auto" w:fill="auto"/>
            <w:noWrap w:val="0"/>
            <w:vAlign w:val="center"/>
          </w:tcPr>
          <w:p w14:paraId="535ECA00">
            <w:pPr>
              <w:widowControl/>
              <w:snapToGrid w:val="0"/>
              <w:spacing w:line="240" w:lineRule="auto"/>
              <w:ind w:firstLine="0" w:firstLineChars="0"/>
              <w:jc w:val="center"/>
              <w:rPr>
                <w:rFonts w:hint="default" w:ascii="Times New Roman" w:hAnsi="Times New Roman"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丰山村孙奎、高连生、吕兆录、公议会、花里</w:t>
            </w:r>
          </w:p>
        </w:tc>
        <w:tc>
          <w:tcPr>
            <w:tcW w:w="339" w:type="pct"/>
            <w:tcBorders>
              <w:tl2br w:val="nil"/>
              <w:tr2bl w:val="nil"/>
            </w:tcBorders>
            <w:shd w:val="clear" w:color="auto" w:fill="auto"/>
            <w:noWrap w:val="0"/>
            <w:vAlign w:val="center"/>
          </w:tcPr>
          <w:p w14:paraId="295B903C">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2843</w:t>
            </w:r>
          </w:p>
        </w:tc>
        <w:tc>
          <w:tcPr>
            <w:tcW w:w="296" w:type="pct"/>
            <w:tcBorders>
              <w:tl2br w:val="nil"/>
              <w:tr2bl w:val="nil"/>
            </w:tcBorders>
            <w:shd w:val="clear" w:color="auto" w:fill="auto"/>
            <w:noWrap w:val="0"/>
            <w:vAlign w:val="center"/>
          </w:tcPr>
          <w:p w14:paraId="02FDD780">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除铁锰过滤</w:t>
            </w:r>
          </w:p>
        </w:tc>
      </w:tr>
      <w:tr w14:paraId="71289DC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57" w:type="dxa"/>
            <w:bottom w:w="0" w:type="dxa"/>
            <w:right w:w="57" w:type="dxa"/>
          </w:tblCellMar>
        </w:tblPrEx>
        <w:trPr>
          <w:trHeight w:val="482" w:hRule="atLeast"/>
        </w:trPr>
        <w:tc>
          <w:tcPr>
            <w:tcW w:w="158" w:type="pct"/>
            <w:vMerge w:val="continue"/>
            <w:tcBorders>
              <w:tl2br w:val="nil"/>
              <w:tr2bl w:val="nil"/>
            </w:tcBorders>
            <w:noWrap w:val="0"/>
            <w:vAlign w:val="center"/>
          </w:tcPr>
          <w:p w14:paraId="17CA8AD6">
            <w:pPr>
              <w:widowControl/>
              <w:snapToGrid w:val="0"/>
              <w:spacing w:line="240" w:lineRule="auto"/>
              <w:ind w:firstLine="0" w:firstLineChars="0"/>
              <w:jc w:val="center"/>
              <w:rPr>
                <w:rFonts w:hint="eastAsia" w:cs="Times New Roman"/>
                <w:color w:val="auto"/>
                <w:kern w:val="0"/>
                <w:sz w:val="21"/>
                <w:szCs w:val="21"/>
                <w:highlight w:val="none"/>
                <w:lang w:val="en-US" w:eastAsia="zh-CN"/>
              </w:rPr>
            </w:pPr>
          </w:p>
        </w:tc>
        <w:tc>
          <w:tcPr>
            <w:tcW w:w="515" w:type="pct"/>
            <w:tcBorders>
              <w:tl2br w:val="nil"/>
              <w:tr2bl w:val="nil"/>
            </w:tcBorders>
            <w:shd w:val="clear" w:color="auto" w:fill="auto"/>
            <w:noWrap w:val="0"/>
            <w:vAlign w:val="center"/>
          </w:tcPr>
          <w:p w14:paraId="37E72ACD">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丰收乡丰收村饮用水水源地</w:t>
            </w:r>
          </w:p>
        </w:tc>
        <w:tc>
          <w:tcPr>
            <w:tcW w:w="252" w:type="pct"/>
            <w:tcBorders>
              <w:tl2br w:val="nil"/>
              <w:tr2bl w:val="nil"/>
            </w:tcBorders>
            <w:shd w:val="clear" w:color="auto" w:fill="auto"/>
            <w:noWrap w:val="0"/>
            <w:vAlign w:val="center"/>
          </w:tcPr>
          <w:p w14:paraId="6C7EAA42">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FS</w:t>
            </w:r>
          </w:p>
        </w:tc>
        <w:tc>
          <w:tcPr>
            <w:tcW w:w="503" w:type="pct"/>
            <w:tcBorders>
              <w:tl2br w:val="nil"/>
              <w:tr2bl w:val="nil"/>
            </w:tcBorders>
            <w:shd w:val="clear" w:color="auto" w:fill="auto"/>
            <w:noWrap w:val="0"/>
            <w:vAlign w:val="center"/>
          </w:tcPr>
          <w:p w14:paraId="019F4496">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127°34′51.43″</w:t>
            </w:r>
          </w:p>
        </w:tc>
        <w:tc>
          <w:tcPr>
            <w:tcW w:w="488" w:type="pct"/>
            <w:tcBorders>
              <w:tl2br w:val="nil"/>
              <w:tr2bl w:val="nil"/>
            </w:tcBorders>
            <w:shd w:val="clear" w:color="auto" w:fill="auto"/>
            <w:noWrap w:val="0"/>
            <w:vAlign w:val="center"/>
          </w:tcPr>
          <w:p w14:paraId="7E86BFDC">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46°52′24.65″</w:t>
            </w:r>
          </w:p>
        </w:tc>
        <w:tc>
          <w:tcPr>
            <w:tcW w:w="275" w:type="pct"/>
            <w:tcBorders>
              <w:tl2br w:val="nil"/>
              <w:tr2bl w:val="nil"/>
            </w:tcBorders>
            <w:shd w:val="clear" w:color="auto" w:fill="auto"/>
            <w:noWrap w:val="0"/>
            <w:vAlign w:val="center"/>
          </w:tcPr>
          <w:p w14:paraId="42F94220">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2019</w:t>
            </w:r>
          </w:p>
        </w:tc>
        <w:tc>
          <w:tcPr>
            <w:tcW w:w="318" w:type="pct"/>
            <w:tcBorders>
              <w:tl2br w:val="nil"/>
              <w:tr2bl w:val="nil"/>
            </w:tcBorders>
            <w:shd w:val="clear" w:color="auto" w:fill="auto"/>
            <w:noWrap w:val="0"/>
            <w:vAlign w:val="center"/>
          </w:tcPr>
          <w:p w14:paraId="4503097F">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300</w:t>
            </w:r>
          </w:p>
        </w:tc>
        <w:tc>
          <w:tcPr>
            <w:tcW w:w="270" w:type="pct"/>
            <w:tcBorders>
              <w:tl2br w:val="nil"/>
              <w:tr2bl w:val="nil"/>
            </w:tcBorders>
            <w:shd w:val="clear" w:color="auto" w:fill="auto"/>
            <w:noWrap w:val="0"/>
            <w:vAlign w:val="center"/>
          </w:tcPr>
          <w:p w14:paraId="3183E4DE">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承压水</w:t>
            </w:r>
          </w:p>
        </w:tc>
        <w:tc>
          <w:tcPr>
            <w:tcW w:w="397" w:type="pct"/>
            <w:tcBorders>
              <w:tl2br w:val="nil"/>
              <w:tr2bl w:val="nil"/>
            </w:tcBorders>
            <w:shd w:val="clear" w:color="auto" w:fill="auto"/>
            <w:noWrap w:val="0"/>
            <w:vAlign w:val="center"/>
          </w:tcPr>
          <w:p w14:paraId="0F2BDD8A">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孔隙水</w:t>
            </w:r>
          </w:p>
        </w:tc>
        <w:tc>
          <w:tcPr>
            <w:tcW w:w="244" w:type="pct"/>
            <w:tcBorders>
              <w:tl2br w:val="nil"/>
              <w:tr2bl w:val="nil"/>
            </w:tcBorders>
            <w:shd w:val="clear" w:color="auto" w:fill="auto"/>
            <w:noWrap w:val="0"/>
            <w:vAlign w:val="center"/>
          </w:tcPr>
          <w:p w14:paraId="67F3BF3F">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60</w:t>
            </w:r>
          </w:p>
        </w:tc>
        <w:tc>
          <w:tcPr>
            <w:tcW w:w="938" w:type="pct"/>
            <w:tcBorders>
              <w:tl2br w:val="nil"/>
              <w:tr2bl w:val="nil"/>
            </w:tcBorders>
            <w:shd w:val="clear" w:color="auto" w:fill="auto"/>
            <w:noWrap w:val="0"/>
            <w:vAlign w:val="center"/>
          </w:tcPr>
          <w:p w14:paraId="12B97CA6">
            <w:pPr>
              <w:widowControl/>
              <w:snapToGrid w:val="0"/>
              <w:spacing w:line="240" w:lineRule="auto"/>
              <w:ind w:firstLine="0" w:firstLineChars="0"/>
              <w:jc w:val="center"/>
              <w:rPr>
                <w:rFonts w:hint="default" w:ascii="Times New Roman" w:hAnsi="Times New Roman"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丰收村十二马架、张坡屯、前何、菜家屯、腰方屯；西河</w:t>
            </w:r>
          </w:p>
        </w:tc>
        <w:tc>
          <w:tcPr>
            <w:tcW w:w="339" w:type="pct"/>
            <w:tcBorders>
              <w:tl2br w:val="nil"/>
              <w:tr2bl w:val="nil"/>
            </w:tcBorders>
            <w:shd w:val="clear" w:color="auto" w:fill="auto"/>
            <w:noWrap w:val="0"/>
            <w:vAlign w:val="center"/>
          </w:tcPr>
          <w:p w14:paraId="65FD0A51">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3000</w:t>
            </w:r>
          </w:p>
        </w:tc>
        <w:tc>
          <w:tcPr>
            <w:tcW w:w="296" w:type="pct"/>
            <w:tcBorders>
              <w:tl2br w:val="nil"/>
              <w:tr2bl w:val="nil"/>
            </w:tcBorders>
            <w:shd w:val="clear" w:color="auto" w:fill="auto"/>
            <w:noWrap w:val="0"/>
            <w:vAlign w:val="center"/>
          </w:tcPr>
          <w:p w14:paraId="2F6F96C2">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锰砂过滤+消毒</w:t>
            </w:r>
          </w:p>
        </w:tc>
      </w:tr>
      <w:tr w14:paraId="7CB0379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57" w:type="dxa"/>
            <w:bottom w:w="0" w:type="dxa"/>
            <w:right w:w="57" w:type="dxa"/>
          </w:tblCellMar>
        </w:tblPrEx>
        <w:trPr>
          <w:trHeight w:val="482" w:hRule="atLeast"/>
        </w:trPr>
        <w:tc>
          <w:tcPr>
            <w:tcW w:w="158" w:type="pct"/>
            <w:vMerge w:val="continue"/>
            <w:tcBorders>
              <w:tl2br w:val="nil"/>
              <w:tr2bl w:val="nil"/>
            </w:tcBorders>
            <w:noWrap w:val="0"/>
            <w:vAlign w:val="center"/>
          </w:tcPr>
          <w:p w14:paraId="72747D5F">
            <w:pPr>
              <w:widowControl/>
              <w:snapToGrid w:val="0"/>
              <w:spacing w:line="240" w:lineRule="auto"/>
              <w:ind w:firstLine="0" w:firstLineChars="0"/>
              <w:jc w:val="center"/>
              <w:rPr>
                <w:rFonts w:hint="eastAsia" w:cs="Times New Roman"/>
                <w:color w:val="auto"/>
                <w:kern w:val="0"/>
                <w:sz w:val="21"/>
                <w:szCs w:val="21"/>
                <w:highlight w:val="none"/>
                <w:lang w:val="en-US" w:eastAsia="zh-CN"/>
              </w:rPr>
            </w:pPr>
          </w:p>
        </w:tc>
        <w:tc>
          <w:tcPr>
            <w:tcW w:w="515" w:type="pct"/>
            <w:tcBorders>
              <w:tl2br w:val="nil"/>
              <w:tr2bl w:val="nil"/>
            </w:tcBorders>
            <w:shd w:val="clear" w:color="auto" w:fill="auto"/>
            <w:noWrap w:val="0"/>
            <w:vAlign w:val="center"/>
          </w:tcPr>
          <w:p w14:paraId="759A94B8">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绥化市庆安县丰收乡丰泰村饮用水水源地</w:t>
            </w:r>
          </w:p>
        </w:tc>
        <w:tc>
          <w:tcPr>
            <w:tcW w:w="252" w:type="pct"/>
            <w:tcBorders>
              <w:tl2br w:val="nil"/>
              <w:tr2bl w:val="nil"/>
            </w:tcBorders>
            <w:shd w:val="clear" w:color="auto" w:fill="auto"/>
            <w:noWrap w:val="0"/>
            <w:vAlign w:val="center"/>
          </w:tcPr>
          <w:p w14:paraId="4406E030">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1#</w:t>
            </w:r>
          </w:p>
        </w:tc>
        <w:tc>
          <w:tcPr>
            <w:tcW w:w="503" w:type="pct"/>
            <w:tcBorders>
              <w:tl2br w:val="nil"/>
              <w:tr2bl w:val="nil"/>
            </w:tcBorders>
            <w:shd w:val="clear" w:color="auto" w:fill="auto"/>
            <w:noWrap w:val="0"/>
            <w:vAlign w:val="center"/>
          </w:tcPr>
          <w:p w14:paraId="44DB6699">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127°02′14.85″</w:t>
            </w:r>
          </w:p>
        </w:tc>
        <w:tc>
          <w:tcPr>
            <w:tcW w:w="488" w:type="pct"/>
            <w:tcBorders>
              <w:tl2br w:val="nil"/>
              <w:tr2bl w:val="nil"/>
            </w:tcBorders>
            <w:shd w:val="clear" w:color="auto" w:fill="auto"/>
            <w:noWrap w:val="0"/>
            <w:vAlign w:val="center"/>
          </w:tcPr>
          <w:p w14:paraId="183D7969">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47°06′47.14″</w:t>
            </w:r>
          </w:p>
        </w:tc>
        <w:tc>
          <w:tcPr>
            <w:tcW w:w="275" w:type="pct"/>
            <w:tcBorders>
              <w:tl2br w:val="nil"/>
              <w:tr2bl w:val="nil"/>
            </w:tcBorders>
            <w:shd w:val="clear" w:color="auto" w:fill="auto"/>
            <w:noWrap w:val="0"/>
            <w:vAlign w:val="center"/>
          </w:tcPr>
          <w:p w14:paraId="71A7DFCC">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2020</w:t>
            </w:r>
          </w:p>
        </w:tc>
        <w:tc>
          <w:tcPr>
            <w:tcW w:w="318" w:type="pct"/>
            <w:tcBorders>
              <w:tl2br w:val="nil"/>
              <w:tr2bl w:val="nil"/>
            </w:tcBorders>
            <w:shd w:val="clear" w:color="auto" w:fill="auto"/>
            <w:noWrap w:val="0"/>
            <w:vAlign w:val="center"/>
          </w:tcPr>
          <w:p w14:paraId="2D47F9AC">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420</w:t>
            </w:r>
          </w:p>
        </w:tc>
        <w:tc>
          <w:tcPr>
            <w:tcW w:w="270" w:type="pct"/>
            <w:tcBorders>
              <w:tl2br w:val="nil"/>
              <w:tr2bl w:val="nil"/>
            </w:tcBorders>
            <w:shd w:val="clear" w:color="auto" w:fill="auto"/>
            <w:noWrap w:val="0"/>
            <w:vAlign w:val="center"/>
          </w:tcPr>
          <w:p w14:paraId="3A16D085">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承压水</w:t>
            </w:r>
          </w:p>
        </w:tc>
        <w:tc>
          <w:tcPr>
            <w:tcW w:w="397" w:type="pct"/>
            <w:tcBorders>
              <w:tl2br w:val="nil"/>
              <w:tr2bl w:val="nil"/>
            </w:tcBorders>
            <w:shd w:val="clear" w:color="auto" w:fill="auto"/>
            <w:noWrap w:val="0"/>
            <w:vAlign w:val="center"/>
          </w:tcPr>
          <w:p w14:paraId="75361586">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孔隙水</w:t>
            </w:r>
          </w:p>
        </w:tc>
        <w:tc>
          <w:tcPr>
            <w:tcW w:w="244" w:type="pct"/>
            <w:tcBorders>
              <w:tl2br w:val="nil"/>
              <w:tr2bl w:val="nil"/>
            </w:tcBorders>
            <w:shd w:val="clear" w:color="auto" w:fill="auto"/>
            <w:noWrap w:val="0"/>
            <w:vAlign w:val="center"/>
          </w:tcPr>
          <w:p w14:paraId="384ECFBD">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60</w:t>
            </w:r>
          </w:p>
        </w:tc>
        <w:tc>
          <w:tcPr>
            <w:tcW w:w="938" w:type="pct"/>
            <w:tcBorders>
              <w:tl2br w:val="nil"/>
              <w:tr2bl w:val="nil"/>
            </w:tcBorders>
            <w:shd w:val="clear" w:color="auto" w:fill="auto"/>
            <w:noWrap w:val="0"/>
            <w:vAlign w:val="center"/>
          </w:tcPr>
          <w:p w14:paraId="077D9FF9">
            <w:pPr>
              <w:widowControl/>
              <w:snapToGrid w:val="0"/>
              <w:spacing w:line="240" w:lineRule="auto"/>
              <w:ind w:firstLine="0" w:firstLineChars="0"/>
              <w:jc w:val="center"/>
              <w:rPr>
                <w:rFonts w:hint="default" w:ascii="Times New Roman" w:hAnsi="Times New Roman"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丰泰村福和龙、刘喜红屯、赵江、高美屯、东火烧梁、西火烧梁、丰民村段家屯、苏罗圈、三合屯、丰盛村郭家油房、郑木匠、张立文、黑张屯；丰华村孙家屯、郑家炉、崔凤刚、后郑家、王鲜爪、韩家屯、纪家屯、杨学青、于江、于宝、于大沟、单家屯</w:t>
            </w:r>
          </w:p>
        </w:tc>
        <w:tc>
          <w:tcPr>
            <w:tcW w:w="339" w:type="pct"/>
            <w:tcBorders>
              <w:tl2br w:val="nil"/>
              <w:tr2bl w:val="nil"/>
            </w:tcBorders>
            <w:shd w:val="clear" w:color="auto" w:fill="auto"/>
            <w:noWrap w:val="0"/>
            <w:vAlign w:val="center"/>
          </w:tcPr>
          <w:p w14:paraId="46F43DB1">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2606</w:t>
            </w:r>
          </w:p>
        </w:tc>
        <w:tc>
          <w:tcPr>
            <w:tcW w:w="296" w:type="pct"/>
            <w:tcBorders>
              <w:tl2br w:val="nil"/>
              <w:tr2bl w:val="nil"/>
            </w:tcBorders>
            <w:shd w:val="clear" w:color="auto" w:fill="auto"/>
            <w:noWrap w:val="0"/>
            <w:vAlign w:val="center"/>
          </w:tcPr>
          <w:p w14:paraId="7B1A68DB">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锰砂过滤+消毒</w:t>
            </w:r>
          </w:p>
        </w:tc>
      </w:tr>
      <w:tr w14:paraId="5879FF3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57" w:type="dxa"/>
            <w:bottom w:w="0" w:type="dxa"/>
            <w:right w:w="57" w:type="dxa"/>
          </w:tblCellMar>
        </w:tblPrEx>
        <w:trPr>
          <w:trHeight w:val="482" w:hRule="atLeast"/>
        </w:trPr>
        <w:tc>
          <w:tcPr>
            <w:tcW w:w="158" w:type="pct"/>
            <w:vMerge w:val="restart"/>
            <w:tcBorders>
              <w:tl2br w:val="nil"/>
              <w:tr2bl w:val="nil"/>
            </w:tcBorders>
            <w:noWrap w:val="0"/>
            <w:vAlign w:val="center"/>
          </w:tcPr>
          <w:p w14:paraId="3CD0B7A5">
            <w:pPr>
              <w:widowControl/>
              <w:snapToGrid w:val="0"/>
              <w:spacing w:line="240" w:lineRule="auto"/>
              <w:ind w:firstLine="0" w:firstLineChars="0"/>
              <w:jc w:val="center"/>
              <w:rPr>
                <w:rFonts w:hint="eastAsia"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平安镇</w:t>
            </w:r>
          </w:p>
        </w:tc>
        <w:tc>
          <w:tcPr>
            <w:tcW w:w="515" w:type="pct"/>
            <w:tcBorders>
              <w:tl2br w:val="nil"/>
              <w:tr2bl w:val="nil"/>
            </w:tcBorders>
            <w:shd w:val="clear" w:color="auto" w:fill="auto"/>
            <w:noWrap w:val="0"/>
            <w:vAlign w:val="center"/>
          </w:tcPr>
          <w:p w14:paraId="0500F965">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平安镇安平村瓦盆窑饮用水水源地</w:t>
            </w:r>
          </w:p>
        </w:tc>
        <w:tc>
          <w:tcPr>
            <w:tcW w:w="252" w:type="pct"/>
            <w:tcBorders>
              <w:tl2br w:val="nil"/>
              <w:tr2bl w:val="nil"/>
            </w:tcBorders>
            <w:shd w:val="clear" w:color="auto" w:fill="auto"/>
            <w:noWrap w:val="0"/>
            <w:vAlign w:val="center"/>
          </w:tcPr>
          <w:p w14:paraId="41A4EFC8">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1#</w:t>
            </w:r>
          </w:p>
        </w:tc>
        <w:tc>
          <w:tcPr>
            <w:tcW w:w="503" w:type="pct"/>
            <w:tcBorders>
              <w:tl2br w:val="nil"/>
              <w:tr2bl w:val="nil"/>
            </w:tcBorders>
            <w:shd w:val="clear" w:color="auto" w:fill="auto"/>
            <w:noWrap w:val="0"/>
            <w:vAlign w:val="center"/>
          </w:tcPr>
          <w:p w14:paraId="7AD2A823">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127°39’03.92”</w:t>
            </w:r>
          </w:p>
        </w:tc>
        <w:tc>
          <w:tcPr>
            <w:tcW w:w="488" w:type="pct"/>
            <w:tcBorders>
              <w:tl2br w:val="nil"/>
              <w:tr2bl w:val="nil"/>
            </w:tcBorders>
            <w:shd w:val="clear" w:color="auto" w:fill="auto"/>
            <w:noWrap w:val="0"/>
            <w:vAlign w:val="center"/>
          </w:tcPr>
          <w:p w14:paraId="1A2EBEDF">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46°56’26.72”</w:t>
            </w:r>
          </w:p>
        </w:tc>
        <w:tc>
          <w:tcPr>
            <w:tcW w:w="275" w:type="pct"/>
            <w:tcBorders>
              <w:tl2br w:val="nil"/>
              <w:tr2bl w:val="nil"/>
            </w:tcBorders>
            <w:shd w:val="clear" w:color="auto" w:fill="auto"/>
            <w:noWrap w:val="0"/>
            <w:vAlign w:val="center"/>
          </w:tcPr>
          <w:p w14:paraId="429A3AEB">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2006</w:t>
            </w:r>
          </w:p>
        </w:tc>
        <w:tc>
          <w:tcPr>
            <w:tcW w:w="318" w:type="pct"/>
            <w:tcBorders>
              <w:tl2br w:val="nil"/>
              <w:tr2bl w:val="nil"/>
            </w:tcBorders>
            <w:shd w:val="clear" w:color="auto" w:fill="auto"/>
            <w:noWrap w:val="0"/>
            <w:vAlign w:val="center"/>
          </w:tcPr>
          <w:p w14:paraId="001B07E4">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 xml:space="preserve">120 </w:t>
            </w:r>
          </w:p>
        </w:tc>
        <w:tc>
          <w:tcPr>
            <w:tcW w:w="270" w:type="pct"/>
            <w:tcBorders>
              <w:tl2br w:val="nil"/>
              <w:tr2bl w:val="nil"/>
            </w:tcBorders>
            <w:shd w:val="clear" w:color="auto" w:fill="auto"/>
            <w:noWrap w:val="0"/>
            <w:vAlign w:val="center"/>
          </w:tcPr>
          <w:p w14:paraId="559CBDF4">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承压水</w:t>
            </w:r>
          </w:p>
        </w:tc>
        <w:tc>
          <w:tcPr>
            <w:tcW w:w="397" w:type="pct"/>
            <w:tcBorders>
              <w:tl2br w:val="nil"/>
              <w:tr2bl w:val="nil"/>
            </w:tcBorders>
            <w:shd w:val="clear" w:color="auto" w:fill="auto"/>
            <w:noWrap w:val="0"/>
            <w:vAlign w:val="center"/>
          </w:tcPr>
          <w:p w14:paraId="5F680243">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孔隙，孔隙-裂隙水</w:t>
            </w:r>
          </w:p>
        </w:tc>
        <w:tc>
          <w:tcPr>
            <w:tcW w:w="244" w:type="pct"/>
            <w:tcBorders>
              <w:tl2br w:val="nil"/>
              <w:tr2bl w:val="nil"/>
            </w:tcBorders>
            <w:shd w:val="clear" w:color="auto" w:fill="auto"/>
            <w:noWrap w:val="0"/>
            <w:vAlign w:val="center"/>
          </w:tcPr>
          <w:p w14:paraId="65F7CE34">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95</w:t>
            </w:r>
          </w:p>
        </w:tc>
        <w:tc>
          <w:tcPr>
            <w:tcW w:w="938" w:type="pct"/>
            <w:tcBorders>
              <w:tl2br w:val="nil"/>
              <w:tr2bl w:val="nil"/>
            </w:tcBorders>
            <w:shd w:val="clear" w:color="auto" w:fill="auto"/>
            <w:noWrap w:val="0"/>
            <w:vAlign w:val="center"/>
          </w:tcPr>
          <w:p w14:paraId="45453829">
            <w:pPr>
              <w:widowControl/>
              <w:snapToGrid w:val="0"/>
              <w:spacing w:line="240" w:lineRule="auto"/>
              <w:ind w:firstLine="0" w:firstLineChars="0"/>
              <w:jc w:val="center"/>
              <w:rPr>
                <w:rFonts w:hint="default" w:ascii="Times New Roman" w:hAnsi="Times New Roman"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安平村张粉房、王玉堂、四马架、瓦盆窑、小八队、于江、徐油房；高老八、于桂林、小姜店</w:t>
            </w:r>
          </w:p>
        </w:tc>
        <w:tc>
          <w:tcPr>
            <w:tcW w:w="339" w:type="pct"/>
            <w:tcBorders>
              <w:tl2br w:val="nil"/>
              <w:tr2bl w:val="nil"/>
            </w:tcBorders>
            <w:shd w:val="clear" w:color="auto" w:fill="auto"/>
            <w:noWrap w:val="0"/>
            <w:vAlign w:val="center"/>
          </w:tcPr>
          <w:p w14:paraId="595210F3">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2002</w:t>
            </w:r>
          </w:p>
        </w:tc>
        <w:tc>
          <w:tcPr>
            <w:tcW w:w="296" w:type="pct"/>
            <w:tcBorders>
              <w:tl2br w:val="nil"/>
              <w:tr2bl w:val="nil"/>
            </w:tcBorders>
            <w:shd w:val="clear" w:color="auto" w:fill="auto"/>
            <w:noWrap w:val="0"/>
            <w:vAlign w:val="center"/>
          </w:tcPr>
          <w:p w14:paraId="1F854C0F">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除铁锰过滤</w:t>
            </w:r>
          </w:p>
        </w:tc>
      </w:tr>
      <w:tr w14:paraId="2795790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57" w:type="dxa"/>
            <w:bottom w:w="0" w:type="dxa"/>
            <w:right w:w="57" w:type="dxa"/>
          </w:tblCellMar>
        </w:tblPrEx>
        <w:trPr>
          <w:trHeight w:val="482" w:hRule="atLeast"/>
        </w:trPr>
        <w:tc>
          <w:tcPr>
            <w:tcW w:w="158" w:type="pct"/>
            <w:vMerge w:val="continue"/>
            <w:tcBorders>
              <w:tl2br w:val="nil"/>
              <w:tr2bl w:val="nil"/>
            </w:tcBorders>
            <w:noWrap w:val="0"/>
            <w:vAlign w:val="center"/>
          </w:tcPr>
          <w:p w14:paraId="31BE014C">
            <w:pPr>
              <w:widowControl/>
              <w:snapToGrid w:val="0"/>
              <w:spacing w:line="240" w:lineRule="auto"/>
              <w:ind w:firstLine="0" w:firstLineChars="0"/>
              <w:jc w:val="center"/>
              <w:rPr>
                <w:rFonts w:hint="eastAsia" w:cs="Times New Roman"/>
                <w:color w:val="auto"/>
                <w:kern w:val="0"/>
                <w:sz w:val="21"/>
                <w:szCs w:val="21"/>
                <w:highlight w:val="none"/>
                <w:lang w:val="en-US" w:eastAsia="zh-CN"/>
              </w:rPr>
            </w:pPr>
          </w:p>
        </w:tc>
        <w:tc>
          <w:tcPr>
            <w:tcW w:w="515" w:type="pct"/>
            <w:tcBorders>
              <w:tl2br w:val="nil"/>
              <w:tr2bl w:val="nil"/>
            </w:tcBorders>
            <w:shd w:val="clear" w:color="auto" w:fill="auto"/>
            <w:noWrap w:val="0"/>
            <w:vAlign w:val="center"/>
          </w:tcPr>
          <w:p w14:paraId="1D3A9B25">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平安镇和平村饮用水水源地</w:t>
            </w:r>
          </w:p>
        </w:tc>
        <w:tc>
          <w:tcPr>
            <w:tcW w:w="252" w:type="pct"/>
            <w:tcBorders>
              <w:tl2br w:val="nil"/>
              <w:tr2bl w:val="nil"/>
            </w:tcBorders>
            <w:shd w:val="clear" w:color="auto" w:fill="auto"/>
            <w:noWrap w:val="0"/>
            <w:vAlign w:val="center"/>
          </w:tcPr>
          <w:p w14:paraId="5823552D">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1#</w:t>
            </w:r>
          </w:p>
        </w:tc>
        <w:tc>
          <w:tcPr>
            <w:tcW w:w="503" w:type="pct"/>
            <w:tcBorders>
              <w:tl2br w:val="nil"/>
              <w:tr2bl w:val="nil"/>
            </w:tcBorders>
            <w:shd w:val="clear" w:color="auto" w:fill="auto"/>
            <w:noWrap w:val="0"/>
            <w:vAlign w:val="center"/>
          </w:tcPr>
          <w:p w14:paraId="471B39C5">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127°35’48.23”</w:t>
            </w:r>
          </w:p>
        </w:tc>
        <w:tc>
          <w:tcPr>
            <w:tcW w:w="488" w:type="pct"/>
            <w:tcBorders>
              <w:tl2br w:val="nil"/>
              <w:tr2bl w:val="nil"/>
            </w:tcBorders>
            <w:shd w:val="clear" w:color="auto" w:fill="auto"/>
            <w:noWrap w:val="0"/>
            <w:vAlign w:val="center"/>
          </w:tcPr>
          <w:p w14:paraId="1C668A78">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46°55’58.67”</w:t>
            </w:r>
          </w:p>
        </w:tc>
        <w:tc>
          <w:tcPr>
            <w:tcW w:w="275" w:type="pct"/>
            <w:tcBorders>
              <w:tl2br w:val="nil"/>
              <w:tr2bl w:val="nil"/>
            </w:tcBorders>
            <w:shd w:val="clear" w:color="auto" w:fill="auto"/>
            <w:noWrap w:val="0"/>
            <w:vAlign w:val="center"/>
          </w:tcPr>
          <w:p w14:paraId="24CA6FDA">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2014</w:t>
            </w:r>
          </w:p>
        </w:tc>
        <w:tc>
          <w:tcPr>
            <w:tcW w:w="318" w:type="pct"/>
            <w:tcBorders>
              <w:tl2br w:val="nil"/>
              <w:tr2bl w:val="nil"/>
            </w:tcBorders>
            <w:shd w:val="clear" w:color="auto" w:fill="auto"/>
            <w:noWrap w:val="0"/>
            <w:vAlign w:val="center"/>
          </w:tcPr>
          <w:p w14:paraId="744A2D19">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 xml:space="preserve">65 </w:t>
            </w:r>
          </w:p>
        </w:tc>
        <w:tc>
          <w:tcPr>
            <w:tcW w:w="270" w:type="pct"/>
            <w:tcBorders>
              <w:tl2br w:val="nil"/>
              <w:tr2bl w:val="nil"/>
            </w:tcBorders>
            <w:shd w:val="clear" w:color="auto" w:fill="auto"/>
            <w:noWrap w:val="0"/>
            <w:vAlign w:val="center"/>
          </w:tcPr>
          <w:p w14:paraId="2698ED55">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承压水</w:t>
            </w:r>
          </w:p>
        </w:tc>
        <w:tc>
          <w:tcPr>
            <w:tcW w:w="397" w:type="pct"/>
            <w:tcBorders>
              <w:tl2br w:val="nil"/>
              <w:tr2bl w:val="nil"/>
            </w:tcBorders>
            <w:shd w:val="clear" w:color="auto" w:fill="auto"/>
            <w:noWrap w:val="0"/>
            <w:vAlign w:val="center"/>
          </w:tcPr>
          <w:p w14:paraId="3042B947">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孔隙水</w:t>
            </w:r>
          </w:p>
        </w:tc>
        <w:tc>
          <w:tcPr>
            <w:tcW w:w="244" w:type="pct"/>
            <w:tcBorders>
              <w:tl2br w:val="nil"/>
              <w:tr2bl w:val="nil"/>
            </w:tcBorders>
            <w:shd w:val="clear" w:color="auto" w:fill="auto"/>
            <w:noWrap w:val="0"/>
            <w:vAlign w:val="center"/>
          </w:tcPr>
          <w:p w14:paraId="5A87071D">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60</w:t>
            </w:r>
          </w:p>
        </w:tc>
        <w:tc>
          <w:tcPr>
            <w:tcW w:w="938" w:type="pct"/>
            <w:tcBorders>
              <w:tl2br w:val="nil"/>
              <w:tr2bl w:val="nil"/>
            </w:tcBorders>
            <w:shd w:val="clear" w:color="auto" w:fill="auto"/>
            <w:noWrap w:val="0"/>
            <w:vAlign w:val="center"/>
          </w:tcPr>
          <w:p w14:paraId="6DA0344E">
            <w:pPr>
              <w:widowControl/>
              <w:snapToGrid w:val="0"/>
              <w:spacing w:line="240" w:lineRule="auto"/>
              <w:ind w:firstLine="0" w:firstLineChars="0"/>
              <w:jc w:val="center"/>
              <w:rPr>
                <w:rFonts w:hint="default" w:ascii="Times New Roman" w:hAnsi="Times New Roman"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太平村高万春、王小、懂万良、腰窝朋、于烟膏、郝家屯、尹家屯、沙家屯；和平村吴常太、腰刘家、老启家、随志富、杜珍、张德、唐云、大门孙</w:t>
            </w:r>
          </w:p>
        </w:tc>
        <w:tc>
          <w:tcPr>
            <w:tcW w:w="339" w:type="pct"/>
            <w:tcBorders>
              <w:tl2br w:val="nil"/>
              <w:tr2bl w:val="nil"/>
            </w:tcBorders>
            <w:shd w:val="clear" w:color="auto" w:fill="auto"/>
            <w:noWrap w:val="0"/>
            <w:vAlign w:val="center"/>
          </w:tcPr>
          <w:p w14:paraId="22EA4F8F">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1077</w:t>
            </w:r>
          </w:p>
        </w:tc>
        <w:tc>
          <w:tcPr>
            <w:tcW w:w="296" w:type="pct"/>
            <w:tcBorders>
              <w:tl2br w:val="nil"/>
              <w:tr2bl w:val="nil"/>
            </w:tcBorders>
            <w:shd w:val="clear" w:color="auto" w:fill="auto"/>
            <w:noWrap w:val="0"/>
            <w:vAlign w:val="center"/>
          </w:tcPr>
          <w:p w14:paraId="201EC47A">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除铁锰过滤</w:t>
            </w:r>
          </w:p>
        </w:tc>
      </w:tr>
      <w:tr w14:paraId="778F177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57" w:type="dxa"/>
            <w:bottom w:w="0" w:type="dxa"/>
            <w:right w:w="57" w:type="dxa"/>
          </w:tblCellMar>
        </w:tblPrEx>
        <w:trPr>
          <w:trHeight w:val="482" w:hRule="atLeast"/>
        </w:trPr>
        <w:tc>
          <w:tcPr>
            <w:tcW w:w="158" w:type="pct"/>
            <w:vMerge w:val="continue"/>
            <w:tcBorders>
              <w:tl2br w:val="nil"/>
              <w:tr2bl w:val="nil"/>
            </w:tcBorders>
            <w:noWrap w:val="0"/>
            <w:vAlign w:val="center"/>
          </w:tcPr>
          <w:p w14:paraId="44175241">
            <w:pPr>
              <w:widowControl/>
              <w:snapToGrid w:val="0"/>
              <w:spacing w:line="240" w:lineRule="auto"/>
              <w:ind w:firstLine="0" w:firstLineChars="0"/>
              <w:jc w:val="center"/>
              <w:rPr>
                <w:rFonts w:hint="eastAsia" w:cs="Times New Roman"/>
                <w:color w:val="auto"/>
                <w:kern w:val="0"/>
                <w:sz w:val="21"/>
                <w:szCs w:val="21"/>
                <w:highlight w:val="none"/>
                <w:lang w:val="en-US" w:eastAsia="zh-CN"/>
              </w:rPr>
            </w:pPr>
          </w:p>
        </w:tc>
        <w:tc>
          <w:tcPr>
            <w:tcW w:w="515" w:type="pct"/>
            <w:tcBorders>
              <w:tl2br w:val="nil"/>
              <w:tr2bl w:val="nil"/>
            </w:tcBorders>
            <w:shd w:val="clear" w:color="auto" w:fill="auto"/>
            <w:noWrap w:val="0"/>
            <w:vAlign w:val="center"/>
          </w:tcPr>
          <w:p w14:paraId="39186FF9">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平安镇永平村后姜店饮用水水源地</w:t>
            </w:r>
          </w:p>
        </w:tc>
        <w:tc>
          <w:tcPr>
            <w:tcW w:w="252" w:type="pct"/>
            <w:tcBorders>
              <w:tl2br w:val="nil"/>
              <w:tr2bl w:val="nil"/>
            </w:tcBorders>
            <w:shd w:val="clear" w:color="auto" w:fill="auto"/>
            <w:noWrap w:val="0"/>
            <w:vAlign w:val="center"/>
          </w:tcPr>
          <w:p w14:paraId="31A8E42E">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1#</w:t>
            </w:r>
          </w:p>
        </w:tc>
        <w:tc>
          <w:tcPr>
            <w:tcW w:w="503" w:type="pct"/>
            <w:tcBorders>
              <w:tl2br w:val="nil"/>
              <w:tr2bl w:val="nil"/>
            </w:tcBorders>
            <w:shd w:val="clear" w:color="auto" w:fill="auto"/>
            <w:noWrap w:val="0"/>
            <w:vAlign w:val="center"/>
          </w:tcPr>
          <w:p w14:paraId="7CBF05BB">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127°40’46.01”</w:t>
            </w:r>
          </w:p>
        </w:tc>
        <w:tc>
          <w:tcPr>
            <w:tcW w:w="488" w:type="pct"/>
            <w:tcBorders>
              <w:tl2br w:val="nil"/>
              <w:tr2bl w:val="nil"/>
            </w:tcBorders>
            <w:shd w:val="clear" w:color="auto" w:fill="auto"/>
            <w:noWrap w:val="0"/>
            <w:vAlign w:val="center"/>
          </w:tcPr>
          <w:p w14:paraId="040ECDA0">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46°55’05.40”</w:t>
            </w:r>
          </w:p>
        </w:tc>
        <w:tc>
          <w:tcPr>
            <w:tcW w:w="275" w:type="pct"/>
            <w:tcBorders>
              <w:tl2br w:val="nil"/>
              <w:tr2bl w:val="nil"/>
            </w:tcBorders>
            <w:shd w:val="clear" w:color="auto" w:fill="auto"/>
            <w:noWrap w:val="0"/>
            <w:vAlign w:val="center"/>
          </w:tcPr>
          <w:p w14:paraId="206C4504">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2010</w:t>
            </w:r>
          </w:p>
        </w:tc>
        <w:tc>
          <w:tcPr>
            <w:tcW w:w="318" w:type="pct"/>
            <w:tcBorders>
              <w:tl2br w:val="nil"/>
              <w:tr2bl w:val="nil"/>
            </w:tcBorders>
            <w:shd w:val="clear" w:color="auto" w:fill="auto"/>
            <w:noWrap w:val="0"/>
            <w:vAlign w:val="center"/>
          </w:tcPr>
          <w:p w14:paraId="34D92AE7">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 xml:space="preserve">165 </w:t>
            </w:r>
          </w:p>
        </w:tc>
        <w:tc>
          <w:tcPr>
            <w:tcW w:w="270" w:type="pct"/>
            <w:tcBorders>
              <w:tl2br w:val="nil"/>
              <w:tr2bl w:val="nil"/>
            </w:tcBorders>
            <w:shd w:val="clear" w:color="auto" w:fill="auto"/>
            <w:noWrap w:val="0"/>
            <w:vAlign w:val="center"/>
          </w:tcPr>
          <w:p w14:paraId="555503FF">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承压水</w:t>
            </w:r>
          </w:p>
        </w:tc>
        <w:tc>
          <w:tcPr>
            <w:tcW w:w="397" w:type="pct"/>
            <w:tcBorders>
              <w:tl2br w:val="nil"/>
              <w:tr2bl w:val="nil"/>
            </w:tcBorders>
            <w:shd w:val="clear" w:color="auto" w:fill="auto"/>
            <w:noWrap w:val="0"/>
            <w:vAlign w:val="center"/>
          </w:tcPr>
          <w:p w14:paraId="37D9FB56">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孔隙水</w:t>
            </w:r>
          </w:p>
        </w:tc>
        <w:tc>
          <w:tcPr>
            <w:tcW w:w="244" w:type="pct"/>
            <w:tcBorders>
              <w:tl2br w:val="nil"/>
              <w:tr2bl w:val="nil"/>
            </w:tcBorders>
            <w:shd w:val="clear" w:color="auto" w:fill="auto"/>
            <w:noWrap w:val="0"/>
            <w:vAlign w:val="center"/>
          </w:tcPr>
          <w:p w14:paraId="7BF41FA3">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63</w:t>
            </w:r>
          </w:p>
        </w:tc>
        <w:tc>
          <w:tcPr>
            <w:tcW w:w="938" w:type="pct"/>
            <w:tcBorders>
              <w:tl2br w:val="nil"/>
              <w:tr2bl w:val="nil"/>
            </w:tcBorders>
            <w:shd w:val="clear" w:color="auto" w:fill="auto"/>
            <w:noWrap w:val="0"/>
            <w:vAlign w:val="center"/>
          </w:tcPr>
          <w:p w14:paraId="04021B44">
            <w:pPr>
              <w:widowControl/>
              <w:snapToGrid w:val="0"/>
              <w:spacing w:line="240" w:lineRule="auto"/>
              <w:ind w:firstLine="0" w:firstLineChars="0"/>
              <w:jc w:val="center"/>
              <w:rPr>
                <w:rFonts w:hint="default" w:ascii="Times New Roman" w:hAnsi="Times New Roman"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永平村包家屯、大姜店、徐连福、丁家、后魏家、山湾屯、山吴屯、前魏屯、后姜店、张海</w:t>
            </w:r>
          </w:p>
        </w:tc>
        <w:tc>
          <w:tcPr>
            <w:tcW w:w="339" w:type="pct"/>
            <w:tcBorders>
              <w:tl2br w:val="nil"/>
              <w:tr2bl w:val="nil"/>
            </w:tcBorders>
            <w:shd w:val="clear" w:color="auto" w:fill="auto"/>
            <w:noWrap w:val="0"/>
            <w:vAlign w:val="center"/>
          </w:tcPr>
          <w:p w14:paraId="63D8D864">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2754</w:t>
            </w:r>
          </w:p>
        </w:tc>
        <w:tc>
          <w:tcPr>
            <w:tcW w:w="296" w:type="pct"/>
            <w:tcBorders>
              <w:tl2br w:val="nil"/>
              <w:tr2bl w:val="nil"/>
            </w:tcBorders>
            <w:shd w:val="clear" w:color="auto" w:fill="auto"/>
            <w:noWrap w:val="0"/>
            <w:vAlign w:val="center"/>
          </w:tcPr>
          <w:p w14:paraId="3409F97A">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除铁锰过滤</w:t>
            </w:r>
          </w:p>
        </w:tc>
      </w:tr>
      <w:tr w14:paraId="4FBA307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57" w:type="dxa"/>
            <w:bottom w:w="0" w:type="dxa"/>
            <w:right w:w="57" w:type="dxa"/>
          </w:tblCellMar>
        </w:tblPrEx>
        <w:trPr>
          <w:trHeight w:val="482" w:hRule="atLeast"/>
        </w:trPr>
        <w:tc>
          <w:tcPr>
            <w:tcW w:w="158" w:type="pct"/>
            <w:vMerge w:val="continue"/>
            <w:tcBorders>
              <w:tl2br w:val="nil"/>
              <w:tr2bl w:val="nil"/>
            </w:tcBorders>
            <w:noWrap w:val="0"/>
            <w:vAlign w:val="center"/>
          </w:tcPr>
          <w:p w14:paraId="7C2C2AAA">
            <w:pPr>
              <w:widowControl/>
              <w:snapToGrid w:val="0"/>
              <w:spacing w:line="240" w:lineRule="auto"/>
              <w:ind w:firstLine="0" w:firstLineChars="0"/>
              <w:jc w:val="center"/>
              <w:rPr>
                <w:rFonts w:hint="eastAsia" w:cs="Times New Roman"/>
                <w:color w:val="auto"/>
                <w:kern w:val="0"/>
                <w:sz w:val="21"/>
                <w:szCs w:val="21"/>
                <w:highlight w:val="none"/>
                <w:lang w:val="en-US" w:eastAsia="zh-CN"/>
              </w:rPr>
            </w:pPr>
          </w:p>
        </w:tc>
        <w:tc>
          <w:tcPr>
            <w:tcW w:w="515" w:type="pct"/>
            <w:tcBorders>
              <w:tl2br w:val="nil"/>
              <w:tr2bl w:val="nil"/>
            </w:tcBorders>
            <w:shd w:val="clear" w:color="auto" w:fill="auto"/>
            <w:noWrap w:val="0"/>
            <w:vAlign w:val="center"/>
          </w:tcPr>
          <w:p w14:paraId="05536E23">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平安镇升平村西高家屯饮用水水源地</w:t>
            </w:r>
          </w:p>
        </w:tc>
        <w:tc>
          <w:tcPr>
            <w:tcW w:w="252" w:type="pct"/>
            <w:tcBorders>
              <w:tl2br w:val="nil"/>
              <w:tr2bl w:val="nil"/>
            </w:tcBorders>
            <w:shd w:val="clear" w:color="auto" w:fill="auto"/>
            <w:noWrap w:val="0"/>
            <w:vAlign w:val="center"/>
          </w:tcPr>
          <w:p w14:paraId="71B35468">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1#</w:t>
            </w:r>
          </w:p>
        </w:tc>
        <w:tc>
          <w:tcPr>
            <w:tcW w:w="503" w:type="pct"/>
            <w:tcBorders>
              <w:tl2br w:val="nil"/>
              <w:tr2bl w:val="nil"/>
            </w:tcBorders>
            <w:shd w:val="clear" w:color="auto" w:fill="auto"/>
            <w:noWrap w:val="0"/>
            <w:vAlign w:val="center"/>
          </w:tcPr>
          <w:p w14:paraId="5824AD60">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127°42’27.14”</w:t>
            </w:r>
          </w:p>
        </w:tc>
        <w:tc>
          <w:tcPr>
            <w:tcW w:w="488" w:type="pct"/>
            <w:tcBorders>
              <w:tl2br w:val="nil"/>
              <w:tr2bl w:val="nil"/>
            </w:tcBorders>
            <w:shd w:val="clear" w:color="auto" w:fill="auto"/>
            <w:noWrap w:val="0"/>
            <w:vAlign w:val="center"/>
          </w:tcPr>
          <w:p w14:paraId="5BE3C137">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46°54’15.62</w:t>
            </w:r>
          </w:p>
        </w:tc>
        <w:tc>
          <w:tcPr>
            <w:tcW w:w="275" w:type="pct"/>
            <w:tcBorders>
              <w:tl2br w:val="nil"/>
              <w:tr2bl w:val="nil"/>
            </w:tcBorders>
            <w:shd w:val="clear" w:color="auto" w:fill="auto"/>
            <w:noWrap w:val="0"/>
            <w:vAlign w:val="center"/>
          </w:tcPr>
          <w:p w14:paraId="6D2A2B29">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2010</w:t>
            </w:r>
          </w:p>
        </w:tc>
        <w:tc>
          <w:tcPr>
            <w:tcW w:w="318" w:type="pct"/>
            <w:tcBorders>
              <w:tl2br w:val="nil"/>
              <w:tr2bl w:val="nil"/>
            </w:tcBorders>
            <w:shd w:val="clear" w:color="auto" w:fill="auto"/>
            <w:noWrap w:val="0"/>
            <w:vAlign w:val="center"/>
          </w:tcPr>
          <w:p w14:paraId="07B09968">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 xml:space="preserve">172 </w:t>
            </w:r>
          </w:p>
        </w:tc>
        <w:tc>
          <w:tcPr>
            <w:tcW w:w="270" w:type="pct"/>
            <w:tcBorders>
              <w:tl2br w:val="nil"/>
              <w:tr2bl w:val="nil"/>
            </w:tcBorders>
            <w:shd w:val="clear" w:color="auto" w:fill="auto"/>
            <w:noWrap w:val="0"/>
            <w:vAlign w:val="center"/>
          </w:tcPr>
          <w:p w14:paraId="3AADAAFD">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承压水</w:t>
            </w:r>
          </w:p>
        </w:tc>
        <w:tc>
          <w:tcPr>
            <w:tcW w:w="397" w:type="pct"/>
            <w:tcBorders>
              <w:tl2br w:val="nil"/>
              <w:tr2bl w:val="nil"/>
            </w:tcBorders>
            <w:shd w:val="clear" w:color="auto" w:fill="auto"/>
            <w:noWrap w:val="0"/>
            <w:vAlign w:val="center"/>
          </w:tcPr>
          <w:p w14:paraId="22F39286">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孔隙水，孔隙-裂隙水</w:t>
            </w:r>
          </w:p>
        </w:tc>
        <w:tc>
          <w:tcPr>
            <w:tcW w:w="244" w:type="pct"/>
            <w:tcBorders>
              <w:tl2br w:val="nil"/>
              <w:tr2bl w:val="nil"/>
            </w:tcBorders>
            <w:shd w:val="clear" w:color="auto" w:fill="auto"/>
            <w:noWrap w:val="0"/>
            <w:vAlign w:val="center"/>
          </w:tcPr>
          <w:p w14:paraId="4CBF8287">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49</w:t>
            </w:r>
          </w:p>
        </w:tc>
        <w:tc>
          <w:tcPr>
            <w:tcW w:w="938" w:type="pct"/>
            <w:tcBorders>
              <w:tl2br w:val="nil"/>
              <w:tr2bl w:val="nil"/>
            </w:tcBorders>
            <w:shd w:val="clear" w:color="auto" w:fill="auto"/>
            <w:noWrap w:val="0"/>
            <w:vAlign w:val="center"/>
          </w:tcPr>
          <w:p w14:paraId="7067DB44">
            <w:pPr>
              <w:widowControl/>
              <w:snapToGrid w:val="0"/>
              <w:spacing w:line="240" w:lineRule="auto"/>
              <w:ind w:firstLine="0" w:firstLineChars="0"/>
              <w:jc w:val="center"/>
              <w:rPr>
                <w:rFonts w:hint="default" w:ascii="Times New Roman" w:hAnsi="Times New Roman"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平安镇升平村王增屯、马粉房、王机匠、东高家、西高家、救国屯、三门李、王贵</w:t>
            </w:r>
          </w:p>
        </w:tc>
        <w:tc>
          <w:tcPr>
            <w:tcW w:w="339" w:type="pct"/>
            <w:tcBorders>
              <w:tl2br w:val="nil"/>
              <w:tr2bl w:val="nil"/>
            </w:tcBorders>
            <w:shd w:val="clear" w:color="auto" w:fill="auto"/>
            <w:noWrap w:val="0"/>
            <w:vAlign w:val="center"/>
          </w:tcPr>
          <w:p w14:paraId="38B96EA3">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2871</w:t>
            </w:r>
          </w:p>
        </w:tc>
        <w:tc>
          <w:tcPr>
            <w:tcW w:w="296" w:type="pct"/>
            <w:tcBorders>
              <w:tl2br w:val="nil"/>
              <w:tr2bl w:val="nil"/>
            </w:tcBorders>
            <w:shd w:val="clear" w:color="auto" w:fill="auto"/>
            <w:noWrap w:val="0"/>
            <w:vAlign w:val="center"/>
          </w:tcPr>
          <w:p w14:paraId="4C57E501">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除铁锰过滤</w:t>
            </w:r>
          </w:p>
        </w:tc>
      </w:tr>
    </w:tbl>
    <w:p w14:paraId="2989384F">
      <w:pPr>
        <w:pStyle w:val="27"/>
        <w:rPr>
          <w:color w:val="auto"/>
          <w:highlight w:val="none"/>
        </w:rPr>
        <w:sectPr>
          <w:pgSz w:w="16838" w:h="11905" w:orient="landscape"/>
          <w:pgMar w:top="1474" w:right="1474" w:bottom="1474" w:left="1474" w:header="850" w:footer="992" w:gutter="0"/>
          <w:pgBorders>
            <w:top w:val="none" w:sz="0" w:space="0"/>
            <w:left w:val="none" w:sz="0" w:space="0"/>
            <w:bottom w:val="none" w:sz="0" w:space="0"/>
            <w:right w:val="none" w:sz="0" w:space="0"/>
          </w:pgBorders>
          <w:pgNumType w:fmt="decimal"/>
          <w:cols w:space="720" w:num="1"/>
          <w:docGrid w:type="linesAndChars" w:linePitch="347" w:charSpace="-1024"/>
        </w:sectPr>
      </w:pPr>
    </w:p>
    <w:p w14:paraId="21799FD0">
      <w:pPr>
        <w:pStyle w:val="4"/>
        <w:rPr>
          <w:rFonts w:hint="eastAsia" w:eastAsia="黑体"/>
          <w:color w:val="auto"/>
          <w:highlight w:val="none"/>
          <w:lang w:eastAsia="zh-CN"/>
        </w:rPr>
      </w:pPr>
      <w:r>
        <w:rPr>
          <w:color w:val="auto"/>
          <w:highlight w:val="none"/>
        </w:rPr>
        <w:t>2.5.</w:t>
      </w:r>
      <w:r>
        <w:rPr>
          <w:rFonts w:hint="eastAsia"/>
          <w:color w:val="auto"/>
          <w:highlight w:val="none"/>
          <w:lang w:val="en-US" w:eastAsia="zh-CN"/>
        </w:rPr>
        <w:t>3</w:t>
      </w:r>
      <w:bookmarkEnd w:id="45"/>
      <w:r>
        <w:rPr>
          <w:rFonts w:hint="eastAsia"/>
          <w:color w:val="auto"/>
          <w:highlight w:val="none"/>
          <w:lang w:eastAsia="zh-CN"/>
        </w:rPr>
        <w:t>调整原因</w:t>
      </w:r>
    </w:p>
    <w:p w14:paraId="5135C97E">
      <w:pPr>
        <w:spacing w:line="360" w:lineRule="auto"/>
        <w:ind w:firstLine="472" w:firstLineChars="200"/>
        <w:rPr>
          <w:rFonts w:hint="eastAsia"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w:t>
      </w:r>
      <w:r>
        <w:rPr>
          <w:rFonts w:hint="eastAsia" w:cs="Times New Roman"/>
          <w:color w:val="auto"/>
          <w:sz w:val="24"/>
          <w:szCs w:val="24"/>
          <w:highlight w:val="none"/>
          <w:lang w:val="en-US" w:eastAsia="zh-CN"/>
        </w:rPr>
        <w:t>1</w:t>
      </w:r>
      <w:r>
        <w:rPr>
          <w:rFonts w:hint="eastAsia" w:ascii="Times New Roman" w:hAnsi="Times New Roman" w:eastAsia="宋体" w:cs="Times New Roman"/>
          <w:color w:val="auto"/>
          <w:sz w:val="24"/>
          <w:szCs w:val="24"/>
          <w:highlight w:val="none"/>
          <w:lang w:val="en-US" w:eastAsia="zh-CN"/>
        </w:rPr>
        <w:t>）</w:t>
      </w:r>
      <w:r>
        <w:rPr>
          <w:rFonts w:hint="eastAsia" w:cs="Times New Roman"/>
          <w:color w:val="auto"/>
          <w:sz w:val="24"/>
          <w:szCs w:val="24"/>
          <w:highlight w:val="none"/>
          <w:lang w:val="en-US" w:eastAsia="zh-CN"/>
        </w:rPr>
        <w:t>出水量存在的问题</w:t>
      </w:r>
    </w:p>
    <w:p w14:paraId="46275BB6">
      <w:pPr>
        <w:spacing w:line="360" w:lineRule="auto"/>
        <w:ind w:firstLine="472" w:firstLineChars="200"/>
        <w:rPr>
          <w:rFonts w:hint="eastAsia" w:cs="Times New Roman"/>
          <w:color w:val="auto"/>
          <w:sz w:val="24"/>
          <w:szCs w:val="24"/>
          <w:highlight w:val="none"/>
          <w:lang w:eastAsia="zh-CN"/>
        </w:rPr>
      </w:pPr>
      <w:r>
        <w:rPr>
          <w:rFonts w:hint="eastAsia" w:ascii="Times New Roman" w:hAnsi="Times New Roman" w:eastAsia="宋体" w:cs="Times New Roman"/>
          <w:color w:val="auto"/>
          <w:sz w:val="24"/>
          <w:szCs w:val="24"/>
          <w:highlight w:val="none"/>
          <w:lang w:val="en-US" w:eastAsia="zh-CN"/>
        </w:rPr>
        <w:t>原水源地</w:t>
      </w:r>
      <w:r>
        <w:rPr>
          <w:rFonts w:hint="eastAsia" w:cs="Times New Roman"/>
          <w:color w:val="auto"/>
          <w:sz w:val="24"/>
          <w:szCs w:val="24"/>
          <w:highlight w:val="none"/>
          <w:lang w:val="en-US" w:eastAsia="zh-CN"/>
        </w:rPr>
        <w:t>部分水源井运行年限较长，地下水出水量呈逐年趋势性衰减，同时受降水及地下水补给条件影响，枯水期水量季节性不足问题突出</w:t>
      </w:r>
      <w:r>
        <w:rPr>
          <w:rFonts w:hint="eastAsia" w:ascii="Times New Roman" w:hAnsi="Times New Roman" w:eastAsia="宋体" w:cs="Times New Roman"/>
          <w:color w:val="auto"/>
          <w:sz w:val="24"/>
          <w:szCs w:val="24"/>
          <w:highlight w:val="none"/>
          <w:lang w:val="en-US" w:eastAsia="zh-CN"/>
        </w:rPr>
        <w:t>，</w:t>
      </w:r>
      <w:r>
        <w:rPr>
          <w:rFonts w:hint="eastAsia" w:cs="Times New Roman"/>
          <w:color w:val="auto"/>
          <w:sz w:val="24"/>
          <w:szCs w:val="24"/>
          <w:highlight w:val="none"/>
          <w:lang w:val="en-US" w:eastAsia="zh-CN"/>
        </w:rPr>
        <w:t>且部分</w:t>
      </w:r>
      <w:r>
        <w:rPr>
          <w:rFonts w:hint="eastAsia"/>
          <w:color w:val="auto"/>
          <w:highlight w:val="none"/>
          <w:lang w:val="en-US" w:eastAsia="zh-CN"/>
        </w:rPr>
        <w:t>水井时常出现淤堵、故障等问题，导致</w:t>
      </w:r>
      <w:r>
        <w:rPr>
          <w:rFonts w:hint="eastAsia" w:cs="Times New Roman"/>
          <w:color w:val="auto"/>
          <w:sz w:val="24"/>
          <w:szCs w:val="24"/>
          <w:highlight w:val="none"/>
          <w:lang w:val="en-US" w:eastAsia="zh-CN"/>
        </w:rPr>
        <w:t>供水量难以稳定满足服务范围内持续增长的用水需求</w:t>
      </w:r>
      <w:r>
        <w:rPr>
          <w:rFonts w:hint="eastAsia" w:cs="Times New Roman"/>
          <w:color w:val="auto"/>
          <w:sz w:val="24"/>
          <w:szCs w:val="24"/>
          <w:highlight w:val="none"/>
          <w:lang w:eastAsia="zh-CN"/>
        </w:rPr>
        <w:t>。</w:t>
      </w:r>
    </w:p>
    <w:p w14:paraId="68D2170F">
      <w:pPr>
        <w:spacing w:line="360" w:lineRule="auto"/>
        <w:ind w:firstLine="472" w:firstLineChars="200"/>
        <w:rPr>
          <w:rFonts w:hint="eastAsia" w:ascii="Times New Roman" w:hAnsi="Times New Roman" w:eastAsia="宋体" w:cs="Times New Roman"/>
          <w:color w:val="auto"/>
          <w:sz w:val="24"/>
          <w:szCs w:val="24"/>
          <w:highlight w:val="none"/>
          <w:lang w:val="en-US" w:eastAsia="zh-CN"/>
        </w:rPr>
      </w:pPr>
      <w:r>
        <w:rPr>
          <w:rFonts w:hint="eastAsia" w:cs="Times New Roman"/>
          <w:color w:val="auto"/>
          <w:sz w:val="24"/>
          <w:szCs w:val="24"/>
          <w:highlight w:val="none"/>
          <w:lang w:val="en-US" w:eastAsia="zh-CN"/>
        </w:rPr>
        <w:t>（2）</w:t>
      </w:r>
      <w:r>
        <w:rPr>
          <w:rFonts w:hint="eastAsia" w:ascii="Times New Roman" w:hAnsi="Times New Roman" w:eastAsia="宋体" w:cs="Times New Roman"/>
          <w:color w:val="auto"/>
          <w:sz w:val="24"/>
          <w:szCs w:val="24"/>
          <w:highlight w:val="none"/>
          <w:lang w:val="en-US" w:eastAsia="zh-CN"/>
        </w:rPr>
        <w:t>饮用水</w:t>
      </w:r>
      <w:r>
        <w:rPr>
          <w:rFonts w:hint="eastAsia" w:cs="Times New Roman"/>
          <w:color w:val="auto"/>
          <w:sz w:val="24"/>
          <w:szCs w:val="24"/>
          <w:highlight w:val="none"/>
          <w:lang w:val="en-US" w:eastAsia="zh-CN"/>
        </w:rPr>
        <w:t>安全及规范化管理问题</w:t>
      </w:r>
    </w:p>
    <w:p w14:paraId="70F2D593">
      <w:pPr>
        <w:keepNext w:val="0"/>
        <w:keepLines w:val="0"/>
        <w:widowControl/>
        <w:suppressLineNumbers w:val="0"/>
        <w:jc w:val="left"/>
        <w:rPr>
          <w:color w:val="auto"/>
          <w:highlight w:val="none"/>
        </w:rPr>
      </w:pPr>
      <w:r>
        <w:rPr>
          <w:rFonts w:hint="eastAsia" w:ascii="Times New Roman" w:hAnsi="Times New Roman" w:eastAsia="宋体" w:cs="Times New Roman"/>
          <w:color w:val="auto"/>
          <w:sz w:val="24"/>
          <w:szCs w:val="24"/>
          <w:highlight w:val="none"/>
          <w:lang w:val="en-US" w:eastAsia="zh-CN"/>
        </w:rPr>
        <w:t>原</w:t>
      </w:r>
      <w:r>
        <w:rPr>
          <w:rFonts w:ascii="宋体" w:hAnsi="宋体" w:eastAsia="宋体" w:cs="宋体"/>
          <w:color w:val="auto"/>
          <w:kern w:val="0"/>
          <w:sz w:val="24"/>
          <w:szCs w:val="24"/>
          <w:highlight w:val="none"/>
          <w:lang w:val="en-US" w:eastAsia="zh-CN" w:bidi="ar"/>
        </w:rPr>
        <w:t>饮用水水源地普遍存在点多面广、布局分散的突出问题，各水源地跨区域、跨流域分布且彼此间距较大、位置偏远，无集中连片管控区域，直接导致日常管理极不便利，各类规范化管理短板突出：一方面，日常巡查监管、水质监测、设施运维等基础工作耗时耗力、效率低下，极易出现监管盲区和运维空档，专业管护力量难以统筹调配，人力资源浪费严重；另一方面，分散布局使得全域水源地规范化建设标准参差不齐，应急处置响应滞后、能力不足，监管责任边界模糊、考核追溯难以落地，加之周边环境复杂、管控难度大，部分偏远点位水质监测覆盖不到位，全程饮用水安全管控风险突出，现有布局模式完全无法满足水源地标准化、闭环化、统一化的规范化管理要求。</w:t>
      </w:r>
    </w:p>
    <w:p w14:paraId="0EF7D892">
      <w:pPr>
        <w:pStyle w:val="53"/>
        <w:spacing w:line="360" w:lineRule="auto"/>
        <w:rPr>
          <w:color w:val="auto"/>
          <w:highlight w:val="none"/>
        </w:rPr>
      </w:pPr>
      <w:r>
        <w:rPr>
          <w:rFonts w:hint="eastAsia" w:ascii="Times New Roman" w:hAnsi="Times New Roman" w:eastAsia="宋体" w:cs="Times New Roman"/>
          <w:color w:val="auto"/>
          <w:sz w:val="24"/>
          <w:szCs w:val="24"/>
          <w:highlight w:val="none"/>
          <w:lang w:val="en-US" w:eastAsia="zh-CN"/>
        </w:rPr>
        <w:t>（</w:t>
      </w:r>
      <w:r>
        <w:rPr>
          <w:rFonts w:hint="eastAsia" w:cs="Times New Roman"/>
          <w:color w:val="auto"/>
          <w:sz w:val="24"/>
          <w:szCs w:val="24"/>
          <w:highlight w:val="none"/>
          <w:lang w:val="en-US" w:eastAsia="zh-CN"/>
        </w:rPr>
        <w:t>3</w:t>
      </w:r>
      <w:r>
        <w:rPr>
          <w:rFonts w:hint="eastAsia" w:ascii="Times New Roman" w:hAnsi="Times New Roman" w:eastAsia="宋体" w:cs="Times New Roman"/>
          <w:color w:val="auto"/>
          <w:sz w:val="24"/>
          <w:szCs w:val="24"/>
          <w:highlight w:val="none"/>
          <w:lang w:val="en-US" w:eastAsia="zh-CN"/>
        </w:rPr>
        <w:t>）</w:t>
      </w:r>
      <w:r>
        <w:rPr>
          <w:color w:val="auto"/>
          <w:highlight w:val="none"/>
        </w:rPr>
        <w:t>水源地名称存在的问题</w:t>
      </w:r>
    </w:p>
    <w:p w14:paraId="03D2423E">
      <w:pPr>
        <w:pStyle w:val="53"/>
        <w:spacing w:line="360" w:lineRule="auto"/>
        <w:rPr>
          <w:rFonts w:hint="eastAsia" w:ascii="Times New Roman" w:hAnsi="Times New Roman" w:eastAsia="宋体" w:cs="Times New Roman"/>
          <w:color w:val="auto"/>
          <w:sz w:val="24"/>
          <w:szCs w:val="24"/>
          <w:highlight w:val="none"/>
          <w:lang w:val="en-US" w:eastAsia="zh-CN"/>
        </w:rPr>
      </w:pPr>
      <w:r>
        <w:rPr>
          <w:color w:val="auto"/>
          <w:highlight w:val="none"/>
        </w:rPr>
        <w:t>水源地名称不规范，原水源地</w:t>
      </w:r>
      <w:r>
        <w:rPr>
          <w:rFonts w:hint="eastAsia"/>
          <w:color w:val="auto"/>
          <w:highlight w:val="none"/>
          <w:lang w:eastAsia="zh-CN"/>
        </w:rPr>
        <w:t>部分</w:t>
      </w:r>
      <w:r>
        <w:rPr>
          <w:color w:val="auto"/>
          <w:highlight w:val="none"/>
        </w:rPr>
        <w:t>名称不符合《集中式饮用水水源地命名标准》（DB23/T2680-2020）要求。</w:t>
      </w:r>
    </w:p>
    <w:p w14:paraId="5CA5289A">
      <w:pPr>
        <w:pStyle w:val="3"/>
        <w:rPr>
          <w:color w:val="auto"/>
          <w:highlight w:val="none"/>
          <w:lang w:val="en-US"/>
        </w:rPr>
      </w:pPr>
      <w:bookmarkStart w:id="46" w:name="_Toc941"/>
      <w:bookmarkStart w:id="47" w:name="_Toc788"/>
      <w:r>
        <w:rPr>
          <w:rFonts w:hint="eastAsia"/>
          <w:color w:val="auto"/>
          <w:highlight w:val="none"/>
          <w:lang w:val="en-US"/>
        </w:rPr>
        <w:t>2.6饮用水水源地基础状况</w:t>
      </w:r>
      <w:bookmarkEnd w:id="46"/>
      <w:bookmarkEnd w:id="47"/>
    </w:p>
    <w:p w14:paraId="73FD6C0D">
      <w:pPr>
        <w:pStyle w:val="4"/>
        <w:rPr>
          <w:color w:val="auto"/>
          <w:highlight w:val="none"/>
        </w:rPr>
      </w:pPr>
      <w:bookmarkStart w:id="48" w:name="_Toc3158"/>
      <w:r>
        <w:rPr>
          <w:rFonts w:hint="eastAsia"/>
          <w:color w:val="auto"/>
          <w:highlight w:val="none"/>
        </w:rPr>
        <w:t>2.6.1水源地命名</w:t>
      </w:r>
      <w:bookmarkEnd w:id="48"/>
    </w:p>
    <w:p w14:paraId="31110920">
      <w:pPr>
        <w:spacing w:line="360" w:lineRule="auto"/>
        <w:ind w:firstLine="472" w:firstLineChars="200"/>
        <w:rPr>
          <w:rFonts w:hint="eastAsia"/>
          <w:color w:val="auto"/>
          <w:sz w:val="24"/>
          <w:szCs w:val="24"/>
          <w:highlight w:val="none"/>
        </w:rPr>
      </w:pPr>
      <w:r>
        <w:rPr>
          <w:rFonts w:hint="eastAsia"/>
          <w:color w:val="auto"/>
          <w:sz w:val="24"/>
          <w:szCs w:val="24"/>
          <w:highlight w:val="none"/>
        </w:rPr>
        <w:t>2020年9月11日黑龙江省市场监督管理局发布了《集中式饮用水水源地命名标准》（DB23/T 2680-2020）</w:t>
      </w:r>
      <w:r>
        <w:rPr>
          <w:rFonts w:hint="eastAsia"/>
          <w:color w:val="auto"/>
          <w:sz w:val="24"/>
          <w:szCs w:val="24"/>
          <w:highlight w:val="none"/>
          <w:lang w:eastAsia="zh-CN"/>
        </w:rPr>
        <w:t>，该</w:t>
      </w:r>
      <w:r>
        <w:rPr>
          <w:rFonts w:hint="eastAsia"/>
          <w:color w:val="auto"/>
          <w:sz w:val="24"/>
          <w:szCs w:val="24"/>
          <w:highlight w:val="none"/>
        </w:rPr>
        <w:t>标准适用于黑龙江省所有新建和划分保护区的集中式饮用水水源地，本次</w:t>
      </w:r>
      <w:r>
        <w:rPr>
          <w:rFonts w:hint="eastAsia"/>
          <w:color w:val="auto"/>
          <w:sz w:val="24"/>
          <w:szCs w:val="24"/>
          <w:highlight w:val="none"/>
          <w:lang w:eastAsia="zh-CN"/>
        </w:rPr>
        <w:t>调整</w:t>
      </w:r>
      <w:r>
        <w:rPr>
          <w:rFonts w:hint="eastAsia"/>
          <w:color w:val="auto"/>
          <w:sz w:val="24"/>
          <w:szCs w:val="24"/>
          <w:highlight w:val="none"/>
        </w:rPr>
        <w:t>报告依据该标准，“命名结构采用分段式结构，按水源地服务对象所在地域名称、建成时间的先后顺序加‘饮用水水源地’进行命名；命名表示形式为地域名称+建成时间的先后顺序+饮用水水源地；最先建成的地下水水源地，命名时可省略‘第一’。”根据“《集中式饮用水水源地命名标准》编制说明（黑龙江省环境科学研究院）”，服务对象在村民委员会所在地的地下水饮用水水源地具体表示形式为“××市××县（市、区）××乡（镇、街道）××村（村民委员会名称）第××饮用水水源地”，服务对象在农村居民点的地下水饮用水水源地具体表示形式为“××市××县（市、区）××乡（镇、街道）××村（村民委员会名称）××农村居民点名称第××饮用水水源地”。</w:t>
      </w:r>
    </w:p>
    <w:p w14:paraId="7F58A9F2">
      <w:pPr>
        <w:ind w:firstLine="470"/>
        <w:rPr>
          <w:rFonts w:hint="eastAsia"/>
          <w:color w:val="auto"/>
          <w:sz w:val="24"/>
          <w:szCs w:val="24"/>
          <w:highlight w:val="none"/>
        </w:rPr>
      </w:pPr>
      <w:r>
        <w:rPr>
          <w:rFonts w:hint="eastAsia"/>
          <w:color w:val="auto"/>
          <w:sz w:val="24"/>
          <w:szCs w:val="24"/>
          <w:highlight w:val="none"/>
        </w:rPr>
        <w:t>综上，根据各水源地所在地域名称、服务对象等，具体命名见表2-</w:t>
      </w:r>
      <w:r>
        <w:rPr>
          <w:rFonts w:hint="eastAsia"/>
          <w:color w:val="auto"/>
          <w:sz w:val="24"/>
          <w:szCs w:val="24"/>
          <w:highlight w:val="none"/>
          <w:lang w:val="en-US" w:eastAsia="zh-CN"/>
        </w:rPr>
        <w:t>4</w:t>
      </w:r>
      <w:r>
        <w:rPr>
          <w:rFonts w:hint="eastAsia"/>
          <w:color w:val="auto"/>
          <w:sz w:val="24"/>
          <w:szCs w:val="24"/>
          <w:highlight w:val="none"/>
        </w:rPr>
        <w:t>。</w:t>
      </w:r>
    </w:p>
    <w:p w14:paraId="6950F547">
      <w:pPr>
        <w:pStyle w:val="13"/>
        <w:rPr>
          <w:rFonts w:hint="eastAsia"/>
          <w:color w:val="auto"/>
          <w:sz w:val="24"/>
          <w:szCs w:val="24"/>
          <w:highlight w:val="none"/>
        </w:rPr>
        <w:sectPr>
          <w:pgSz w:w="11905" w:h="16838"/>
          <w:pgMar w:top="1474" w:right="1474" w:bottom="1474" w:left="1474" w:header="850" w:footer="992" w:gutter="0"/>
          <w:pgBorders>
            <w:top w:val="none" w:sz="0" w:space="0"/>
            <w:left w:val="none" w:sz="0" w:space="0"/>
            <w:bottom w:val="none" w:sz="0" w:space="0"/>
            <w:right w:val="none" w:sz="0" w:space="0"/>
          </w:pgBorders>
          <w:pgNumType w:fmt="decimal"/>
          <w:cols w:space="720" w:num="1"/>
          <w:docGrid w:type="linesAndChars" w:linePitch="347" w:charSpace="-1024"/>
        </w:sectPr>
      </w:pPr>
    </w:p>
    <w:p w14:paraId="70A66506">
      <w:pPr>
        <w:jc w:val="center"/>
        <w:rPr>
          <w:rFonts w:hint="eastAsia" w:eastAsia="黑体"/>
          <w:color w:val="auto"/>
          <w:highlight w:val="none"/>
        </w:rPr>
      </w:pPr>
      <w:r>
        <w:rPr>
          <w:rFonts w:hint="eastAsia" w:ascii="Times New Roman" w:hAnsi="Times New Roman" w:eastAsia="黑体" w:cs="Times New Roman"/>
          <w:color w:val="auto"/>
          <w:kern w:val="0"/>
          <w:sz w:val="24"/>
          <w:szCs w:val="24"/>
          <w:highlight w:val="none"/>
        </w:rPr>
        <w:t>表2-</w:t>
      </w:r>
      <w:r>
        <w:rPr>
          <w:rFonts w:hint="eastAsia" w:eastAsia="黑体" w:cs="Times New Roman"/>
          <w:color w:val="auto"/>
          <w:kern w:val="0"/>
          <w:sz w:val="24"/>
          <w:szCs w:val="24"/>
          <w:highlight w:val="none"/>
          <w:lang w:val="en-US" w:eastAsia="zh-CN"/>
        </w:rPr>
        <w:t>4</w:t>
      </w:r>
      <w:r>
        <w:rPr>
          <w:rFonts w:hint="eastAsia" w:ascii="Times New Roman" w:hAnsi="Times New Roman" w:eastAsia="黑体" w:cs="Times New Roman"/>
          <w:color w:val="auto"/>
          <w:kern w:val="0"/>
          <w:sz w:val="24"/>
          <w:szCs w:val="24"/>
          <w:highlight w:val="none"/>
        </w:rPr>
        <w:t xml:space="preserve"> </w:t>
      </w:r>
      <w:r>
        <w:rPr>
          <w:rFonts w:hint="eastAsia" w:ascii="Times New Roman" w:hAnsi="Times New Roman" w:eastAsia="黑体" w:cs="Times New Roman"/>
          <w:color w:val="auto"/>
          <w:kern w:val="0"/>
          <w:sz w:val="24"/>
          <w:szCs w:val="24"/>
          <w:highlight w:val="none"/>
          <w:lang w:val="en-US" w:eastAsia="zh-CN"/>
        </w:rPr>
        <w:t xml:space="preserve"> </w:t>
      </w:r>
      <w:r>
        <w:rPr>
          <w:rFonts w:hint="eastAsia" w:eastAsia="黑体"/>
          <w:color w:val="auto"/>
          <w:kern w:val="0"/>
          <w:sz w:val="24"/>
          <w:szCs w:val="24"/>
          <w:highlight w:val="none"/>
        </w:rPr>
        <w:t>绥化市庆安县</w:t>
      </w:r>
      <w:r>
        <w:rPr>
          <w:rFonts w:hint="eastAsia" w:eastAsia="黑体"/>
          <w:color w:val="auto"/>
          <w:kern w:val="0"/>
          <w:sz w:val="24"/>
          <w:szCs w:val="24"/>
          <w:highlight w:val="none"/>
          <w:lang w:eastAsia="zh-CN"/>
        </w:rPr>
        <w:t>丰收乡等</w:t>
      </w:r>
      <w:r>
        <w:rPr>
          <w:rFonts w:hint="eastAsia" w:eastAsia="黑体"/>
          <w:color w:val="auto"/>
          <w:kern w:val="0"/>
          <w:sz w:val="24"/>
          <w:szCs w:val="24"/>
          <w:highlight w:val="none"/>
          <w:lang w:val="en-US" w:eastAsia="zh-CN"/>
        </w:rPr>
        <w:t>6个乡镇级和柳河镇新强村1个</w:t>
      </w:r>
      <w:r>
        <w:rPr>
          <w:rFonts w:hint="eastAsia" w:eastAsia="黑体"/>
          <w:color w:val="auto"/>
          <w:kern w:val="0"/>
          <w:sz w:val="24"/>
          <w:szCs w:val="24"/>
          <w:highlight w:val="none"/>
          <w:lang w:eastAsia="zh-CN"/>
        </w:rPr>
        <w:t>村屯级</w:t>
      </w:r>
      <w:r>
        <w:rPr>
          <w:rFonts w:hint="eastAsia" w:eastAsia="黑体"/>
          <w:color w:val="auto"/>
          <w:kern w:val="0"/>
          <w:sz w:val="24"/>
          <w:szCs w:val="24"/>
          <w:highlight w:val="none"/>
        </w:rPr>
        <w:t>集中式饮用水水源</w:t>
      </w:r>
      <w:r>
        <w:rPr>
          <w:rFonts w:hint="eastAsia" w:eastAsia="黑体"/>
          <w:color w:val="auto"/>
          <w:kern w:val="0"/>
          <w:sz w:val="24"/>
          <w:szCs w:val="24"/>
          <w:highlight w:val="none"/>
          <w:lang w:eastAsia="zh-CN"/>
        </w:rPr>
        <w:t>地</w:t>
      </w:r>
      <w:r>
        <w:rPr>
          <w:rFonts w:hint="eastAsia" w:eastAsia="黑体"/>
          <w:color w:val="auto"/>
          <w:kern w:val="0"/>
          <w:sz w:val="24"/>
          <w:szCs w:val="24"/>
          <w:highlight w:val="none"/>
        </w:rPr>
        <w:t>服务信息表</w:t>
      </w:r>
    </w:p>
    <w:tbl>
      <w:tblPr>
        <w:tblStyle w:val="21"/>
        <w:tblW w:w="4997"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982"/>
        <w:gridCol w:w="1564"/>
        <w:gridCol w:w="1295"/>
        <w:gridCol w:w="1337"/>
        <w:gridCol w:w="2781"/>
        <w:gridCol w:w="2796"/>
        <w:gridCol w:w="1773"/>
        <w:gridCol w:w="1570"/>
      </w:tblGrid>
      <w:tr w14:paraId="26FA140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82" w:hRule="atLeast"/>
          <w:tblHeader/>
        </w:trPr>
        <w:tc>
          <w:tcPr>
            <w:tcW w:w="348" w:type="pct"/>
            <w:noWrap w:val="0"/>
            <w:vAlign w:val="center"/>
          </w:tcPr>
          <w:p w14:paraId="4A41E138">
            <w:pPr>
              <w:widowControl/>
              <w:spacing w:line="240" w:lineRule="auto"/>
              <w:ind w:firstLine="0" w:firstLineChars="0"/>
              <w:jc w:val="center"/>
              <w:textAlignment w:val="center"/>
              <w:rPr>
                <w:rFonts w:ascii="Times New Roman" w:hAnsi="Times New Roman" w:eastAsia="宋体" w:cs="Times New Roman"/>
                <w:color w:val="auto"/>
                <w:kern w:val="0"/>
                <w:sz w:val="21"/>
                <w:szCs w:val="21"/>
                <w:highlight w:val="none"/>
                <w:lang w:bidi="ar"/>
              </w:rPr>
            </w:pPr>
            <w:r>
              <w:rPr>
                <w:rFonts w:ascii="Times New Roman" w:hAnsi="Times New Roman" w:eastAsia="宋体" w:cs="Times New Roman"/>
                <w:color w:val="auto"/>
                <w:kern w:val="0"/>
                <w:sz w:val="21"/>
                <w:szCs w:val="21"/>
                <w:highlight w:val="none"/>
                <w:lang w:bidi="ar"/>
              </w:rPr>
              <w:t>乡镇名称</w:t>
            </w:r>
          </w:p>
        </w:tc>
        <w:tc>
          <w:tcPr>
            <w:tcW w:w="554" w:type="pct"/>
            <w:noWrap w:val="0"/>
            <w:vAlign w:val="center"/>
          </w:tcPr>
          <w:p w14:paraId="71FF5BC5">
            <w:pPr>
              <w:widowControl/>
              <w:spacing w:line="240" w:lineRule="auto"/>
              <w:ind w:firstLine="0" w:firstLineChars="0"/>
              <w:jc w:val="center"/>
              <w:textAlignment w:val="center"/>
              <w:rPr>
                <w:rFonts w:ascii="Times New Roman" w:hAnsi="Times New Roman" w:eastAsia="宋体" w:cs="Times New Roman"/>
                <w:color w:val="auto"/>
                <w:kern w:val="0"/>
                <w:sz w:val="21"/>
                <w:szCs w:val="21"/>
                <w:highlight w:val="none"/>
                <w:lang w:bidi="ar"/>
              </w:rPr>
            </w:pPr>
            <w:r>
              <w:rPr>
                <w:rFonts w:ascii="Times New Roman" w:hAnsi="Times New Roman" w:eastAsia="宋体" w:cs="Times New Roman"/>
                <w:color w:val="auto"/>
                <w:kern w:val="0"/>
                <w:sz w:val="21"/>
                <w:szCs w:val="21"/>
                <w:highlight w:val="none"/>
                <w:lang w:bidi="ar"/>
              </w:rPr>
              <w:t>水源地名称</w:t>
            </w:r>
          </w:p>
        </w:tc>
        <w:tc>
          <w:tcPr>
            <w:tcW w:w="459" w:type="pct"/>
            <w:noWrap w:val="0"/>
            <w:vAlign w:val="center"/>
          </w:tcPr>
          <w:p w14:paraId="76F03816">
            <w:pPr>
              <w:widowControl/>
              <w:spacing w:line="240" w:lineRule="auto"/>
              <w:ind w:firstLine="0" w:firstLineChars="0"/>
              <w:jc w:val="center"/>
              <w:textAlignment w:val="center"/>
              <w:rPr>
                <w:rFonts w:ascii="Times New Roman" w:hAnsi="Times New Roman" w:eastAsia="宋体" w:cs="Times New Roman"/>
                <w:color w:val="auto"/>
                <w:kern w:val="0"/>
                <w:sz w:val="21"/>
                <w:szCs w:val="21"/>
                <w:highlight w:val="none"/>
                <w:lang w:bidi="ar"/>
              </w:rPr>
            </w:pPr>
            <w:r>
              <w:rPr>
                <w:rFonts w:ascii="Times New Roman" w:hAnsi="Times New Roman" w:eastAsia="宋体" w:cs="Times New Roman"/>
                <w:color w:val="auto"/>
                <w:kern w:val="0"/>
                <w:sz w:val="21"/>
                <w:szCs w:val="21"/>
                <w:highlight w:val="none"/>
                <w:lang w:bidi="ar"/>
              </w:rPr>
              <w:t>乡镇政府驻地名称</w:t>
            </w:r>
          </w:p>
        </w:tc>
        <w:tc>
          <w:tcPr>
            <w:tcW w:w="474" w:type="pct"/>
            <w:noWrap w:val="0"/>
            <w:vAlign w:val="center"/>
          </w:tcPr>
          <w:p w14:paraId="09F3B8EA">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eastAsia="zh-CN" w:bidi="ar"/>
              </w:rPr>
            </w:pPr>
            <w:r>
              <w:rPr>
                <w:rFonts w:hint="eastAsia" w:cs="Times New Roman"/>
                <w:color w:val="auto"/>
                <w:kern w:val="0"/>
                <w:sz w:val="21"/>
                <w:szCs w:val="21"/>
                <w:highlight w:val="none"/>
                <w:lang w:eastAsia="zh-CN" w:bidi="ar"/>
              </w:rPr>
              <w:t>政府所在地</w:t>
            </w:r>
          </w:p>
        </w:tc>
        <w:tc>
          <w:tcPr>
            <w:tcW w:w="986" w:type="pct"/>
            <w:noWrap w:val="0"/>
            <w:vAlign w:val="center"/>
          </w:tcPr>
          <w:p w14:paraId="260111D4">
            <w:pPr>
              <w:widowControl/>
              <w:spacing w:line="240" w:lineRule="auto"/>
              <w:ind w:firstLine="0" w:firstLineChars="0"/>
              <w:jc w:val="center"/>
              <w:textAlignment w:val="center"/>
              <w:rPr>
                <w:rFonts w:ascii="Times New Roman" w:hAnsi="Times New Roman" w:eastAsia="宋体" w:cs="Times New Roman"/>
                <w:color w:val="auto"/>
                <w:kern w:val="0"/>
                <w:sz w:val="21"/>
                <w:szCs w:val="21"/>
                <w:highlight w:val="none"/>
                <w:lang w:bidi="ar"/>
              </w:rPr>
            </w:pPr>
            <w:r>
              <w:rPr>
                <w:rFonts w:hint="eastAsia" w:cs="Times New Roman"/>
                <w:color w:val="auto"/>
                <w:kern w:val="0"/>
                <w:sz w:val="21"/>
                <w:szCs w:val="21"/>
                <w:highlight w:val="none"/>
                <w:lang w:eastAsia="zh-CN" w:bidi="ar"/>
              </w:rPr>
              <w:t>供水范围常住</w:t>
            </w:r>
            <w:r>
              <w:rPr>
                <w:rFonts w:ascii="Times New Roman" w:hAnsi="Times New Roman" w:eastAsia="宋体" w:cs="Times New Roman"/>
                <w:color w:val="auto"/>
                <w:kern w:val="0"/>
                <w:sz w:val="21"/>
                <w:szCs w:val="21"/>
                <w:highlight w:val="none"/>
                <w:lang w:bidi="ar"/>
              </w:rPr>
              <w:t>人口（人）</w:t>
            </w:r>
          </w:p>
        </w:tc>
        <w:tc>
          <w:tcPr>
            <w:tcW w:w="991" w:type="pct"/>
            <w:noWrap w:val="0"/>
            <w:vAlign w:val="center"/>
          </w:tcPr>
          <w:p w14:paraId="3D617AB9">
            <w:pPr>
              <w:widowControl/>
              <w:spacing w:line="240" w:lineRule="auto"/>
              <w:ind w:firstLine="0" w:firstLineChars="0"/>
              <w:jc w:val="center"/>
              <w:textAlignment w:val="center"/>
              <w:rPr>
                <w:rFonts w:ascii="Times New Roman" w:hAnsi="Times New Roman" w:eastAsia="宋体" w:cs="Times New Roman"/>
                <w:color w:val="auto"/>
                <w:kern w:val="0"/>
                <w:sz w:val="21"/>
                <w:szCs w:val="21"/>
                <w:highlight w:val="none"/>
                <w:lang w:bidi="ar"/>
              </w:rPr>
            </w:pPr>
            <w:r>
              <w:rPr>
                <w:rFonts w:ascii="Times New Roman" w:hAnsi="Times New Roman" w:eastAsia="宋体" w:cs="Times New Roman"/>
                <w:color w:val="auto"/>
                <w:kern w:val="0"/>
                <w:sz w:val="21"/>
                <w:szCs w:val="21"/>
                <w:highlight w:val="none"/>
                <w:lang w:bidi="ar"/>
              </w:rPr>
              <w:t>水源地供水服务对象（包括哪些村、屯）</w:t>
            </w:r>
          </w:p>
        </w:tc>
        <w:tc>
          <w:tcPr>
            <w:tcW w:w="628" w:type="pct"/>
            <w:noWrap w:val="0"/>
            <w:vAlign w:val="center"/>
          </w:tcPr>
          <w:p w14:paraId="55914E99">
            <w:pPr>
              <w:widowControl/>
              <w:spacing w:line="240" w:lineRule="auto"/>
              <w:ind w:firstLine="0" w:firstLineChars="0"/>
              <w:jc w:val="center"/>
              <w:textAlignment w:val="center"/>
              <w:rPr>
                <w:rFonts w:ascii="Times New Roman" w:hAnsi="Times New Roman" w:eastAsia="宋体" w:cs="Times New Roman"/>
                <w:color w:val="auto"/>
                <w:kern w:val="0"/>
                <w:sz w:val="21"/>
                <w:szCs w:val="21"/>
                <w:highlight w:val="none"/>
                <w:lang w:bidi="ar"/>
              </w:rPr>
            </w:pPr>
            <w:r>
              <w:rPr>
                <w:rFonts w:ascii="Times New Roman" w:hAnsi="Times New Roman" w:eastAsia="宋体" w:cs="Times New Roman"/>
                <w:color w:val="auto"/>
                <w:kern w:val="0"/>
                <w:sz w:val="21"/>
                <w:szCs w:val="21"/>
                <w:highlight w:val="none"/>
                <w:lang w:bidi="ar"/>
              </w:rPr>
              <w:t>水源井所在村、屯</w:t>
            </w:r>
          </w:p>
        </w:tc>
        <w:tc>
          <w:tcPr>
            <w:tcW w:w="556" w:type="pct"/>
            <w:noWrap w:val="0"/>
            <w:vAlign w:val="center"/>
          </w:tcPr>
          <w:p w14:paraId="312433B5">
            <w:pPr>
              <w:widowControl/>
              <w:spacing w:line="240" w:lineRule="auto"/>
              <w:ind w:firstLine="0" w:firstLineChars="0"/>
              <w:jc w:val="center"/>
              <w:textAlignment w:val="center"/>
              <w:rPr>
                <w:rFonts w:ascii="Times New Roman" w:hAnsi="Times New Roman" w:eastAsia="宋体" w:cs="Times New Roman"/>
                <w:color w:val="auto"/>
                <w:kern w:val="0"/>
                <w:sz w:val="21"/>
                <w:szCs w:val="21"/>
                <w:highlight w:val="none"/>
                <w:lang w:bidi="ar"/>
              </w:rPr>
            </w:pPr>
            <w:r>
              <w:rPr>
                <w:rFonts w:ascii="Times New Roman" w:hAnsi="Times New Roman" w:eastAsia="宋体" w:cs="Times New Roman"/>
                <w:color w:val="auto"/>
                <w:kern w:val="0"/>
                <w:sz w:val="21"/>
                <w:szCs w:val="21"/>
                <w:highlight w:val="none"/>
                <w:lang w:bidi="ar"/>
              </w:rPr>
              <w:t>水源地服务级别（乡镇/村屯）</w:t>
            </w:r>
          </w:p>
        </w:tc>
      </w:tr>
      <w:tr w14:paraId="1500FCF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82" w:hRule="atLeast"/>
        </w:trPr>
        <w:tc>
          <w:tcPr>
            <w:tcW w:w="348" w:type="pct"/>
            <w:noWrap w:val="0"/>
            <w:vAlign w:val="center"/>
          </w:tcPr>
          <w:p w14:paraId="2FB645AD">
            <w:pPr>
              <w:widowControl/>
              <w:spacing w:line="240" w:lineRule="auto"/>
              <w:ind w:firstLine="0" w:firstLineChars="0"/>
              <w:jc w:val="center"/>
              <w:textAlignment w:val="center"/>
              <w:rPr>
                <w:rFonts w:ascii="Times New Roman" w:hAnsi="Times New Roman" w:eastAsia="宋体" w:cs="Times New Roman"/>
                <w:color w:val="auto"/>
                <w:kern w:val="0"/>
                <w:sz w:val="21"/>
                <w:szCs w:val="21"/>
                <w:highlight w:val="none"/>
                <w:lang w:bidi="ar"/>
              </w:rPr>
            </w:pPr>
            <w:r>
              <w:rPr>
                <w:rFonts w:hint="eastAsia" w:ascii="Times New Roman" w:hAnsi="Times New Roman" w:eastAsia="宋体" w:cs="Times New Roman"/>
                <w:color w:val="auto"/>
                <w:kern w:val="0"/>
                <w:sz w:val="21"/>
                <w:szCs w:val="21"/>
                <w:highlight w:val="none"/>
                <w:lang w:val="en-US" w:eastAsia="zh-CN" w:bidi="ar"/>
              </w:rPr>
              <w:t>发展乡</w:t>
            </w:r>
          </w:p>
        </w:tc>
        <w:tc>
          <w:tcPr>
            <w:tcW w:w="554" w:type="pct"/>
            <w:noWrap w:val="0"/>
            <w:vAlign w:val="center"/>
          </w:tcPr>
          <w:p w14:paraId="6DF8BC45">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绥化市庆安县发展乡</w:t>
            </w:r>
            <w:r>
              <w:rPr>
                <w:rFonts w:ascii="Times New Roman" w:hAnsi="Times New Roman" w:eastAsia="宋体" w:cs="Times New Roman"/>
                <w:color w:val="auto"/>
                <w:kern w:val="0"/>
                <w:sz w:val="21"/>
                <w:szCs w:val="21"/>
                <w:highlight w:val="none"/>
                <w:lang w:bidi="ar"/>
              </w:rPr>
              <w:t>饮用水水源地</w:t>
            </w:r>
          </w:p>
        </w:tc>
        <w:tc>
          <w:tcPr>
            <w:tcW w:w="459" w:type="pct"/>
            <w:noWrap w:val="0"/>
            <w:vAlign w:val="center"/>
          </w:tcPr>
          <w:p w14:paraId="691F2BC5">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发展乡</w:t>
            </w:r>
            <w:r>
              <w:rPr>
                <w:rFonts w:hint="eastAsia" w:cs="Times New Roman"/>
                <w:color w:val="auto"/>
                <w:kern w:val="0"/>
                <w:sz w:val="21"/>
                <w:szCs w:val="21"/>
                <w:highlight w:val="none"/>
                <w:lang w:val="en-US" w:eastAsia="zh-CN" w:bidi="ar"/>
              </w:rPr>
              <w:t>（</w:t>
            </w:r>
            <w:r>
              <w:rPr>
                <w:rFonts w:hint="eastAsia" w:ascii="Times New Roman" w:hAnsi="Times New Roman" w:eastAsia="宋体" w:cs="Times New Roman"/>
                <w:color w:val="auto"/>
                <w:kern w:val="0"/>
                <w:sz w:val="21"/>
                <w:szCs w:val="21"/>
                <w:highlight w:val="none"/>
                <w:lang w:val="en-US" w:eastAsia="zh-CN" w:bidi="ar"/>
              </w:rPr>
              <w:t>户籍</w:t>
            </w:r>
            <w:r>
              <w:rPr>
                <w:rFonts w:hint="default" w:ascii="Times New Roman" w:hAnsi="Times New Roman" w:eastAsia="宋体" w:cs="Times New Roman"/>
                <w:color w:val="auto"/>
                <w:kern w:val="0"/>
                <w:sz w:val="21"/>
                <w:szCs w:val="21"/>
                <w:highlight w:val="none"/>
                <w:lang w:val="en-US" w:eastAsia="zh-CN" w:bidi="ar"/>
              </w:rPr>
              <w:t>16207</w:t>
            </w:r>
            <w:r>
              <w:rPr>
                <w:rFonts w:hint="eastAsia" w:ascii="Times New Roman" w:hAnsi="Times New Roman" w:eastAsia="宋体" w:cs="Times New Roman"/>
                <w:color w:val="auto"/>
                <w:kern w:val="0"/>
                <w:sz w:val="21"/>
                <w:szCs w:val="21"/>
                <w:highlight w:val="none"/>
                <w:lang w:val="en-US" w:eastAsia="zh-CN" w:bidi="ar"/>
              </w:rPr>
              <w:t>人</w:t>
            </w:r>
            <w:r>
              <w:rPr>
                <w:rFonts w:hint="eastAsia" w:cs="Times New Roman"/>
                <w:color w:val="auto"/>
                <w:kern w:val="0"/>
                <w:sz w:val="21"/>
                <w:szCs w:val="21"/>
                <w:highlight w:val="none"/>
                <w:lang w:val="en-US" w:eastAsia="zh-CN" w:bidi="ar"/>
              </w:rPr>
              <w:t>）</w:t>
            </w:r>
          </w:p>
        </w:tc>
        <w:tc>
          <w:tcPr>
            <w:tcW w:w="1337" w:type="dxa"/>
            <w:noWrap w:val="0"/>
            <w:vAlign w:val="center"/>
          </w:tcPr>
          <w:p w14:paraId="006D682F">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发展乡发展村</w:t>
            </w:r>
          </w:p>
        </w:tc>
        <w:tc>
          <w:tcPr>
            <w:tcW w:w="986" w:type="pct"/>
            <w:noWrap w:val="0"/>
            <w:vAlign w:val="center"/>
          </w:tcPr>
          <w:p w14:paraId="4622D37D">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常住</w:t>
            </w:r>
            <w:r>
              <w:rPr>
                <w:rFonts w:hint="default" w:ascii="Times New Roman" w:hAnsi="Times New Roman" w:eastAsia="宋体" w:cs="Times New Roman"/>
                <w:color w:val="auto"/>
                <w:kern w:val="0"/>
                <w:sz w:val="21"/>
                <w:szCs w:val="21"/>
                <w:highlight w:val="none"/>
                <w:lang w:val="en-US" w:eastAsia="zh-CN" w:bidi="ar"/>
              </w:rPr>
              <w:t>9865</w:t>
            </w:r>
            <w:r>
              <w:rPr>
                <w:rFonts w:hint="eastAsia" w:ascii="Times New Roman" w:hAnsi="Times New Roman" w:eastAsia="宋体" w:cs="Times New Roman"/>
                <w:color w:val="auto"/>
                <w:kern w:val="0"/>
                <w:sz w:val="21"/>
                <w:szCs w:val="21"/>
                <w:highlight w:val="none"/>
                <w:lang w:val="en-US" w:eastAsia="zh-CN" w:bidi="ar"/>
              </w:rPr>
              <w:t>人</w:t>
            </w:r>
          </w:p>
        </w:tc>
        <w:tc>
          <w:tcPr>
            <w:tcW w:w="991" w:type="pct"/>
            <w:noWrap w:val="0"/>
            <w:vAlign w:val="center"/>
          </w:tcPr>
          <w:p w14:paraId="62B7395C">
            <w:pPr>
              <w:widowControl/>
              <w:spacing w:line="240" w:lineRule="auto"/>
              <w:ind w:firstLine="0" w:firstLineChars="0"/>
              <w:jc w:val="center"/>
              <w:textAlignment w:val="center"/>
              <w:rPr>
                <w:rFonts w:ascii="Times New Roman" w:hAnsi="Times New Roman" w:eastAsia="宋体" w:cs="Times New Roman"/>
                <w:color w:val="auto"/>
                <w:kern w:val="0"/>
                <w:sz w:val="21"/>
                <w:szCs w:val="21"/>
                <w:highlight w:val="none"/>
                <w:lang w:bidi="ar"/>
              </w:rPr>
            </w:pPr>
            <w:r>
              <w:rPr>
                <w:rFonts w:hint="eastAsia"/>
                <w:color w:val="auto"/>
                <w:spacing w:val="-3"/>
                <w:sz w:val="21"/>
                <w:szCs w:val="21"/>
                <w:highlight w:val="none"/>
              </w:rPr>
              <w:t>发展乡内发富村、发展村、发祥村、发明村、发源村</w:t>
            </w:r>
            <w:r>
              <w:rPr>
                <w:rFonts w:hint="eastAsia"/>
                <w:color w:val="auto"/>
                <w:spacing w:val="-3"/>
                <w:sz w:val="21"/>
                <w:szCs w:val="21"/>
                <w:highlight w:val="none"/>
                <w:lang w:eastAsia="zh-CN"/>
              </w:rPr>
              <w:t>、</w:t>
            </w:r>
            <w:r>
              <w:rPr>
                <w:rFonts w:hint="eastAsia"/>
                <w:color w:val="auto"/>
                <w:spacing w:val="-3"/>
                <w:sz w:val="21"/>
                <w:szCs w:val="21"/>
                <w:highlight w:val="none"/>
              </w:rPr>
              <w:t>东农业队，共计</w:t>
            </w:r>
            <w:r>
              <w:rPr>
                <w:rFonts w:hint="eastAsia"/>
                <w:color w:val="auto"/>
                <w:spacing w:val="-3"/>
                <w:sz w:val="21"/>
                <w:szCs w:val="21"/>
                <w:highlight w:val="none"/>
                <w:lang w:val="en-US" w:eastAsia="zh-CN"/>
              </w:rPr>
              <w:t>5</w:t>
            </w:r>
            <w:r>
              <w:rPr>
                <w:rFonts w:hint="eastAsia"/>
                <w:color w:val="auto"/>
                <w:spacing w:val="-3"/>
                <w:sz w:val="21"/>
                <w:szCs w:val="21"/>
                <w:highlight w:val="none"/>
              </w:rPr>
              <w:t>个行政村4</w:t>
            </w:r>
            <w:r>
              <w:rPr>
                <w:rFonts w:hint="eastAsia"/>
                <w:color w:val="auto"/>
                <w:spacing w:val="-3"/>
                <w:sz w:val="21"/>
                <w:szCs w:val="21"/>
                <w:highlight w:val="none"/>
                <w:lang w:val="en-US" w:eastAsia="zh-CN"/>
              </w:rPr>
              <w:t>7</w:t>
            </w:r>
            <w:r>
              <w:rPr>
                <w:rFonts w:hint="eastAsia"/>
                <w:color w:val="auto"/>
                <w:spacing w:val="-3"/>
                <w:sz w:val="21"/>
                <w:szCs w:val="21"/>
                <w:highlight w:val="none"/>
              </w:rPr>
              <w:t>个自然屯、1个奶牛场及1个农业队</w:t>
            </w:r>
          </w:p>
        </w:tc>
        <w:tc>
          <w:tcPr>
            <w:tcW w:w="628" w:type="pct"/>
            <w:noWrap w:val="0"/>
            <w:vAlign w:val="center"/>
          </w:tcPr>
          <w:p w14:paraId="75B3F869">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eastAsia="zh-CN" w:bidi="ar"/>
              </w:rPr>
            </w:pPr>
            <w:r>
              <w:rPr>
                <w:rFonts w:hint="eastAsia"/>
                <w:color w:val="auto"/>
                <w:sz w:val="21"/>
                <w:szCs w:val="21"/>
                <w:highlight w:val="none"/>
              </w:rPr>
              <w:t>发祥村</w:t>
            </w:r>
            <w:r>
              <w:rPr>
                <w:rFonts w:hint="eastAsia" w:ascii="Times New Roman" w:hAnsi="Times New Roman" w:eastAsia="宋体" w:cs="Times New Roman"/>
                <w:color w:val="auto"/>
                <w:kern w:val="0"/>
                <w:sz w:val="21"/>
                <w:szCs w:val="21"/>
                <w:highlight w:val="none"/>
                <w:lang w:eastAsia="zh-CN" w:bidi="ar"/>
              </w:rPr>
              <w:t>八部屯</w:t>
            </w:r>
          </w:p>
        </w:tc>
        <w:tc>
          <w:tcPr>
            <w:tcW w:w="556" w:type="pct"/>
            <w:noWrap w:val="0"/>
            <w:vAlign w:val="center"/>
          </w:tcPr>
          <w:p w14:paraId="34E937A8">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eastAsia="zh-CN" w:bidi="ar"/>
              </w:rPr>
            </w:pPr>
            <w:r>
              <w:rPr>
                <w:rFonts w:hint="eastAsia" w:cs="Times New Roman"/>
                <w:color w:val="auto"/>
                <w:kern w:val="0"/>
                <w:sz w:val="21"/>
                <w:szCs w:val="21"/>
                <w:highlight w:val="none"/>
                <w:lang w:eastAsia="zh-CN" w:bidi="ar"/>
              </w:rPr>
              <w:t>乡镇级</w:t>
            </w:r>
          </w:p>
        </w:tc>
      </w:tr>
      <w:tr w14:paraId="47C983D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82" w:hRule="atLeast"/>
        </w:trPr>
        <w:tc>
          <w:tcPr>
            <w:tcW w:w="348" w:type="pct"/>
            <w:noWrap w:val="0"/>
            <w:vAlign w:val="center"/>
          </w:tcPr>
          <w:p w14:paraId="60870542">
            <w:pPr>
              <w:widowControl/>
              <w:spacing w:line="240" w:lineRule="auto"/>
              <w:ind w:firstLine="0" w:firstLineChars="0"/>
              <w:jc w:val="center"/>
              <w:textAlignment w:val="center"/>
              <w:rPr>
                <w:rFonts w:ascii="Times New Roman" w:hAnsi="Times New Roman" w:eastAsia="宋体" w:cs="Times New Roman"/>
                <w:color w:val="auto"/>
                <w:kern w:val="0"/>
                <w:sz w:val="21"/>
                <w:szCs w:val="21"/>
                <w:highlight w:val="none"/>
                <w:lang w:bidi="ar"/>
              </w:rPr>
            </w:pPr>
            <w:r>
              <w:rPr>
                <w:rFonts w:hint="eastAsia" w:ascii="Times New Roman" w:hAnsi="Times New Roman" w:eastAsia="宋体" w:cs="Times New Roman"/>
                <w:color w:val="auto"/>
                <w:kern w:val="0"/>
                <w:sz w:val="21"/>
                <w:szCs w:val="21"/>
                <w:highlight w:val="none"/>
                <w:lang w:val="en-US" w:eastAsia="zh-CN" w:bidi="ar"/>
              </w:rPr>
              <w:t>建民乡</w:t>
            </w:r>
          </w:p>
        </w:tc>
        <w:tc>
          <w:tcPr>
            <w:tcW w:w="554" w:type="pct"/>
            <w:noWrap w:val="0"/>
            <w:vAlign w:val="center"/>
          </w:tcPr>
          <w:p w14:paraId="5F070FB6">
            <w:pPr>
              <w:widowControl/>
              <w:spacing w:line="240" w:lineRule="auto"/>
              <w:ind w:firstLine="0" w:firstLineChars="0"/>
              <w:jc w:val="center"/>
              <w:textAlignment w:val="center"/>
              <w:rPr>
                <w:rFonts w:ascii="Times New Roman" w:hAnsi="Times New Roman" w:eastAsia="宋体" w:cs="Times New Roman"/>
                <w:color w:val="auto"/>
                <w:kern w:val="0"/>
                <w:sz w:val="21"/>
                <w:szCs w:val="21"/>
                <w:highlight w:val="none"/>
                <w:lang w:bidi="ar"/>
              </w:rPr>
            </w:pPr>
            <w:r>
              <w:rPr>
                <w:rFonts w:hint="eastAsia" w:ascii="Times New Roman" w:hAnsi="Times New Roman" w:eastAsia="宋体" w:cs="Times New Roman"/>
                <w:color w:val="auto"/>
                <w:kern w:val="0"/>
                <w:sz w:val="21"/>
                <w:szCs w:val="21"/>
                <w:highlight w:val="none"/>
                <w:lang w:val="en-US" w:eastAsia="zh-CN" w:bidi="ar"/>
              </w:rPr>
              <w:t>绥化市庆安县建民乡</w:t>
            </w:r>
            <w:r>
              <w:rPr>
                <w:rFonts w:ascii="Times New Roman" w:hAnsi="Times New Roman" w:eastAsia="宋体" w:cs="Times New Roman"/>
                <w:color w:val="auto"/>
                <w:kern w:val="0"/>
                <w:sz w:val="21"/>
                <w:szCs w:val="21"/>
                <w:highlight w:val="none"/>
                <w:lang w:bidi="ar"/>
              </w:rPr>
              <w:t>饮用水水源地</w:t>
            </w:r>
          </w:p>
        </w:tc>
        <w:tc>
          <w:tcPr>
            <w:tcW w:w="459" w:type="pct"/>
            <w:noWrap w:val="0"/>
            <w:vAlign w:val="center"/>
          </w:tcPr>
          <w:p w14:paraId="7CFFCBCA">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建民乡</w:t>
            </w:r>
            <w:r>
              <w:rPr>
                <w:rFonts w:hint="eastAsia" w:cs="Times New Roman"/>
                <w:color w:val="auto"/>
                <w:kern w:val="0"/>
                <w:sz w:val="21"/>
                <w:szCs w:val="21"/>
                <w:highlight w:val="none"/>
                <w:lang w:val="en-US" w:eastAsia="zh-CN" w:bidi="ar"/>
              </w:rPr>
              <w:t>（</w:t>
            </w:r>
            <w:r>
              <w:rPr>
                <w:rFonts w:hint="eastAsia" w:ascii="Times New Roman" w:hAnsi="Times New Roman" w:eastAsia="宋体" w:cs="Times New Roman"/>
                <w:color w:val="auto"/>
                <w:kern w:val="0"/>
                <w:sz w:val="21"/>
                <w:szCs w:val="21"/>
                <w:highlight w:val="none"/>
                <w:lang w:val="en-US" w:eastAsia="zh-CN" w:bidi="ar"/>
              </w:rPr>
              <w:t>户籍</w:t>
            </w:r>
            <w:r>
              <w:rPr>
                <w:rFonts w:hint="default" w:ascii="Times New Roman" w:hAnsi="Times New Roman" w:eastAsia="宋体" w:cs="Times New Roman"/>
                <w:color w:val="auto"/>
                <w:kern w:val="0"/>
                <w:sz w:val="21"/>
                <w:szCs w:val="21"/>
                <w:highlight w:val="none"/>
                <w:lang w:val="en-US" w:eastAsia="zh-CN" w:bidi="ar"/>
              </w:rPr>
              <w:t>10891</w:t>
            </w:r>
            <w:r>
              <w:rPr>
                <w:rFonts w:hint="eastAsia" w:ascii="Times New Roman" w:hAnsi="Times New Roman" w:eastAsia="宋体" w:cs="Times New Roman"/>
                <w:color w:val="auto"/>
                <w:kern w:val="0"/>
                <w:sz w:val="21"/>
                <w:szCs w:val="21"/>
                <w:highlight w:val="none"/>
                <w:lang w:val="en-US" w:eastAsia="zh-CN" w:bidi="ar"/>
              </w:rPr>
              <w:t>人</w:t>
            </w:r>
            <w:r>
              <w:rPr>
                <w:rFonts w:hint="eastAsia" w:cs="Times New Roman"/>
                <w:color w:val="auto"/>
                <w:kern w:val="0"/>
                <w:sz w:val="21"/>
                <w:szCs w:val="21"/>
                <w:highlight w:val="none"/>
                <w:lang w:val="en-US" w:eastAsia="zh-CN" w:bidi="ar"/>
              </w:rPr>
              <w:t>）</w:t>
            </w:r>
          </w:p>
        </w:tc>
        <w:tc>
          <w:tcPr>
            <w:tcW w:w="1337" w:type="dxa"/>
            <w:noWrap w:val="0"/>
            <w:vAlign w:val="center"/>
          </w:tcPr>
          <w:p w14:paraId="2F7B89FC">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建民乡建民村</w:t>
            </w:r>
          </w:p>
        </w:tc>
        <w:tc>
          <w:tcPr>
            <w:tcW w:w="986" w:type="pct"/>
            <w:noWrap w:val="0"/>
            <w:vAlign w:val="center"/>
          </w:tcPr>
          <w:p w14:paraId="2ECEA978">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常住</w:t>
            </w:r>
            <w:r>
              <w:rPr>
                <w:rFonts w:hint="default" w:ascii="Times New Roman" w:hAnsi="Times New Roman" w:eastAsia="宋体" w:cs="Times New Roman"/>
                <w:color w:val="auto"/>
                <w:kern w:val="0"/>
                <w:sz w:val="21"/>
                <w:szCs w:val="21"/>
                <w:highlight w:val="none"/>
                <w:lang w:val="en-US" w:eastAsia="zh-CN" w:bidi="ar"/>
              </w:rPr>
              <w:t>8655</w:t>
            </w:r>
            <w:r>
              <w:rPr>
                <w:rFonts w:hint="eastAsia" w:ascii="Times New Roman" w:hAnsi="Times New Roman" w:eastAsia="宋体" w:cs="Times New Roman"/>
                <w:color w:val="auto"/>
                <w:kern w:val="0"/>
                <w:sz w:val="21"/>
                <w:szCs w:val="21"/>
                <w:highlight w:val="none"/>
                <w:lang w:val="en-US" w:eastAsia="zh-CN" w:bidi="ar"/>
              </w:rPr>
              <w:t>人</w:t>
            </w:r>
          </w:p>
        </w:tc>
        <w:tc>
          <w:tcPr>
            <w:tcW w:w="991" w:type="pct"/>
            <w:noWrap w:val="0"/>
            <w:vAlign w:val="center"/>
          </w:tcPr>
          <w:p w14:paraId="0D7B9A2F">
            <w:pPr>
              <w:keepNext w:val="0"/>
              <w:keepLines w:val="0"/>
              <w:widowControl/>
              <w:suppressLineNumbers w:val="0"/>
              <w:spacing w:line="240" w:lineRule="auto"/>
              <w:jc w:val="left"/>
              <w:rPr>
                <w:rFonts w:hint="eastAsia" w:ascii="Times New Roman" w:hAnsi="Times New Roman" w:eastAsia="宋体" w:cs="Times New Roman"/>
                <w:color w:val="auto"/>
                <w:kern w:val="0"/>
                <w:sz w:val="21"/>
                <w:szCs w:val="21"/>
                <w:highlight w:val="none"/>
                <w:lang w:eastAsia="zh-CN" w:bidi="ar"/>
              </w:rPr>
            </w:pPr>
            <w:r>
              <w:rPr>
                <w:rFonts w:hint="eastAsia"/>
                <w:color w:val="auto"/>
                <w:spacing w:val="-2"/>
                <w:sz w:val="21"/>
                <w:szCs w:val="21"/>
                <w:highlight w:val="none"/>
              </w:rPr>
              <w:t>建民乡内建兴村、建安村、建民村、建业村、建发村、建功村，共计6个行政村61个自然屯</w:t>
            </w:r>
          </w:p>
        </w:tc>
        <w:tc>
          <w:tcPr>
            <w:tcW w:w="628" w:type="pct"/>
            <w:noWrap w:val="0"/>
            <w:vAlign w:val="center"/>
          </w:tcPr>
          <w:p w14:paraId="1C737E1A">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eastAsia="zh-CN" w:bidi="ar"/>
              </w:rPr>
            </w:pPr>
            <w:r>
              <w:rPr>
                <w:rFonts w:hint="eastAsia"/>
                <w:color w:val="auto"/>
                <w:sz w:val="21"/>
                <w:szCs w:val="21"/>
                <w:highlight w:val="none"/>
              </w:rPr>
              <w:t>水井1</w:t>
            </w:r>
            <w:r>
              <w:rPr>
                <w:rFonts w:hint="eastAsia"/>
                <w:color w:val="auto"/>
                <w:sz w:val="21"/>
                <w:szCs w:val="21"/>
                <w:highlight w:val="none"/>
                <w:lang w:val="en-US" w:eastAsia="zh-CN"/>
              </w:rPr>
              <w:t>#</w:t>
            </w:r>
            <w:r>
              <w:rPr>
                <w:rFonts w:hint="eastAsia"/>
                <w:color w:val="auto"/>
                <w:sz w:val="21"/>
                <w:szCs w:val="21"/>
                <w:highlight w:val="none"/>
              </w:rPr>
              <w:t>位于</w:t>
            </w:r>
            <w:r>
              <w:rPr>
                <w:rFonts w:hint="eastAsia"/>
                <w:color w:val="auto"/>
                <w:spacing w:val="-2"/>
                <w:sz w:val="21"/>
                <w:szCs w:val="21"/>
                <w:highlight w:val="none"/>
              </w:rPr>
              <w:t>建功村</w:t>
            </w:r>
            <w:r>
              <w:rPr>
                <w:rFonts w:hint="eastAsia"/>
                <w:color w:val="auto"/>
                <w:sz w:val="21"/>
                <w:szCs w:val="21"/>
                <w:highlight w:val="none"/>
              </w:rPr>
              <w:t>三门李家</w:t>
            </w:r>
            <w:r>
              <w:rPr>
                <w:rFonts w:hint="eastAsia"/>
                <w:color w:val="auto"/>
                <w:sz w:val="21"/>
                <w:szCs w:val="21"/>
                <w:highlight w:val="none"/>
                <w:lang w:eastAsia="zh-CN"/>
              </w:rPr>
              <w:t>屯</w:t>
            </w:r>
            <w:r>
              <w:rPr>
                <w:rFonts w:hint="eastAsia"/>
                <w:color w:val="auto"/>
                <w:sz w:val="21"/>
                <w:szCs w:val="21"/>
                <w:highlight w:val="none"/>
              </w:rPr>
              <w:t>西侧树林，水井</w:t>
            </w:r>
            <w:r>
              <w:rPr>
                <w:rFonts w:hint="eastAsia"/>
                <w:color w:val="auto"/>
                <w:sz w:val="21"/>
                <w:szCs w:val="21"/>
                <w:highlight w:val="none"/>
                <w:lang w:val="en-US" w:eastAsia="zh-CN"/>
              </w:rPr>
              <w:t>2#</w:t>
            </w:r>
            <w:r>
              <w:rPr>
                <w:rFonts w:hint="eastAsia"/>
                <w:color w:val="auto"/>
                <w:sz w:val="21"/>
                <w:szCs w:val="21"/>
                <w:highlight w:val="none"/>
              </w:rPr>
              <w:t>位于</w:t>
            </w:r>
            <w:r>
              <w:rPr>
                <w:rFonts w:hint="eastAsia"/>
                <w:color w:val="auto"/>
                <w:spacing w:val="-2"/>
                <w:sz w:val="21"/>
                <w:szCs w:val="21"/>
                <w:highlight w:val="none"/>
              </w:rPr>
              <w:t>建功村</w:t>
            </w:r>
            <w:r>
              <w:rPr>
                <w:rFonts w:hint="eastAsia"/>
                <w:color w:val="auto"/>
                <w:sz w:val="21"/>
                <w:szCs w:val="21"/>
                <w:highlight w:val="none"/>
              </w:rPr>
              <w:t>后王家</w:t>
            </w:r>
            <w:r>
              <w:rPr>
                <w:rFonts w:hint="eastAsia"/>
                <w:color w:val="auto"/>
                <w:sz w:val="21"/>
                <w:szCs w:val="21"/>
                <w:highlight w:val="none"/>
                <w:lang w:eastAsia="zh-CN"/>
              </w:rPr>
              <w:t>屯</w:t>
            </w:r>
            <w:r>
              <w:rPr>
                <w:rFonts w:hint="eastAsia"/>
                <w:color w:val="auto"/>
                <w:sz w:val="21"/>
                <w:szCs w:val="21"/>
                <w:highlight w:val="none"/>
              </w:rPr>
              <w:t>，水井</w:t>
            </w:r>
            <w:r>
              <w:rPr>
                <w:rFonts w:hint="eastAsia"/>
                <w:color w:val="auto"/>
                <w:sz w:val="21"/>
                <w:szCs w:val="21"/>
                <w:highlight w:val="none"/>
                <w:lang w:val="en-US" w:eastAsia="zh-CN"/>
              </w:rPr>
              <w:t>3#</w:t>
            </w:r>
            <w:r>
              <w:rPr>
                <w:rFonts w:hint="eastAsia"/>
                <w:color w:val="auto"/>
                <w:sz w:val="21"/>
                <w:szCs w:val="21"/>
                <w:highlight w:val="none"/>
              </w:rPr>
              <w:t>位于</w:t>
            </w:r>
            <w:r>
              <w:rPr>
                <w:rFonts w:hint="eastAsia"/>
                <w:color w:val="auto"/>
                <w:spacing w:val="-2"/>
                <w:sz w:val="21"/>
                <w:szCs w:val="21"/>
                <w:highlight w:val="none"/>
              </w:rPr>
              <w:t>建功村</w:t>
            </w:r>
            <w:r>
              <w:rPr>
                <w:rFonts w:hint="eastAsia"/>
                <w:color w:val="auto"/>
                <w:sz w:val="21"/>
                <w:szCs w:val="21"/>
                <w:highlight w:val="none"/>
              </w:rPr>
              <w:t>前高家</w:t>
            </w:r>
            <w:r>
              <w:rPr>
                <w:rFonts w:hint="eastAsia"/>
                <w:color w:val="auto"/>
                <w:sz w:val="21"/>
                <w:szCs w:val="21"/>
                <w:highlight w:val="none"/>
                <w:lang w:eastAsia="zh-CN"/>
              </w:rPr>
              <w:t>屯</w:t>
            </w:r>
          </w:p>
        </w:tc>
        <w:tc>
          <w:tcPr>
            <w:tcW w:w="556" w:type="pct"/>
            <w:noWrap w:val="0"/>
            <w:vAlign w:val="center"/>
          </w:tcPr>
          <w:p w14:paraId="372F7E42">
            <w:pPr>
              <w:widowControl/>
              <w:spacing w:line="240" w:lineRule="auto"/>
              <w:ind w:firstLine="0" w:firstLineChars="0"/>
              <w:jc w:val="center"/>
              <w:textAlignment w:val="center"/>
              <w:rPr>
                <w:rFonts w:ascii="Times New Roman" w:hAnsi="Times New Roman" w:eastAsia="宋体" w:cs="Times New Roman"/>
                <w:color w:val="auto"/>
                <w:kern w:val="0"/>
                <w:sz w:val="21"/>
                <w:szCs w:val="21"/>
                <w:highlight w:val="none"/>
                <w:lang w:bidi="ar"/>
              </w:rPr>
            </w:pPr>
            <w:r>
              <w:rPr>
                <w:rFonts w:hint="eastAsia" w:cs="Times New Roman"/>
                <w:color w:val="auto"/>
                <w:kern w:val="0"/>
                <w:sz w:val="21"/>
                <w:szCs w:val="21"/>
                <w:highlight w:val="none"/>
                <w:lang w:eastAsia="zh-CN" w:bidi="ar"/>
              </w:rPr>
              <w:t>乡镇级</w:t>
            </w:r>
          </w:p>
        </w:tc>
      </w:tr>
      <w:tr w14:paraId="0E27E8B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82" w:hRule="atLeast"/>
        </w:trPr>
        <w:tc>
          <w:tcPr>
            <w:tcW w:w="348" w:type="pct"/>
            <w:noWrap w:val="0"/>
            <w:vAlign w:val="center"/>
          </w:tcPr>
          <w:p w14:paraId="067E4310">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同乐镇</w:t>
            </w:r>
          </w:p>
        </w:tc>
        <w:tc>
          <w:tcPr>
            <w:tcW w:w="554" w:type="pct"/>
            <w:noWrap w:val="0"/>
            <w:vAlign w:val="center"/>
          </w:tcPr>
          <w:p w14:paraId="66A8E63D">
            <w:pPr>
              <w:widowControl/>
              <w:spacing w:line="240" w:lineRule="auto"/>
              <w:ind w:firstLine="0" w:firstLineChars="0"/>
              <w:jc w:val="center"/>
              <w:textAlignment w:val="center"/>
              <w:rPr>
                <w:rFonts w:ascii="Times New Roman" w:hAnsi="Times New Roman" w:eastAsia="宋体" w:cs="Times New Roman"/>
                <w:color w:val="auto"/>
                <w:kern w:val="0"/>
                <w:sz w:val="21"/>
                <w:szCs w:val="21"/>
                <w:highlight w:val="none"/>
                <w:lang w:bidi="ar"/>
              </w:rPr>
            </w:pPr>
            <w:r>
              <w:rPr>
                <w:rFonts w:hint="eastAsia" w:ascii="Times New Roman" w:hAnsi="Times New Roman" w:eastAsia="宋体" w:cs="Times New Roman"/>
                <w:color w:val="auto"/>
                <w:kern w:val="0"/>
                <w:sz w:val="21"/>
                <w:szCs w:val="21"/>
                <w:highlight w:val="none"/>
                <w:lang w:val="en-US" w:eastAsia="zh-CN" w:bidi="ar"/>
              </w:rPr>
              <w:t>绥化市庆安县同乐镇</w:t>
            </w:r>
            <w:r>
              <w:rPr>
                <w:rFonts w:ascii="Times New Roman" w:hAnsi="Times New Roman" w:eastAsia="宋体" w:cs="Times New Roman"/>
                <w:color w:val="auto"/>
                <w:kern w:val="0"/>
                <w:sz w:val="21"/>
                <w:szCs w:val="21"/>
                <w:highlight w:val="none"/>
                <w:lang w:bidi="ar"/>
              </w:rPr>
              <w:t>饮用水水源地</w:t>
            </w:r>
          </w:p>
        </w:tc>
        <w:tc>
          <w:tcPr>
            <w:tcW w:w="459" w:type="pct"/>
            <w:noWrap w:val="0"/>
            <w:vAlign w:val="center"/>
          </w:tcPr>
          <w:p w14:paraId="6E7D8B98">
            <w:pPr>
              <w:widowControl/>
              <w:spacing w:line="240" w:lineRule="auto"/>
              <w:ind w:firstLine="0" w:firstLineChars="0"/>
              <w:jc w:val="center"/>
              <w:textAlignment w:val="center"/>
              <w:rPr>
                <w:rFonts w:ascii="Times New Roman" w:hAnsi="Times New Roman" w:eastAsia="宋体" w:cs="Times New Roman"/>
                <w:color w:val="auto"/>
                <w:kern w:val="0"/>
                <w:sz w:val="21"/>
                <w:szCs w:val="21"/>
                <w:highlight w:val="none"/>
                <w:lang w:bidi="ar"/>
              </w:rPr>
            </w:pPr>
            <w:r>
              <w:rPr>
                <w:rFonts w:hint="eastAsia" w:ascii="Times New Roman" w:hAnsi="Times New Roman" w:eastAsia="宋体" w:cs="Times New Roman"/>
                <w:color w:val="auto"/>
                <w:kern w:val="0"/>
                <w:sz w:val="21"/>
                <w:szCs w:val="21"/>
                <w:highlight w:val="none"/>
                <w:lang w:val="en-US" w:eastAsia="zh-CN" w:bidi="ar"/>
              </w:rPr>
              <w:t>同乐镇</w:t>
            </w:r>
            <w:r>
              <w:rPr>
                <w:rFonts w:hint="eastAsia" w:cs="Times New Roman"/>
                <w:color w:val="auto"/>
                <w:kern w:val="0"/>
                <w:sz w:val="21"/>
                <w:szCs w:val="21"/>
                <w:highlight w:val="none"/>
                <w:lang w:val="en-US" w:eastAsia="zh-CN" w:bidi="ar"/>
              </w:rPr>
              <w:t>（</w:t>
            </w:r>
            <w:r>
              <w:rPr>
                <w:rFonts w:hint="eastAsia" w:ascii="Times New Roman" w:hAnsi="Times New Roman" w:eastAsia="宋体" w:cs="Times New Roman"/>
                <w:color w:val="auto"/>
                <w:kern w:val="0"/>
                <w:sz w:val="21"/>
                <w:szCs w:val="21"/>
                <w:highlight w:val="none"/>
                <w:lang w:val="en-US" w:eastAsia="zh-CN" w:bidi="ar"/>
              </w:rPr>
              <w:t>户籍</w:t>
            </w:r>
            <w:r>
              <w:rPr>
                <w:rFonts w:hint="eastAsia" w:cs="Times New Roman"/>
                <w:color w:val="auto"/>
                <w:kern w:val="0"/>
                <w:sz w:val="21"/>
                <w:szCs w:val="21"/>
                <w:highlight w:val="none"/>
                <w:lang w:val="en-US" w:eastAsia="zh-CN" w:bidi="ar"/>
              </w:rPr>
              <w:t>17844）</w:t>
            </w:r>
          </w:p>
        </w:tc>
        <w:tc>
          <w:tcPr>
            <w:tcW w:w="1337" w:type="dxa"/>
            <w:shd w:val="clear" w:color="auto" w:fill="auto"/>
            <w:noWrap w:val="0"/>
            <w:vAlign w:val="center"/>
          </w:tcPr>
          <w:p w14:paraId="0893BA18">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庆安县同乐镇同富村隋家屯</w:t>
            </w:r>
          </w:p>
        </w:tc>
        <w:tc>
          <w:tcPr>
            <w:tcW w:w="986" w:type="pct"/>
            <w:shd w:val="clear" w:color="auto" w:fill="auto"/>
            <w:noWrap w:val="0"/>
            <w:vAlign w:val="center"/>
          </w:tcPr>
          <w:p w14:paraId="78EBCE88">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常住</w:t>
            </w:r>
            <w:r>
              <w:rPr>
                <w:rFonts w:hint="eastAsia" w:cs="Times New Roman"/>
                <w:color w:val="auto"/>
                <w:kern w:val="0"/>
                <w:sz w:val="21"/>
                <w:szCs w:val="21"/>
                <w:highlight w:val="none"/>
                <w:lang w:val="en-US" w:eastAsia="zh-CN" w:bidi="ar"/>
              </w:rPr>
              <w:t>9891</w:t>
            </w:r>
            <w:r>
              <w:rPr>
                <w:rFonts w:hint="eastAsia" w:ascii="Times New Roman" w:hAnsi="Times New Roman" w:eastAsia="宋体" w:cs="Times New Roman"/>
                <w:color w:val="auto"/>
                <w:kern w:val="0"/>
                <w:sz w:val="21"/>
                <w:szCs w:val="21"/>
                <w:highlight w:val="none"/>
                <w:lang w:val="en-US" w:eastAsia="zh-CN" w:bidi="ar"/>
              </w:rPr>
              <w:t>人</w:t>
            </w:r>
          </w:p>
        </w:tc>
        <w:tc>
          <w:tcPr>
            <w:tcW w:w="991" w:type="pct"/>
            <w:noWrap w:val="0"/>
            <w:vAlign w:val="center"/>
          </w:tcPr>
          <w:p w14:paraId="7D581079">
            <w:pPr>
              <w:widowControl/>
              <w:spacing w:line="240" w:lineRule="auto"/>
              <w:ind w:firstLine="0" w:firstLineChars="0"/>
              <w:jc w:val="center"/>
              <w:textAlignment w:val="center"/>
              <w:rPr>
                <w:rFonts w:ascii="Times New Roman" w:hAnsi="Times New Roman" w:eastAsia="宋体" w:cs="Times New Roman"/>
                <w:color w:val="auto"/>
                <w:kern w:val="0"/>
                <w:sz w:val="21"/>
                <w:szCs w:val="21"/>
                <w:highlight w:val="none"/>
                <w:lang w:bidi="ar"/>
              </w:rPr>
            </w:pPr>
            <w:r>
              <w:rPr>
                <w:rFonts w:hint="eastAsia"/>
                <w:color w:val="auto"/>
                <w:spacing w:val="-2"/>
                <w:sz w:val="21"/>
                <w:szCs w:val="21"/>
                <w:highlight w:val="none"/>
              </w:rPr>
              <w:t>同乐镇内同乐村、同富村、同发村、同庆村、同兴村，共计5个行政村41个自然屯</w:t>
            </w:r>
          </w:p>
        </w:tc>
        <w:tc>
          <w:tcPr>
            <w:tcW w:w="628" w:type="pct"/>
            <w:noWrap w:val="0"/>
            <w:vAlign w:val="center"/>
          </w:tcPr>
          <w:p w14:paraId="46E7EE56">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eastAsia="zh-CN" w:bidi="ar"/>
              </w:rPr>
            </w:pPr>
            <w:r>
              <w:rPr>
                <w:rFonts w:hint="eastAsia"/>
                <w:color w:val="auto"/>
                <w:sz w:val="21"/>
                <w:szCs w:val="21"/>
                <w:highlight w:val="none"/>
              </w:rPr>
              <w:t>同庆村东升河</w:t>
            </w:r>
            <w:r>
              <w:rPr>
                <w:rFonts w:hint="eastAsia"/>
                <w:color w:val="auto"/>
                <w:sz w:val="21"/>
                <w:szCs w:val="21"/>
                <w:highlight w:val="none"/>
                <w:lang w:eastAsia="zh-CN"/>
              </w:rPr>
              <w:t>屯</w:t>
            </w:r>
          </w:p>
        </w:tc>
        <w:tc>
          <w:tcPr>
            <w:tcW w:w="556" w:type="pct"/>
            <w:noWrap w:val="0"/>
            <w:vAlign w:val="center"/>
          </w:tcPr>
          <w:p w14:paraId="245F9EE8">
            <w:pPr>
              <w:widowControl/>
              <w:spacing w:line="240" w:lineRule="auto"/>
              <w:ind w:firstLine="0" w:firstLineChars="0"/>
              <w:jc w:val="center"/>
              <w:textAlignment w:val="center"/>
              <w:rPr>
                <w:rFonts w:ascii="Times New Roman" w:hAnsi="Times New Roman" w:eastAsia="宋体" w:cs="Times New Roman"/>
                <w:color w:val="auto"/>
                <w:kern w:val="0"/>
                <w:sz w:val="21"/>
                <w:szCs w:val="21"/>
                <w:highlight w:val="none"/>
                <w:lang w:bidi="ar"/>
              </w:rPr>
            </w:pPr>
            <w:r>
              <w:rPr>
                <w:rFonts w:hint="eastAsia" w:cs="Times New Roman"/>
                <w:color w:val="auto"/>
                <w:kern w:val="0"/>
                <w:sz w:val="21"/>
                <w:szCs w:val="21"/>
                <w:highlight w:val="none"/>
                <w:lang w:eastAsia="zh-CN" w:bidi="ar"/>
              </w:rPr>
              <w:t>乡镇级</w:t>
            </w:r>
          </w:p>
        </w:tc>
      </w:tr>
      <w:tr w14:paraId="702D08C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82" w:hRule="atLeast"/>
        </w:trPr>
        <w:tc>
          <w:tcPr>
            <w:tcW w:w="348" w:type="pct"/>
            <w:vMerge w:val="restart"/>
            <w:noWrap w:val="0"/>
            <w:vAlign w:val="center"/>
          </w:tcPr>
          <w:p w14:paraId="014F8873">
            <w:pPr>
              <w:widowControl/>
              <w:spacing w:line="240" w:lineRule="auto"/>
              <w:ind w:firstLine="0" w:firstLineChars="0"/>
              <w:jc w:val="center"/>
              <w:textAlignment w:val="center"/>
              <w:rPr>
                <w:rFonts w:ascii="Times New Roman" w:hAnsi="Times New Roman" w:eastAsia="宋体" w:cs="Times New Roman"/>
                <w:color w:val="auto"/>
                <w:kern w:val="0"/>
                <w:sz w:val="21"/>
                <w:szCs w:val="21"/>
                <w:highlight w:val="none"/>
                <w:lang w:bidi="ar"/>
              </w:rPr>
            </w:pPr>
            <w:r>
              <w:rPr>
                <w:rFonts w:hint="eastAsia" w:ascii="Times New Roman" w:hAnsi="Times New Roman" w:eastAsia="宋体" w:cs="Times New Roman"/>
                <w:color w:val="auto"/>
                <w:kern w:val="0"/>
                <w:sz w:val="21"/>
                <w:szCs w:val="21"/>
                <w:highlight w:val="none"/>
                <w:lang w:val="en-US" w:eastAsia="zh-CN" w:bidi="ar"/>
              </w:rPr>
              <w:t>柳河镇</w:t>
            </w:r>
          </w:p>
        </w:tc>
        <w:tc>
          <w:tcPr>
            <w:tcW w:w="554" w:type="pct"/>
            <w:noWrap w:val="0"/>
            <w:vAlign w:val="center"/>
          </w:tcPr>
          <w:p w14:paraId="216CDBE7">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绥化市庆安县柳河镇饮用水水源地</w:t>
            </w:r>
          </w:p>
        </w:tc>
        <w:tc>
          <w:tcPr>
            <w:tcW w:w="459" w:type="pct"/>
            <w:vMerge w:val="restart"/>
            <w:noWrap w:val="0"/>
            <w:vAlign w:val="center"/>
          </w:tcPr>
          <w:p w14:paraId="3F80758B">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柳河镇</w:t>
            </w:r>
            <w:r>
              <w:rPr>
                <w:rFonts w:hint="eastAsia" w:cs="Times New Roman"/>
                <w:color w:val="auto"/>
                <w:kern w:val="0"/>
                <w:sz w:val="21"/>
                <w:szCs w:val="21"/>
                <w:highlight w:val="none"/>
                <w:lang w:val="en-US" w:eastAsia="zh-CN" w:bidi="ar"/>
              </w:rPr>
              <w:t>（</w:t>
            </w:r>
            <w:r>
              <w:rPr>
                <w:rFonts w:hint="eastAsia" w:ascii="Times New Roman" w:hAnsi="Times New Roman" w:eastAsia="宋体" w:cs="Times New Roman"/>
                <w:color w:val="auto"/>
                <w:kern w:val="0"/>
                <w:sz w:val="21"/>
                <w:szCs w:val="21"/>
                <w:highlight w:val="none"/>
                <w:lang w:val="en-US" w:eastAsia="zh-CN" w:bidi="ar"/>
              </w:rPr>
              <w:t>户籍</w:t>
            </w:r>
            <w:r>
              <w:rPr>
                <w:rFonts w:hint="default" w:ascii="Times New Roman" w:hAnsi="Times New Roman" w:eastAsia="宋体" w:cs="Times New Roman"/>
                <w:color w:val="auto"/>
                <w:kern w:val="0"/>
                <w:sz w:val="21"/>
                <w:szCs w:val="21"/>
                <w:highlight w:val="none"/>
                <w:lang w:val="en-US" w:eastAsia="zh-CN" w:bidi="ar"/>
              </w:rPr>
              <w:t>34501</w:t>
            </w:r>
            <w:r>
              <w:rPr>
                <w:rFonts w:hint="eastAsia" w:ascii="Times New Roman" w:hAnsi="Times New Roman" w:eastAsia="宋体" w:cs="Times New Roman"/>
                <w:color w:val="auto"/>
                <w:kern w:val="0"/>
                <w:sz w:val="21"/>
                <w:szCs w:val="21"/>
                <w:highlight w:val="none"/>
                <w:lang w:val="en-US" w:eastAsia="zh-CN" w:bidi="ar"/>
              </w:rPr>
              <w:t>人</w:t>
            </w:r>
            <w:r>
              <w:rPr>
                <w:rFonts w:hint="eastAsia" w:cs="Times New Roman"/>
                <w:color w:val="auto"/>
                <w:kern w:val="0"/>
                <w:sz w:val="21"/>
                <w:szCs w:val="21"/>
                <w:highlight w:val="none"/>
                <w:lang w:val="en-US" w:eastAsia="zh-CN" w:bidi="ar"/>
              </w:rPr>
              <w:t>）</w:t>
            </w:r>
          </w:p>
        </w:tc>
        <w:tc>
          <w:tcPr>
            <w:tcW w:w="1337" w:type="dxa"/>
            <w:vMerge w:val="restart"/>
            <w:noWrap w:val="0"/>
            <w:vAlign w:val="center"/>
          </w:tcPr>
          <w:p w14:paraId="7B38D573">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庆安县柳河镇新胜村刘德福屯</w:t>
            </w:r>
          </w:p>
        </w:tc>
        <w:tc>
          <w:tcPr>
            <w:tcW w:w="986" w:type="pct"/>
            <w:noWrap w:val="0"/>
            <w:vAlign w:val="center"/>
          </w:tcPr>
          <w:p w14:paraId="760A71FF">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常住</w:t>
            </w:r>
            <w:r>
              <w:rPr>
                <w:rFonts w:hint="eastAsia" w:cs="Times New Roman"/>
                <w:color w:val="auto"/>
                <w:kern w:val="0"/>
                <w:sz w:val="21"/>
                <w:szCs w:val="21"/>
                <w:highlight w:val="none"/>
                <w:lang w:val="en-US" w:eastAsia="zh-CN" w:bidi="ar"/>
              </w:rPr>
              <w:t>8631</w:t>
            </w:r>
            <w:r>
              <w:rPr>
                <w:rFonts w:hint="eastAsia" w:ascii="Times New Roman" w:hAnsi="Times New Roman" w:eastAsia="宋体" w:cs="Times New Roman"/>
                <w:color w:val="auto"/>
                <w:kern w:val="0"/>
                <w:sz w:val="21"/>
                <w:szCs w:val="21"/>
                <w:highlight w:val="none"/>
                <w:lang w:val="en-US" w:eastAsia="zh-CN" w:bidi="ar"/>
              </w:rPr>
              <w:t>人</w:t>
            </w:r>
          </w:p>
        </w:tc>
        <w:tc>
          <w:tcPr>
            <w:tcW w:w="991" w:type="pct"/>
            <w:noWrap w:val="0"/>
            <w:vAlign w:val="center"/>
          </w:tcPr>
          <w:p w14:paraId="2A10E123">
            <w:pPr>
              <w:widowControl/>
              <w:spacing w:line="240" w:lineRule="auto"/>
              <w:ind w:firstLine="0" w:firstLineChars="0"/>
              <w:jc w:val="center"/>
              <w:textAlignment w:val="center"/>
              <w:rPr>
                <w:rFonts w:ascii="Times New Roman" w:hAnsi="Times New Roman" w:eastAsia="宋体" w:cs="Times New Roman"/>
                <w:color w:val="auto"/>
                <w:kern w:val="0"/>
                <w:sz w:val="21"/>
                <w:szCs w:val="21"/>
                <w:highlight w:val="none"/>
                <w:lang w:bidi="ar"/>
              </w:rPr>
            </w:pPr>
            <w:r>
              <w:rPr>
                <w:rFonts w:hint="eastAsia"/>
                <w:color w:val="auto"/>
                <w:spacing w:val="-2"/>
                <w:sz w:val="21"/>
                <w:szCs w:val="21"/>
                <w:highlight w:val="none"/>
              </w:rPr>
              <w:t>柳河镇内新柳村、新胜村、新泉村、新岗村、新宏村，共计5个行政村39个自然屯</w:t>
            </w:r>
          </w:p>
        </w:tc>
        <w:tc>
          <w:tcPr>
            <w:tcW w:w="628" w:type="pct"/>
            <w:noWrap w:val="0"/>
            <w:vAlign w:val="center"/>
          </w:tcPr>
          <w:p w14:paraId="1EECA30B">
            <w:pPr>
              <w:widowControl/>
              <w:spacing w:line="240" w:lineRule="auto"/>
              <w:ind w:firstLine="0" w:firstLineChars="0"/>
              <w:jc w:val="center"/>
              <w:textAlignment w:val="center"/>
              <w:rPr>
                <w:rFonts w:hint="eastAsia" w:ascii="Times New Roman" w:hAnsi="Times New Roman" w:eastAsia="宋体" w:cs="Times New Roman"/>
                <w:color w:val="auto"/>
                <w:spacing w:val="-2"/>
                <w:sz w:val="21"/>
                <w:szCs w:val="21"/>
                <w:highlight w:val="none"/>
              </w:rPr>
            </w:pPr>
            <w:r>
              <w:rPr>
                <w:rFonts w:hint="eastAsia" w:ascii="Times New Roman" w:hAnsi="Times New Roman" w:eastAsia="宋体" w:cs="Times New Roman"/>
                <w:color w:val="auto"/>
                <w:spacing w:val="-2"/>
                <w:sz w:val="21"/>
                <w:szCs w:val="21"/>
                <w:highlight w:val="none"/>
                <w:lang w:val="en-US" w:eastAsia="zh-CN"/>
              </w:rPr>
              <w:t>新宏村</w:t>
            </w:r>
            <w:r>
              <w:rPr>
                <w:rFonts w:hint="eastAsia" w:ascii="Times New Roman" w:hAnsi="Times New Roman" w:eastAsia="宋体" w:cs="Times New Roman"/>
                <w:color w:val="auto"/>
                <w:spacing w:val="-2"/>
                <w:sz w:val="21"/>
                <w:szCs w:val="21"/>
                <w:highlight w:val="none"/>
              </w:rPr>
              <w:t>史家店屯</w:t>
            </w:r>
          </w:p>
        </w:tc>
        <w:tc>
          <w:tcPr>
            <w:tcW w:w="556" w:type="pct"/>
            <w:noWrap w:val="0"/>
            <w:vAlign w:val="center"/>
          </w:tcPr>
          <w:p w14:paraId="5A7E1989">
            <w:pPr>
              <w:widowControl/>
              <w:spacing w:line="240" w:lineRule="auto"/>
              <w:ind w:firstLine="0" w:firstLineChars="0"/>
              <w:jc w:val="center"/>
              <w:textAlignment w:val="center"/>
              <w:rPr>
                <w:rFonts w:ascii="Times New Roman" w:hAnsi="Times New Roman" w:eastAsia="宋体" w:cs="Times New Roman"/>
                <w:color w:val="auto"/>
                <w:kern w:val="0"/>
                <w:sz w:val="21"/>
                <w:szCs w:val="21"/>
                <w:highlight w:val="none"/>
                <w:lang w:bidi="ar"/>
              </w:rPr>
            </w:pPr>
            <w:r>
              <w:rPr>
                <w:rFonts w:hint="eastAsia" w:cs="Times New Roman"/>
                <w:color w:val="auto"/>
                <w:kern w:val="0"/>
                <w:sz w:val="21"/>
                <w:szCs w:val="21"/>
                <w:highlight w:val="none"/>
                <w:lang w:eastAsia="zh-CN" w:bidi="ar"/>
              </w:rPr>
              <w:t>乡镇级</w:t>
            </w:r>
          </w:p>
        </w:tc>
      </w:tr>
      <w:tr w14:paraId="34CF7E5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82" w:hRule="atLeast"/>
        </w:trPr>
        <w:tc>
          <w:tcPr>
            <w:tcW w:w="348" w:type="pct"/>
            <w:vMerge w:val="continue"/>
            <w:noWrap w:val="0"/>
            <w:vAlign w:val="center"/>
          </w:tcPr>
          <w:p w14:paraId="124A2491">
            <w:pPr>
              <w:widowControl/>
              <w:spacing w:line="240" w:lineRule="auto"/>
              <w:ind w:firstLine="0" w:firstLineChars="0"/>
              <w:jc w:val="center"/>
              <w:textAlignment w:val="center"/>
              <w:rPr>
                <w:rFonts w:ascii="Times New Roman" w:hAnsi="Times New Roman" w:eastAsia="宋体" w:cs="Times New Roman"/>
                <w:color w:val="auto"/>
                <w:kern w:val="0"/>
                <w:sz w:val="21"/>
                <w:szCs w:val="21"/>
                <w:highlight w:val="none"/>
                <w:lang w:bidi="ar"/>
              </w:rPr>
            </w:pPr>
          </w:p>
        </w:tc>
        <w:tc>
          <w:tcPr>
            <w:tcW w:w="554" w:type="pct"/>
            <w:noWrap w:val="0"/>
            <w:vAlign w:val="center"/>
          </w:tcPr>
          <w:p w14:paraId="4D1BB744">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绥化市庆安县柳河镇新强村饮用水水源地</w:t>
            </w:r>
          </w:p>
        </w:tc>
        <w:tc>
          <w:tcPr>
            <w:tcW w:w="459" w:type="pct"/>
            <w:vMerge w:val="continue"/>
            <w:noWrap w:val="0"/>
            <w:vAlign w:val="center"/>
          </w:tcPr>
          <w:p w14:paraId="08CD16F9">
            <w:pPr>
              <w:widowControl/>
              <w:spacing w:line="240" w:lineRule="auto"/>
              <w:ind w:firstLine="0" w:firstLineChars="0"/>
              <w:jc w:val="center"/>
              <w:textAlignment w:val="center"/>
              <w:rPr>
                <w:rFonts w:ascii="Times New Roman" w:hAnsi="Times New Roman" w:eastAsia="宋体" w:cs="Times New Roman"/>
                <w:color w:val="auto"/>
                <w:kern w:val="0"/>
                <w:sz w:val="21"/>
                <w:szCs w:val="21"/>
                <w:highlight w:val="none"/>
                <w:lang w:bidi="ar"/>
              </w:rPr>
            </w:pPr>
          </w:p>
        </w:tc>
        <w:tc>
          <w:tcPr>
            <w:tcW w:w="474" w:type="pct"/>
            <w:vMerge w:val="continue"/>
            <w:noWrap w:val="0"/>
            <w:vAlign w:val="center"/>
          </w:tcPr>
          <w:p w14:paraId="2AE22CF0">
            <w:pPr>
              <w:widowControl/>
              <w:spacing w:line="240" w:lineRule="auto"/>
              <w:ind w:firstLine="0" w:firstLineChars="0"/>
              <w:jc w:val="center"/>
              <w:textAlignment w:val="center"/>
              <w:rPr>
                <w:rFonts w:ascii="Times New Roman" w:hAnsi="Times New Roman" w:eastAsia="宋体" w:cs="Times New Roman"/>
                <w:color w:val="auto"/>
                <w:kern w:val="0"/>
                <w:sz w:val="21"/>
                <w:szCs w:val="21"/>
                <w:highlight w:val="none"/>
                <w:lang w:bidi="ar"/>
              </w:rPr>
            </w:pPr>
          </w:p>
        </w:tc>
        <w:tc>
          <w:tcPr>
            <w:tcW w:w="986" w:type="pct"/>
            <w:noWrap w:val="0"/>
            <w:vAlign w:val="center"/>
          </w:tcPr>
          <w:p w14:paraId="33AFC393">
            <w:pPr>
              <w:widowControl/>
              <w:spacing w:line="240" w:lineRule="auto"/>
              <w:ind w:firstLine="0" w:firstLineChars="0"/>
              <w:jc w:val="center"/>
              <w:textAlignment w:val="center"/>
              <w:rPr>
                <w:rFonts w:ascii="Times New Roman" w:hAnsi="Times New Roman" w:eastAsia="宋体" w:cs="Times New Roman"/>
                <w:color w:val="auto"/>
                <w:kern w:val="0"/>
                <w:sz w:val="21"/>
                <w:szCs w:val="21"/>
                <w:highlight w:val="none"/>
                <w:lang w:bidi="ar"/>
              </w:rPr>
            </w:pPr>
            <w:r>
              <w:rPr>
                <w:rFonts w:hint="eastAsia" w:ascii="Times New Roman" w:hAnsi="Times New Roman" w:eastAsia="宋体" w:cs="Times New Roman"/>
                <w:color w:val="auto"/>
                <w:kern w:val="0"/>
                <w:sz w:val="21"/>
                <w:szCs w:val="21"/>
                <w:highlight w:val="none"/>
                <w:lang w:val="en-US" w:eastAsia="zh-CN" w:bidi="ar"/>
              </w:rPr>
              <w:t>常住</w:t>
            </w:r>
            <w:r>
              <w:rPr>
                <w:rFonts w:hint="eastAsia" w:cs="Times New Roman"/>
                <w:color w:val="auto"/>
                <w:kern w:val="0"/>
                <w:sz w:val="21"/>
                <w:szCs w:val="21"/>
                <w:highlight w:val="none"/>
                <w:lang w:val="en-US" w:eastAsia="zh-CN" w:bidi="ar"/>
              </w:rPr>
              <w:t>6097</w:t>
            </w:r>
            <w:r>
              <w:rPr>
                <w:rFonts w:hint="eastAsia" w:ascii="Times New Roman" w:hAnsi="Times New Roman" w:eastAsia="宋体" w:cs="Times New Roman"/>
                <w:color w:val="auto"/>
                <w:kern w:val="0"/>
                <w:sz w:val="21"/>
                <w:szCs w:val="21"/>
                <w:highlight w:val="none"/>
                <w:lang w:val="en-US" w:eastAsia="zh-CN" w:bidi="ar"/>
              </w:rPr>
              <w:t>人</w:t>
            </w:r>
          </w:p>
        </w:tc>
        <w:tc>
          <w:tcPr>
            <w:tcW w:w="991" w:type="pct"/>
            <w:noWrap w:val="0"/>
            <w:vAlign w:val="center"/>
          </w:tcPr>
          <w:p w14:paraId="1481724A">
            <w:pPr>
              <w:widowControl/>
              <w:spacing w:line="240" w:lineRule="auto"/>
              <w:ind w:firstLine="0" w:firstLineChars="0"/>
              <w:jc w:val="center"/>
              <w:textAlignment w:val="center"/>
              <w:rPr>
                <w:rFonts w:ascii="Times New Roman" w:hAnsi="Times New Roman" w:eastAsia="宋体" w:cs="Times New Roman"/>
                <w:color w:val="auto"/>
                <w:kern w:val="0"/>
                <w:sz w:val="21"/>
                <w:szCs w:val="21"/>
                <w:highlight w:val="none"/>
                <w:lang w:bidi="ar"/>
              </w:rPr>
            </w:pPr>
            <w:r>
              <w:rPr>
                <w:rFonts w:hint="eastAsia"/>
                <w:color w:val="auto"/>
                <w:spacing w:val="-2"/>
                <w:sz w:val="21"/>
                <w:szCs w:val="21"/>
                <w:highlight w:val="none"/>
              </w:rPr>
              <w:t>柳河镇内新强村、新光村、新明村、新清村、新升村，共计5个行政村47个自然屯</w:t>
            </w:r>
          </w:p>
        </w:tc>
        <w:tc>
          <w:tcPr>
            <w:tcW w:w="628" w:type="pct"/>
            <w:noWrap w:val="0"/>
            <w:vAlign w:val="center"/>
          </w:tcPr>
          <w:p w14:paraId="144789A1">
            <w:pPr>
              <w:widowControl/>
              <w:spacing w:line="240" w:lineRule="auto"/>
              <w:ind w:firstLine="0" w:firstLineChars="0"/>
              <w:jc w:val="center"/>
              <w:textAlignment w:val="center"/>
              <w:rPr>
                <w:rFonts w:hint="eastAsia" w:ascii="Times New Roman" w:hAnsi="Times New Roman" w:eastAsia="宋体" w:cs="Times New Roman"/>
                <w:color w:val="auto"/>
                <w:spacing w:val="-2"/>
                <w:sz w:val="21"/>
                <w:szCs w:val="21"/>
                <w:highlight w:val="none"/>
                <w:lang w:eastAsia="zh-CN"/>
              </w:rPr>
            </w:pPr>
            <w:r>
              <w:rPr>
                <w:rFonts w:hint="eastAsia" w:ascii="Times New Roman" w:hAnsi="Times New Roman" w:eastAsia="宋体" w:cs="Times New Roman"/>
                <w:color w:val="auto"/>
                <w:spacing w:val="-2"/>
                <w:sz w:val="21"/>
                <w:szCs w:val="21"/>
                <w:highlight w:val="none"/>
                <w:lang w:val="en-US" w:eastAsia="zh-CN"/>
              </w:rPr>
              <w:t>新强村</w:t>
            </w:r>
            <w:r>
              <w:rPr>
                <w:rFonts w:hint="eastAsia" w:ascii="Times New Roman" w:hAnsi="Times New Roman" w:eastAsia="宋体" w:cs="Times New Roman"/>
                <w:color w:val="auto"/>
                <w:spacing w:val="-2"/>
                <w:sz w:val="21"/>
                <w:szCs w:val="21"/>
                <w:highlight w:val="none"/>
              </w:rPr>
              <w:t>梨树园子</w:t>
            </w:r>
            <w:r>
              <w:rPr>
                <w:rFonts w:hint="eastAsia" w:cs="Times New Roman"/>
                <w:color w:val="auto"/>
                <w:spacing w:val="-2"/>
                <w:sz w:val="21"/>
                <w:szCs w:val="21"/>
                <w:highlight w:val="none"/>
                <w:lang w:eastAsia="zh-CN"/>
              </w:rPr>
              <w:t>屯</w:t>
            </w:r>
          </w:p>
        </w:tc>
        <w:tc>
          <w:tcPr>
            <w:tcW w:w="556" w:type="pct"/>
            <w:noWrap w:val="0"/>
            <w:vAlign w:val="center"/>
          </w:tcPr>
          <w:p w14:paraId="7B6D7F6C">
            <w:pPr>
              <w:widowControl/>
              <w:spacing w:line="240" w:lineRule="auto"/>
              <w:ind w:firstLine="0" w:firstLineChars="0"/>
              <w:jc w:val="center"/>
              <w:textAlignment w:val="center"/>
              <w:rPr>
                <w:rFonts w:ascii="Times New Roman" w:hAnsi="Times New Roman" w:eastAsia="宋体" w:cs="Times New Roman"/>
                <w:color w:val="auto"/>
                <w:kern w:val="0"/>
                <w:sz w:val="21"/>
                <w:szCs w:val="21"/>
                <w:highlight w:val="none"/>
                <w:lang w:bidi="ar"/>
              </w:rPr>
            </w:pPr>
            <w:r>
              <w:rPr>
                <w:rFonts w:ascii="Times New Roman" w:hAnsi="Times New Roman" w:eastAsia="宋体" w:cs="Times New Roman"/>
                <w:color w:val="auto"/>
                <w:kern w:val="0"/>
                <w:sz w:val="21"/>
                <w:szCs w:val="21"/>
                <w:highlight w:val="none"/>
                <w:lang w:bidi="ar"/>
              </w:rPr>
              <w:t>村屯级</w:t>
            </w:r>
          </w:p>
        </w:tc>
      </w:tr>
      <w:tr w14:paraId="02585AC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82" w:hRule="atLeast"/>
        </w:trPr>
        <w:tc>
          <w:tcPr>
            <w:tcW w:w="348" w:type="pct"/>
            <w:noWrap w:val="0"/>
            <w:vAlign w:val="center"/>
          </w:tcPr>
          <w:p w14:paraId="4DD3E3EC">
            <w:pPr>
              <w:widowControl/>
              <w:spacing w:line="240" w:lineRule="auto"/>
              <w:ind w:firstLine="0" w:firstLineChars="0"/>
              <w:jc w:val="center"/>
              <w:textAlignment w:val="center"/>
              <w:rPr>
                <w:rFonts w:ascii="Times New Roman" w:hAnsi="Times New Roman" w:eastAsia="宋体" w:cs="Times New Roman"/>
                <w:color w:val="auto"/>
                <w:kern w:val="0"/>
                <w:sz w:val="21"/>
                <w:szCs w:val="21"/>
                <w:highlight w:val="none"/>
                <w:lang w:bidi="ar"/>
              </w:rPr>
            </w:pPr>
            <w:r>
              <w:rPr>
                <w:rFonts w:hint="eastAsia" w:ascii="Times New Roman" w:hAnsi="Times New Roman" w:eastAsia="宋体" w:cs="Times New Roman"/>
                <w:color w:val="auto"/>
                <w:kern w:val="0"/>
                <w:sz w:val="21"/>
                <w:szCs w:val="21"/>
                <w:highlight w:val="none"/>
                <w:lang w:val="en-US" w:eastAsia="zh-CN" w:bidi="ar"/>
              </w:rPr>
              <w:t>丰收乡</w:t>
            </w:r>
          </w:p>
        </w:tc>
        <w:tc>
          <w:tcPr>
            <w:tcW w:w="554" w:type="pct"/>
            <w:noWrap w:val="0"/>
            <w:vAlign w:val="center"/>
          </w:tcPr>
          <w:p w14:paraId="1C7B8AE8">
            <w:pPr>
              <w:widowControl/>
              <w:spacing w:line="240" w:lineRule="auto"/>
              <w:ind w:firstLine="0" w:firstLineChars="0"/>
              <w:jc w:val="center"/>
              <w:textAlignment w:val="center"/>
              <w:rPr>
                <w:rFonts w:ascii="Times New Roman" w:hAnsi="Times New Roman" w:eastAsia="宋体" w:cs="Times New Roman"/>
                <w:color w:val="auto"/>
                <w:kern w:val="0"/>
                <w:sz w:val="21"/>
                <w:szCs w:val="21"/>
                <w:highlight w:val="none"/>
                <w:lang w:bidi="ar"/>
              </w:rPr>
            </w:pPr>
            <w:r>
              <w:rPr>
                <w:rFonts w:hint="eastAsia" w:ascii="Times New Roman" w:hAnsi="Times New Roman" w:eastAsia="宋体" w:cs="Times New Roman"/>
                <w:color w:val="auto"/>
                <w:kern w:val="0"/>
                <w:sz w:val="21"/>
                <w:szCs w:val="21"/>
                <w:highlight w:val="none"/>
                <w:lang w:val="en-US" w:eastAsia="zh-CN" w:bidi="ar"/>
              </w:rPr>
              <w:t>绥化市庆安县丰收乡饮用水水源地</w:t>
            </w:r>
          </w:p>
        </w:tc>
        <w:tc>
          <w:tcPr>
            <w:tcW w:w="459" w:type="pct"/>
            <w:noWrap w:val="0"/>
            <w:vAlign w:val="center"/>
          </w:tcPr>
          <w:p w14:paraId="484323C9">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丰收乡（户籍27389）</w:t>
            </w:r>
          </w:p>
        </w:tc>
        <w:tc>
          <w:tcPr>
            <w:tcW w:w="1337" w:type="dxa"/>
            <w:noWrap w:val="0"/>
            <w:vAlign w:val="center"/>
          </w:tcPr>
          <w:p w14:paraId="3D946449">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丰收乡丰收村</w:t>
            </w:r>
          </w:p>
        </w:tc>
        <w:tc>
          <w:tcPr>
            <w:tcW w:w="986" w:type="pct"/>
            <w:noWrap w:val="0"/>
            <w:vAlign w:val="center"/>
          </w:tcPr>
          <w:p w14:paraId="216D96AB">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常住人口9130人</w:t>
            </w:r>
          </w:p>
        </w:tc>
        <w:tc>
          <w:tcPr>
            <w:tcW w:w="991" w:type="pct"/>
            <w:noWrap w:val="0"/>
            <w:vAlign w:val="center"/>
          </w:tcPr>
          <w:p w14:paraId="255CCE2B">
            <w:pPr>
              <w:widowControl/>
              <w:spacing w:line="240" w:lineRule="auto"/>
              <w:ind w:firstLine="0" w:firstLineChars="0"/>
              <w:jc w:val="center"/>
              <w:textAlignment w:val="center"/>
              <w:rPr>
                <w:rFonts w:ascii="Times New Roman" w:hAnsi="Times New Roman" w:eastAsia="宋体" w:cs="Times New Roman"/>
                <w:color w:val="auto"/>
                <w:kern w:val="0"/>
                <w:sz w:val="21"/>
                <w:szCs w:val="21"/>
                <w:highlight w:val="none"/>
                <w:lang w:bidi="ar"/>
              </w:rPr>
            </w:pPr>
            <w:r>
              <w:rPr>
                <w:rFonts w:hint="eastAsia"/>
                <w:color w:val="auto"/>
                <w:sz w:val="21"/>
                <w:szCs w:val="21"/>
                <w:highlight w:val="none"/>
                <w:lang w:eastAsia="zh-CN"/>
              </w:rPr>
              <w:t>丰收乡内</w:t>
            </w:r>
            <w:r>
              <w:rPr>
                <w:rFonts w:hint="eastAsia" w:cs="Times New Roman"/>
                <w:color w:val="auto"/>
                <w:kern w:val="0"/>
                <w:sz w:val="21"/>
                <w:szCs w:val="21"/>
                <w:highlight w:val="none"/>
                <w:lang w:val="en-US" w:eastAsia="zh-CN" w:bidi="ar"/>
              </w:rPr>
              <w:t>丰满村、丰裕村、丰田村</w:t>
            </w:r>
            <w:r>
              <w:rPr>
                <w:rFonts w:hint="eastAsia"/>
                <w:color w:val="auto"/>
                <w:sz w:val="21"/>
                <w:szCs w:val="21"/>
                <w:highlight w:val="none"/>
                <w:lang w:eastAsia="zh-CN"/>
              </w:rPr>
              <w:t>、</w:t>
            </w:r>
            <w:r>
              <w:rPr>
                <w:rFonts w:hint="eastAsia" w:cs="Times New Roman"/>
                <w:color w:val="auto"/>
                <w:kern w:val="0"/>
                <w:sz w:val="21"/>
                <w:szCs w:val="21"/>
                <w:highlight w:val="none"/>
                <w:lang w:val="en-US" w:eastAsia="zh-CN" w:bidi="ar"/>
              </w:rPr>
              <w:t>丰林村、丰山村、丰泰村、丰民村、丰盛村、丰华村</w:t>
            </w:r>
            <w:r>
              <w:rPr>
                <w:rFonts w:hint="eastAsia"/>
                <w:color w:val="auto"/>
                <w:sz w:val="21"/>
                <w:szCs w:val="21"/>
                <w:highlight w:val="none"/>
                <w:lang w:eastAsia="zh-CN"/>
              </w:rPr>
              <w:t>、</w:t>
            </w:r>
            <w:r>
              <w:rPr>
                <w:rFonts w:hint="eastAsia" w:cs="Times New Roman"/>
                <w:color w:val="auto"/>
                <w:kern w:val="0"/>
                <w:sz w:val="21"/>
                <w:szCs w:val="21"/>
                <w:highlight w:val="none"/>
                <w:lang w:val="en-US" w:eastAsia="zh-CN" w:bidi="ar"/>
              </w:rPr>
              <w:t>丰年村、丰收村、星光村，共计12个行政村村86个自然屯</w:t>
            </w:r>
          </w:p>
        </w:tc>
        <w:tc>
          <w:tcPr>
            <w:tcW w:w="628" w:type="pct"/>
            <w:noWrap w:val="0"/>
            <w:vAlign w:val="center"/>
          </w:tcPr>
          <w:p w14:paraId="361C0B1D">
            <w:pPr>
              <w:widowControl/>
              <w:spacing w:line="240" w:lineRule="auto"/>
              <w:ind w:firstLine="0" w:firstLineChars="0"/>
              <w:jc w:val="center"/>
              <w:textAlignment w:val="center"/>
              <w:rPr>
                <w:rFonts w:ascii="Times New Roman" w:hAnsi="Times New Roman" w:eastAsia="宋体" w:cs="Times New Roman"/>
                <w:color w:val="auto"/>
                <w:kern w:val="0"/>
                <w:sz w:val="21"/>
                <w:szCs w:val="21"/>
                <w:highlight w:val="none"/>
                <w:lang w:bidi="ar"/>
              </w:rPr>
            </w:pPr>
            <w:r>
              <w:rPr>
                <w:rFonts w:hint="eastAsia"/>
                <w:color w:val="auto"/>
                <w:sz w:val="21"/>
                <w:szCs w:val="21"/>
                <w:highlight w:val="none"/>
              </w:rPr>
              <w:t>丰满村</w:t>
            </w:r>
            <w:r>
              <w:rPr>
                <w:rFonts w:hint="eastAsia"/>
                <w:color w:val="auto"/>
                <w:kern w:val="0"/>
                <w:sz w:val="21"/>
                <w:szCs w:val="21"/>
                <w:highlight w:val="none"/>
              </w:rPr>
              <w:t>张先屯</w:t>
            </w:r>
          </w:p>
        </w:tc>
        <w:tc>
          <w:tcPr>
            <w:tcW w:w="556" w:type="pct"/>
            <w:noWrap w:val="0"/>
            <w:vAlign w:val="center"/>
          </w:tcPr>
          <w:p w14:paraId="6CED5C3E">
            <w:pPr>
              <w:widowControl/>
              <w:spacing w:line="240" w:lineRule="auto"/>
              <w:ind w:firstLine="0" w:firstLineChars="0"/>
              <w:jc w:val="center"/>
              <w:textAlignment w:val="center"/>
              <w:rPr>
                <w:rFonts w:ascii="Times New Roman" w:hAnsi="Times New Roman" w:eastAsia="宋体" w:cs="Times New Roman"/>
                <w:color w:val="auto"/>
                <w:kern w:val="0"/>
                <w:sz w:val="21"/>
                <w:szCs w:val="21"/>
                <w:highlight w:val="none"/>
                <w:lang w:bidi="ar"/>
              </w:rPr>
            </w:pPr>
            <w:r>
              <w:rPr>
                <w:rFonts w:hint="eastAsia" w:cs="Times New Roman"/>
                <w:color w:val="auto"/>
                <w:kern w:val="0"/>
                <w:sz w:val="21"/>
                <w:szCs w:val="21"/>
                <w:highlight w:val="none"/>
                <w:lang w:eastAsia="zh-CN" w:bidi="ar"/>
              </w:rPr>
              <w:t>乡镇级</w:t>
            </w:r>
          </w:p>
        </w:tc>
      </w:tr>
      <w:tr w14:paraId="11D2783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82" w:hRule="atLeast"/>
        </w:trPr>
        <w:tc>
          <w:tcPr>
            <w:tcW w:w="348" w:type="pct"/>
            <w:noWrap w:val="0"/>
            <w:vAlign w:val="center"/>
          </w:tcPr>
          <w:p w14:paraId="471FA441">
            <w:pPr>
              <w:widowControl/>
              <w:spacing w:line="240" w:lineRule="auto"/>
              <w:ind w:firstLine="0" w:firstLineChars="0"/>
              <w:jc w:val="center"/>
              <w:textAlignment w:val="center"/>
              <w:rPr>
                <w:rFonts w:ascii="Times New Roman" w:hAnsi="Times New Roman" w:eastAsia="宋体" w:cs="Times New Roman"/>
                <w:color w:val="auto"/>
                <w:kern w:val="0"/>
                <w:sz w:val="21"/>
                <w:szCs w:val="21"/>
                <w:highlight w:val="none"/>
                <w:lang w:bidi="ar"/>
              </w:rPr>
            </w:pPr>
            <w:r>
              <w:rPr>
                <w:rFonts w:hint="eastAsia" w:ascii="Times New Roman" w:hAnsi="Times New Roman" w:eastAsia="宋体" w:cs="Times New Roman"/>
                <w:color w:val="auto"/>
                <w:kern w:val="0"/>
                <w:sz w:val="21"/>
                <w:szCs w:val="21"/>
                <w:highlight w:val="none"/>
                <w:lang w:val="en-US" w:eastAsia="zh-CN" w:bidi="ar"/>
              </w:rPr>
              <w:t>平安镇</w:t>
            </w:r>
          </w:p>
        </w:tc>
        <w:tc>
          <w:tcPr>
            <w:tcW w:w="554" w:type="pct"/>
            <w:noWrap w:val="0"/>
            <w:vAlign w:val="center"/>
          </w:tcPr>
          <w:p w14:paraId="0BC56DFB">
            <w:pPr>
              <w:widowControl/>
              <w:spacing w:line="240" w:lineRule="auto"/>
              <w:ind w:firstLine="0" w:firstLineChars="0"/>
              <w:jc w:val="center"/>
              <w:textAlignment w:val="center"/>
              <w:rPr>
                <w:rFonts w:ascii="Times New Roman" w:hAnsi="Times New Roman" w:eastAsia="宋体" w:cs="Times New Roman"/>
                <w:color w:val="auto"/>
                <w:kern w:val="0"/>
                <w:sz w:val="21"/>
                <w:szCs w:val="21"/>
                <w:highlight w:val="none"/>
                <w:lang w:bidi="ar"/>
              </w:rPr>
            </w:pPr>
            <w:r>
              <w:rPr>
                <w:rFonts w:hint="eastAsia" w:cs="Times New Roman"/>
                <w:color w:val="auto"/>
                <w:kern w:val="0"/>
                <w:sz w:val="21"/>
                <w:szCs w:val="21"/>
                <w:highlight w:val="none"/>
                <w:lang w:val="en-US" w:eastAsia="zh-CN" w:bidi="ar"/>
              </w:rPr>
              <w:t>绥化市庆安县</w:t>
            </w:r>
            <w:r>
              <w:rPr>
                <w:rFonts w:hint="eastAsia" w:ascii="Times New Roman" w:hAnsi="Times New Roman" w:eastAsia="宋体" w:cs="Times New Roman"/>
                <w:color w:val="auto"/>
                <w:kern w:val="0"/>
                <w:sz w:val="21"/>
                <w:szCs w:val="21"/>
                <w:highlight w:val="none"/>
                <w:lang w:val="en-US" w:eastAsia="zh-CN" w:bidi="ar"/>
              </w:rPr>
              <w:t>平安镇饮用水水源地</w:t>
            </w:r>
          </w:p>
        </w:tc>
        <w:tc>
          <w:tcPr>
            <w:tcW w:w="459" w:type="pct"/>
            <w:noWrap/>
            <w:vAlign w:val="center"/>
          </w:tcPr>
          <w:p w14:paraId="7D650343">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平安镇（户籍15600）</w:t>
            </w:r>
          </w:p>
        </w:tc>
        <w:tc>
          <w:tcPr>
            <w:tcW w:w="1337" w:type="dxa"/>
            <w:noWrap w:val="0"/>
            <w:vAlign w:val="center"/>
          </w:tcPr>
          <w:p w14:paraId="6AC13839">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平安镇安平村</w:t>
            </w:r>
          </w:p>
        </w:tc>
        <w:tc>
          <w:tcPr>
            <w:tcW w:w="986" w:type="pct"/>
            <w:noWrap w:val="0"/>
            <w:vAlign w:val="center"/>
          </w:tcPr>
          <w:p w14:paraId="2E2C058F">
            <w:pPr>
              <w:widowControl/>
              <w:spacing w:line="240" w:lineRule="auto"/>
              <w:ind w:firstLine="0" w:firstLineChars="0"/>
              <w:jc w:val="center"/>
              <w:textAlignment w:val="center"/>
              <w:rPr>
                <w:rFonts w:ascii="Times New Roman" w:hAnsi="Times New Roman" w:eastAsia="宋体" w:cs="Times New Roman"/>
                <w:color w:val="auto"/>
                <w:kern w:val="0"/>
                <w:sz w:val="21"/>
                <w:szCs w:val="21"/>
                <w:highlight w:val="none"/>
                <w:lang w:bidi="ar"/>
              </w:rPr>
            </w:pPr>
            <w:r>
              <w:rPr>
                <w:rFonts w:hint="eastAsia" w:ascii="Times New Roman" w:hAnsi="Times New Roman" w:eastAsia="宋体" w:cs="Times New Roman"/>
                <w:color w:val="auto"/>
                <w:kern w:val="0"/>
                <w:sz w:val="21"/>
                <w:szCs w:val="21"/>
                <w:highlight w:val="none"/>
                <w:lang w:val="en-US" w:eastAsia="zh-CN" w:bidi="ar"/>
              </w:rPr>
              <w:t>常住人口</w:t>
            </w:r>
            <w:r>
              <w:rPr>
                <w:rFonts w:hint="eastAsia" w:cs="Times New Roman"/>
                <w:color w:val="auto"/>
                <w:kern w:val="0"/>
                <w:sz w:val="21"/>
                <w:szCs w:val="21"/>
                <w:highlight w:val="none"/>
                <w:lang w:val="en-US" w:eastAsia="zh-CN" w:bidi="ar"/>
              </w:rPr>
              <w:t>5200</w:t>
            </w:r>
            <w:r>
              <w:rPr>
                <w:rFonts w:hint="eastAsia" w:ascii="Times New Roman" w:hAnsi="Times New Roman" w:eastAsia="宋体" w:cs="Times New Roman"/>
                <w:color w:val="auto"/>
                <w:kern w:val="0"/>
                <w:sz w:val="21"/>
                <w:szCs w:val="21"/>
                <w:highlight w:val="none"/>
                <w:lang w:val="en-US" w:eastAsia="zh-CN" w:bidi="ar"/>
              </w:rPr>
              <w:t>人</w:t>
            </w:r>
          </w:p>
        </w:tc>
        <w:tc>
          <w:tcPr>
            <w:tcW w:w="991" w:type="pct"/>
            <w:noWrap/>
            <w:vAlign w:val="center"/>
          </w:tcPr>
          <w:p w14:paraId="72E74323">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eastAsia="zh-CN" w:bidi="ar"/>
              </w:rPr>
            </w:pPr>
            <w:r>
              <w:rPr>
                <w:rFonts w:hint="eastAsia"/>
                <w:color w:val="auto"/>
                <w:sz w:val="21"/>
                <w:szCs w:val="21"/>
                <w:highlight w:val="none"/>
                <w:lang w:eastAsia="zh-CN"/>
              </w:rPr>
              <w:t>平安镇内</w:t>
            </w:r>
            <w:r>
              <w:rPr>
                <w:rFonts w:hint="eastAsia" w:cs="Times New Roman"/>
                <w:color w:val="auto"/>
                <w:kern w:val="0"/>
                <w:sz w:val="21"/>
                <w:szCs w:val="21"/>
                <w:highlight w:val="none"/>
                <w:lang w:val="en-US" w:eastAsia="zh-CN" w:bidi="ar"/>
              </w:rPr>
              <w:t>和平村、安平村、升平村、太平村、永平村，共计5个行政村46个自然屯</w:t>
            </w:r>
          </w:p>
        </w:tc>
        <w:tc>
          <w:tcPr>
            <w:tcW w:w="628" w:type="pct"/>
            <w:noWrap/>
            <w:vAlign w:val="center"/>
          </w:tcPr>
          <w:p w14:paraId="2750B553">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eastAsia="zh-CN" w:bidi="ar"/>
              </w:rPr>
            </w:pPr>
            <w:r>
              <w:rPr>
                <w:rFonts w:hint="eastAsia" w:cs="Times New Roman"/>
                <w:color w:val="auto"/>
                <w:kern w:val="0"/>
                <w:sz w:val="21"/>
                <w:szCs w:val="21"/>
                <w:highlight w:val="none"/>
                <w:lang w:eastAsia="zh-CN" w:bidi="ar"/>
              </w:rPr>
              <w:t>平安镇</w:t>
            </w:r>
            <w:r>
              <w:rPr>
                <w:rFonts w:hint="eastAsia" w:cs="Times New Roman"/>
                <w:color w:val="auto"/>
                <w:kern w:val="0"/>
                <w:sz w:val="21"/>
                <w:szCs w:val="21"/>
                <w:highlight w:val="none"/>
                <w:lang w:val="en-US" w:eastAsia="zh-CN" w:bidi="ar"/>
              </w:rPr>
              <w:t>瓦盆窑屯</w:t>
            </w:r>
          </w:p>
        </w:tc>
        <w:tc>
          <w:tcPr>
            <w:tcW w:w="556" w:type="pct"/>
            <w:noWrap w:val="0"/>
            <w:vAlign w:val="center"/>
          </w:tcPr>
          <w:p w14:paraId="777A07CC">
            <w:pPr>
              <w:widowControl/>
              <w:spacing w:line="240" w:lineRule="auto"/>
              <w:ind w:firstLine="0" w:firstLineChars="0"/>
              <w:jc w:val="center"/>
              <w:textAlignment w:val="center"/>
              <w:rPr>
                <w:rFonts w:ascii="Times New Roman" w:hAnsi="Times New Roman" w:eastAsia="宋体" w:cs="Times New Roman"/>
                <w:color w:val="auto"/>
                <w:kern w:val="0"/>
                <w:sz w:val="21"/>
                <w:szCs w:val="21"/>
                <w:highlight w:val="none"/>
                <w:lang w:bidi="ar"/>
              </w:rPr>
            </w:pPr>
            <w:r>
              <w:rPr>
                <w:rFonts w:hint="eastAsia" w:cs="Times New Roman"/>
                <w:color w:val="auto"/>
                <w:kern w:val="0"/>
                <w:sz w:val="21"/>
                <w:szCs w:val="21"/>
                <w:highlight w:val="none"/>
                <w:lang w:eastAsia="zh-CN" w:bidi="ar"/>
              </w:rPr>
              <w:t>乡镇级</w:t>
            </w:r>
          </w:p>
        </w:tc>
      </w:tr>
    </w:tbl>
    <w:p w14:paraId="4BFD444C">
      <w:pPr>
        <w:pStyle w:val="13"/>
        <w:rPr>
          <w:rFonts w:hint="eastAsia"/>
          <w:color w:val="auto"/>
          <w:sz w:val="24"/>
          <w:szCs w:val="24"/>
          <w:highlight w:val="none"/>
        </w:rPr>
        <w:sectPr>
          <w:pgSz w:w="16838" w:h="11905" w:orient="landscape"/>
          <w:pgMar w:top="1474" w:right="1474" w:bottom="1474" w:left="1474" w:header="850" w:footer="992" w:gutter="0"/>
          <w:pgBorders>
            <w:top w:val="none" w:sz="0" w:space="0"/>
            <w:left w:val="none" w:sz="0" w:space="0"/>
            <w:bottom w:val="none" w:sz="0" w:space="0"/>
            <w:right w:val="none" w:sz="0" w:space="0"/>
          </w:pgBorders>
          <w:pgNumType w:fmt="decimal"/>
          <w:cols w:space="720" w:num="1"/>
          <w:docGrid w:type="linesAndChars" w:linePitch="347" w:charSpace="-1024"/>
        </w:sectPr>
      </w:pPr>
    </w:p>
    <w:p w14:paraId="50203955">
      <w:pPr>
        <w:pStyle w:val="4"/>
        <w:rPr>
          <w:color w:val="auto"/>
          <w:highlight w:val="none"/>
        </w:rPr>
      </w:pPr>
      <w:bookmarkStart w:id="49" w:name="_Toc416"/>
      <w:r>
        <w:rPr>
          <w:color w:val="auto"/>
          <w:highlight w:val="none"/>
        </w:rPr>
        <w:t>2.</w:t>
      </w:r>
      <w:r>
        <w:rPr>
          <w:rFonts w:hint="eastAsia"/>
          <w:color w:val="auto"/>
          <w:highlight w:val="none"/>
        </w:rPr>
        <w:t>6</w:t>
      </w:r>
      <w:r>
        <w:rPr>
          <w:color w:val="auto"/>
          <w:highlight w:val="none"/>
        </w:rPr>
        <w:t>.2水源地编码</w:t>
      </w:r>
      <w:bookmarkEnd w:id="49"/>
    </w:p>
    <w:p w14:paraId="72C05765">
      <w:pPr>
        <w:spacing w:line="360" w:lineRule="auto"/>
        <w:ind w:firstLine="470"/>
        <w:rPr>
          <w:color w:val="auto"/>
          <w:highlight w:val="none"/>
        </w:rPr>
      </w:pPr>
      <w:r>
        <w:rPr>
          <w:color w:val="auto"/>
          <w:highlight w:val="none"/>
        </w:rPr>
        <w:t>2015年6月4日环境保护部发布了《集中式饮用水水源编码规范》（HJ 747</w:t>
      </w:r>
      <w:r>
        <w:rPr>
          <w:rFonts w:hint="eastAsia"/>
          <w:color w:val="auto"/>
          <w:highlight w:val="none"/>
        </w:rPr>
        <w:t>-</w:t>
      </w:r>
      <w:r>
        <w:rPr>
          <w:color w:val="auto"/>
          <w:highlight w:val="none"/>
        </w:rPr>
        <w:t>2015），标准规定了集中式饮用水水源编码规则。依据该标准，</w:t>
      </w:r>
      <w:r>
        <w:rPr>
          <w:rFonts w:hint="eastAsia" w:ascii="宋体" w:hAnsi="宋体" w:cs="宋体"/>
          <w:color w:val="auto"/>
          <w:highlight w:val="none"/>
        </w:rPr>
        <w:t>“</w:t>
      </w:r>
      <w:r>
        <w:rPr>
          <w:color w:val="auto"/>
          <w:highlight w:val="none"/>
        </w:rPr>
        <w:t>饮用水水源代码采用组合编码方式，由水系码、地址码、类型码和顺序码四部分组成，代码长度为20位。水系码表示赋码对象所在水系代码，水系代码长度为6位；地址码表示赋码对象所在行政区划代码，地址码长度为9位；类型码表示赋码对象所属的水体类型代码，类型码长度为1位；顺序码表示赋码对象的顺序代码，顺序码长度为4位。</w:t>
      </w:r>
      <w:r>
        <w:rPr>
          <w:rFonts w:hint="eastAsia" w:ascii="宋体" w:hAnsi="宋体" w:cs="宋体"/>
          <w:color w:val="auto"/>
          <w:highlight w:val="none"/>
        </w:rPr>
        <w:t>”</w:t>
      </w:r>
    </w:p>
    <w:p w14:paraId="73E1352E">
      <w:pPr>
        <w:spacing w:line="360" w:lineRule="auto"/>
        <w:ind w:left="0" w:leftChars="0" w:firstLine="0" w:firstLineChars="0"/>
        <w:jc w:val="center"/>
        <w:rPr>
          <w:rFonts w:hint="eastAsia" w:eastAsia="黑体"/>
          <w:color w:val="auto"/>
          <w:kern w:val="0"/>
          <w:sz w:val="24"/>
          <w:szCs w:val="24"/>
          <w:highlight w:val="none"/>
          <w:lang w:val="en-US" w:eastAsia="zh-CN"/>
        </w:rPr>
      </w:pPr>
      <w:bookmarkStart w:id="50" w:name="_Toc26465"/>
      <w:bookmarkStart w:id="51" w:name="OLE_LINK1"/>
      <w:bookmarkStart w:id="52" w:name="OLE_LINK2"/>
      <w:r>
        <w:rPr>
          <w:rFonts w:eastAsia="黑体"/>
          <w:color w:val="auto"/>
          <w:kern w:val="0"/>
          <w:sz w:val="24"/>
          <w:szCs w:val="24"/>
          <w:highlight w:val="none"/>
        </w:rPr>
        <w:t>表2-</w:t>
      </w:r>
      <w:r>
        <w:rPr>
          <w:rFonts w:hint="eastAsia" w:eastAsia="黑体"/>
          <w:color w:val="auto"/>
          <w:kern w:val="0"/>
          <w:sz w:val="24"/>
          <w:szCs w:val="24"/>
          <w:highlight w:val="none"/>
          <w:lang w:val="en-US" w:eastAsia="zh-CN"/>
        </w:rPr>
        <w:t>5</w:t>
      </w:r>
      <w:r>
        <w:rPr>
          <w:rFonts w:hint="eastAsia" w:eastAsia="黑体"/>
          <w:color w:val="auto"/>
          <w:kern w:val="0"/>
          <w:sz w:val="24"/>
          <w:szCs w:val="24"/>
          <w:highlight w:val="none"/>
        </w:rPr>
        <w:t xml:space="preserve"> </w:t>
      </w:r>
      <w:r>
        <w:rPr>
          <w:rFonts w:hint="eastAsia" w:eastAsia="黑体"/>
          <w:color w:val="auto"/>
          <w:kern w:val="0"/>
          <w:sz w:val="24"/>
          <w:szCs w:val="24"/>
          <w:highlight w:val="none"/>
          <w:lang w:val="en-US" w:eastAsia="zh-CN"/>
        </w:rPr>
        <w:t xml:space="preserve"> 绥化市庆安县丰收乡等6个乡镇级和柳河镇新强村1个村屯级集中式</w:t>
      </w:r>
    </w:p>
    <w:p w14:paraId="42251AA2">
      <w:pPr>
        <w:spacing w:line="360" w:lineRule="auto"/>
        <w:ind w:left="0" w:leftChars="0" w:firstLine="0" w:firstLineChars="0"/>
        <w:jc w:val="center"/>
        <w:rPr>
          <w:rFonts w:hint="eastAsia" w:eastAsia="黑体"/>
          <w:color w:val="auto"/>
          <w:highlight w:val="none"/>
        </w:rPr>
      </w:pPr>
      <w:r>
        <w:rPr>
          <w:rFonts w:hint="eastAsia" w:eastAsia="黑体"/>
          <w:color w:val="auto"/>
          <w:kern w:val="0"/>
          <w:sz w:val="24"/>
          <w:szCs w:val="24"/>
          <w:highlight w:val="none"/>
          <w:lang w:val="en-US" w:eastAsia="zh-CN"/>
        </w:rPr>
        <w:t>饮用水水源地编码</w:t>
      </w:r>
      <w:r>
        <w:rPr>
          <w:rFonts w:hint="eastAsia" w:eastAsia="黑体"/>
          <w:color w:val="auto"/>
          <w:kern w:val="0"/>
          <w:sz w:val="24"/>
          <w:szCs w:val="24"/>
          <w:highlight w:val="none"/>
        </w:rPr>
        <w:t>表</w:t>
      </w:r>
    </w:p>
    <w:tbl>
      <w:tblPr>
        <w:tblStyle w:val="21"/>
        <w:tblW w:w="4996"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928"/>
        <w:gridCol w:w="1392"/>
        <w:gridCol w:w="4474"/>
        <w:gridCol w:w="2372"/>
      </w:tblGrid>
      <w:tr w14:paraId="27A9C30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82" w:hRule="atLeast"/>
          <w:tblHeader/>
        </w:trPr>
        <w:tc>
          <w:tcPr>
            <w:tcW w:w="506" w:type="pct"/>
            <w:noWrap w:val="0"/>
            <w:vAlign w:val="center"/>
          </w:tcPr>
          <w:p w14:paraId="7F3AAE9D">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序号</w:t>
            </w:r>
          </w:p>
        </w:tc>
        <w:tc>
          <w:tcPr>
            <w:tcW w:w="759" w:type="pct"/>
            <w:noWrap w:val="0"/>
            <w:vAlign w:val="center"/>
          </w:tcPr>
          <w:p w14:paraId="74F6C513">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eastAsia="zh-CN" w:bidi="ar"/>
              </w:rPr>
            </w:pPr>
            <w:r>
              <w:rPr>
                <w:rFonts w:hint="eastAsia" w:cs="Times New Roman"/>
                <w:color w:val="auto"/>
                <w:kern w:val="0"/>
                <w:sz w:val="21"/>
                <w:szCs w:val="21"/>
                <w:highlight w:val="none"/>
                <w:lang w:eastAsia="zh-CN" w:bidi="ar"/>
              </w:rPr>
              <w:t>级别</w:t>
            </w:r>
          </w:p>
        </w:tc>
        <w:tc>
          <w:tcPr>
            <w:tcW w:w="2439" w:type="pct"/>
            <w:noWrap w:val="0"/>
            <w:vAlign w:val="center"/>
          </w:tcPr>
          <w:p w14:paraId="11A0374E">
            <w:pPr>
              <w:widowControl/>
              <w:spacing w:line="240" w:lineRule="auto"/>
              <w:ind w:firstLine="0" w:firstLineChars="0"/>
              <w:jc w:val="center"/>
              <w:textAlignment w:val="center"/>
              <w:rPr>
                <w:rFonts w:ascii="Times New Roman" w:hAnsi="Times New Roman" w:eastAsia="宋体" w:cs="Times New Roman"/>
                <w:color w:val="auto"/>
                <w:kern w:val="0"/>
                <w:sz w:val="21"/>
                <w:szCs w:val="21"/>
                <w:highlight w:val="none"/>
                <w:lang w:bidi="ar"/>
              </w:rPr>
            </w:pPr>
            <w:r>
              <w:rPr>
                <w:rFonts w:ascii="Times New Roman" w:hAnsi="Times New Roman" w:eastAsia="宋体" w:cs="Times New Roman"/>
                <w:color w:val="auto"/>
                <w:kern w:val="0"/>
                <w:sz w:val="21"/>
                <w:szCs w:val="21"/>
                <w:highlight w:val="none"/>
                <w:lang w:bidi="ar"/>
              </w:rPr>
              <w:t>水源地名称</w:t>
            </w:r>
          </w:p>
        </w:tc>
        <w:tc>
          <w:tcPr>
            <w:tcW w:w="1293" w:type="pct"/>
            <w:noWrap w:val="0"/>
            <w:vAlign w:val="center"/>
          </w:tcPr>
          <w:p w14:paraId="67FE4079">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水源地编码</w:t>
            </w:r>
          </w:p>
        </w:tc>
      </w:tr>
      <w:tr w14:paraId="4780F29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82" w:hRule="atLeast"/>
        </w:trPr>
        <w:tc>
          <w:tcPr>
            <w:tcW w:w="506" w:type="pct"/>
            <w:noWrap w:val="0"/>
            <w:vAlign w:val="center"/>
          </w:tcPr>
          <w:p w14:paraId="5CDE9DF3">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1</w:t>
            </w:r>
          </w:p>
        </w:tc>
        <w:tc>
          <w:tcPr>
            <w:tcW w:w="759" w:type="pct"/>
            <w:vMerge w:val="restart"/>
            <w:noWrap w:val="0"/>
            <w:vAlign w:val="center"/>
          </w:tcPr>
          <w:p w14:paraId="0D973FD1">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乡镇级</w:t>
            </w:r>
          </w:p>
        </w:tc>
        <w:tc>
          <w:tcPr>
            <w:tcW w:w="2439" w:type="pct"/>
            <w:noWrap w:val="0"/>
            <w:vAlign w:val="center"/>
          </w:tcPr>
          <w:p w14:paraId="4200EB05">
            <w:pPr>
              <w:widowControl/>
              <w:spacing w:line="240" w:lineRule="auto"/>
              <w:ind w:firstLine="0" w:firstLineChars="0"/>
              <w:jc w:val="center"/>
              <w:textAlignment w:val="center"/>
              <w:rPr>
                <w:rFonts w:ascii="Times New Roman" w:hAnsi="Times New Roman" w:eastAsia="宋体" w:cs="Times New Roman"/>
                <w:color w:val="auto"/>
                <w:kern w:val="0"/>
                <w:sz w:val="21"/>
                <w:szCs w:val="21"/>
                <w:highlight w:val="none"/>
                <w:lang w:bidi="ar"/>
              </w:rPr>
            </w:pPr>
            <w:r>
              <w:rPr>
                <w:rFonts w:hint="eastAsia" w:ascii="Times New Roman" w:hAnsi="Times New Roman" w:eastAsia="宋体" w:cs="Times New Roman"/>
                <w:color w:val="auto"/>
                <w:kern w:val="0"/>
                <w:sz w:val="21"/>
                <w:szCs w:val="21"/>
                <w:highlight w:val="none"/>
                <w:lang w:val="en-US" w:eastAsia="zh-CN" w:bidi="ar"/>
              </w:rPr>
              <w:t>绥化市庆安县发展乡</w:t>
            </w:r>
            <w:r>
              <w:rPr>
                <w:rFonts w:ascii="Times New Roman" w:hAnsi="Times New Roman" w:eastAsia="宋体" w:cs="Times New Roman"/>
                <w:color w:val="auto"/>
                <w:kern w:val="0"/>
                <w:sz w:val="21"/>
                <w:szCs w:val="21"/>
                <w:highlight w:val="none"/>
                <w:lang w:bidi="ar"/>
              </w:rPr>
              <w:t>饮用水水源地</w:t>
            </w:r>
          </w:p>
        </w:tc>
        <w:tc>
          <w:tcPr>
            <w:tcW w:w="1293" w:type="pct"/>
            <w:noWrap w:val="0"/>
            <w:vAlign w:val="center"/>
          </w:tcPr>
          <w:p w14:paraId="584C90EF">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bCs/>
                <w:color w:val="auto"/>
                <w:kern w:val="0"/>
                <w:sz w:val="21"/>
                <w:szCs w:val="21"/>
                <w:highlight w:val="none"/>
              </w:rPr>
              <w:t>AF0101231224</w:t>
            </w:r>
            <w:r>
              <w:rPr>
                <w:rFonts w:hint="eastAsia"/>
                <w:bCs/>
                <w:color w:val="auto"/>
                <w:kern w:val="0"/>
                <w:sz w:val="21"/>
                <w:szCs w:val="21"/>
                <w:highlight w:val="none"/>
                <w:lang w:val="en-US" w:eastAsia="zh-CN"/>
              </w:rPr>
              <w:t>2</w:t>
            </w:r>
            <w:r>
              <w:rPr>
                <w:bCs/>
                <w:color w:val="auto"/>
                <w:kern w:val="0"/>
                <w:sz w:val="21"/>
                <w:szCs w:val="21"/>
                <w:highlight w:val="none"/>
              </w:rPr>
              <w:t>0</w:t>
            </w:r>
            <w:r>
              <w:rPr>
                <w:rFonts w:hint="eastAsia"/>
                <w:bCs/>
                <w:color w:val="auto"/>
                <w:kern w:val="0"/>
                <w:sz w:val="21"/>
                <w:szCs w:val="21"/>
                <w:highlight w:val="none"/>
              </w:rPr>
              <w:t>8</w:t>
            </w:r>
            <w:r>
              <w:rPr>
                <w:bCs/>
                <w:color w:val="auto"/>
                <w:kern w:val="0"/>
                <w:sz w:val="21"/>
                <w:szCs w:val="21"/>
                <w:highlight w:val="none"/>
              </w:rPr>
              <w:t>G000</w:t>
            </w:r>
            <w:r>
              <w:rPr>
                <w:rFonts w:hint="eastAsia"/>
                <w:bCs/>
                <w:color w:val="auto"/>
                <w:kern w:val="0"/>
                <w:sz w:val="21"/>
                <w:szCs w:val="21"/>
                <w:highlight w:val="none"/>
              </w:rPr>
              <w:t>1</w:t>
            </w:r>
          </w:p>
        </w:tc>
      </w:tr>
      <w:tr w14:paraId="1972A83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82" w:hRule="atLeast"/>
        </w:trPr>
        <w:tc>
          <w:tcPr>
            <w:tcW w:w="506" w:type="pct"/>
            <w:noWrap w:val="0"/>
            <w:vAlign w:val="center"/>
          </w:tcPr>
          <w:p w14:paraId="582874F5">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2</w:t>
            </w:r>
          </w:p>
        </w:tc>
        <w:tc>
          <w:tcPr>
            <w:tcW w:w="759" w:type="pct"/>
            <w:vMerge w:val="continue"/>
            <w:noWrap w:val="0"/>
            <w:vAlign w:val="center"/>
          </w:tcPr>
          <w:p w14:paraId="24291BDC">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p>
        </w:tc>
        <w:tc>
          <w:tcPr>
            <w:tcW w:w="2439" w:type="pct"/>
            <w:noWrap w:val="0"/>
            <w:vAlign w:val="center"/>
          </w:tcPr>
          <w:p w14:paraId="6B48E53D">
            <w:pPr>
              <w:widowControl/>
              <w:spacing w:line="240" w:lineRule="auto"/>
              <w:ind w:firstLine="0" w:firstLineChars="0"/>
              <w:jc w:val="center"/>
              <w:textAlignment w:val="center"/>
              <w:rPr>
                <w:rFonts w:ascii="Times New Roman" w:hAnsi="Times New Roman" w:eastAsia="宋体" w:cs="Times New Roman"/>
                <w:color w:val="auto"/>
                <w:kern w:val="0"/>
                <w:sz w:val="21"/>
                <w:szCs w:val="21"/>
                <w:highlight w:val="none"/>
                <w:lang w:bidi="ar"/>
              </w:rPr>
            </w:pPr>
            <w:r>
              <w:rPr>
                <w:rFonts w:hint="eastAsia" w:ascii="Times New Roman" w:hAnsi="Times New Roman" w:eastAsia="宋体" w:cs="Times New Roman"/>
                <w:color w:val="auto"/>
                <w:kern w:val="0"/>
                <w:sz w:val="21"/>
                <w:szCs w:val="21"/>
                <w:highlight w:val="none"/>
                <w:lang w:val="en-US" w:eastAsia="zh-CN" w:bidi="ar"/>
              </w:rPr>
              <w:t>绥化市庆安县建民乡</w:t>
            </w:r>
            <w:r>
              <w:rPr>
                <w:rFonts w:ascii="Times New Roman" w:hAnsi="Times New Roman" w:eastAsia="宋体" w:cs="Times New Roman"/>
                <w:color w:val="auto"/>
                <w:kern w:val="0"/>
                <w:sz w:val="21"/>
                <w:szCs w:val="21"/>
                <w:highlight w:val="none"/>
                <w:lang w:bidi="ar"/>
              </w:rPr>
              <w:t>饮用水水源地</w:t>
            </w:r>
          </w:p>
        </w:tc>
        <w:tc>
          <w:tcPr>
            <w:tcW w:w="1293" w:type="pct"/>
            <w:noWrap w:val="0"/>
            <w:vAlign w:val="center"/>
          </w:tcPr>
          <w:p w14:paraId="3937C43D">
            <w:pPr>
              <w:widowControl/>
              <w:spacing w:line="240" w:lineRule="auto"/>
              <w:ind w:firstLine="0" w:firstLineChars="0"/>
              <w:jc w:val="center"/>
              <w:textAlignment w:val="center"/>
              <w:rPr>
                <w:rFonts w:ascii="Times New Roman" w:hAnsi="Times New Roman" w:eastAsia="宋体" w:cs="Times New Roman"/>
                <w:color w:val="auto"/>
                <w:kern w:val="0"/>
                <w:sz w:val="21"/>
                <w:szCs w:val="21"/>
                <w:highlight w:val="none"/>
                <w:lang w:bidi="ar"/>
              </w:rPr>
            </w:pPr>
            <w:r>
              <w:rPr>
                <w:bCs/>
                <w:color w:val="auto"/>
                <w:kern w:val="0"/>
                <w:sz w:val="21"/>
                <w:szCs w:val="21"/>
                <w:highlight w:val="none"/>
              </w:rPr>
              <w:t>AF0101231224</w:t>
            </w:r>
            <w:r>
              <w:rPr>
                <w:rFonts w:hint="eastAsia"/>
                <w:bCs/>
                <w:color w:val="auto"/>
                <w:kern w:val="0"/>
                <w:sz w:val="21"/>
                <w:szCs w:val="21"/>
                <w:highlight w:val="none"/>
                <w:lang w:val="en-US" w:eastAsia="zh-CN"/>
              </w:rPr>
              <w:t>201</w:t>
            </w:r>
            <w:r>
              <w:rPr>
                <w:bCs/>
                <w:color w:val="auto"/>
                <w:kern w:val="0"/>
                <w:sz w:val="21"/>
                <w:szCs w:val="21"/>
                <w:highlight w:val="none"/>
              </w:rPr>
              <w:t>G000</w:t>
            </w:r>
            <w:r>
              <w:rPr>
                <w:rFonts w:hint="eastAsia"/>
                <w:bCs/>
                <w:color w:val="auto"/>
                <w:kern w:val="0"/>
                <w:sz w:val="21"/>
                <w:szCs w:val="21"/>
                <w:highlight w:val="none"/>
              </w:rPr>
              <w:t>1</w:t>
            </w:r>
          </w:p>
        </w:tc>
      </w:tr>
      <w:tr w14:paraId="1C5FFEB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82" w:hRule="atLeast"/>
        </w:trPr>
        <w:tc>
          <w:tcPr>
            <w:tcW w:w="506" w:type="pct"/>
            <w:noWrap w:val="0"/>
            <w:vAlign w:val="center"/>
          </w:tcPr>
          <w:p w14:paraId="159CF218">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3</w:t>
            </w:r>
          </w:p>
        </w:tc>
        <w:tc>
          <w:tcPr>
            <w:tcW w:w="759" w:type="pct"/>
            <w:vMerge w:val="continue"/>
            <w:noWrap w:val="0"/>
            <w:vAlign w:val="center"/>
          </w:tcPr>
          <w:p w14:paraId="7DA0F488">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p>
        </w:tc>
        <w:tc>
          <w:tcPr>
            <w:tcW w:w="2439" w:type="pct"/>
            <w:noWrap w:val="0"/>
            <w:vAlign w:val="center"/>
          </w:tcPr>
          <w:p w14:paraId="4FAACE0E">
            <w:pPr>
              <w:widowControl/>
              <w:spacing w:line="240" w:lineRule="auto"/>
              <w:ind w:firstLine="0" w:firstLineChars="0"/>
              <w:jc w:val="center"/>
              <w:textAlignment w:val="center"/>
              <w:rPr>
                <w:rFonts w:ascii="Times New Roman" w:hAnsi="Times New Roman" w:eastAsia="宋体" w:cs="Times New Roman"/>
                <w:color w:val="auto"/>
                <w:kern w:val="0"/>
                <w:sz w:val="21"/>
                <w:szCs w:val="21"/>
                <w:highlight w:val="none"/>
                <w:lang w:bidi="ar"/>
              </w:rPr>
            </w:pPr>
            <w:r>
              <w:rPr>
                <w:rFonts w:hint="eastAsia" w:ascii="Times New Roman" w:hAnsi="Times New Roman" w:eastAsia="宋体" w:cs="Times New Roman"/>
                <w:color w:val="auto"/>
                <w:kern w:val="0"/>
                <w:sz w:val="21"/>
                <w:szCs w:val="21"/>
                <w:highlight w:val="none"/>
                <w:lang w:val="en-US" w:eastAsia="zh-CN" w:bidi="ar"/>
              </w:rPr>
              <w:t>绥化市庆安县同乐镇</w:t>
            </w:r>
            <w:r>
              <w:rPr>
                <w:rFonts w:ascii="Times New Roman" w:hAnsi="Times New Roman" w:eastAsia="宋体" w:cs="Times New Roman"/>
                <w:color w:val="auto"/>
                <w:kern w:val="0"/>
                <w:sz w:val="21"/>
                <w:szCs w:val="21"/>
                <w:highlight w:val="none"/>
                <w:lang w:bidi="ar"/>
              </w:rPr>
              <w:t>饮用水水源地</w:t>
            </w:r>
          </w:p>
        </w:tc>
        <w:tc>
          <w:tcPr>
            <w:tcW w:w="1293" w:type="pct"/>
            <w:noWrap w:val="0"/>
            <w:vAlign w:val="center"/>
          </w:tcPr>
          <w:p w14:paraId="07633307">
            <w:pPr>
              <w:widowControl/>
              <w:spacing w:line="240" w:lineRule="auto"/>
              <w:ind w:firstLine="0" w:firstLineChars="0"/>
              <w:jc w:val="center"/>
              <w:textAlignment w:val="center"/>
              <w:rPr>
                <w:rFonts w:ascii="Times New Roman" w:hAnsi="Times New Roman" w:eastAsia="宋体" w:cs="Times New Roman"/>
                <w:color w:val="auto"/>
                <w:kern w:val="0"/>
                <w:sz w:val="21"/>
                <w:szCs w:val="21"/>
                <w:highlight w:val="none"/>
                <w:lang w:bidi="ar"/>
              </w:rPr>
            </w:pPr>
            <w:r>
              <w:rPr>
                <w:bCs/>
                <w:color w:val="auto"/>
                <w:kern w:val="0"/>
                <w:sz w:val="21"/>
                <w:szCs w:val="21"/>
                <w:highlight w:val="none"/>
              </w:rPr>
              <w:t>AF010123122410</w:t>
            </w:r>
            <w:r>
              <w:rPr>
                <w:rFonts w:hint="eastAsia"/>
                <w:bCs/>
                <w:color w:val="auto"/>
                <w:kern w:val="0"/>
                <w:sz w:val="21"/>
                <w:szCs w:val="21"/>
                <w:highlight w:val="none"/>
                <w:lang w:val="en-US" w:eastAsia="zh-CN"/>
              </w:rPr>
              <w:t>7</w:t>
            </w:r>
            <w:r>
              <w:rPr>
                <w:bCs/>
                <w:color w:val="auto"/>
                <w:kern w:val="0"/>
                <w:sz w:val="21"/>
                <w:szCs w:val="21"/>
                <w:highlight w:val="none"/>
              </w:rPr>
              <w:t>G000</w:t>
            </w:r>
            <w:r>
              <w:rPr>
                <w:rFonts w:hint="eastAsia"/>
                <w:bCs/>
                <w:color w:val="auto"/>
                <w:kern w:val="0"/>
                <w:sz w:val="21"/>
                <w:szCs w:val="21"/>
                <w:highlight w:val="none"/>
              </w:rPr>
              <w:t>1</w:t>
            </w:r>
          </w:p>
        </w:tc>
      </w:tr>
      <w:tr w14:paraId="382A6E8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82" w:hRule="atLeast"/>
        </w:trPr>
        <w:tc>
          <w:tcPr>
            <w:tcW w:w="506" w:type="pct"/>
            <w:noWrap w:val="0"/>
            <w:vAlign w:val="center"/>
          </w:tcPr>
          <w:p w14:paraId="3CD21158">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4</w:t>
            </w:r>
          </w:p>
        </w:tc>
        <w:tc>
          <w:tcPr>
            <w:tcW w:w="759" w:type="pct"/>
            <w:vMerge w:val="continue"/>
            <w:noWrap w:val="0"/>
            <w:vAlign w:val="center"/>
          </w:tcPr>
          <w:p w14:paraId="34F6D88B">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p>
        </w:tc>
        <w:tc>
          <w:tcPr>
            <w:tcW w:w="2439" w:type="pct"/>
            <w:noWrap w:val="0"/>
            <w:vAlign w:val="center"/>
          </w:tcPr>
          <w:p w14:paraId="073A2A34">
            <w:pPr>
              <w:widowControl/>
              <w:spacing w:line="240" w:lineRule="auto"/>
              <w:ind w:firstLine="0" w:firstLineChars="0"/>
              <w:jc w:val="center"/>
              <w:textAlignment w:val="center"/>
              <w:rPr>
                <w:rFonts w:ascii="Times New Roman" w:hAnsi="Times New Roman" w:eastAsia="宋体" w:cs="Times New Roman"/>
                <w:color w:val="auto"/>
                <w:kern w:val="0"/>
                <w:sz w:val="21"/>
                <w:szCs w:val="21"/>
                <w:highlight w:val="none"/>
                <w:lang w:bidi="ar"/>
              </w:rPr>
            </w:pPr>
            <w:r>
              <w:rPr>
                <w:rFonts w:hint="eastAsia" w:ascii="Times New Roman" w:hAnsi="Times New Roman" w:eastAsia="宋体" w:cs="Times New Roman"/>
                <w:color w:val="auto"/>
                <w:kern w:val="0"/>
                <w:sz w:val="21"/>
                <w:szCs w:val="21"/>
                <w:highlight w:val="none"/>
                <w:lang w:val="en-US" w:eastAsia="zh-CN" w:bidi="ar"/>
              </w:rPr>
              <w:t>绥化市庆安县柳河镇饮用水水源地</w:t>
            </w:r>
          </w:p>
        </w:tc>
        <w:tc>
          <w:tcPr>
            <w:tcW w:w="1293" w:type="pct"/>
            <w:noWrap w:val="0"/>
            <w:vAlign w:val="center"/>
          </w:tcPr>
          <w:p w14:paraId="4C61694A">
            <w:pPr>
              <w:widowControl/>
              <w:spacing w:line="240" w:lineRule="auto"/>
              <w:ind w:firstLine="0" w:firstLineChars="0"/>
              <w:jc w:val="center"/>
              <w:textAlignment w:val="center"/>
              <w:rPr>
                <w:rFonts w:ascii="Times New Roman" w:hAnsi="Times New Roman" w:eastAsia="宋体" w:cs="Times New Roman"/>
                <w:color w:val="auto"/>
                <w:kern w:val="0"/>
                <w:sz w:val="21"/>
                <w:szCs w:val="21"/>
                <w:highlight w:val="none"/>
                <w:lang w:bidi="ar"/>
              </w:rPr>
            </w:pPr>
            <w:r>
              <w:rPr>
                <w:bCs/>
                <w:color w:val="auto"/>
                <w:kern w:val="0"/>
                <w:sz w:val="21"/>
                <w:szCs w:val="21"/>
                <w:highlight w:val="none"/>
              </w:rPr>
              <w:t>AF010123122410</w:t>
            </w:r>
            <w:r>
              <w:rPr>
                <w:rFonts w:hint="eastAsia"/>
                <w:bCs/>
                <w:color w:val="auto"/>
                <w:kern w:val="0"/>
                <w:sz w:val="21"/>
                <w:szCs w:val="21"/>
                <w:highlight w:val="none"/>
              </w:rPr>
              <w:t>8</w:t>
            </w:r>
            <w:r>
              <w:rPr>
                <w:bCs/>
                <w:color w:val="auto"/>
                <w:kern w:val="0"/>
                <w:sz w:val="21"/>
                <w:szCs w:val="21"/>
                <w:highlight w:val="none"/>
              </w:rPr>
              <w:t>G000</w:t>
            </w:r>
            <w:r>
              <w:rPr>
                <w:rFonts w:hint="eastAsia"/>
                <w:bCs/>
                <w:color w:val="auto"/>
                <w:kern w:val="0"/>
                <w:sz w:val="21"/>
                <w:szCs w:val="21"/>
                <w:highlight w:val="none"/>
              </w:rPr>
              <w:t>1</w:t>
            </w:r>
          </w:p>
        </w:tc>
      </w:tr>
      <w:tr w14:paraId="05980C7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82" w:hRule="atLeast"/>
        </w:trPr>
        <w:tc>
          <w:tcPr>
            <w:tcW w:w="506" w:type="pct"/>
            <w:noWrap w:val="0"/>
            <w:vAlign w:val="center"/>
          </w:tcPr>
          <w:p w14:paraId="01A7A7B9">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5</w:t>
            </w:r>
          </w:p>
        </w:tc>
        <w:tc>
          <w:tcPr>
            <w:tcW w:w="759" w:type="pct"/>
            <w:vMerge w:val="continue"/>
            <w:noWrap w:val="0"/>
            <w:vAlign w:val="center"/>
          </w:tcPr>
          <w:p w14:paraId="2EC3DF92">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p>
        </w:tc>
        <w:tc>
          <w:tcPr>
            <w:tcW w:w="2439" w:type="pct"/>
            <w:noWrap w:val="0"/>
            <w:vAlign w:val="center"/>
          </w:tcPr>
          <w:p w14:paraId="1EDCA79C">
            <w:pPr>
              <w:widowControl/>
              <w:spacing w:line="240" w:lineRule="auto"/>
              <w:ind w:firstLine="0" w:firstLineChars="0"/>
              <w:jc w:val="center"/>
              <w:textAlignment w:val="center"/>
              <w:rPr>
                <w:rFonts w:ascii="Times New Roman" w:hAnsi="Times New Roman" w:eastAsia="宋体" w:cs="Times New Roman"/>
                <w:color w:val="auto"/>
                <w:kern w:val="0"/>
                <w:sz w:val="21"/>
                <w:szCs w:val="21"/>
                <w:highlight w:val="none"/>
                <w:lang w:bidi="ar"/>
              </w:rPr>
            </w:pPr>
            <w:r>
              <w:rPr>
                <w:rFonts w:hint="eastAsia" w:ascii="Times New Roman" w:hAnsi="Times New Roman" w:eastAsia="宋体" w:cs="Times New Roman"/>
                <w:color w:val="auto"/>
                <w:kern w:val="0"/>
                <w:sz w:val="21"/>
                <w:szCs w:val="21"/>
                <w:highlight w:val="none"/>
                <w:lang w:val="en-US" w:eastAsia="zh-CN" w:bidi="ar"/>
              </w:rPr>
              <w:t>绥化市庆安县丰收乡饮用水水源地</w:t>
            </w:r>
          </w:p>
        </w:tc>
        <w:tc>
          <w:tcPr>
            <w:tcW w:w="1293" w:type="pct"/>
            <w:noWrap w:val="0"/>
            <w:vAlign w:val="center"/>
          </w:tcPr>
          <w:p w14:paraId="2E8EA137">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eastAsia="zh-CN" w:bidi="ar"/>
              </w:rPr>
            </w:pPr>
            <w:r>
              <w:rPr>
                <w:bCs/>
                <w:color w:val="auto"/>
                <w:kern w:val="0"/>
                <w:sz w:val="21"/>
                <w:szCs w:val="21"/>
                <w:highlight w:val="none"/>
              </w:rPr>
              <w:t>AF0101231224</w:t>
            </w:r>
            <w:r>
              <w:rPr>
                <w:rFonts w:hint="eastAsia"/>
                <w:bCs/>
                <w:color w:val="auto"/>
                <w:kern w:val="0"/>
                <w:sz w:val="21"/>
                <w:szCs w:val="21"/>
                <w:highlight w:val="none"/>
                <w:lang w:val="en-US" w:eastAsia="zh-CN"/>
              </w:rPr>
              <w:t>206</w:t>
            </w:r>
            <w:r>
              <w:rPr>
                <w:bCs/>
                <w:color w:val="auto"/>
                <w:kern w:val="0"/>
                <w:sz w:val="21"/>
                <w:szCs w:val="21"/>
                <w:highlight w:val="none"/>
              </w:rPr>
              <w:t>G000</w:t>
            </w:r>
            <w:r>
              <w:rPr>
                <w:rFonts w:hint="eastAsia"/>
                <w:bCs/>
                <w:color w:val="auto"/>
                <w:kern w:val="0"/>
                <w:sz w:val="21"/>
                <w:szCs w:val="21"/>
                <w:highlight w:val="none"/>
              </w:rPr>
              <w:t>1</w:t>
            </w:r>
          </w:p>
        </w:tc>
      </w:tr>
      <w:tr w14:paraId="4EB5672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82" w:hRule="atLeast"/>
        </w:trPr>
        <w:tc>
          <w:tcPr>
            <w:tcW w:w="506" w:type="pct"/>
            <w:noWrap w:val="0"/>
            <w:vAlign w:val="center"/>
          </w:tcPr>
          <w:p w14:paraId="72579B7F">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6</w:t>
            </w:r>
          </w:p>
        </w:tc>
        <w:tc>
          <w:tcPr>
            <w:tcW w:w="759" w:type="pct"/>
            <w:vMerge w:val="continue"/>
            <w:noWrap w:val="0"/>
            <w:vAlign w:val="center"/>
          </w:tcPr>
          <w:p w14:paraId="61F30AE1">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p>
        </w:tc>
        <w:tc>
          <w:tcPr>
            <w:tcW w:w="2439" w:type="pct"/>
            <w:noWrap w:val="0"/>
            <w:vAlign w:val="center"/>
          </w:tcPr>
          <w:p w14:paraId="73E28F05">
            <w:pPr>
              <w:widowControl/>
              <w:spacing w:line="240" w:lineRule="auto"/>
              <w:ind w:firstLine="0" w:firstLineChars="0"/>
              <w:jc w:val="center"/>
              <w:textAlignment w:val="center"/>
              <w:rPr>
                <w:rFonts w:ascii="Times New Roman" w:hAnsi="Times New Roman" w:eastAsia="宋体" w:cs="Times New Roman"/>
                <w:color w:val="auto"/>
                <w:kern w:val="0"/>
                <w:sz w:val="21"/>
                <w:szCs w:val="21"/>
                <w:highlight w:val="none"/>
                <w:lang w:bidi="ar"/>
              </w:rPr>
            </w:pPr>
            <w:r>
              <w:rPr>
                <w:rFonts w:hint="eastAsia" w:ascii="Times New Roman" w:hAnsi="Times New Roman" w:eastAsia="宋体" w:cs="Times New Roman"/>
                <w:color w:val="auto"/>
                <w:kern w:val="0"/>
                <w:sz w:val="21"/>
                <w:szCs w:val="21"/>
                <w:highlight w:val="none"/>
                <w:lang w:val="en-US" w:eastAsia="zh-CN" w:bidi="ar"/>
              </w:rPr>
              <w:t>绥化市</w:t>
            </w:r>
            <w:r>
              <w:rPr>
                <w:rFonts w:hint="eastAsia" w:cs="Times New Roman"/>
                <w:color w:val="auto"/>
                <w:kern w:val="0"/>
                <w:sz w:val="21"/>
                <w:szCs w:val="21"/>
                <w:highlight w:val="none"/>
                <w:lang w:val="en-US" w:eastAsia="zh-CN" w:bidi="ar"/>
              </w:rPr>
              <w:t>庆</w:t>
            </w:r>
            <w:r>
              <w:rPr>
                <w:rFonts w:hint="eastAsia" w:ascii="Times New Roman" w:hAnsi="Times New Roman" w:eastAsia="宋体" w:cs="Times New Roman"/>
                <w:color w:val="auto"/>
                <w:kern w:val="0"/>
                <w:sz w:val="21"/>
                <w:szCs w:val="21"/>
                <w:highlight w:val="none"/>
                <w:lang w:val="en-US" w:eastAsia="zh-CN" w:bidi="ar"/>
              </w:rPr>
              <w:t>安县平安镇饮用水水源地</w:t>
            </w:r>
          </w:p>
        </w:tc>
        <w:tc>
          <w:tcPr>
            <w:tcW w:w="1293" w:type="pct"/>
            <w:noWrap w:val="0"/>
            <w:vAlign w:val="center"/>
          </w:tcPr>
          <w:p w14:paraId="1407C4E8">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bidi="ar"/>
              </w:rPr>
            </w:pPr>
            <w:r>
              <w:rPr>
                <w:bCs/>
                <w:color w:val="auto"/>
                <w:kern w:val="0"/>
                <w:sz w:val="21"/>
                <w:szCs w:val="21"/>
                <w:highlight w:val="none"/>
              </w:rPr>
              <w:t>AF010123122410</w:t>
            </w:r>
            <w:r>
              <w:rPr>
                <w:rFonts w:hint="eastAsia"/>
                <w:bCs/>
                <w:color w:val="auto"/>
                <w:kern w:val="0"/>
                <w:sz w:val="21"/>
                <w:szCs w:val="21"/>
                <w:highlight w:val="none"/>
                <w:lang w:val="en-US" w:eastAsia="zh-CN"/>
              </w:rPr>
              <w:t>4</w:t>
            </w:r>
            <w:r>
              <w:rPr>
                <w:bCs/>
                <w:color w:val="auto"/>
                <w:kern w:val="0"/>
                <w:sz w:val="21"/>
                <w:szCs w:val="21"/>
                <w:highlight w:val="none"/>
              </w:rPr>
              <w:t>G000</w:t>
            </w:r>
            <w:r>
              <w:rPr>
                <w:rFonts w:hint="eastAsia"/>
                <w:bCs/>
                <w:color w:val="auto"/>
                <w:kern w:val="0"/>
                <w:sz w:val="21"/>
                <w:szCs w:val="21"/>
                <w:highlight w:val="none"/>
              </w:rPr>
              <w:t>1</w:t>
            </w:r>
          </w:p>
        </w:tc>
      </w:tr>
      <w:tr w14:paraId="4729FC8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626" w:hRule="atLeast"/>
        </w:trPr>
        <w:tc>
          <w:tcPr>
            <w:tcW w:w="506" w:type="pct"/>
            <w:noWrap w:val="0"/>
            <w:vAlign w:val="center"/>
          </w:tcPr>
          <w:p w14:paraId="363BBE34">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7</w:t>
            </w:r>
          </w:p>
        </w:tc>
        <w:tc>
          <w:tcPr>
            <w:tcW w:w="759" w:type="pct"/>
            <w:noWrap w:val="0"/>
            <w:vAlign w:val="center"/>
          </w:tcPr>
          <w:p w14:paraId="668288ED">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村屯级</w:t>
            </w:r>
          </w:p>
        </w:tc>
        <w:tc>
          <w:tcPr>
            <w:tcW w:w="2439" w:type="pct"/>
            <w:noWrap w:val="0"/>
            <w:vAlign w:val="center"/>
          </w:tcPr>
          <w:p w14:paraId="01353A42">
            <w:pPr>
              <w:widowControl/>
              <w:spacing w:line="240" w:lineRule="auto"/>
              <w:ind w:firstLine="0" w:firstLineChars="0"/>
              <w:jc w:val="center"/>
              <w:textAlignment w:val="center"/>
              <w:rPr>
                <w:rFonts w:ascii="Times New Roman" w:hAnsi="Times New Roman" w:eastAsia="宋体" w:cs="Times New Roman"/>
                <w:color w:val="auto"/>
                <w:kern w:val="0"/>
                <w:sz w:val="21"/>
                <w:szCs w:val="21"/>
                <w:highlight w:val="none"/>
                <w:lang w:bidi="ar"/>
              </w:rPr>
            </w:pPr>
            <w:r>
              <w:rPr>
                <w:rFonts w:hint="eastAsia" w:ascii="Times New Roman" w:hAnsi="Times New Roman" w:eastAsia="宋体" w:cs="Times New Roman"/>
                <w:color w:val="auto"/>
                <w:kern w:val="0"/>
                <w:sz w:val="21"/>
                <w:szCs w:val="21"/>
                <w:highlight w:val="none"/>
                <w:lang w:val="en-US" w:eastAsia="zh-CN" w:bidi="ar"/>
              </w:rPr>
              <w:t>绥化市庆安县柳河镇新强村饮用水水源地</w:t>
            </w:r>
          </w:p>
        </w:tc>
        <w:tc>
          <w:tcPr>
            <w:tcW w:w="1293" w:type="pct"/>
            <w:noWrap w:val="0"/>
            <w:vAlign w:val="center"/>
          </w:tcPr>
          <w:p w14:paraId="4BDB20BF">
            <w:pPr>
              <w:widowControl/>
              <w:spacing w:line="240" w:lineRule="auto"/>
              <w:ind w:firstLine="0" w:firstLineChars="0"/>
              <w:jc w:val="center"/>
              <w:textAlignment w:val="center"/>
              <w:rPr>
                <w:rFonts w:ascii="Times New Roman" w:hAnsi="Times New Roman" w:eastAsia="宋体" w:cs="Times New Roman"/>
                <w:color w:val="auto"/>
                <w:kern w:val="0"/>
                <w:sz w:val="21"/>
                <w:szCs w:val="21"/>
                <w:highlight w:val="none"/>
                <w:lang w:bidi="ar"/>
              </w:rPr>
            </w:pPr>
            <w:r>
              <w:rPr>
                <w:bCs/>
                <w:color w:val="auto"/>
                <w:kern w:val="0"/>
                <w:sz w:val="21"/>
                <w:szCs w:val="21"/>
                <w:highlight w:val="none"/>
              </w:rPr>
              <w:t>AF010123122410</w:t>
            </w:r>
            <w:r>
              <w:rPr>
                <w:rFonts w:hint="eastAsia"/>
                <w:bCs/>
                <w:color w:val="auto"/>
                <w:kern w:val="0"/>
                <w:sz w:val="21"/>
                <w:szCs w:val="21"/>
                <w:highlight w:val="none"/>
              </w:rPr>
              <w:t>8</w:t>
            </w:r>
            <w:r>
              <w:rPr>
                <w:bCs/>
                <w:color w:val="auto"/>
                <w:kern w:val="0"/>
                <w:sz w:val="21"/>
                <w:szCs w:val="21"/>
                <w:highlight w:val="none"/>
              </w:rPr>
              <w:t>G000</w:t>
            </w:r>
            <w:r>
              <w:rPr>
                <w:rFonts w:hint="eastAsia"/>
                <w:bCs/>
                <w:color w:val="auto"/>
                <w:kern w:val="0"/>
                <w:sz w:val="21"/>
                <w:szCs w:val="21"/>
                <w:highlight w:val="none"/>
                <w:lang w:val="en-US" w:eastAsia="zh-CN"/>
              </w:rPr>
              <w:t>2</w:t>
            </w:r>
          </w:p>
        </w:tc>
      </w:tr>
    </w:tbl>
    <w:p w14:paraId="3F1FD6A8">
      <w:pPr>
        <w:pStyle w:val="4"/>
        <w:rPr>
          <w:color w:val="auto"/>
          <w:highlight w:val="none"/>
        </w:rPr>
      </w:pPr>
      <w:r>
        <w:rPr>
          <w:color w:val="auto"/>
          <w:highlight w:val="none"/>
        </w:rPr>
        <w:t>2.</w:t>
      </w:r>
      <w:r>
        <w:rPr>
          <w:rFonts w:hint="eastAsia"/>
          <w:color w:val="auto"/>
          <w:highlight w:val="none"/>
        </w:rPr>
        <w:t>6</w:t>
      </w:r>
      <w:r>
        <w:rPr>
          <w:color w:val="auto"/>
          <w:highlight w:val="none"/>
        </w:rPr>
        <w:t>.3水源地基础状况</w:t>
      </w:r>
      <w:bookmarkEnd w:id="50"/>
    </w:p>
    <w:bookmarkEnd w:id="51"/>
    <w:bookmarkEnd w:id="52"/>
    <w:p w14:paraId="3C88B6C8">
      <w:pPr>
        <w:pStyle w:val="5"/>
        <w:bidi w:val="0"/>
        <w:ind w:firstLine="472" w:firstLineChars="200"/>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（1）水源地基础信息</w:t>
      </w:r>
    </w:p>
    <w:p w14:paraId="3ABA73A4">
      <w:pPr>
        <w:pStyle w:val="6"/>
        <w:bidi w:val="0"/>
        <w:rPr>
          <w:rFonts w:hint="eastAsia"/>
          <w:color w:val="auto"/>
          <w:highlight w:val="none"/>
          <w:lang w:eastAsia="zh-CN"/>
        </w:rPr>
      </w:pPr>
      <w:r>
        <w:rPr>
          <w:rFonts w:hint="eastAsia"/>
          <w:color w:val="auto"/>
          <w:highlight w:val="none"/>
          <w:lang w:val="en-US" w:eastAsia="zh-CN"/>
        </w:rPr>
        <w:t>1</w:t>
      </w:r>
      <w:r>
        <w:rPr>
          <w:rFonts w:hint="eastAsia"/>
          <w:color w:val="auto"/>
          <w:highlight w:val="none"/>
          <w:lang w:eastAsia="zh-CN"/>
        </w:rPr>
        <w:t>）</w:t>
      </w:r>
      <w:r>
        <w:rPr>
          <w:rFonts w:hint="eastAsia"/>
          <w:color w:val="auto"/>
          <w:highlight w:val="none"/>
          <w:lang w:val="en-US" w:eastAsia="zh-CN"/>
        </w:rPr>
        <w:t>绥化市庆安县发展乡</w:t>
      </w:r>
      <w:r>
        <w:rPr>
          <w:color w:val="auto"/>
          <w:highlight w:val="none"/>
        </w:rPr>
        <w:t>饮用水水源地</w:t>
      </w:r>
      <w:r>
        <w:rPr>
          <w:rFonts w:hint="eastAsia"/>
          <w:color w:val="auto"/>
          <w:highlight w:val="none"/>
          <w:lang w:eastAsia="zh-CN"/>
        </w:rPr>
        <w:t>（共</w:t>
      </w:r>
      <w:r>
        <w:rPr>
          <w:rFonts w:hint="eastAsia"/>
          <w:color w:val="auto"/>
          <w:highlight w:val="none"/>
          <w:lang w:val="en-US" w:eastAsia="zh-CN"/>
        </w:rPr>
        <w:t>8眼井</w:t>
      </w:r>
      <w:r>
        <w:rPr>
          <w:rFonts w:hint="eastAsia"/>
          <w:color w:val="auto"/>
          <w:highlight w:val="none"/>
          <w:lang w:eastAsia="zh-CN"/>
        </w:rPr>
        <w:t>）</w:t>
      </w:r>
    </w:p>
    <w:p w14:paraId="5C130A32">
      <w:pPr>
        <w:spacing w:line="360" w:lineRule="auto"/>
        <w:ind w:firstLine="472"/>
        <w:rPr>
          <w:rFonts w:hint="eastAsia"/>
          <w:color w:val="auto"/>
          <w:sz w:val="24"/>
          <w:szCs w:val="24"/>
          <w:highlight w:val="none"/>
        </w:rPr>
      </w:pPr>
      <w:r>
        <w:rPr>
          <w:rFonts w:hint="eastAsia" w:ascii="Times New Roman" w:hAnsi="Times New Roman" w:eastAsia="宋体" w:cs="Times New Roman"/>
          <w:color w:val="auto"/>
          <w:kern w:val="0"/>
          <w:sz w:val="24"/>
          <w:szCs w:val="24"/>
          <w:highlight w:val="none"/>
          <w:lang w:val="en-US" w:eastAsia="zh-CN" w:bidi="ar"/>
        </w:rPr>
        <w:t>绥化市庆安县发展乡</w:t>
      </w:r>
      <w:r>
        <w:rPr>
          <w:rFonts w:ascii="Times New Roman" w:hAnsi="Times New Roman" w:eastAsia="宋体" w:cs="Times New Roman"/>
          <w:color w:val="auto"/>
          <w:kern w:val="0"/>
          <w:sz w:val="24"/>
          <w:szCs w:val="24"/>
          <w:highlight w:val="none"/>
          <w:lang w:bidi="ar"/>
        </w:rPr>
        <w:t>饮用水水源地</w:t>
      </w:r>
      <w:r>
        <w:rPr>
          <w:rFonts w:hint="eastAsia"/>
          <w:color w:val="auto"/>
          <w:highlight w:val="none"/>
        </w:rPr>
        <w:t>为地下水型水源地，</w:t>
      </w:r>
      <w:r>
        <w:rPr>
          <w:rFonts w:hint="eastAsia"/>
          <w:color w:val="auto"/>
          <w:highlight w:val="none"/>
          <w:lang w:eastAsia="zh-CN"/>
        </w:rPr>
        <w:t>取水目的层</w:t>
      </w:r>
      <w:r>
        <w:rPr>
          <w:rFonts w:hint="eastAsia"/>
          <w:color w:val="auto"/>
          <w:highlight w:val="none"/>
          <w:lang w:val="en-US" w:eastAsia="zh-CN"/>
        </w:rPr>
        <w:t>为</w:t>
      </w:r>
      <w:r>
        <w:rPr>
          <w:rFonts w:hint="eastAsia"/>
          <w:color w:val="auto"/>
          <w:kern w:val="0"/>
          <w:szCs w:val="28"/>
          <w:highlight w:val="none"/>
        </w:rPr>
        <w:t>裂隙承压水层</w:t>
      </w:r>
      <w:r>
        <w:rPr>
          <w:rFonts w:hint="eastAsia"/>
          <w:color w:val="auto"/>
          <w:highlight w:val="none"/>
        </w:rPr>
        <w:t>，</w:t>
      </w:r>
      <w:r>
        <w:rPr>
          <w:rFonts w:hint="default" w:ascii="Times New Roman" w:hAnsi="Times New Roman" w:cs="Times New Roman"/>
          <w:color w:val="auto"/>
          <w:highlight w:val="none"/>
        </w:rPr>
        <w:t>取水井井深</w:t>
      </w:r>
      <w:r>
        <w:rPr>
          <w:rFonts w:hint="eastAsia" w:ascii="Times New Roman" w:hAnsi="Times New Roman" w:cs="Times New Roman"/>
          <w:color w:val="auto"/>
          <w:highlight w:val="none"/>
          <w:lang w:eastAsia="zh-CN"/>
        </w:rPr>
        <w:t>均为</w:t>
      </w:r>
      <w:r>
        <w:rPr>
          <w:rFonts w:hint="default" w:ascii="Times New Roman" w:hAnsi="Times New Roman" w:cs="Times New Roman"/>
          <w:color w:val="auto"/>
          <w:highlight w:val="none"/>
          <w:lang w:val="en-US" w:eastAsia="zh-CN"/>
        </w:rPr>
        <w:t>13</w:t>
      </w:r>
      <w:r>
        <w:rPr>
          <w:rFonts w:hint="default" w:ascii="Times New Roman" w:hAnsi="Times New Roman" w:cs="Times New Roman"/>
          <w:color w:val="auto"/>
          <w:highlight w:val="none"/>
        </w:rPr>
        <w:t>0米，</w:t>
      </w:r>
      <w:r>
        <w:rPr>
          <w:rFonts w:hint="eastAsia"/>
          <w:color w:val="auto"/>
          <w:szCs w:val="21"/>
          <w:highlight w:val="none"/>
        </w:rPr>
        <w:t>单井</w:t>
      </w:r>
      <w:r>
        <w:rPr>
          <w:rFonts w:hint="eastAsia"/>
          <w:color w:val="auto"/>
          <w:szCs w:val="21"/>
          <w:highlight w:val="none"/>
          <w:lang w:eastAsia="zh-CN"/>
        </w:rPr>
        <w:t>设计</w:t>
      </w:r>
      <w:r>
        <w:rPr>
          <w:rFonts w:hint="eastAsia"/>
          <w:color w:val="auto"/>
          <w:szCs w:val="21"/>
          <w:highlight w:val="none"/>
        </w:rPr>
        <w:t>出水量</w:t>
      </w:r>
      <w:r>
        <w:rPr>
          <w:rFonts w:hint="eastAsia"/>
          <w:color w:val="auto"/>
          <w:szCs w:val="21"/>
          <w:highlight w:val="none"/>
          <w:lang w:val="en-US" w:eastAsia="zh-CN"/>
        </w:rPr>
        <w:t>15</w:t>
      </w:r>
      <w:r>
        <w:rPr>
          <w:rFonts w:hint="eastAsia"/>
          <w:color w:val="auto"/>
          <w:highlight w:val="none"/>
        </w:rPr>
        <w:t>立方米/</w:t>
      </w:r>
      <w:r>
        <w:rPr>
          <w:rFonts w:hint="eastAsia"/>
          <w:color w:val="auto"/>
          <w:highlight w:val="none"/>
          <w:lang w:eastAsia="zh-CN"/>
        </w:rPr>
        <w:t>小时</w:t>
      </w:r>
      <w:r>
        <w:rPr>
          <w:rFonts w:hint="eastAsia"/>
          <w:color w:val="auto"/>
          <w:szCs w:val="21"/>
          <w:highlight w:val="none"/>
        </w:rPr>
        <w:t>，</w:t>
      </w:r>
      <w:r>
        <w:rPr>
          <w:rFonts w:hint="eastAsia"/>
          <w:color w:val="auto"/>
          <w:sz w:val="24"/>
          <w:szCs w:val="24"/>
          <w:highlight w:val="none"/>
        </w:rPr>
        <w:t>服务范围</w:t>
      </w:r>
      <w:r>
        <w:rPr>
          <w:rFonts w:hint="eastAsia"/>
          <w:color w:val="auto"/>
          <w:spacing w:val="-3"/>
          <w:sz w:val="24"/>
          <w:szCs w:val="24"/>
          <w:highlight w:val="none"/>
        </w:rPr>
        <w:t>为发展乡内发富村、发展村、发祥村、发明村、发源村</w:t>
      </w:r>
      <w:r>
        <w:rPr>
          <w:rFonts w:hint="eastAsia"/>
          <w:color w:val="auto"/>
          <w:spacing w:val="-3"/>
          <w:sz w:val="24"/>
          <w:szCs w:val="24"/>
          <w:highlight w:val="none"/>
          <w:lang w:eastAsia="zh-CN"/>
        </w:rPr>
        <w:t>、</w:t>
      </w:r>
      <w:r>
        <w:rPr>
          <w:rFonts w:hint="eastAsia"/>
          <w:color w:val="auto"/>
          <w:spacing w:val="-3"/>
          <w:sz w:val="24"/>
          <w:szCs w:val="24"/>
          <w:highlight w:val="none"/>
        </w:rPr>
        <w:t>东农业队，共计</w:t>
      </w:r>
      <w:r>
        <w:rPr>
          <w:rFonts w:hint="eastAsia"/>
          <w:color w:val="auto"/>
          <w:spacing w:val="-3"/>
          <w:sz w:val="24"/>
          <w:szCs w:val="24"/>
          <w:highlight w:val="none"/>
          <w:lang w:val="en-US" w:eastAsia="zh-CN"/>
        </w:rPr>
        <w:t>5</w:t>
      </w:r>
      <w:r>
        <w:rPr>
          <w:rFonts w:hint="eastAsia"/>
          <w:color w:val="auto"/>
          <w:spacing w:val="-3"/>
          <w:sz w:val="24"/>
          <w:szCs w:val="24"/>
          <w:highlight w:val="none"/>
        </w:rPr>
        <w:t>个行政村4</w:t>
      </w:r>
      <w:r>
        <w:rPr>
          <w:rFonts w:hint="eastAsia"/>
          <w:color w:val="auto"/>
          <w:spacing w:val="-3"/>
          <w:sz w:val="24"/>
          <w:szCs w:val="24"/>
          <w:highlight w:val="none"/>
          <w:lang w:val="en-US" w:eastAsia="zh-CN"/>
        </w:rPr>
        <w:t>7</w:t>
      </w:r>
      <w:r>
        <w:rPr>
          <w:rFonts w:hint="eastAsia"/>
          <w:color w:val="auto"/>
          <w:spacing w:val="-3"/>
          <w:sz w:val="24"/>
          <w:szCs w:val="24"/>
          <w:highlight w:val="none"/>
        </w:rPr>
        <w:t>个自然屯、1个奶牛场及1个农业队</w:t>
      </w:r>
      <w:r>
        <w:rPr>
          <w:rFonts w:hint="eastAsia"/>
          <w:color w:val="auto"/>
          <w:sz w:val="24"/>
          <w:szCs w:val="24"/>
          <w:highlight w:val="none"/>
        </w:rPr>
        <w:t>，服务人口</w:t>
      </w:r>
      <w:r>
        <w:rPr>
          <w:rFonts w:hint="default" w:ascii="Times New Roman" w:hAnsi="Times New Roman" w:eastAsia="宋体" w:cs="Times New Roman"/>
          <w:color w:val="auto"/>
          <w:kern w:val="0"/>
          <w:sz w:val="24"/>
          <w:szCs w:val="24"/>
          <w:highlight w:val="none"/>
          <w:lang w:val="en-US" w:eastAsia="zh-CN" w:bidi="ar"/>
        </w:rPr>
        <w:t>9865</w:t>
      </w:r>
      <w:r>
        <w:rPr>
          <w:rFonts w:hint="eastAsia"/>
          <w:color w:val="auto"/>
          <w:sz w:val="24"/>
          <w:szCs w:val="24"/>
          <w:highlight w:val="none"/>
        </w:rPr>
        <w:t>人。</w:t>
      </w:r>
      <w:r>
        <w:rPr>
          <w:rFonts w:hint="eastAsia"/>
          <w:color w:val="auto"/>
          <w:sz w:val="24"/>
          <w:szCs w:val="24"/>
          <w:highlight w:val="none"/>
          <w:lang w:eastAsia="zh-CN"/>
        </w:rPr>
        <w:t>水井</w:t>
      </w:r>
      <w:r>
        <w:rPr>
          <w:rFonts w:hint="default" w:ascii="Times New Roman" w:hAnsi="Times New Roman" w:cs="Times New Roman"/>
          <w:color w:val="auto"/>
          <w:sz w:val="24"/>
          <w:szCs w:val="24"/>
          <w:highlight w:val="none"/>
        </w:rPr>
        <w:t>202</w:t>
      </w:r>
      <w:r>
        <w:rPr>
          <w:rFonts w:hint="default" w:ascii="Times New Roman" w:hAnsi="Times New Roman" w:cs="Times New Roman"/>
          <w:color w:val="auto"/>
          <w:sz w:val="24"/>
          <w:szCs w:val="24"/>
          <w:highlight w:val="none"/>
          <w:lang w:val="en-US" w:eastAsia="zh-CN"/>
        </w:rPr>
        <w:t>4</w:t>
      </w:r>
      <w:r>
        <w:rPr>
          <w:rFonts w:hint="default" w:ascii="Times New Roman" w:hAnsi="Times New Roman" w:cs="Times New Roman"/>
          <w:color w:val="auto"/>
          <w:sz w:val="24"/>
          <w:szCs w:val="24"/>
          <w:highlight w:val="none"/>
        </w:rPr>
        <w:t>年开始建设，202</w:t>
      </w:r>
      <w:r>
        <w:rPr>
          <w:rFonts w:hint="default" w:ascii="Times New Roman" w:hAnsi="Times New Roman" w:cs="Times New Roman"/>
          <w:color w:val="auto"/>
          <w:sz w:val="24"/>
          <w:szCs w:val="24"/>
          <w:highlight w:val="none"/>
          <w:lang w:val="en-US" w:eastAsia="zh-CN"/>
        </w:rPr>
        <w:t>5</w:t>
      </w:r>
      <w:r>
        <w:rPr>
          <w:rFonts w:hint="default" w:ascii="Times New Roman" w:hAnsi="Times New Roman" w:cs="Times New Roman"/>
          <w:color w:val="auto"/>
          <w:sz w:val="24"/>
          <w:szCs w:val="24"/>
          <w:highlight w:val="none"/>
        </w:rPr>
        <w:t>年投入使用，现为在用水源，</w:t>
      </w:r>
      <w:r>
        <w:rPr>
          <w:rFonts w:hint="default" w:ascii="Times New Roman" w:hAnsi="Times New Roman" w:cs="Times New Roman"/>
          <w:color w:val="auto"/>
          <w:highlight w:val="none"/>
        </w:rPr>
        <w:t>取水方式为潜水泵采水，水泵1用0备，每日供水24小时。取水井</w:t>
      </w:r>
      <w:r>
        <w:rPr>
          <w:rFonts w:hint="default" w:ascii="Times New Roman" w:hAnsi="Times New Roman" w:cs="Times New Roman"/>
          <w:color w:val="auto"/>
          <w:highlight w:val="none"/>
          <w:lang w:eastAsia="zh-CN"/>
        </w:rPr>
        <w:t>未设置井房，井</w:t>
      </w:r>
      <w:r>
        <w:rPr>
          <w:rFonts w:hint="default" w:ascii="Times New Roman" w:hAnsi="Times New Roman" w:cs="Times New Roman"/>
          <w:color w:val="auto"/>
          <w:highlight w:val="none"/>
        </w:rPr>
        <w:t>口封闭，外围安装围栏。</w:t>
      </w:r>
      <w:r>
        <w:rPr>
          <w:rFonts w:hint="eastAsia"/>
          <w:color w:val="auto"/>
          <w:sz w:val="24"/>
          <w:szCs w:val="24"/>
          <w:highlight w:val="none"/>
        </w:rPr>
        <w:t>取水井原水经</w:t>
      </w:r>
      <w:r>
        <w:rPr>
          <w:rFonts w:hint="eastAsia"/>
          <w:color w:val="auto"/>
          <w:szCs w:val="21"/>
          <w:highlight w:val="none"/>
        </w:rPr>
        <w:t>机械曝气→锰砂过滤→次氯酸钠</w:t>
      </w:r>
      <w:r>
        <w:rPr>
          <w:rFonts w:hint="eastAsia"/>
          <w:color w:val="auto"/>
          <w:sz w:val="24"/>
          <w:szCs w:val="24"/>
          <w:highlight w:val="none"/>
        </w:rPr>
        <w:t>消毒后通过现有输水管线供给服务范围内居民。</w:t>
      </w:r>
    </w:p>
    <w:p w14:paraId="4F1FA777">
      <w:pPr>
        <w:pStyle w:val="6"/>
        <w:bidi w:val="0"/>
        <w:rPr>
          <w:rFonts w:hint="default"/>
          <w:color w:val="auto"/>
          <w:highlight w:val="none"/>
        </w:rPr>
      </w:pPr>
      <w:r>
        <w:rPr>
          <w:rFonts w:hint="eastAsia"/>
          <w:color w:val="auto"/>
          <w:highlight w:val="none"/>
          <w:lang w:val="en-US" w:eastAsia="zh-CN"/>
        </w:rPr>
        <w:t>2</w:t>
      </w:r>
      <w:r>
        <w:rPr>
          <w:rFonts w:hint="eastAsia"/>
          <w:color w:val="auto"/>
          <w:highlight w:val="none"/>
          <w:lang w:eastAsia="zh-CN"/>
        </w:rPr>
        <w:t>）</w:t>
      </w:r>
      <w:r>
        <w:rPr>
          <w:rFonts w:hint="default"/>
          <w:color w:val="auto"/>
          <w:highlight w:val="none"/>
          <w:lang w:val="en-US" w:eastAsia="zh-CN"/>
        </w:rPr>
        <w:t>绥化市庆安县建民乡</w:t>
      </w:r>
      <w:r>
        <w:rPr>
          <w:rFonts w:hint="default"/>
          <w:color w:val="auto"/>
          <w:highlight w:val="none"/>
        </w:rPr>
        <w:t>饮用水水源地</w:t>
      </w:r>
      <w:r>
        <w:rPr>
          <w:rFonts w:hint="default"/>
          <w:color w:val="auto"/>
          <w:highlight w:val="none"/>
          <w:lang w:eastAsia="zh-CN"/>
        </w:rPr>
        <w:t>（共</w:t>
      </w:r>
      <w:r>
        <w:rPr>
          <w:rFonts w:hint="eastAsia"/>
          <w:color w:val="auto"/>
          <w:highlight w:val="none"/>
          <w:lang w:val="en-US" w:eastAsia="zh-CN"/>
        </w:rPr>
        <w:t>3</w:t>
      </w:r>
      <w:r>
        <w:rPr>
          <w:rFonts w:hint="default"/>
          <w:color w:val="auto"/>
          <w:highlight w:val="none"/>
          <w:lang w:val="en-US" w:eastAsia="zh-CN"/>
        </w:rPr>
        <w:t>眼井</w:t>
      </w:r>
      <w:r>
        <w:rPr>
          <w:rFonts w:hint="default"/>
          <w:color w:val="auto"/>
          <w:highlight w:val="none"/>
          <w:lang w:eastAsia="zh-CN"/>
        </w:rPr>
        <w:t>）</w:t>
      </w:r>
    </w:p>
    <w:p w14:paraId="307F7FBF">
      <w:pPr>
        <w:keepNext w:val="0"/>
        <w:keepLines w:val="0"/>
        <w:widowControl/>
        <w:suppressLineNumbers w:val="0"/>
        <w:spacing w:line="360" w:lineRule="auto"/>
        <w:jc w:val="both"/>
        <w:rPr>
          <w:rFonts w:hint="eastAsia" w:eastAsia="宋体"/>
          <w:b/>
          <w:bCs/>
          <w:color w:val="auto"/>
          <w:sz w:val="24"/>
          <w:szCs w:val="24"/>
          <w:highlight w:val="none"/>
          <w:lang w:val="en-US" w:eastAsia="zh-CN"/>
        </w:rPr>
      </w:pPr>
      <w:r>
        <w:rPr>
          <w:rFonts w:hint="default" w:ascii="Times New Roman" w:hAnsi="Times New Roman" w:eastAsia="宋体" w:cs="Times New Roman"/>
          <w:color w:val="auto"/>
          <w:kern w:val="0"/>
          <w:sz w:val="24"/>
          <w:szCs w:val="24"/>
          <w:highlight w:val="none"/>
          <w:lang w:val="en-US" w:eastAsia="zh-CN" w:bidi="ar"/>
        </w:rPr>
        <w:t>绥化市庆安县建民乡</w:t>
      </w:r>
      <w:r>
        <w:rPr>
          <w:rFonts w:hint="default" w:ascii="Times New Roman" w:hAnsi="Times New Roman" w:eastAsia="宋体" w:cs="Times New Roman"/>
          <w:color w:val="auto"/>
          <w:kern w:val="0"/>
          <w:sz w:val="24"/>
          <w:szCs w:val="24"/>
          <w:highlight w:val="none"/>
          <w:lang w:bidi="ar"/>
        </w:rPr>
        <w:t>饮用水水源地</w:t>
      </w:r>
      <w:r>
        <w:rPr>
          <w:rFonts w:hint="eastAsia"/>
          <w:color w:val="auto"/>
          <w:highlight w:val="none"/>
        </w:rPr>
        <w:t>为地下水型水源</w:t>
      </w:r>
      <w:r>
        <w:rPr>
          <w:rFonts w:hint="eastAsia" w:ascii="Times New Roman" w:hAnsi="Times New Roman" w:eastAsia="宋体" w:cs="Times New Roman"/>
          <w:color w:val="auto"/>
          <w:highlight w:val="none"/>
          <w:lang w:val="en-US" w:eastAsia="zh-CN"/>
        </w:rPr>
        <w:t>地，</w:t>
      </w:r>
      <w:r>
        <w:rPr>
          <w:rFonts w:hint="default" w:ascii="Times New Roman" w:hAnsi="Times New Roman" w:cs="Times New Roman"/>
          <w:color w:val="auto"/>
          <w:highlight w:val="none"/>
        </w:rPr>
        <w:t>取水井井深</w:t>
      </w:r>
      <w:r>
        <w:rPr>
          <w:rFonts w:hint="eastAsia" w:ascii="Times New Roman" w:hAnsi="Times New Roman" w:cs="Times New Roman"/>
          <w:color w:val="auto"/>
          <w:highlight w:val="none"/>
          <w:lang w:eastAsia="zh-CN"/>
        </w:rPr>
        <w:t>均为</w:t>
      </w:r>
      <w:r>
        <w:rPr>
          <w:rFonts w:hint="eastAsia" w:ascii="Times New Roman" w:hAnsi="Times New Roman" w:cs="Times New Roman"/>
          <w:color w:val="auto"/>
          <w:highlight w:val="none"/>
          <w:lang w:val="en-US" w:eastAsia="zh-CN"/>
        </w:rPr>
        <w:t>90</w:t>
      </w:r>
      <w:r>
        <w:rPr>
          <w:rFonts w:hint="default" w:ascii="Times New Roman" w:hAnsi="Times New Roman" w:cs="Times New Roman"/>
          <w:color w:val="auto"/>
          <w:highlight w:val="none"/>
        </w:rPr>
        <w:t>米，</w:t>
      </w:r>
      <w:r>
        <w:rPr>
          <w:rFonts w:hint="eastAsia"/>
          <w:color w:val="auto"/>
          <w:szCs w:val="21"/>
          <w:highlight w:val="none"/>
        </w:rPr>
        <w:t>单井</w:t>
      </w:r>
      <w:r>
        <w:rPr>
          <w:rFonts w:hint="eastAsia"/>
          <w:color w:val="auto"/>
          <w:szCs w:val="21"/>
          <w:highlight w:val="none"/>
          <w:lang w:eastAsia="zh-CN"/>
        </w:rPr>
        <w:t>设计</w:t>
      </w:r>
      <w:r>
        <w:rPr>
          <w:rFonts w:hint="eastAsia"/>
          <w:color w:val="auto"/>
          <w:szCs w:val="21"/>
          <w:highlight w:val="none"/>
        </w:rPr>
        <w:t>出水量2</w:t>
      </w:r>
      <w:r>
        <w:rPr>
          <w:color w:val="auto"/>
          <w:szCs w:val="21"/>
          <w:highlight w:val="none"/>
        </w:rPr>
        <w:t>0</w:t>
      </w:r>
      <w:r>
        <w:rPr>
          <w:rFonts w:hint="eastAsia"/>
          <w:color w:val="auto"/>
          <w:highlight w:val="none"/>
        </w:rPr>
        <w:t>立方米/</w:t>
      </w:r>
      <w:r>
        <w:rPr>
          <w:rFonts w:hint="eastAsia"/>
          <w:color w:val="auto"/>
          <w:highlight w:val="none"/>
          <w:lang w:eastAsia="zh-CN"/>
        </w:rPr>
        <w:t>小时</w:t>
      </w:r>
      <w:r>
        <w:rPr>
          <w:rFonts w:hint="eastAsia"/>
          <w:color w:val="auto"/>
          <w:spacing w:val="-2"/>
          <w:sz w:val="24"/>
          <w:szCs w:val="24"/>
          <w:highlight w:val="none"/>
        </w:rPr>
        <w:t>，</w:t>
      </w:r>
      <w:r>
        <w:rPr>
          <w:rFonts w:hint="eastAsia"/>
          <w:color w:val="auto"/>
          <w:spacing w:val="-2"/>
          <w:sz w:val="24"/>
          <w:szCs w:val="24"/>
          <w:highlight w:val="none"/>
          <w:lang w:val="en-US" w:eastAsia="zh-CN"/>
        </w:rPr>
        <w:t>取水目的层为</w:t>
      </w:r>
      <w:r>
        <w:rPr>
          <w:rFonts w:hint="eastAsia"/>
          <w:color w:val="auto"/>
          <w:spacing w:val="-2"/>
          <w:sz w:val="24"/>
          <w:szCs w:val="24"/>
          <w:highlight w:val="none"/>
        </w:rPr>
        <w:t>孔隙—裂隙承压水层，服</w:t>
      </w:r>
      <w:r>
        <w:rPr>
          <w:rFonts w:hint="eastAsia"/>
          <w:color w:val="auto"/>
          <w:sz w:val="24"/>
          <w:szCs w:val="24"/>
          <w:highlight w:val="none"/>
        </w:rPr>
        <w:t>务范围</w:t>
      </w:r>
      <w:r>
        <w:rPr>
          <w:rFonts w:hint="eastAsia"/>
          <w:color w:val="auto"/>
          <w:spacing w:val="-3"/>
          <w:sz w:val="24"/>
          <w:szCs w:val="24"/>
          <w:highlight w:val="none"/>
        </w:rPr>
        <w:t>为</w:t>
      </w:r>
      <w:r>
        <w:rPr>
          <w:rFonts w:hint="eastAsia"/>
          <w:color w:val="auto"/>
          <w:spacing w:val="-2"/>
          <w:sz w:val="24"/>
          <w:szCs w:val="24"/>
          <w:highlight w:val="none"/>
        </w:rPr>
        <w:t>建民乡内建兴村、建安村、建民村、建业村、建发村、建功村，共计6个行政村61个自然屯</w:t>
      </w:r>
      <w:r>
        <w:rPr>
          <w:rFonts w:hint="eastAsia"/>
          <w:color w:val="auto"/>
          <w:sz w:val="24"/>
          <w:szCs w:val="24"/>
          <w:highlight w:val="none"/>
        </w:rPr>
        <w:t>，服务人口</w:t>
      </w:r>
      <w:r>
        <w:rPr>
          <w:rFonts w:hint="default" w:ascii="Times New Roman" w:hAnsi="Times New Roman" w:eastAsia="宋体" w:cs="Times New Roman"/>
          <w:color w:val="auto"/>
          <w:kern w:val="0"/>
          <w:sz w:val="24"/>
          <w:szCs w:val="24"/>
          <w:highlight w:val="none"/>
          <w:lang w:val="en-US" w:eastAsia="zh-CN" w:bidi="ar"/>
        </w:rPr>
        <w:t>8655</w:t>
      </w:r>
      <w:r>
        <w:rPr>
          <w:rFonts w:hint="eastAsia"/>
          <w:color w:val="auto"/>
          <w:sz w:val="24"/>
          <w:szCs w:val="24"/>
          <w:highlight w:val="none"/>
        </w:rPr>
        <w:t>人。</w:t>
      </w:r>
      <w:r>
        <w:rPr>
          <w:rFonts w:hint="eastAsia"/>
          <w:color w:val="auto"/>
          <w:sz w:val="24"/>
          <w:szCs w:val="24"/>
          <w:highlight w:val="none"/>
          <w:lang w:eastAsia="zh-CN"/>
        </w:rPr>
        <w:t>水井</w:t>
      </w:r>
      <w:r>
        <w:rPr>
          <w:rFonts w:hint="default" w:ascii="Times New Roman" w:hAnsi="Times New Roman" w:cs="Times New Roman"/>
          <w:color w:val="auto"/>
          <w:highlight w:val="none"/>
        </w:rPr>
        <w:t>202</w:t>
      </w:r>
      <w:r>
        <w:rPr>
          <w:rFonts w:hint="default" w:ascii="Times New Roman" w:hAnsi="Times New Roman" w:cs="Times New Roman"/>
          <w:color w:val="auto"/>
          <w:highlight w:val="none"/>
          <w:lang w:val="en-US" w:eastAsia="zh-CN"/>
        </w:rPr>
        <w:t>4</w:t>
      </w:r>
      <w:r>
        <w:rPr>
          <w:rFonts w:hint="default" w:ascii="Times New Roman" w:hAnsi="Times New Roman" w:cs="Times New Roman"/>
          <w:color w:val="auto"/>
          <w:highlight w:val="none"/>
        </w:rPr>
        <w:t>年开始建设，202</w:t>
      </w:r>
      <w:r>
        <w:rPr>
          <w:rFonts w:hint="default" w:ascii="Times New Roman" w:hAnsi="Times New Roman" w:cs="Times New Roman"/>
          <w:color w:val="auto"/>
          <w:highlight w:val="none"/>
          <w:lang w:val="en-US" w:eastAsia="zh-CN"/>
        </w:rPr>
        <w:t>5</w:t>
      </w:r>
      <w:r>
        <w:rPr>
          <w:rFonts w:hint="default" w:ascii="Times New Roman" w:hAnsi="Times New Roman" w:cs="Times New Roman"/>
          <w:color w:val="auto"/>
          <w:highlight w:val="none"/>
        </w:rPr>
        <w:t>年投入使用，现为在用水源，取水方式为潜水泵采水，水泵1用0备，每日供水24小时。取水井</w:t>
      </w:r>
      <w:r>
        <w:rPr>
          <w:rFonts w:hint="default" w:ascii="Times New Roman" w:hAnsi="Times New Roman" w:cs="Times New Roman"/>
          <w:color w:val="auto"/>
          <w:highlight w:val="none"/>
          <w:lang w:eastAsia="zh-CN"/>
        </w:rPr>
        <w:t>未设置井房，井</w:t>
      </w:r>
      <w:r>
        <w:rPr>
          <w:rFonts w:hint="default" w:ascii="Times New Roman" w:hAnsi="Times New Roman" w:cs="Times New Roman"/>
          <w:color w:val="auto"/>
          <w:highlight w:val="none"/>
        </w:rPr>
        <w:t>口封闭，外围安装围栏。</w:t>
      </w:r>
      <w:r>
        <w:rPr>
          <w:rFonts w:hint="eastAsia"/>
          <w:color w:val="auto"/>
          <w:sz w:val="24"/>
          <w:szCs w:val="24"/>
          <w:highlight w:val="none"/>
        </w:rPr>
        <w:t>取水井原水经机械曝气→锰砂过滤→次氯酸钠消毒后通过现有输水管线供给服务范围内居民</w:t>
      </w:r>
      <w:r>
        <w:rPr>
          <w:rFonts w:hint="eastAsia"/>
          <w:color w:val="auto"/>
          <w:highlight w:val="none"/>
          <w:lang w:eastAsia="zh-CN"/>
        </w:rPr>
        <w:t>。</w:t>
      </w:r>
    </w:p>
    <w:p w14:paraId="0B25B2EC">
      <w:pPr>
        <w:pStyle w:val="6"/>
        <w:bidi w:val="0"/>
        <w:rPr>
          <w:rFonts w:hint="default"/>
          <w:color w:val="auto"/>
          <w:highlight w:val="none"/>
        </w:rPr>
      </w:pPr>
      <w:r>
        <w:rPr>
          <w:rFonts w:hint="eastAsia"/>
          <w:color w:val="auto"/>
          <w:highlight w:val="none"/>
          <w:lang w:val="en-US" w:eastAsia="zh-CN"/>
        </w:rPr>
        <w:t>3）</w:t>
      </w:r>
      <w:r>
        <w:rPr>
          <w:rFonts w:hint="default"/>
          <w:color w:val="auto"/>
          <w:highlight w:val="none"/>
          <w:lang w:val="en-US" w:eastAsia="zh-CN"/>
        </w:rPr>
        <w:t>绥化市庆安县同乐镇</w:t>
      </w:r>
      <w:r>
        <w:rPr>
          <w:rFonts w:hint="default"/>
          <w:color w:val="auto"/>
          <w:highlight w:val="none"/>
        </w:rPr>
        <w:t>饮用水水源地</w:t>
      </w:r>
      <w:r>
        <w:rPr>
          <w:rFonts w:hint="default"/>
          <w:color w:val="auto"/>
          <w:highlight w:val="none"/>
          <w:lang w:eastAsia="zh-CN"/>
        </w:rPr>
        <w:t>（共</w:t>
      </w:r>
      <w:r>
        <w:rPr>
          <w:rFonts w:hint="eastAsia"/>
          <w:color w:val="auto"/>
          <w:highlight w:val="none"/>
          <w:lang w:val="en-US" w:eastAsia="zh-CN"/>
        </w:rPr>
        <w:t>3</w:t>
      </w:r>
      <w:r>
        <w:rPr>
          <w:rFonts w:hint="default"/>
          <w:color w:val="auto"/>
          <w:highlight w:val="none"/>
          <w:lang w:val="en-US" w:eastAsia="zh-CN"/>
        </w:rPr>
        <w:t>眼井</w:t>
      </w:r>
      <w:r>
        <w:rPr>
          <w:rFonts w:hint="default"/>
          <w:color w:val="auto"/>
          <w:highlight w:val="none"/>
          <w:lang w:eastAsia="zh-CN"/>
        </w:rPr>
        <w:t>）</w:t>
      </w:r>
    </w:p>
    <w:p w14:paraId="3B331DCC">
      <w:pPr>
        <w:spacing w:line="360" w:lineRule="auto"/>
        <w:ind w:firstLine="472" w:firstLineChars="200"/>
        <w:rPr>
          <w:rFonts w:hint="eastAsia" w:eastAsia="宋体"/>
          <w:b/>
          <w:bCs/>
          <w:color w:val="auto"/>
          <w:sz w:val="24"/>
          <w:szCs w:val="24"/>
          <w:highlight w:val="none"/>
          <w:lang w:val="en-US" w:eastAsia="zh-CN"/>
        </w:rPr>
      </w:pPr>
      <w:r>
        <w:rPr>
          <w:rFonts w:hint="default" w:ascii="Times New Roman" w:hAnsi="Times New Roman" w:eastAsia="宋体" w:cs="Times New Roman"/>
          <w:color w:val="auto"/>
          <w:kern w:val="0"/>
          <w:sz w:val="24"/>
          <w:szCs w:val="24"/>
          <w:highlight w:val="none"/>
          <w:lang w:val="en-US" w:eastAsia="zh-CN" w:bidi="ar"/>
        </w:rPr>
        <w:t>绥化市庆安县同乐镇</w:t>
      </w:r>
      <w:r>
        <w:rPr>
          <w:rFonts w:hint="default" w:ascii="Times New Roman" w:hAnsi="Times New Roman" w:eastAsia="宋体" w:cs="Times New Roman"/>
          <w:color w:val="auto"/>
          <w:kern w:val="0"/>
          <w:sz w:val="24"/>
          <w:szCs w:val="24"/>
          <w:highlight w:val="none"/>
          <w:lang w:bidi="ar"/>
        </w:rPr>
        <w:t>饮用水水源地</w:t>
      </w:r>
      <w:r>
        <w:rPr>
          <w:rFonts w:hint="eastAsia"/>
          <w:color w:val="auto"/>
          <w:highlight w:val="none"/>
        </w:rPr>
        <w:t>为地下水型水源</w:t>
      </w:r>
      <w:r>
        <w:rPr>
          <w:rFonts w:hint="eastAsia" w:ascii="Times New Roman" w:hAnsi="Times New Roman" w:eastAsia="宋体" w:cs="Times New Roman"/>
          <w:color w:val="auto"/>
          <w:highlight w:val="none"/>
          <w:lang w:val="en-US" w:eastAsia="zh-CN"/>
        </w:rPr>
        <w:t>地，</w:t>
      </w:r>
      <w:r>
        <w:rPr>
          <w:rFonts w:hint="default" w:ascii="Times New Roman" w:hAnsi="Times New Roman" w:cs="Times New Roman"/>
          <w:color w:val="auto"/>
          <w:highlight w:val="none"/>
          <w:lang w:eastAsia="zh-CN"/>
        </w:rPr>
        <w:t>取水井井深</w:t>
      </w:r>
      <w:r>
        <w:rPr>
          <w:rFonts w:hint="eastAsia" w:ascii="Times New Roman" w:hAnsi="Times New Roman" w:cs="Times New Roman"/>
          <w:color w:val="auto"/>
          <w:highlight w:val="none"/>
          <w:lang w:eastAsia="zh-CN"/>
        </w:rPr>
        <w:t>均为</w:t>
      </w:r>
      <w:r>
        <w:rPr>
          <w:rFonts w:hint="eastAsia" w:ascii="Times New Roman" w:hAnsi="Times New Roman" w:cs="Times New Roman"/>
          <w:color w:val="auto"/>
          <w:highlight w:val="none"/>
          <w:lang w:val="en-US" w:eastAsia="zh-CN"/>
        </w:rPr>
        <w:t>90</w:t>
      </w:r>
      <w:r>
        <w:rPr>
          <w:rFonts w:hint="default" w:ascii="Times New Roman" w:hAnsi="Times New Roman" w:cs="Times New Roman"/>
          <w:color w:val="auto"/>
          <w:highlight w:val="none"/>
          <w:lang w:eastAsia="zh-CN"/>
        </w:rPr>
        <w:t>米，</w:t>
      </w:r>
      <w:r>
        <w:rPr>
          <w:rFonts w:hint="eastAsia" w:ascii="Times New Roman" w:hAnsi="Times New Roman" w:cs="Times New Roman"/>
          <w:color w:val="auto"/>
          <w:highlight w:val="none"/>
          <w:lang w:eastAsia="zh-CN"/>
        </w:rPr>
        <w:t>单</w:t>
      </w:r>
      <w:r>
        <w:rPr>
          <w:rFonts w:hint="eastAsia"/>
          <w:color w:val="auto"/>
          <w:szCs w:val="21"/>
          <w:highlight w:val="none"/>
        </w:rPr>
        <w:t>井</w:t>
      </w:r>
      <w:r>
        <w:rPr>
          <w:rFonts w:hint="eastAsia"/>
          <w:color w:val="auto"/>
          <w:szCs w:val="21"/>
          <w:highlight w:val="none"/>
          <w:lang w:eastAsia="zh-CN"/>
        </w:rPr>
        <w:t>设计</w:t>
      </w:r>
      <w:r>
        <w:rPr>
          <w:rFonts w:hint="eastAsia"/>
          <w:color w:val="auto"/>
          <w:szCs w:val="21"/>
          <w:highlight w:val="none"/>
        </w:rPr>
        <w:t>出水量2</w:t>
      </w:r>
      <w:r>
        <w:rPr>
          <w:color w:val="auto"/>
          <w:szCs w:val="21"/>
          <w:highlight w:val="none"/>
        </w:rPr>
        <w:t>0</w:t>
      </w:r>
      <w:r>
        <w:rPr>
          <w:rFonts w:hint="eastAsia"/>
          <w:color w:val="auto"/>
          <w:highlight w:val="none"/>
        </w:rPr>
        <w:t>立方米/</w:t>
      </w:r>
      <w:r>
        <w:rPr>
          <w:rFonts w:hint="eastAsia"/>
          <w:color w:val="auto"/>
          <w:highlight w:val="none"/>
          <w:lang w:eastAsia="zh-CN"/>
        </w:rPr>
        <w:t>小时</w:t>
      </w:r>
      <w:r>
        <w:rPr>
          <w:rFonts w:hint="eastAsia"/>
          <w:color w:val="auto"/>
          <w:szCs w:val="21"/>
          <w:highlight w:val="none"/>
        </w:rPr>
        <w:t>，</w:t>
      </w:r>
      <w:r>
        <w:rPr>
          <w:rFonts w:hint="eastAsia" w:ascii="Times New Roman" w:hAnsi="Times New Roman" w:cs="Times New Roman"/>
          <w:color w:val="auto"/>
          <w:highlight w:val="none"/>
          <w:lang w:val="en-US" w:eastAsia="zh-CN"/>
        </w:rPr>
        <w:t>取水目的层为</w:t>
      </w:r>
      <w:r>
        <w:rPr>
          <w:rFonts w:hint="eastAsia" w:ascii="Times New Roman" w:hAnsi="Times New Roman" w:cs="Times New Roman"/>
          <w:color w:val="auto"/>
          <w:highlight w:val="none"/>
          <w:lang w:eastAsia="zh-CN"/>
        </w:rPr>
        <w:t>孔隙—裂隙承压水层，</w:t>
      </w:r>
      <w:r>
        <w:rPr>
          <w:rFonts w:hint="eastAsia" w:ascii="Times New Roman" w:hAnsi="Times New Roman" w:eastAsia="宋体" w:cs="Times New Roman"/>
          <w:color w:val="auto"/>
          <w:kern w:val="0"/>
          <w:sz w:val="24"/>
          <w:szCs w:val="24"/>
          <w:highlight w:val="none"/>
          <w:lang w:bidi="ar"/>
        </w:rPr>
        <w:t>服务范围为同乐镇内同乐村、同富村、同发村、同庆村、同兴村，共计5个行政村41个自然屯，服务人口</w:t>
      </w:r>
      <w:r>
        <w:rPr>
          <w:rFonts w:hint="eastAsia" w:ascii="Times New Roman" w:hAnsi="Times New Roman" w:eastAsia="宋体" w:cs="Times New Roman"/>
          <w:color w:val="auto"/>
          <w:kern w:val="0"/>
          <w:sz w:val="24"/>
          <w:szCs w:val="24"/>
          <w:highlight w:val="none"/>
          <w:lang w:val="en-US" w:eastAsia="zh-CN" w:bidi="ar"/>
        </w:rPr>
        <w:t>9891</w:t>
      </w:r>
      <w:r>
        <w:rPr>
          <w:rFonts w:hint="eastAsia" w:ascii="Times New Roman" w:hAnsi="Times New Roman" w:eastAsia="宋体" w:cs="Times New Roman"/>
          <w:color w:val="auto"/>
          <w:kern w:val="0"/>
          <w:sz w:val="24"/>
          <w:szCs w:val="24"/>
          <w:highlight w:val="none"/>
          <w:lang w:bidi="ar"/>
        </w:rPr>
        <w:t>人。</w:t>
      </w:r>
      <w:r>
        <w:rPr>
          <w:rFonts w:hint="eastAsia" w:cs="Times New Roman"/>
          <w:color w:val="auto"/>
          <w:kern w:val="0"/>
          <w:sz w:val="24"/>
          <w:szCs w:val="24"/>
          <w:highlight w:val="none"/>
          <w:lang w:eastAsia="zh-CN" w:bidi="ar"/>
        </w:rPr>
        <w:t>水井</w:t>
      </w:r>
      <w:r>
        <w:rPr>
          <w:rFonts w:hint="default" w:ascii="Times New Roman" w:hAnsi="Times New Roman" w:cs="Times New Roman"/>
          <w:color w:val="auto"/>
          <w:highlight w:val="none"/>
        </w:rPr>
        <w:t>202</w:t>
      </w:r>
      <w:r>
        <w:rPr>
          <w:rFonts w:hint="default" w:ascii="Times New Roman" w:hAnsi="Times New Roman" w:cs="Times New Roman"/>
          <w:color w:val="auto"/>
          <w:highlight w:val="none"/>
          <w:lang w:val="en-US" w:eastAsia="zh-CN"/>
        </w:rPr>
        <w:t>4</w:t>
      </w:r>
      <w:r>
        <w:rPr>
          <w:rFonts w:hint="default" w:ascii="Times New Roman" w:hAnsi="Times New Roman" w:cs="Times New Roman"/>
          <w:color w:val="auto"/>
          <w:highlight w:val="none"/>
        </w:rPr>
        <w:t>年开始建设，202</w:t>
      </w:r>
      <w:r>
        <w:rPr>
          <w:rFonts w:hint="default" w:ascii="Times New Roman" w:hAnsi="Times New Roman" w:cs="Times New Roman"/>
          <w:color w:val="auto"/>
          <w:highlight w:val="none"/>
          <w:lang w:val="en-US" w:eastAsia="zh-CN"/>
        </w:rPr>
        <w:t>5</w:t>
      </w:r>
      <w:r>
        <w:rPr>
          <w:rFonts w:hint="default" w:ascii="Times New Roman" w:hAnsi="Times New Roman" w:cs="Times New Roman"/>
          <w:color w:val="auto"/>
          <w:highlight w:val="none"/>
        </w:rPr>
        <w:t>年投入使用，现为在用水源，取水方式为潜水泵采水，水泵1用0备，每日供水24小时。取水井</w:t>
      </w:r>
      <w:r>
        <w:rPr>
          <w:rFonts w:hint="default" w:ascii="Times New Roman" w:hAnsi="Times New Roman" w:cs="Times New Roman"/>
          <w:color w:val="auto"/>
          <w:highlight w:val="none"/>
          <w:lang w:eastAsia="zh-CN"/>
        </w:rPr>
        <w:t>未设置井房，井</w:t>
      </w:r>
      <w:r>
        <w:rPr>
          <w:rFonts w:hint="default" w:ascii="Times New Roman" w:hAnsi="Times New Roman" w:cs="Times New Roman"/>
          <w:color w:val="auto"/>
          <w:highlight w:val="none"/>
        </w:rPr>
        <w:t>口封闭，外围安装围栏。</w:t>
      </w:r>
      <w:r>
        <w:rPr>
          <w:rFonts w:hint="eastAsia"/>
          <w:color w:val="auto"/>
          <w:sz w:val="24"/>
          <w:szCs w:val="24"/>
          <w:highlight w:val="none"/>
        </w:rPr>
        <w:t>取水井原水经机械曝气→锰砂过滤→次氯酸钠消毒后通过现有输水管线供给服务范围内居民。</w:t>
      </w:r>
    </w:p>
    <w:p w14:paraId="53FBB0A0">
      <w:pPr>
        <w:pStyle w:val="6"/>
        <w:bidi w:val="0"/>
        <w:rPr>
          <w:rFonts w:hint="default" w:ascii="Times New Roman" w:hAnsi="Times New Roman" w:eastAsia="宋体" w:cs="Times New Roman"/>
          <w:color w:val="auto"/>
          <w:kern w:val="0"/>
          <w:sz w:val="24"/>
          <w:szCs w:val="24"/>
          <w:highlight w:val="none"/>
          <w:lang w:val="en-US" w:eastAsia="zh-CN" w:bidi="ar"/>
        </w:rPr>
      </w:pPr>
      <w:r>
        <w:rPr>
          <w:rFonts w:hint="eastAsia" w:ascii="Times New Roman" w:hAnsi="Times New Roman" w:cs="Times New Roman"/>
          <w:color w:val="auto"/>
          <w:kern w:val="0"/>
          <w:sz w:val="24"/>
          <w:szCs w:val="24"/>
          <w:highlight w:val="none"/>
          <w:lang w:val="en-US" w:eastAsia="zh-CN" w:bidi="ar"/>
        </w:rPr>
        <w:t>4）</w:t>
      </w:r>
      <w:r>
        <w:rPr>
          <w:rFonts w:hint="default" w:ascii="Times New Roman" w:hAnsi="Times New Roman" w:eastAsia="宋体" w:cs="Times New Roman"/>
          <w:color w:val="auto"/>
          <w:kern w:val="0"/>
          <w:sz w:val="24"/>
          <w:szCs w:val="24"/>
          <w:highlight w:val="none"/>
          <w:lang w:val="en-US" w:eastAsia="zh-CN" w:bidi="ar"/>
        </w:rPr>
        <w:t>绥化市</w:t>
      </w:r>
      <w:r>
        <w:rPr>
          <w:rFonts w:hint="default"/>
          <w:color w:val="auto"/>
          <w:highlight w:val="none"/>
          <w:lang w:val="en-US" w:eastAsia="zh-CN"/>
        </w:rPr>
        <w:t>庆安县</w:t>
      </w:r>
      <w:r>
        <w:rPr>
          <w:rFonts w:hint="default" w:ascii="Times New Roman" w:hAnsi="Times New Roman" w:eastAsia="宋体" w:cs="Times New Roman"/>
          <w:color w:val="auto"/>
          <w:kern w:val="0"/>
          <w:sz w:val="24"/>
          <w:szCs w:val="24"/>
          <w:highlight w:val="none"/>
          <w:lang w:val="en-US" w:eastAsia="zh-CN" w:bidi="ar"/>
        </w:rPr>
        <w:t>柳河镇饮用水水源地</w:t>
      </w:r>
      <w:r>
        <w:rPr>
          <w:rFonts w:hint="default" w:ascii="Times New Roman" w:hAnsi="Times New Roman" w:cs="Times New Roman"/>
          <w:color w:val="auto"/>
          <w:kern w:val="0"/>
          <w:sz w:val="24"/>
          <w:szCs w:val="24"/>
          <w:highlight w:val="none"/>
          <w:lang w:eastAsia="zh-CN" w:bidi="ar"/>
        </w:rPr>
        <w:t>（共</w:t>
      </w:r>
      <w:r>
        <w:rPr>
          <w:rFonts w:hint="default" w:ascii="Times New Roman" w:hAnsi="Times New Roman" w:cs="Times New Roman"/>
          <w:color w:val="auto"/>
          <w:kern w:val="0"/>
          <w:sz w:val="24"/>
          <w:szCs w:val="24"/>
          <w:highlight w:val="none"/>
          <w:lang w:val="en-US" w:eastAsia="zh-CN" w:bidi="ar"/>
        </w:rPr>
        <w:t>5眼井</w:t>
      </w:r>
      <w:r>
        <w:rPr>
          <w:rFonts w:hint="default" w:ascii="Times New Roman" w:hAnsi="Times New Roman" w:cs="Times New Roman"/>
          <w:color w:val="auto"/>
          <w:kern w:val="0"/>
          <w:sz w:val="24"/>
          <w:szCs w:val="24"/>
          <w:highlight w:val="none"/>
          <w:lang w:eastAsia="zh-CN" w:bidi="ar"/>
        </w:rPr>
        <w:t>）</w:t>
      </w:r>
    </w:p>
    <w:p w14:paraId="691D0193">
      <w:pPr>
        <w:spacing w:line="360" w:lineRule="auto"/>
        <w:ind w:firstLine="472" w:firstLineChars="200"/>
        <w:rPr>
          <w:rFonts w:hint="eastAsia" w:eastAsia="宋体"/>
          <w:b/>
          <w:bCs/>
          <w:color w:val="auto"/>
          <w:sz w:val="24"/>
          <w:szCs w:val="24"/>
          <w:highlight w:val="none"/>
          <w:lang w:val="en-US" w:eastAsia="zh-CN"/>
        </w:rPr>
      </w:pPr>
      <w:r>
        <w:rPr>
          <w:rFonts w:hint="default" w:ascii="Times New Roman" w:hAnsi="Times New Roman" w:eastAsia="宋体" w:cs="Times New Roman"/>
          <w:color w:val="auto"/>
          <w:kern w:val="0"/>
          <w:sz w:val="24"/>
          <w:szCs w:val="24"/>
          <w:highlight w:val="none"/>
          <w:lang w:val="en-US" w:eastAsia="zh-CN" w:bidi="ar"/>
        </w:rPr>
        <w:t>绥化市庆安县柳河镇饮用水水源地</w:t>
      </w:r>
      <w:r>
        <w:rPr>
          <w:rFonts w:hint="eastAsia"/>
          <w:color w:val="auto"/>
          <w:highlight w:val="none"/>
        </w:rPr>
        <w:t>为地下水型水源</w:t>
      </w:r>
      <w:r>
        <w:rPr>
          <w:rFonts w:hint="eastAsia" w:ascii="Times New Roman" w:hAnsi="Times New Roman" w:eastAsia="宋体" w:cs="Times New Roman"/>
          <w:color w:val="auto"/>
          <w:highlight w:val="none"/>
          <w:lang w:val="en-US" w:eastAsia="zh-CN"/>
        </w:rPr>
        <w:t>地，</w:t>
      </w:r>
      <w:r>
        <w:rPr>
          <w:rFonts w:hint="eastAsia" w:ascii="Times New Roman" w:hAnsi="Times New Roman" w:eastAsia="宋体" w:cs="Times New Roman"/>
          <w:color w:val="auto"/>
          <w:kern w:val="0"/>
          <w:sz w:val="24"/>
          <w:szCs w:val="24"/>
          <w:highlight w:val="none"/>
          <w:lang w:val="en-US" w:eastAsia="zh-CN" w:bidi="ar"/>
        </w:rPr>
        <w:t>取水目的</w:t>
      </w:r>
      <w:r>
        <w:rPr>
          <w:rFonts w:hint="eastAsia" w:ascii="Times New Roman" w:hAnsi="Times New Roman" w:cs="Times New Roman"/>
          <w:color w:val="auto"/>
          <w:highlight w:val="none"/>
          <w:lang w:val="en-US" w:eastAsia="zh-CN"/>
        </w:rPr>
        <w:t>层为</w:t>
      </w:r>
      <w:r>
        <w:rPr>
          <w:rFonts w:hint="eastAsia" w:ascii="Times New Roman" w:hAnsi="Times New Roman" w:cs="Times New Roman"/>
          <w:color w:val="auto"/>
          <w:highlight w:val="none"/>
          <w:lang w:eastAsia="zh-CN"/>
        </w:rPr>
        <w:t>孔隙—裂隙承压水层</w:t>
      </w:r>
      <w:r>
        <w:rPr>
          <w:rFonts w:hint="eastAsia" w:ascii="Times New Roman" w:hAnsi="Times New Roman" w:cs="Times New Roman"/>
          <w:color w:val="auto"/>
          <w:highlight w:val="none"/>
          <w:lang w:val="en-US" w:eastAsia="zh-CN"/>
        </w:rPr>
        <w:t>，</w:t>
      </w:r>
      <w:r>
        <w:rPr>
          <w:rFonts w:hint="default" w:ascii="Times New Roman" w:hAnsi="Times New Roman" w:cs="Times New Roman"/>
          <w:color w:val="auto"/>
          <w:highlight w:val="none"/>
          <w:lang w:val="en-US" w:eastAsia="zh-CN"/>
        </w:rPr>
        <w:t>取</w:t>
      </w:r>
      <w:r>
        <w:rPr>
          <w:rFonts w:hint="default" w:ascii="Times New Roman" w:hAnsi="Times New Roman" w:cs="Times New Roman"/>
          <w:color w:val="auto"/>
          <w:highlight w:val="none"/>
          <w:lang w:eastAsia="zh-CN"/>
        </w:rPr>
        <w:t>水井井深</w:t>
      </w:r>
      <w:r>
        <w:rPr>
          <w:rFonts w:hint="eastAsia" w:ascii="Times New Roman" w:hAnsi="Times New Roman" w:cs="Times New Roman"/>
          <w:color w:val="auto"/>
          <w:highlight w:val="none"/>
          <w:lang w:eastAsia="zh-CN"/>
        </w:rPr>
        <w:t>均为</w:t>
      </w:r>
      <w:r>
        <w:rPr>
          <w:rFonts w:hint="eastAsia" w:ascii="Times New Roman" w:hAnsi="Times New Roman" w:cs="Times New Roman"/>
          <w:color w:val="auto"/>
          <w:highlight w:val="none"/>
          <w:lang w:val="en-US" w:eastAsia="zh-CN"/>
        </w:rPr>
        <w:t>90</w:t>
      </w:r>
      <w:r>
        <w:rPr>
          <w:rFonts w:hint="default" w:ascii="Times New Roman" w:hAnsi="Times New Roman" w:cs="Times New Roman"/>
          <w:color w:val="auto"/>
          <w:highlight w:val="none"/>
          <w:lang w:eastAsia="zh-CN"/>
        </w:rPr>
        <w:t>米，</w:t>
      </w:r>
      <w:r>
        <w:rPr>
          <w:rFonts w:hint="eastAsia" w:ascii="Times New Roman" w:hAnsi="Times New Roman" w:cs="Times New Roman"/>
          <w:color w:val="auto"/>
          <w:highlight w:val="none"/>
          <w:lang w:eastAsia="zh-CN"/>
        </w:rPr>
        <w:t>单井</w:t>
      </w:r>
      <w:r>
        <w:rPr>
          <w:rFonts w:hint="eastAsia"/>
          <w:color w:val="auto"/>
          <w:szCs w:val="21"/>
          <w:highlight w:val="none"/>
          <w:lang w:eastAsia="zh-CN"/>
        </w:rPr>
        <w:t>设计</w:t>
      </w:r>
      <w:r>
        <w:rPr>
          <w:rFonts w:hint="eastAsia" w:ascii="Times New Roman" w:hAnsi="Times New Roman" w:cs="Times New Roman"/>
          <w:color w:val="auto"/>
          <w:highlight w:val="none"/>
          <w:lang w:eastAsia="zh-CN"/>
        </w:rPr>
        <w:t>出水量20立方</w:t>
      </w:r>
      <w:r>
        <w:rPr>
          <w:rFonts w:hint="eastAsia"/>
          <w:color w:val="auto"/>
          <w:highlight w:val="none"/>
        </w:rPr>
        <w:t>米/</w:t>
      </w:r>
      <w:r>
        <w:rPr>
          <w:rFonts w:hint="eastAsia"/>
          <w:color w:val="auto"/>
          <w:highlight w:val="none"/>
          <w:lang w:eastAsia="zh-CN"/>
        </w:rPr>
        <w:t>小时</w:t>
      </w:r>
      <w:r>
        <w:rPr>
          <w:rFonts w:hint="eastAsia"/>
          <w:color w:val="auto"/>
          <w:szCs w:val="21"/>
          <w:highlight w:val="none"/>
        </w:rPr>
        <w:t>，</w:t>
      </w:r>
      <w:r>
        <w:rPr>
          <w:rFonts w:hint="eastAsia" w:ascii="Times New Roman" w:hAnsi="Times New Roman" w:eastAsia="宋体" w:cs="Times New Roman"/>
          <w:color w:val="auto"/>
          <w:kern w:val="0"/>
          <w:sz w:val="24"/>
          <w:szCs w:val="24"/>
          <w:highlight w:val="none"/>
          <w:lang w:bidi="ar"/>
        </w:rPr>
        <w:t>服务范围为</w:t>
      </w:r>
      <w:r>
        <w:rPr>
          <w:rFonts w:hint="eastAsia"/>
          <w:color w:val="auto"/>
          <w:spacing w:val="-2"/>
          <w:sz w:val="24"/>
          <w:highlight w:val="none"/>
        </w:rPr>
        <w:t>柳河镇内新柳村、新胜村、新泉村、新岗村、新宏村，共计5个行政村39个自然屯</w:t>
      </w:r>
      <w:r>
        <w:rPr>
          <w:rFonts w:hint="eastAsia" w:ascii="Times New Roman" w:hAnsi="Times New Roman" w:eastAsia="宋体" w:cs="Times New Roman"/>
          <w:color w:val="auto"/>
          <w:kern w:val="0"/>
          <w:sz w:val="24"/>
          <w:szCs w:val="24"/>
          <w:highlight w:val="none"/>
          <w:lang w:bidi="ar"/>
        </w:rPr>
        <w:t>，服务人口</w:t>
      </w:r>
      <w:r>
        <w:rPr>
          <w:rFonts w:hint="eastAsia" w:cs="Times New Roman"/>
          <w:color w:val="auto"/>
          <w:kern w:val="0"/>
          <w:sz w:val="24"/>
          <w:szCs w:val="24"/>
          <w:highlight w:val="none"/>
          <w:lang w:val="en-US" w:eastAsia="zh-CN" w:bidi="ar"/>
        </w:rPr>
        <w:t>8631</w:t>
      </w:r>
      <w:r>
        <w:rPr>
          <w:rFonts w:hint="eastAsia" w:ascii="Times New Roman" w:hAnsi="Times New Roman" w:eastAsia="宋体" w:cs="Times New Roman"/>
          <w:color w:val="auto"/>
          <w:kern w:val="0"/>
          <w:sz w:val="24"/>
          <w:szCs w:val="24"/>
          <w:highlight w:val="none"/>
          <w:lang w:bidi="ar"/>
        </w:rPr>
        <w:t>人。</w:t>
      </w:r>
      <w:r>
        <w:rPr>
          <w:rFonts w:hint="eastAsia" w:cs="Times New Roman"/>
          <w:color w:val="auto"/>
          <w:kern w:val="0"/>
          <w:sz w:val="24"/>
          <w:szCs w:val="24"/>
          <w:highlight w:val="none"/>
          <w:lang w:eastAsia="zh-CN" w:bidi="ar"/>
        </w:rPr>
        <w:t>水井</w:t>
      </w:r>
      <w:r>
        <w:rPr>
          <w:rFonts w:hint="default" w:ascii="Times New Roman" w:hAnsi="Times New Roman" w:cs="Times New Roman"/>
          <w:color w:val="auto"/>
          <w:highlight w:val="none"/>
        </w:rPr>
        <w:t>202</w:t>
      </w:r>
      <w:r>
        <w:rPr>
          <w:rFonts w:hint="default" w:ascii="Times New Roman" w:hAnsi="Times New Roman" w:cs="Times New Roman"/>
          <w:color w:val="auto"/>
          <w:highlight w:val="none"/>
          <w:lang w:val="en-US" w:eastAsia="zh-CN"/>
        </w:rPr>
        <w:t>4</w:t>
      </w:r>
      <w:r>
        <w:rPr>
          <w:rFonts w:hint="default" w:ascii="Times New Roman" w:hAnsi="Times New Roman" w:cs="Times New Roman"/>
          <w:color w:val="auto"/>
          <w:highlight w:val="none"/>
        </w:rPr>
        <w:t>年开始建设，202</w:t>
      </w:r>
      <w:r>
        <w:rPr>
          <w:rFonts w:hint="default" w:ascii="Times New Roman" w:hAnsi="Times New Roman" w:cs="Times New Roman"/>
          <w:color w:val="auto"/>
          <w:highlight w:val="none"/>
          <w:lang w:val="en-US" w:eastAsia="zh-CN"/>
        </w:rPr>
        <w:t>5</w:t>
      </w:r>
      <w:r>
        <w:rPr>
          <w:rFonts w:hint="default" w:ascii="Times New Roman" w:hAnsi="Times New Roman" w:cs="Times New Roman"/>
          <w:color w:val="auto"/>
          <w:highlight w:val="none"/>
        </w:rPr>
        <w:t>年投入使用，现为在用水源，取水方式为潜水泵采水，水泵1用0备，每日供水24小时。取水井</w:t>
      </w:r>
      <w:r>
        <w:rPr>
          <w:rFonts w:hint="default" w:ascii="Times New Roman" w:hAnsi="Times New Roman" w:cs="Times New Roman"/>
          <w:color w:val="auto"/>
          <w:highlight w:val="none"/>
          <w:lang w:eastAsia="zh-CN"/>
        </w:rPr>
        <w:t>未设置井房，井</w:t>
      </w:r>
      <w:r>
        <w:rPr>
          <w:rFonts w:hint="default" w:ascii="Times New Roman" w:hAnsi="Times New Roman" w:cs="Times New Roman"/>
          <w:color w:val="auto"/>
          <w:highlight w:val="none"/>
        </w:rPr>
        <w:t>口封闭，外围安装围栏。</w:t>
      </w:r>
      <w:r>
        <w:rPr>
          <w:rFonts w:hint="eastAsia"/>
          <w:color w:val="auto"/>
          <w:sz w:val="24"/>
          <w:szCs w:val="24"/>
          <w:highlight w:val="none"/>
        </w:rPr>
        <w:t>取水井原水经机械曝气→锰砂过滤→次氯酸钠消毒后通过现有输水管线供给服务范围内居民。</w:t>
      </w:r>
    </w:p>
    <w:p w14:paraId="55626E98">
      <w:pPr>
        <w:pStyle w:val="6"/>
        <w:bidi w:val="0"/>
        <w:rPr>
          <w:rFonts w:hint="default" w:ascii="Times New Roman" w:hAnsi="Times New Roman" w:eastAsia="宋体" w:cs="Times New Roman"/>
          <w:color w:val="auto"/>
          <w:kern w:val="0"/>
          <w:sz w:val="24"/>
          <w:szCs w:val="24"/>
          <w:highlight w:val="none"/>
          <w:lang w:val="en-US" w:eastAsia="zh-CN" w:bidi="ar"/>
        </w:rPr>
      </w:pPr>
      <w:r>
        <w:rPr>
          <w:rFonts w:hint="eastAsia" w:ascii="Times New Roman" w:hAnsi="Times New Roman" w:cs="Times New Roman"/>
          <w:color w:val="auto"/>
          <w:kern w:val="0"/>
          <w:sz w:val="24"/>
          <w:szCs w:val="24"/>
          <w:highlight w:val="none"/>
          <w:lang w:val="en-US" w:eastAsia="zh-CN" w:bidi="ar"/>
        </w:rPr>
        <w:t>5）</w:t>
      </w:r>
      <w:r>
        <w:rPr>
          <w:rFonts w:hint="default" w:ascii="Times New Roman" w:hAnsi="Times New Roman" w:eastAsia="宋体" w:cs="Times New Roman"/>
          <w:color w:val="auto"/>
          <w:kern w:val="0"/>
          <w:sz w:val="24"/>
          <w:szCs w:val="24"/>
          <w:highlight w:val="none"/>
          <w:lang w:val="en-US" w:eastAsia="zh-CN" w:bidi="ar"/>
        </w:rPr>
        <w:t>绥化市庆安县柳河镇新强村饮用水水源地</w:t>
      </w:r>
      <w:r>
        <w:rPr>
          <w:rFonts w:hint="default" w:ascii="Times New Roman" w:hAnsi="Times New Roman" w:cs="Times New Roman"/>
          <w:color w:val="auto"/>
          <w:kern w:val="0"/>
          <w:sz w:val="24"/>
          <w:szCs w:val="24"/>
          <w:highlight w:val="none"/>
          <w:lang w:eastAsia="zh-CN" w:bidi="ar"/>
        </w:rPr>
        <w:t>（共</w:t>
      </w:r>
      <w:r>
        <w:rPr>
          <w:rFonts w:hint="default" w:ascii="Times New Roman" w:hAnsi="Times New Roman" w:cs="Times New Roman"/>
          <w:color w:val="auto"/>
          <w:kern w:val="0"/>
          <w:sz w:val="24"/>
          <w:szCs w:val="24"/>
          <w:highlight w:val="none"/>
          <w:lang w:val="en-US" w:eastAsia="zh-CN" w:bidi="ar"/>
        </w:rPr>
        <w:t>5眼井</w:t>
      </w:r>
      <w:r>
        <w:rPr>
          <w:rFonts w:hint="default" w:ascii="Times New Roman" w:hAnsi="Times New Roman" w:cs="Times New Roman"/>
          <w:color w:val="auto"/>
          <w:kern w:val="0"/>
          <w:sz w:val="24"/>
          <w:szCs w:val="24"/>
          <w:highlight w:val="none"/>
          <w:lang w:eastAsia="zh-CN" w:bidi="ar"/>
        </w:rPr>
        <w:t>）</w:t>
      </w:r>
    </w:p>
    <w:p w14:paraId="20BF6A4C">
      <w:pPr>
        <w:spacing w:line="360" w:lineRule="auto"/>
        <w:ind w:firstLine="472" w:firstLineChars="200"/>
        <w:rPr>
          <w:rStyle w:val="26"/>
          <w:rFonts w:hint="default" w:ascii="Times New Roman" w:hAnsi="Times New Roman" w:cs="Times New Roman"/>
          <w:color w:val="auto"/>
          <w:highlight w:val="none"/>
        </w:rPr>
      </w:pPr>
      <w:r>
        <w:rPr>
          <w:rFonts w:hint="default" w:ascii="Times New Roman" w:hAnsi="Times New Roman" w:eastAsia="宋体" w:cs="Times New Roman"/>
          <w:color w:val="auto"/>
          <w:kern w:val="0"/>
          <w:sz w:val="24"/>
          <w:szCs w:val="24"/>
          <w:highlight w:val="none"/>
          <w:lang w:val="en-US" w:eastAsia="zh-CN" w:bidi="ar"/>
        </w:rPr>
        <w:t>绥化市庆安县柳河镇新强村饮用水水源地</w:t>
      </w:r>
      <w:r>
        <w:rPr>
          <w:rFonts w:hint="eastAsia"/>
          <w:color w:val="auto"/>
          <w:highlight w:val="none"/>
        </w:rPr>
        <w:t>为地下水型水源</w:t>
      </w:r>
      <w:r>
        <w:rPr>
          <w:rFonts w:hint="eastAsia" w:ascii="Times New Roman" w:hAnsi="Times New Roman" w:eastAsia="宋体" w:cs="Times New Roman"/>
          <w:color w:val="auto"/>
          <w:highlight w:val="none"/>
          <w:lang w:val="en-US" w:eastAsia="zh-CN"/>
        </w:rPr>
        <w:t>地，</w:t>
      </w:r>
      <w:r>
        <w:rPr>
          <w:rFonts w:hint="eastAsia"/>
          <w:color w:val="auto"/>
          <w:highlight w:val="none"/>
          <w:lang w:val="en-US" w:eastAsia="zh-CN"/>
        </w:rPr>
        <w:t>取水目的层为</w:t>
      </w:r>
      <w:r>
        <w:rPr>
          <w:rFonts w:hint="eastAsia"/>
          <w:color w:val="auto"/>
          <w:highlight w:val="none"/>
        </w:rPr>
        <w:t>孔隙承压水层和孔隙—裂隙承压水层</w:t>
      </w:r>
      <w:r>
        <w:rPr>
          <w:rFonts w:hint="eastAsia"/>
          <w:color w:val="auto"/>
          <w:highlight w:val="none"/>
          <w:lang w:val="en-US" w:eastAsia="zh-CN"/>
        </w:rPr>
        <w:t>，</w:t>
      </w:r>
      <w:r>
        <w:rPr>
          <w:rFonts w:hint="default"/>
          <w:color w:val="auto"/>
          <w:highlight w:val="none"/>
          <w:lang w:val="en-US" w:eastAsia="zh-CN"/>
        </w:rPr>
        <w:t>取</w:t>
      </w:r>
      <w:r>
        <w:rPr>
          <w:rFonts w:hint="default"/>
          <w:color w:val="auto"/>
          <w:highlight w:val="none"/>
        </w:rPr>
        <w:t>水井井</w:t>
      </w:r>
      <w:r>
        <w:rPr>
          <w:rFonts w:hint="default" w:ascii="Times New Roman" w:hAnsi="Times New Roman" w:eastAsia="宋体" w:cs="Times New Roman"/>
          <w:color w:val="auto"/>
          <w:highlight w:val="none"/>
        </w:rPr>
        <w:t>深</w:t>
      </w:r>
      <w:r>
        <w:rPr>
          <w:rFonts w:hint="eastAsia" w:ascii="Times New Roman" w:hAnsi="Times New Roman" w:eastAsia="宋体" w:cs="Times New Roman"/>
          <w:color w:val="auto"/>
          <w:highlight w:val="none"/>
          <w:lang w:eastAsia="zh-CN"/>
        </w:rPr>
        <w:t>均为</w:t>
      </w:r>
      <w:r>
        <w:rPr>
          <w:rFonts w:hint="eastAsia" w:ascii="Times New Roman" w:hAnsi="Times New Roman" w:eastAsia="宋体" w:cs="Times New Roman"/>
          <w:color w:val="auto"/>
          <w:highlight w:val="none"/>
          <w:lang w:val="en-US" w:eastAsia="zh-CN"/>
        </w:rPr>
        <w:t>90</w:t>
      </w:r>
      <w:r>
        <w:rPr>
          <w:rFonts w:hint="default" w:ascii="Times New Roman" w:hAnsi="Times New Roman" w:eastAsia="宋体" w:cs="Times New Roman"/>
          <w:color w:val="auto"/>
          <w:highlight w:val="none"/>
        </w:rPr>
        <w:t>米，</w:t>
      </w:r>
      <w:r>
        <w:rPr>
          <w:rFonts w:hint="eastAsia" w:ascii="Times New Roman" w:hAnsi="Times New Roman" w:eastAsia="宋体" w:cs="Times New Roman"/>
          <w:color w:val="auto"/>
          <w:highlight w:val="none"/>
        </w:rPr>
        <w:t>单井</w:t>
      </w:r>
      <w:r>
        <w:rPr>
          <w:rFonts w:hint="eastAsia"/>
          <w:color w:val="auto"/>
          <w:szCs w:val="21"/>
          <w:highlight w:val="none"/>
          <w:lang w:eastAsia="zh-CN"/>
        </w:rPr>
        <w:t>设计</w:t>
      </w:r>
      <w:r>
        <w:rPr>
          <w:rFonts w:hint="eastAsia" w:ascii="Times New Roman" w:hAnsi="Times New Roman" w:eastAsia="宋体" w:cs="Times New Roman"/>
          <w:color w:val="auto"/>
          <w:highlight w:val="none"/>
        </w:rPr>
        <w:t>出水量2</w:t>
      </w:r>
      <w:r>
        <w:rPr>
          <w:rFonts w:hint="default" w:ascii="Times New Roman" w:hAnsi="Times New Roman" w:eastAsia="宋体" w:cs="Times New Roman"/>
          <w:color w:val="auto"/>
          <w:highlight w:val="none"/>
        </w:rPr>
        <w:t>0</w:t>
      </w:r>
      <w:r>
        <w:rPr>
          <w:rFonts w:hint="eastAsia" w:ascii="Times New Roman" w:hAnsi="Times New Roman" w:eastAsia="宋体" w:cs="Times New Roman"/>
          <w:color w:val="auto"/>
          <w:highlight w:val="none"/>
        </w:rPr>
        <w:t>立方米/</w:t>
      </w:r>
      <w:r>
        <w:rPr>
          <w:rFonts w:hint="eastAsia" w:ascii="Times New Roman" w:hAnsi="Times New Roman" w:eastAsia="宋体" w:cs="Times New Roman"/>
          <w:color w:val="auto"/>
          <w:highlight w:val="none"/>
          <w:lang w:eastAsia="zh-CN"/>
        </w:rPr>
        <w:t>小时</w:t>
      </w:r>
      <w:r>
        <w:rPr>
          <w:rFonts w:hint="eastAsia" w:ascii="Times New Roman" w:hAnsi="Times New Roman" w:eastAsia="宋体" w:cs="Times New Roman"/>
          <w:color w:val="auto"/>
          <w:highlight w:val="none"/>
        </w:rPr>
        <w:t>，</w:t>
      </w:r>
      <w:r>
        <w:rPr>
          <w:rFonts w:hint="eastAsia" w:ascii="Times New Roman" w:hAnsi="Times New Roman" w:eastAsia="宋体" w:cs="Times New Roman"/>
          <w:color w:val="auto"/>
          <w:kern w:val="0"/>
          <w:sz w:val="24"/>
          <w:szCs w:val="24"/>
          <w:highlight w:val="none"/>
          <w:lang w:bidi="ar"/>
        </w:rPr>
        <w:t>服务范围为</w:t>
      </w:r>
      <w:r>
        <w:rPr>
          <w:rFonts w:hint="eastAsia"/>
          <w:color w:val="auto"/>
          <w:spacing w:val="-2"/>
          <w:sz w:val="24"/>
          <w:highlight w:val="none"/>
        </w:rPr>
        <w:t>柳河镇内新强村、新光村、新明村、新清村、新升村，共计5个行政村47个自然屯</w:t>
      </w:r>
      <w:r>
        <w:rPr>
          <w:rFonts w:hint="eastAsia" w:ascii="Times New Roman" w:hAnsi="Times New Roman" w:eastAsia="宋体" w:cs="Times New Roman"/>
          <w:color w:val="auto"/>
          <w:kern w:val="0"/>
          <w:sz w:val="24"/>
          <w:szCs w:val="24"/>
          <w:highlight w:val="none"/>
          <w:lang w:bidi="ar"/>
        </w:rPr>
        <w:t>，服务人口</w:t>
      </w:r>
      <w:r>
        <w:rPr>
          <w:rFonts w:hint="eastAsia" w:cs="Times New Roman"/>
          <w:color w:val="auto"/>
          <w:kern w:val="0"/>
          <w:sz w:val="24"/>
          <w:szCs w:val="24"/>
          <w:highlight w:val="none"/>
          <w:lang w:val="en-US" w:eastAsia="zh-CN" w:bidi="ar"/>
        </w:rPr>
        <w:t>6097</w:t>
      </w:r>
      <w:r>
        <w:rPr>
          <w:rFonts w:hint="eastAsia" w:ascii="Times New Roman" w:hAnsi="Times New Roman" w:eastAsia="宋体" w:cs="Times New Roman"/>
          <w:color w:val="auto"/>
          <w:kern w:val="0"/>
          <w:sz w:val="24"/>
          <w:szCs w:val="24"/>
          <w:highlight w:val="none"/>
          <w:lang w:bidi="ar"/>
        </w:rPr>
        <w:t>人。</w:t>
      </w:r>
      <w:r>
        <w:rPr>
          <w:rFonts w:hint="eastAsia" w:cs="Times New Roman"/>
          <w:color w:val="auto"/>
          <w:kern w:val="0"/>
          <w:sz w:val="24"/>
          <w:szCs w:val="24"/>
          <w:highlight w:val="none"/>
          <w:lang w:eastAsia="zh-CN" w:bidi="ar"/>
        </w:rPr>
        <w:t>水井</w:t>
      </w:r>
      <w:r>
        <w:rPr>
          <w:rFonts w:hint="default" w:ascii="Times New Roman" w:hAnsi="Times New Roman" w:cs="Times New Roman"/>
          <w:color w:val="auto"/>
          <w:highlight w:val="none"/>
        </w:rPr>
        <w:t>202</w:t>
      </w:r>
      <w:r>
        <w:rPr>
          <w:rFonts w:hint="default" w:ascii="Times New Roman" w:hAnsi="Times New Roman" w:cs="Times New Roman"/>
          <w:color w:val="auto"/>
          <w:highlight w:val="none"/>
          <w:lang w:val="en-US" w:eastAsia="zh-CN"/>
        </w:rPr>
        <w:t>4</w:t>
      </w:r>
      <w:r>
        <w:rPr>
          <w:rFonts w:hint="default" w:ascii="Times New Roman" w:hAnsi="Times New Roman" w:cs="Times New Roman"/>
          <w:color w:val="auto"/>
          <w:highlight w:val="none"/>
        </w:rPr>
        <w:t>年开始建设，202</w:t>
      </w:r>
      <w:r>
        <w:rPr>
          <w:rFonts w:hint="default" w:ascii="Times New Roman" w:hAnsi="Times New Roman" w:cs="Times New Roman"/>
          <w:color w:val="auto"/>
          <w:highlight w:val="none"/>
          <w:lang w:val="en-US" w:eastAsia="zh-CN"/>
        </w:rPr>
        <w:t>5</w:t>
      </w:r>
      <w:r>
        <w:rPr>
          <w:rFonts w:hint="default" w:ascii="Times New Roman" w:hAnsi="Times New Roman" w:cs="Times New Roman"/>
          <w:color w:val="auto"/>
          <w:highlight w:val="none"/>
        </w:rPr>
        <w:t>年投入使用，现为在用水源，取水方式为潜水泵采水，水泵1用0备，每日供水24小时。</w:t>
      </w:r>
      <w:r>
        <w:rPr>
          <w:rFonts w:hint="eastAsia" w:cs="Times New Roman"/>
          <w:color w:val="auto"/>
          <w:highlight w:val="none"/>
          <w:lang w:val="en-US" w:eastAsia="zh-CN"/>
        </w:rPr>
        <w:t>1#水井</w:t>
      </w:r>
      <w:r>
        <w:rPr>
          <w:rFonts w:hint="default" w:ascii="Times New Roman" w:hAnsi="Times New Roman" w:cs="Times New Roman"/>
          <w:color w:val="auto"/>
          <w:highlight w:val="none"/>
        </w:rPr>
        <w:t>取水井</w:t>
      </w:r>
      <w:r>
        <w:rPr>
          <w:rFonts w:hint="default" w:ascii="Times New Roman" w:hAnsi="Times New Roman" w:cs="Times New Roman"/>
          <w:color w:val="auto"/>
          <w:highlight w:val="none"/>
          <w:lang w:eastAsia="zh-CN"/>
        </w:rPr>
        <w:t>未设置井房，</w:t>
      </w:r>
      <w:r>
        <w:rPr>
          <w:rFonts w:hint="eastAsia" w:cs="Times New Roman"/>
          <w:color w:val="auto"/>
          <w:highlight w:val="none"/>
          <w:lang w:val="en-US" w:eastAsia="zh-CN"/>
        </w:rPr>
        <w:t>2#-5#水井</w:t>
      </w:r>
      <w:r>
        <w:rPr>
          <w:rFonts w:hint="eastAsia"/>
          <w:color w:val="auto"/>
          <w:sz w:val="24"/>
          <w:szCs w:val="24"/>
          <w:highlight w:val="none"/>
        </w:rPr>
        <w:t>取水口位于井房内</w:t>
      </w:r>
      <w:r>
        <w:rPr>
          <w:rFonts w:hint="eastAsia"/>
          <w:color w:val="auto"/>
          <w:sz w:val="24"/>
          <w:szCs w:val="24"/>
          <w:highlight w:val="none"/>
          <w:lang w:eastAsia="zh-CN"/>
        </w:rPr>
        <w:t>，</w:t>
      </w:r>
      <w:r>
        <w:rPr>
          <w:rFonts w:hint="default" w:ascii="Times New Roman" w:hAnsi="Times New Roman" w:cs="Times New Roman"/>
          <w:color w:val="auto"/>
          <w:highlight w:val="none"/>
          <w:lang w:eastAsia="zh-CN"/>
        </w:rPr>
        <w:t>井</w:t>
      </w:r>
      <w:r>
        <w:rPr>
          <w:rFonts w:hint="default" w:ascii="Times New Roman" w:hAnsi="Times New Roman" w:cs="Times New Roman"/>
          <w:color w:val="auto"/>
          <w:highlight w:val="none"/>
        </w:rPr>
        <w:t>口</w:t>
      </w:r>
      <w:r>
        <w:rPr>
          <w:rFonts w:hint="eastAsia" w:cs="Times New Roman"/>
          <w:color w:val="auto"/>
          <w:highlight w:val="none"/>
          <w:lang w:eastAsia="zh-CN"/>
        </w:rPr>
        <w:t>均</w:t>
      </w:r>
      <w:r>
        <w:rPr>
          <w:rFonts w:hint="default" w:ascii="Times New Roman" w:hAnsi="Times New Roman" w:cs="Times New Roman"/>
          <w:color w:val="auto"/>
          <w:highlight w:val="none"/>
        </w:rPr>
        <w:t>封闭，外围安装围栏。</w:t>
      </w:r>
      <w:r>
        <w:rPr>
          <w:rFonts w:hint="eastAsia"/>
          <w:color w:val="auto"/>
          <w:sz w:val="24"/>
          <w:szCs w:val="24"/>
          <w:highlight w:val="none"/>
        </w:rPr>
        <w:t>取水井原水经机械曝气→锰砂过滤→次氯酸钠消毒后通过现有输水管线供给服务范围内居民。</w:t>
      </w:r>
    </w:p>
    <w:p w14:paraId="47785F10">
      <w:pPr>
        <w:pStyle w:val="6"/>
        <w:bidi w:val="0"/>
        <w:rPr>
          <w:rFonts w:hint="default" w:ascii="Times New Roman" w:hAnsi="Times New Roman" w:eastAsia="宋体" w:cs="Times New Roman"/>
          <w:color w:val="auto"/>
          <w:kern w:val="0"/>
          <w:sz w:val="24"/>
          <w:szCs w:val="24"/>
          <w:highlight w:val="none"/>
          <w:lang w:val="en-US" w:eastAsia="zh-CN" w:bidi="ar"/>
        </w:rPr>
      </w:pPr>
      <w:r>
        <w:rPr>
          <w:rFonts w:hint="eastAsia" w:ascii="Times New Roman" w:hAnsi="Times New Roman" w:cs="Times New Roman"/>
          <w:color w:val="auto"/>
          <w:kern w:val="0"/>
          <w:sz w:val="24"/>
          <w:szCs w:val="24"/>
          <w:highlight w:val="none"/>
          <w:lang w:val="en-US" w:eastAsia="zh-CN" w:bidi="ar"/>
        </w:rPr>
        <w:t>6）</w:t>
      </w:r>
      <w:r>
        <w:rPr>
          <w:rFonts w:hint="default" w:ascii="Times New Roman" w:hAnsi="Times New Roman" w:eastAsia="宋体" w:cs="Times New Roman"/>
          <w:color w:val="auto"/>
          <w:kern w:val="0"/>
          <w:sz w:val="24"/>
          <w:szCs w:val="24"/>
          <w:highlight w:val="none"/>
          <w:lang w:val="en-US" w:eastAsia="zh-CN" w:bidi="ar"/>
        </w:rPr>
        <w:t>绥化市庆安县丰收乡饮用水水源地</w:t>
      </w:r>
      <w:r>
        <w:rPr>
          <w:rFonts w:hint="default" w:ascii="Times New Roman" w:hAnsi="Times New Roman" w:cs="Times New Roman"/>
          <w:color w:val="auto"/>
          <w:kern w:val="0"/>
          <w:sz w:val="24"/>
          <w:szCs w:val="24"/>
          <w:highlight w:val="none"/>
          <w:lang w:eastAsia="zh-CN" w:bidi="ar"/>
        </w:rPr>
        <w:t>（共</w:t>
      </w:r>
      <w:r>
        <w:rPr>
          <w:rFonts w:hint="default" w:ascii="Times New Roman" w:hAnsi="Times New Roman" w:cs="Times New Roman"/>
          <w:color w:val="auto"/>
          <w:kern w:val="0"/>
          <w:sz w:val="24"/>
          <w:szCs w:val="24"/>
          <w:highlight w:val="none"/>
          <w:lang w:val="en-US" w:eastAsia="zh-CN" w:bidi="ar"/>
        </w:rPr>
        <w:t>3眼井</w:t>
      </w:r>
      <w:r>
        <w:rPr>
          <w:rFonts w:hint="default" w:ascii="Times New Roman" w:hAnsi="Times New Roman" w:cs="Times New Roman"/>
          <w:color w:val="auto"/>
          <w:kern w:val="0"/>
          <w:sz w:val="24"/>
          <w:szCs w:val="24"/>
          <w:highlight w:val="none"/>
          <w:lang w:eastAsia="zh-CN" w:bidi="ar"/>
        </w:rPr>
        <w:t>）</w:t>
      </w:r>
    </w:p>
    <w:p w14:paraId="7AE12D3B">
      <w:pPr>
        <w:pStyle w:val="27"/>
        <w:spacing w:line="360" w:lineRule="auto"/>
        <w:ind w:firstLine="472" w:firstLineChars="200"/>
        <w:rPr>
          <w:rFonts w:hint="default" w:ascii="Times New Roman" w:hAnsi="Times New Roman" w:cs="Times New Roman"/>
          <w:color w:val="auto"/>
          <w:sz w:val="24"/>
          <w:szCs w:val="24"/>
          <w:highlight w:val="none"/>
          <w:lang w:val="en-US" w:eastAsia="zh-CN"/>
        </w:rPr>
      </w:pPr>
      <w:r>
        <w:rPr>
          <w:rFonts w:hint="default" w:ascii="Times New Roman" w:hAnsi="Times New Roman" w:eastAsia="宋体" w:cs="Times New Roman"/>
          <w:color w:val="auto"/>
          <w:kern w:val="0"/>
          <w:sz w:val="24"/>
          <w:szCs w:val="24"/>
          <w:highlight w:val="none"/>
          <w:lang w:val="en-US" w:eastAsia="zh-CN" w:bidi="ar"/>
        </w:rPr>
        <w:t>绥化市庆安县丰收乡饮用水水源地</w:t>
      </w:r>
      <w:r>
        <w:rPr>
          <w:rFonts w:hint="eastAsia"/>
          <w:color w:val="auto"/>
          <w:highlight w:val="none"/>
        </w:rPr>
        <w:t>为地下水型水</w:t>
      </w:r>
      <w:r>
        <w:rPr>
          <w:rFonts w:hint="eastAsia" w:ascii="Times New Roman" w:hAnsi="Times New Roman" w:eastAsia="宋体" w:cs="Times New Roman"/>
          <w:color w:val="auto"/>
          <w:sz w:val="24"/>
          <w:szCs w:val="24"/>
          <w:highlight w:val="none"/>
        </w:rPr>
        <w:t>源</w:t>
      </w:r>
      <w:r>
        <w:rPr>
          <w:rFonts w:hint="eastAsia" w:ascii="Times New Roman" w:hAnsi="Times New Roman" w:eastAsia="宋体" w:cs="Times New Roman"/>
          <w:color w:val="auto"/>
          <w:sz w:val="24"/>
          <w:szCs w:val="24"/>
          <w:highlight w:val="none"/>
          <w:lang w:val="en-US" w:eastAsia="zh-CN"/>
        </w:rPr>
        <w:t>地，取水目的层为</w:t>
      </w:r>
      <w:r>
        <w:rPr>
          <w:rFonts w:hint="eastAsia" w:ascii="Times New Roman" w:hAnsi="Times New Roman" w:eastAsia="宋体" w:cs="Times New Roman"/>
          <w:color w:val="auto"/>
          <w:kern w:val="0"/>
          <w:sz w:val="24"/>
          <w:szCs w:val="24"/>
          <w:highlight w:val="none"/>
          <w:lang w:bidi="ar"/>
        </w:rPr>
        <w:t>孔隙—裂隙承压</w:t>
      </w:r>
      <w:r>
        <w:rPr>
          <w:rFonts w:hint="default" w:ascii="Times New Roman" w:hAnsi="Times New Roman" w:eastAsia="宋体" w:cs="Times New Roman"/>
          <w:color w:val="auto"/>
          <w:kern w:val="0"/>
          <w:sz w:val="24"/>
          <w:szCs w:val="24"/>
          <w:highlight w:val="none"/>
          <w:lang w:bidi="ar"/>
        </w:rPr>
        <w:t>水层</w:t>
      </w:r>
      <w:r>
        <w:rPr>
          <w:rFonts w:hint="default" w:ascii="Times New Roman" w:hAnsi="Times New Roman" w:eastAsia="宋体" w:cs="Times New Roman"/>
          <w:color w:val="auto"/>
          <w:kern w:val="0"/>
          <w:sz w:val="24"/>
          <w:szCs w:val="24"/>
          <w:highlight w:val="none"/>
          <w:lang w:val="en-US" w:eastAsia="zh-CN" w:bidi="ar"/>
        </w:rPr>
        <w:t>，取</w:t>
      </w:r>
      <w:r>
        <w:rPr>
          <w:rFonts w:hint="default" w:ascii="Times New Roman" w:hAnsi="Times New Roman" w:eastAsia="宋体" w:cs="Times New Roman"/>
          <w:color w:val="auto"/>
          <w:kern w:val="0"/>
          <w:sz w:val="24"/>
          <w:szCs w:val="24"/>
          <w:highlight w:val="none"/>
          <w:lang w:bidi="ar"/>
        </w:rPr>
        <w:t>水井井深</w:t>
      </w:r>
      <w:r>
        <w:rPr>
          <w:rFonts w:hint="default" w:ascii="Times New Roman" w:hAnsi="Times New Roman" w:eastAsia="宋体" w:cs="Times New Roman"/>
          <w:color w:val="auto"/>
          <w:kern w:val="0"/>
          <w:sz w:val="24"/>
          <w:szCs w:val="24"/>
          <w:highlight w:val="none"/>
          <w:lang w:eastAsia="zh-CN" w:bidi="ar"/>
        </w:rPr>
        <w:t>均为</w:t>
      </w:r>
      <w:r>
        <w:rPr>
          <w:rFonts w:hint="default" w:ascii="Times New Roman" w:hAnsi="Times New Roman" w:eastAsia="宋体" w:cs="Times New Roman"/>
          <w:color w:val="auto"/>
          <w:kern w:val="0"/>
          <w:sz w:val="24"/>
          <w:szCs w:val="24"/>
          <w:highlight w:val="none"/>
          <w:lang w:val="en-US" w:eastAsia="zh-CN" w:bidi="ar"/>
        </w:rPr>
        <w:t>90</w:t>
      </w:r>
      <w:r>
        <w:rPr>
          <w:rFonts w:hint="default" w:ascii="Times New Roman" w:hAnsi="Times New Roman" w:eastAsia="宋体" w:cs="Times New Roman"/>
          <w:color w:val="auto"/>
          <w:kern w:val="0"/>
          <w:sz w:val="24"/>
          <w:szCs w:val="24"/>
          <w:highlight w:val="none"/>
          <w:lang w:bidi="ar"/>
        </w:rPr>
        <w:t>米，单井</w:t>
      </w:r>
      <w:r>
        <w:rPr>
          <w:rFonts w:hint="default" w:ascii="Times New Roman" w:hAnsi="Times New Roman" w:eastAsia="宋体" w:cs="Times New Roman"/>
          <w:color w:val="auto"/>
          <w:kern w:val="0"/>
          <w:sz w:val="24"/>
          <w:szCs w:val="24"/>
          <w:highlight w:val="none"/>
          <w:lang w:eastAsia="zh-CN" w:bidi="ar"/>
        </w:rPr>
        <w:t>设计</w:t>
      </w:r>
      <w:r>
        <w:rPr>
          <w:rFonts w:hint="default" w:ascii="Times New Roman" w:hAnsi="Times New Roman" w:eastAsia="宋体" w:cs="Times New Roman"/>
          <w:color w:val="auto"/>
          <w:kern w:val="0"/>
          <w:sz w:val="24"/>
          <w:szCs w:val="24"/>
          <w:highlight w:val="none"/>
          <w:lang w:bidi="ar"/>
        </w:rPr>
        <w:t>出水量</w:t>
      </w:r>
      <w:r>
        <w:rPr>
          <w:rFonts w:hint="default" w:ascii="Times New Roman" w:hAnsi="Times New Roman" w:eastAsia="宋体" w:cs="Times New Roman"/>
          <w:color w:val="auto"/>
          <w:kern w:val="0"/>
          <w:sz w:val="24"/>
          <w:szCs w:val="24"/>
          <w:highlight w:val="none"/>
          <w:lang w:val="en-US" w:eastAsia="zh-CN" w:bidi="ar"/>
        </w:rPr>
        <w:t>30</w:t>
      </w:r>
      <w:r>
        <w:rPr>
          <w:rFonts w:hint="default" w:ascii="Times New Roman" w:hAnsi="Times New Roman" w:eastAsia="宋体" w:cs="Times New Roman"/>
          <w:color w:val="auto"/>
          <w:kern w:val="0"/>
          <w:sz w:val="24"/>
          <w:szCs w:val="24"/>
          <w:highlight w:val="none"/>
          <w:lang w:bidi="ar"/>
        </w:rPr>
        <w:t>立方米/</w:t>
      </w:r>
      <w:r>
        <w:rPr>
          <w:rFonts w:hint="default" w:ascii="Times New Roman" w:hAnsi="Times New Roman" w:eastAsia="宋体" w:cs="Times New Roman"/>
          <w:color w:val="auto"/>
          <w:kern w:val="0"/>
          <w:sz w:val="24"/>
          <w:szCs w:val="24"/>
          <w:highlight w:val="none"/>
          <w:lang w:eastAsia="zh-CN" w:bidi="ar"/>
        </w:rPr>
        <w:t>小时</w:t>
      </w:r>
      <w:r>
        <w:rPr>
          <w:rFonts w:hint="default" w:ascii="Times New Roman" w:hAnsi="Times New Roman" w:eastAsia="宋体" w:cs="Times New Roman"/>
          <w:color w:val="auto"/>
          <w:kern w:val="0"/>
          <w:sz w:val="24"/>
          <w:szCs w:val="24"/>
          <w:highlight w:val="none"/>
          <w:lang w:val="en-US" w:eastAsia="zh-CN" w:bidi="ar"/>
        </w:rPr>
        <w:t>，服务范围为</w:t>
      </w:r>
      <w:r>
        <w:rPr>
          <w:rFonts w:hint="default" w:ascii="Times New Roman" w:hAnsi="Times New Roman" w:cs="Times New Roman"/>
          <w:color w:val="auto"/>
          <w:sz w:val="24"/>
          <w:szCs w:val="24"/>
          <w:highlight w:val="none"/>
          <w:lang w:eastAsia="zh-CN"/>
        </w:rPr>
        <w:t>丰收乡内</w:t>
      </w:r>
      <w:r>
        <w:rPr>
          <w:rFonts w:hint="default" w:ascii="Times New Roman" w:hAnsi="Times New Roman" w:cs="Times New Roman"/>
          <w:color w:val="auto"/>
          <w:kern w:val="0"/>
          <w:sz w:val="24"/>
          <w:szCs w:val="24"/>
          <w:highlight w:val="none"/>
          <w:lang w:val="en-US" w:eastAsia="zh-CN" w:bidi="ar"/>
        </w:rPr>
        <w:t>丰满村、丰裕村、丰田村</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kern w:val="0"/>
          <w:sz w:val="24"/>
          <w:szCs w:val="24"/>
          <w:highlight w:val="none"/>
          <w:lang w:val="en-US" w:eastAsia="zh-CN" w:bidi="ar"/>
        </w:rPr>
        <w:t>丰林村、丰山村、丰泰村、丰民村、丰盛村、丰华村</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kern w:val="0"/>
          <w:sz w:val="24"/>
          <w:szCs w:val="24"/>
          <w:highlight w:val="none"/>
          <w:lang w:val="en-US" w:eastAsia="zh-CN" w:bidi="ar"/>
        </w:rPr>
        <w:t>丰年村、丰收村、星光村，共计12个行政村村86个自然屯</w:t>
      </w:r>
      <w:r>
        <w:rPr>
          <w:rFonts w:hint="default" w:ascii="Times New Roman" w:hAnsi="Times New Roman" w:eastAsia="宋体" w:cs="Times New Roman"/>
          <w:color w:val="auto"/>
          <w:kern w:val="0"/>
          <w:sz w:val="24"/>
          <w:szCs w:val="24"/>
          <w:highlight w:val="none"/>
          <w:lang w:bidi="ar"/>
        </w:rPr>
        <w:t>，服务人口</w:t>
      </w:r>
      <w:r>
        <w:rPr>
          <w:rFonts w:hint="default" w:ascii="Times New Roman" w:hAnsi="Times New Roman" w:eastAsia="宋体" w:cs="Times New Roman"/>
          <w:color w:val="auto"/>
          <w:kern w:val="0"/>
          <w:sz w:val="24"/>
          <w:szCs w:val="24"/>
          <w:highlight w:val="none"/>
          <w:lang w:val="en-US" w:eastAsia="zh-CN" w:bidi="ar"/>
        </w:rPr>
        <w:t>9130</w:t>
      </w:r>
      <w:r>
        <w:rPr>
          <w:rFonts w:hint="default" w:ascii="Times New Roman" w:hAnsi="Times New Roman" w:eastAsia="宋体" w:cs="Times New Roman"/>
          <w:color w:val="auto"/>
          <w:kern w:val="0"/>
          <w:sz w:val="24"/>
          <w:szCs w:val="24"/>
          <w:highlight w:val="none"/>
          <w:lang w:bidi="ar"/>
        </w:rPr>
        <w:t>人。</w:t>
      </w:r>
      <w:r>
        <w:rPr>
          <w:rFonts w:hint="default" w:ascii="Times New Roman" w:hAnsi="Times New Roman" w:eastAsia="宋体" w:cs="Times New Roman"/>
          <w:color w:val="auto"/>
          <w:kern w:val="0"/>
          <w:sz w:val="24"/>
          <w:szCs w:val="24"/>
          <w:highlight w:val="none"/>
          <w:lang w:eastAsia="zh-CN" w:bidi="ar"/>
        </w:rPr>
        <w:t>水井</w:t>
      </w:r>
      <w:r>
        <w:rPr>
          <w:rFonts w:hint="default" w:ascii="Times New Roman" w:hAnsi="Times New Roman" w:eastAsia="宋体" w:cs="Times New Roman"/>
          <w:color w:val="auto"/>
          <w:kern w:val="0"/>
          <w:sz w:val="24"/>
          <w:szCs w:val="24"/>
          <w:highlight w:val="none"/>
          <w:lang w:bidi="ar"/>
        </w:rPr>
        <w:t>20</w:t>
      </w:r>
      <w:r>
        <w:rPr>
          <w:rFonts w:hint="default" w:ascii="Times New Roman" w:hAnsi="Times New Roman" w:eastAsia="宋体" w:cs="Times New Roman"/>
          <w:color w:val="auto"/>
          <w:kern w:val="0"/>
          <w:sz w:val="24"/>
          <w:szCs w:val="24"/>
          <w:highlight w:val="none"/>
          <w:lang w:val="en-US" w:eastAsia="zh-CN" w:bidi="ar"/>
        </w:rPr>
        <w:t>23</w:t>
      </w:r>
      <w:r>
        <w:rPr>
          <w:rFonts w:hint="default" w:ascii="Times New Roman" w:hAnsi="Times New Roman" w:eastAsia="宋体" w:cs="Times New Roman"/>
          <w:color w:val="auto"/>
          <w:kern w:val="0"/>
          <w:sz w:val="24"/>
          <w:szCs w:val="24"/>
          <w:highlight w:val="none"/>
          <w:lang w:bidi="ar"/>
        </w:rPr>
        <w:t>年开始建设</w:t>
      </w:r>
      <w:r>
        <w:rPr>
          <w:rFonts w:hint="default" w:ascii="Times New Roman" w:hAnsi="Times New Roman" w:cs="Times New Roman"/>
          <w:color w:val="auto"/>
          <w:highlight w:val="none"/>
        </w:rPr>
        <w:t>，202</w:t>
      </w:r>
      <w:r>
        <w:rPr>
          <w:rFonts w:hint="default" w:ascii="Times New Roman" w:hAnsi="Times New Roman" w:cs="Times New Roman"/>
          <w:color w:val="auto"/>
          <w:highlight w:val="none"/>
          <w:lang w:val="en-US" w:eastAsia="zh-CN"/>
        </w:rPr>
        <w:t>4</w:t>
      </w:r>
      <w:r>
        <w:rPr>
          <w:rFonts w:hint="default" w:ascii="Times New Roman" w:hAnsi="Times New Roman" w:cs="Times New Roman"/>
          <w:color w:val="auto"/>
          <w:highlight w:val="none"/>
        </w:rPr>
        <w:t>年投入使用，现为在用水源，取水方式为潜水泵采水，水泵1用0备，每日供水24小时。</w:t>
      </w:r>
      <w:r>
        <w:rPr>
          <w:rFonts w:hint="default" w:ascii="Times New Roman" w:hAnsi="Times New Roman" w:cs="Times New Roman"/>
          <w:color w:val="auto"/>
          <w:highlight w:val="none"/>
          <w:lang w:val="en-US" w:eastAsia="zh-CN"/>
        </w:rPr>
        <w:t>1#水井</w:t>
      </w:r>
      <w:r>
        <w:rPr>
          <w:rFonts w:hint="default" w:ascii="Times New Roman" w:hAnsi="Times New Roman" w:cs="Times New Roman"/>
          <w:color w:val="auto"/>
          <w:highlight w:val="none"/>
        </w:rPr>
        <w:t>取水</w:t>
      </w:r>
      <w:r>
        <w:rPr>
          <w:rFonts w:hint="default" w:ascii="Times New Roman" w:hAnsi="Times New Roman" w:cs="Times New Roman"/>
          <w:color w:val="auto"/>
          <w:highlight w:val="none"/>
          <w:lang w:eastAsia="zh-CN"/>
        </w:rPr>
        <w:t>口位于水厂内；</w:t>
      </w:r>
      <w:r>
        <w:rPr>
          <w:rFonts w:hint="default" w:ascii="Times New Roman" w:hAnsi="Times New Roman" w:cs="Times New Roman"/>
          <w:color w:val="auto"/>
          <w:highlight w:val="none"/>
          <w:lang w:val="en-US" w:eastAsia="zh-CN"/>
        </w:rPr>
        <w:t>2#-3#水井</w:t>
      </w:r>
      <w:r>
        <w:rPr>
          <w:rFonts w:hint="default" w:ascii="Times New Roman" w:hAnsi="Times New Roman" w:cs="Times New Roman"/>
          <w:color w:val="auto"/>
          <w:highlight w:val="none"/>
        </w:rPr>
        <w:t>取水</w:t>
      </w:r>
      <w:r>
        <w:rPr>
          <w:rFonts w:hint="default" w:ascii="Times New Roman" w:hAnsi="Times New Roman" w:cs="Times New Roman"/>
          <w:color w:val="auto"/>
          <w:highlight w:val="none"/>
          <w:lang w:eastAsia="zh-CN"/>
        </w:rPr>
        <w:t>口未设置井房，井</w:t>
      </w:r>
      <w:r>
        <w:rPr>
          <w:rFonts w:hint="default" w:ascii="Times New Roman" w:hAnsi="Times New Roman" w:cs="Times New Roman"/>
          <w:color w:val="auto"/>
          <w:highlight w:val="none"/>
        </w:rPr>
        <w:t>口封闭，外围安装围栏。</w:t>
      </w:r>
      <w:r>
        <w:rPr>
          <w:rFonts w:hint="default" w:ascii="Times New Roman" w:hAnsi="Times New Roman" w:cs="Times New Roman"/>
          <w:color w:val="auto"/>
          <w:sz w:val="24"/>
          <w:szCs w:val="24"/>
          <w:highlight w:val="none"/>
        </w:rPr>
        <w:t>取水井原水经</w:t>
      </w:r>
      <w:r>
        <w:rPr>
          <w:rFonts w:hint="default" w:ascii="Times New Roman" w:hAnsi="Times New Roman" w:cs="Times New Roman"/>
          <w:color w:val="auto"/>
          <w:szCs w:val="21"/>
          <w:highlight w:val="none"/>
        </w:rPr>
        <w:t>机械曝气→二级除铁除锰→二氧化氯</w:t>
      </w:r>
      <w:r>
        <w:rPr>
          <w:rFonts w:hint="default" w:ascii="Times New Roman" w:hAnsi="Times New Roman" w:cs="Times New Roman"/>
          <w:color w:val="auto"/>
          <w:szCs w:val="21"/>
          <w:highlight w:val="none"/>
          <w:lang w:eastAsia="zh-CN"/>
        </w:rPr>
        <w:t>消毒</w:t>
      </w:r>
      <w:r>
        <w:rPr>
          <w:rFonts w:hint="default" w:ascii="Times New Roman" w:hAnsi="Times New Roman" w:cs="Times New Roman"/>
          <w:color w:val="auto"/>
          <w:sz w:val="24"/>
          <w:szCs w:val="24"/>
          <w:highlight w:val="none"/>
        </w:rPr>
        <w:t>后通过现有输水管线供给服务范围内居民。</w:t>
      </w:r>
    </w:p>
    <w:p w14:paraId="0BB30FEB">
      <w:pPr>
        <w:pStyle w:val="6"/>
        <w:bidi w:val="0"/>
        <w:rPr>
          <w:rFonts w:hint="default" w:ascii="Times New Roman" w:hAnsi="Times New Roman" w:eastAsia="宋体" w:cs="Times New Roman"/>
          <w:color w:val="auto"/>
          <w:kern w:val="0"/>
          <w:sz w:val="24"/>
          <w:szCs w:val="24"/>
          <w:highlight w:val="none"/>
          <w:lang w:val="en-US" w:eastAsia="zh-CN" w:bidi="ar"/>
        </w:rPr>
      </w:pPr>
      <w:r>
        <w:rPr>
          <w:rFonts w:hint="eastAsia" w:ascii="Times New Roman" w:hAnsi="Times New Roman" w:cs="Times New Roman"/>
          <w:color w:val="auto"/>
          <w:kern w:val="0"/>
          <w:sz w:val="24"/>
          <w:szCs w:val="24"/>
          <w:highlight w:val="none"/>
          <w:lang w:val="en-US" w:eastAsia="zh-CN" w:bidi="ar"/>
        </w:rPr>
        <w:t>7）</w:t>
      </w:r>
      <w:r>
        <w:rPr>
          <w:rFonts w:hint="default" w:ascii="Times New Roman" w:hAnsi="Times New Roman" w:eastAsia="宋体" w:cs="Times New Roman"/>
          <w:color w:val="auto"/>
          <w:kern w:val="0"/>
          <w:sz w:val="24"/>
          <w:szCs w:val="24"/>
          <w:highlight w:val="none"/>
          <w:lang w:val="en-US" w:eastAsia="zh-CN" w:bidi="ar"/>
        </w:rPr>
        <w:t>绥化市</w:t>
      </w:r>
      <w:r>
        <w:rPr>
          <w:rFonts w:hint="default" w:ascii="Times New Roman" w:hAnsi="Times New Roman" w:cs="Times New Roman"/>
          <w:color w:val="auto"/>
          <w:kern w:val="0"/>
          <w:sz w:val="24"/>
          <w:szCs w:val="24"/>
          <w:highlight w:val="none"/>
          <w:lang w:val="en-US" w:eastAsia="zh-CN" w:bidi="ar"/>
        </w:rPr>
        <w:t>庆</w:t>
      </w:r>
      <w:r>
        <w:rPr>
          <w:rFonts w:hint="default" w:ascii="Times New Roman" w:hAnsi="Times New Roman" w:eastAsia="宋体" w:cs="Times New Roman"/>
          <w:color w:val="auto"/>
          <w:kern w:val="0"/>
          <w:sz w:val="24"/>
          <w:szCs w:val="24"/>
          <w:highlight w:val="none"/>
          <w:lang w:val="en-US" w:eastAsia="zh-CN" w:bidi="ar"/>
        </w:rPr>
        <w:t>安县平安镇饮用水水源地</w:t>
      </w:r>
      <w:r>
        <w:rPr>
          <w:rFonts w:hint="default" w:ascii="Times New Roman" w:hAnsi="Times New Roman" w:cs="Times New Roman"/>
          <w:color w:val="auto"/>
          <w:kern w:val="0"/>
          <w:sz w:val="24"/>
          <w:szCs w:val="24"/>
          <w:highlight w:val="none"/>
          <w:lang w:eastAsia="zh-CN" w:bidi="ar"/>
        </w:rPr>
        <w:t>（共</w:t>
      </w:r>
      <w:r>
        <w:rPr>
          <w:rFonts w:hint="eastAsia" w:ascii="Times New Roman" w:cs="Times New Roman"/>
          <w:color w:val="auto"/>
          <w:kern w:val="0"/>
          <w:sz w:val="24"/>
          <w:szCs w:val="24"/>
          <w:highlight w:val="none"/>
          <w:lang w:val="en-US" w:eastAsia="zh-CN" w:bidi="ar"/>
        </w:rPr>
        <w:t>2</w:t>
      </w:r>
      <w:r>
        <w:rPr>
          <w:rFonts w:hint="default" w:ascii="Times New Roman" w:hAnsi="Times New Roman" w:cs="Times New Roman"/>
          <w:color w:val="auto"/>
          <w:kern w:val="0"/>
          <w:sz w:val="24"/>
          <w:szCs w:val="24"/>
          <w:highlight w:val="none"/>
          <w:lang w:val="en-US" w:eastAsia="zh-CN" w:bidi="ar"/>
        </w:rPr>
        <w:t>眼井</w:t>
      </w:r>
      <w:r>
        <w:rPr>
          <w:rFonts w:hint="default" w:ascii="Times New Roman" w:hAnsi="Times New Roman" w:cs="Times New Roman"/>
          <w:color w:val="auto"/>
          <w:kern w:val="0"/>
          <w:sz w:val="24"/>
          <w:szCs w:val="24"/>
          <w:highlight w:val="none"/>
          <w:lang w:eastAsia="zh-CN" w:bidi="ar"/>
        </w:rPr>
        <w:t>）</w:t>
      </w:r>
    </w:p>
    <w:p w14:paraId="714C4BA8">
      <w:pPr>
        <w:spacing w:line="360" w:lineRule="auto"/>
        <w:ind w:firstLine="472" w:firstLineChars="200"/>
        <w:rPr>
          <w:rFonts w:hint="default"/>
          <w:color w:val="auto"/>
          <w:sz w:val="24"/>
          <w:szCs w:val="24"/>
          <w:highlight w:val="none"/>
          <w:lang w:val="en-US" w:eastAsia="zh-CN"/>
        </w:rPr>
      </w:pPr>
      <w:r>
        <w:rPr>
          <w:rFonts w:hint="default" w:ascii="Times New Roman" w:hAnsi="Times New Roman" w:eastAsia="宋体" w:cs="Times New Roman"/>
          <w:color w:val="auto"/>
          <w:kern w:val="0"/>
          <w:sz w:val="24"/>
          <w:szCs w:val="24"/>
          <w:highlight w:val="none"/>
          <w:lang w:val="en-US" w:eastAsia="zh-CN" w:bidi="ar"/>
        </w:rPr>
        <w:t>绥化市</w:t>
      </w:r>
      <w:r>
        <w:rPr>
          <w:rFonts w:hint="default" w:ascii="Times New Roman" w:hAnsi="Times New Roman" w:cs="Times New Roman"/>
          <w:color w:val="auto"/>
          <w:kern w:val="0"/>
          <w:sz w:val="24"/>
          <w:szCs w:val="24"/>
          <w:highlight w:val="none"/>
          <w:lang w:val="en-US" w:eastAsia="zh-CN" w:bidi="ar"/>
        </w:rPr>
        <w:t>庆</w:t>
      </w:r>
      <w:r>
        <w:rPr>
          <w:rFonts w:hint="default" w:ascii="Times New Roman" w:hAnsi="Times New Roman" w:eastAsia="宋体" w:cs="Times New Roman"/>
          <w:color w:val="auto"/>
          <w:kern w:val="0"/>
          <w:sz w:val="24"/>
          <w:szCs w:val="24"/>
          <w:highlight w:val="none"/>
          <w:lang w:val="en-US" w:eastAsia="zh-CN" w:bidi="ar"/>
        </w:rPr>
        <w:t>安县平安镇饮用水水源地</w:t>
      </w:r>
      <w:r>
        <w:rPr>
          <w:rFonts w:hint="eastAsia"/>
          <w:color w:val="auto"/>
          <w:highlight w:val="none"/>
        </w:rPr>
        <w:t>为地下水型水源</w:t>
      </w:r>
      <w:r>
        <w:rPr>
          <w:rFonts w:hint="eastAsia" w:ascii="Times New Roman" w:hAnsi="Times New Roman" w:eastAsia="宋体" w:cs="Times New Roman"/>
          <w:color w:val="auto"/>
          <w:highlight w:val="none"/>
          <w:lang w:val="en-US" w:eastAsia="zh-CN"/>
        </w:rPr>
        <w:t>地，取水目的层为孔隙承压水层和孔隙—裂隙承压水层，</w:t>
      </w:r>
      <w:r>
        <w:rPr>
          <w:rFonts w:hint="default" w:ascii="Times New Roman" w:hAnsi="Times New Roman" w:eastAsia="宋体" w:cs="Times New Roman"/>
          <w:color w:val="auto"/>
          <w:highlight w:val="none"/>
          <w:lang w:val="en-US" w:eastAsia="zh-CN"/>
        </w:rPr>
        <w:t>取水</w:t>
      </w:r>
      <w:r>
        <w:rPr>
          <w:rFonts w:hint="default" w:ascii="Times New Roman" w:hAnsi="Times New Roman" w:eastAsia="宋体" w:cs="Times New Roman"/>
          <w:color w:val="auto"/>
          <w:highlight w:val="none"/>
        </w:rPr>
        <w:t>井井深</w:t>
      </w:r>
      <w:r>
        <w:rPr>
          <w:rFonts w:hint="eastAsia" w:ascii="Times New Roman" w:hAnsi="Times New Roman" w:eastAsia="宋体" w:cs="Times New Roman"/>
          <w:color w:val="auto"/>
          <w:highlight w:val="none"/>
          <w:lang w:eastAsia="zh-CN"/>
        </w:rPr>
        <w:t>均为</w:t>
      </w:r>
      <w:r>
        <w:rPr>
          <w:rFonts w:hint="eastAsia" w:ascii="Times New Roman" w:hAnsi="Times New Roman" w:eastAsia="宋体" w:cs="Times New Roman"/>
          <w:color w:val="auto"/>
          <w:highlight w:val="none"/>
          <w:lang w:val="en-US" w:eastAsia="zh-CN"/>
        </w:rPr>
        <w:t>60</w:t>
      </w:r>
      <w:r>
        <w:rPr>
          <w:rFonts w:hint="default" w:ascii="Times New Roman" w:hAnsi="Times New Roman" w:eastAsia="宋体" w:cs="Times New Roman"/>
          <w:color w:val="auto"/>
          <w:highlight w:val="none"/>
        </w:rPr>
        <w:t>米，</w:t>
      </w:r>
      <w:r>
        <w:rPr>
          <w:rFonts w:hint="eastAsia" w:ascii="Times New Roman" w:hAnsi="Times New Roman" w:eastAsia="宋体" w:cs="Times New Roman"/>
          <w:color w:val="auto"/>
          <w:highlight w:val="none"/>
        </w:rPr>
        <w:t>单井</w:t>
      </w:r>
      <w:r>
        <w:rPr>
          <w:rFonts w:hint="eastAsia"/>
          <w:color w:val="auto"/>
          <w:szCs w:val="21"/>
          <w:highlight w:val="none"/>
          <w:lang w:eastAsia="zh-CN"/>
        </w:rPr>
        <w:t>设计</w:t>
      </w:r>
      <w:r>
        <w:rPr>
          <w:rFonts w:hint="eastAsia" w:ascii="Times New Roman" w:hAnsi="Times New Roman" w:eastAsia="宋体" w:cs="Times New Roman"/>
          <w:color w:val="auto"/>
          <w:highlight w:val="none"/>
        </w:rPr>
        <w:t>出水量</w:t>
      </w:r>
      <w:r>
        <w:rPr>
          <w:rFonts w:hint="eastAsia" w:ascii="Times New Roman" w:hAnsi="Times New Roman" w:eastAsia="宋体" w:cs="Times New Roman"/>
          <w:color w:val="auto"/>
          <w:highlight w:val="none"/>
          <w:lang w:val="en-US" w:eastAsia="zh-CN"/>
        </w:rPr>
        <w:t>30</w:t>
      </w:r>
      <w:r>
        <w:rPr>
          <w:rFonts w:hint="eastAsia" w:ascii="Times New Roman" w:hAnsi="Times New Roman" w:eastAsia="宋体" w:cs="Times New Roman"/>
          <w:color w:val="auto"/>
          <w:highlight w:val="none"/>
        </w:rPr>
        <w:t>立方米/</w:t>
      </w:r>
      <w:r>
        <w:rPr>
          <w:rFonts w:hint="eastAsia" w:ascii="Times New Roman" w:hAnsi="Times New Roman" w:eastAsia="宋体" w:cs="Times New Roman"/>
          <w:color w:val="auto"/>
          <w:highlight w:val="none"/>
          <w:lang w:eastAsia="zh-CN"/>
        </w:rPr>
        <w:t>小时</w:t>
      </w:r>
      <w:r>
        <w:rPr>
          <w:rFonts w:hint="eastAsia" w:ascii="Times New Roman" w:hAnsi="Times New Roman" w:eastAsia="宋体" w:cs="Times New Roman"/>
          <w:color w:val="auto"/>
          <w:sz w:val="24"/>
          <w:szCs w:val="24"/>
          <w:highlight w:val="none"/>
        </w:rPr>
        <w:t>，服务范围为</w:t>
      </w:r>
      <w:r>
        <w:rPr>
          <w:rFonts w:hint="eastAsia"/>
          <w:color w:val="auto"/>
          <w:sz w:val="24"/>
          <w:szCs w:val="24"/>
          <w:highlight w:val="none"/>
          <w:lang w:eastAsia="zh-CN"/>
        </w:rPr>
        <w:t>平安镇内</w:t>
      </w:r>
      <w:r>
        <w:rPr>
          <w:rFonts w:hint="eastAsia" w:cs="Times New Roman"/>
          <w:color w:val="auto"/>
          <w:kern w:val="0"/>
          <w:sz w:val="24"/>
          <w:szCs w:val="24"/>
          <w:highlight w:val="none"/>
          <w:lang w:val="en-US" w:eastAsia="zh-CN" w:bidi="ar"/>
        </w:rPr>
        <w:t>和平村、安平村、升平村、太平村、永平村，共计5个行政村46个自然屯</w:t>
      </w:r>
      <w:r>
        <w:rPr>
          <w:rFonts w:hint="eastAsia" w:ascii="Times New Roman" w:hAnsi="Times New Roman" w:eastAsia="宋体" w:cs="Times New Roman"/>
          <w:color w:val="auto"/>
          <w:sz w:val="24"/>
          <w:szCs w:val="24"/>
          <w:highlight w:val="none"/>
        </w:rPr>
        <w:t>，服务人</w:t>
      </w:r>
      <w:r>
        <w:rPr>
          <w:rFonts w:hint="eastAsia" w:ascii="Times New Roman" w:hAnsi="Times New Roman" w:eastAsia="宋体" w:cs="Times New Roman"/>
          <w:color w:val="auto"/>
          <w:highlight w:val="none"/>
        </w:rPr>
        <w:t>口</w:t>
      </w:r>
      <w:r>
        <w:rPr>
          <w:rFonts w:hint="eastAsia" w:ascii="Times New Roman" w:hAnsi="Times New Roman" w:eastAsia="宋体" w:cs="Times New Roman"/>
          <w:color w:val="auto"/>
          <w:highlight w:val="none"/>
          <w:lang w:val="en-US" w:eastAsia="zh-CN"/>
        </w:rPr>
        <w:t>5200</w:t>
      </w:r>
      <w:r>
        <w:rPr>
          <w:rFonts w:hint="eastAsia" w:ascii="Times New Roman" w:hAnsi="Times New Roman" w:eastAsia="宋体" w:cs="Times New Roman"/>
          <w:color w:val="auto"/>
          <w:highlight w:val="none"/>
        </w:rPr>
        <w:t>人。</w:t>
      </w:r>
      <w:r>
        <w:rPr>
          <w:rFonts w:hint="eastAsia" w:ascii="Times New Roman" w:hAnsi="Times New Roman" w:eastAsia="宋体" w:cs="Times New Roman"/>
          <w:color w:val="auto"/>
          <w:highlight w:val="none"/>
          <w:lang w:eastAsia="zh-CN"/>
        </w:rPr>
        <w:t>水井</w:t>
      </w:r>
      <w:r>
        <w:rPr>
          <w:rFonts w:hint="default" w:ascii="Times New Roman" w:hAnsi="Times New Roman" w:eastAsia="宋体" w:cs="Times New Roman"/>
          <w:color w:val="auto"/>
          <w:highlight w:val="none"/>
        </w:rPr>
        <w:t>2</w:t>
      </w:r>
      <w:r>
        <w:rPr>
          <w:rFonts w:hint="default" w:ascii="Times New Roman" w:hAnsi="Times New Roman" w:cs="Times New Roman"/>
          <w:color w:val="auto"/>
          <w:highlight w:val="none"/>
        </w:rPr>
        <w:t>0</w:t>
      </w:r>
      <w:r>
        <w:rPr>
          <w:rFonts w:hint="eastAsia" w:ascii="Times New Roman" w:hAnsi="Times New Roman" w:cs="Times New Roman"/>
          <w:color w:val="auto"/>
          <w:highlight w:val="none"/>
          <w:lang w:val="en-US" w:eastAsia="zh-CN"/>
        </w:rPr>
        <w:t>22</w:t>
      </w:r>
      <w:r>
        <w:rPr>
          <w:rFonts w:hint="default" w:ascii="Times New Roman" w:hAnsi="Times New Roman" w:cs="Times New Roman"/>
          <w:color w:val="auto"/>
          <w:highlight w:val="none"/>
        </w:rPr>
        <w:t>年开始建设，202</w:t>
      </w:r>
      <w:r>
        <w:rPr>
          <w:rFonts w:hint="eastAsia" w:ascii="Times New Roman" w:hAnsi="Times New Roman" w:cs="Times New Roman"/>
          <w:color w:val="auto"/>
          <w:highlight w:val="none"/>
          <w:lang w:val="en-US" w:eastAsia="zh-CN"/>
        </w:rPr>
        <w:t>3</w:t>
      </w:r>
      <w:r>
        <w:rPr>
          <w:rFonts w:hint="default" w:ascii="Times New Roman" w:hAnsi="Times New Roman" w:cs="Times New Roman"/>
          <w:color w:val="auto"/>
          <w:highlight w:val="none"/>
        </w:rPr>
        <w:t>年投入使用，现为在用水源，取水方式为潜水泵采水，水泵1用0备，每日供水24小时。</w:t>
      </w:r>
      <w:r>
        <w:rPr>
          <w:rFonts w:hint="eastAsia" w:ascii="Times New Roman" w:cs="Times New Roman"/>
          <w:color w:val="auto"/>
          <w:highlight w:val="none"/>
          <w:lang w:val="en-US" w:eastAsia="zh-CN"/>
        </w:rPr>
        <w:t>1#水井</w:t>
      </w:r>
      <w:r>
        <w:rPr>
          <w:rFonts w:hint="default" w:ascii="Times New Roman" w:hAnsi="Times New Roman" w:cs="Times New Roman"/>
          <w:color w:val="auto"/>
          <w:highlight w:val="none"/>
        </w:rPr>
        <w:t>取水</w:t>
      </w:r>
      <w:r>
        <w:rPr>
          <w:rFonts w:hint="eastAsia" w:ascii="Times New Roman" w:cs="Times New Roman"/>
          <w:color w:val="auto"/>
          <w:highlight w:val="none"/>
          <w:lang w:eastAsia="zh-CN"/>
        </w:rPr>
        <w:t>口位于水厂内；</w:t>
      </w:r>
      <w:r>
        <w:rPr>
          <w:rFonts w:hint="eastAsia" w:ascii="Times New Roman" w:cs="Times New Roman"/>
          <w:color w:val="auto"/>
          <w:highlight w:val="none"/>
          <w:lang w:val="en-US" w:eastAsia="zh-CN"/>
        </w:rPr>
        <w:t>2#</w:t>
      </w:r>
      <w:r>
        <w:rPr>
          <w:rFonts w:hint="eastAsia" w:cs="Times New Roman"/>
          <w:color w:val="auto"/>
          <w:highlight w:val="none"/>
          <w:lang w:val="en-US" w:eastAsia="zh-CN"/>
        </w:rPr>
        <w:t>水井</w:t>
      </w:r>
      <w:r>
        <w:rPr>
          <w:rFonts w:hint="default" w:ascii="Times New Roman" w:hAnsi="Times New Roman" w:cs="Times New Roman"/>
          <w:color w:val="auto"/>
          <w:highlight w:val="none"/>
        </w:rPr>
        <w:t>取水井</w:t>
      </w:r>
      <w:r>
        <w:rPr>
          <w:rFonts w:hint="eastAsia" w:cs="Times New Roman"/>
          <w:color w:val="auto"/>
          <w:highlight w:val="none"/>
          <w:lang w:eastAsia="zh-CN"/>
        </w:rPr>
        <w:t>口</w:t>
      </w:r>
      <w:r>
        <w:rPr>
          <w:rFonts w:hint="default" w:ascii="Times New Roman" w:hAnsi="Times New Roman" w:cs="Times New Roman"/>
          <w:color w:val="auto"/>
          <w:highlight w:val="none"/>
          <w:lang w:eastAsia="zh-CN"/>
        </w:rPr>
        <w:t>未设置井房，井</w:t>
      </w:r>
      <w:r>
        <w:rPr>
          <w:rFonts w:hint="default" w:ascii="Times New Roman" w:hAnsi="Times New Roman" w:cs="Times New Roman"/>
          <w:color w:val="auto"/>
          <w:highlight w:val="none"/>
        </w:rPr>
        <w:t>口封闭，外围安装围栏。</w:t>
      </w:r>
      <w:r>
        <w:rPr>
          <w:rFonts w:hint="eastAsia"/>
          <w:color w:val="auto"/>
          <w:sz w:val="24"/>
          <w:szCs w:val="24"/>
          <w:highlight w:val="none"/>
        </w:rPr>
        <w:t>取水井原水经</w:t>
      </w:r>
      <w:r>
        <w:rPr>
          <w:rFonts w:hint="eastAsia"/>
          <w:color w:val="auto"/>
          <w:szCs w:val="21"/>
          <w:highlight w:val="none"/>
        </w:rPr>
        <w:t>机械曝气→二级除铁除锰→二氧化氯</w:t>
      </w:r>
      <w:r>
        <w:rPr>
          <w:rFonts w:hint="eastAsia"/>
          <w:color w:val="auto"/>
          <w:szCs w:val="21"/>
          <w:highlight w:val="none"/>
          <w:lang w:eastAsia="zh-CN"/>
        </w:rPr>
        <w:t>消毒</w:t>
      </w:r>
      <w:r>
        <w:rPr>
          <w:rFonts w:hint="eastAsia"/>
          <w:color w:val="auto"/>
          <w:sz w:val="24"/>
          <w:szCs w:val="24"/>
          <w:highlight w:val="none"/>
        </w:rPr>
        <w:t>后通过现有输水管线供给服务范围内居民。</w:t>
      </w:r>
    </w:p>
    <w:p w14:paraId="2E26A790">
      <w:pPr>
        <w:ind w:firstLine="470"/>
        <w:rPr>
          <w:color w:val="auto"/>
          <w:highlight w:val="none"/>
        </w:rPr>
      </w:pPr>
      <w:r>
        <w:rPr>
          <w:rFonts w:hint="eastAsia"/>
          <w:color w:val="auto"/>
          <w:highlight w:val="none"/>
        </w:rPr>
        <w:t>水源地</w:t>
      </w:r>
      <w:bookmarkStart w:id="53" w:name="OLE_LINK32"/>
      <w:bookmarkStart w:id="54" w:name="OLE_LINK31"/>
      <w:r>
        <w:rPr>
          <w:rFonts w:hint="eastAsia"/>
          <w:color w:val="auto"/>
          <w:highlight w:val="none"/>
        </w:rPr>
        <w:t>取水井基本情况</w:t>
      </w:r>
      <w:bookmarkEnd w:id="53"/>
      <w:bookmarkEnd w:id="54"/>
      <w:r>
        <w:rPr>
          <w:rFonts w:hint="eastAsia"/>
          <w:color w:val="auto"/>
          <w:highlight w:val="none"/>
        </w:rPr>
        <w:t>详见</w:t>
      </w:r>
      <w:bookmarkStart w:id="55" w:name="OLE_LINK30"/>
      <w:r>
        <w:rPr>
          <w:rFonts w:hint="eastAsia"/>
          <w:color w:val="auto"/>
          <w:highlight w:val="none"/>
        </w:rPr>
        <w:t>表2-</w:t>
      </w:r>
      <w:bookmarkEnd w:id="55"/>
      <w:r>
        <w:rPr>
          <w:rFonts w:hint="eastAsia"/>
          <w:color w:val="auto"/>
          <w:highlight w:val="none"/>
          <w:lang w:val="en-US" w:eastAsia="zh-CN"/>
        </w:rPr>
        <w:t>6</w:t>
      </w:r>
      <w:r>
        <w:rPr>
          <w:rFonts w:hint="eastAsia"/>
          <w:color w:val="auto"/>
          <w:highlight w:val="none"/>
        </w:rPr>
        <w:t>，本次</w:t>
      </w:r>
      <w:r>
        <w:rPr>
          <w:rFonts w:hint="eastAsia"/>
          <w:color w:val="auto"/>
          <w:highlight w:val="none"/>
          <w:lang w:eastAsia="zh-CN"/>
        </w:rPr>
        <w:t>调整</w:t>
      </w:r>
      <w:r>
        <w:rPr>
          <w:rFonts w:hint="eastAsia"/>
          <w:color w:val="auto"/>
          <w:highlight w:val="none"/>
        </w:rPr>
        <w:t>取水井井口照片见图2-</w:t>
      </w:r>
      <w:r>
        <w:rPr>
          <w:rFonts w:hint="eastAsia"/>
          <w:color w:val="auto"/>
          <w:highlight w:val="none"/>
          <w:lang w:val="en-US" w:eastAsia="zh-CN"/>
        </w:rPr>
        <w:t>8</w:t>
      </w:r>
      <w:r>
        <w:rPr>
          <w:rFonts w:hint="eastAsia"/>
          <w:color w:val="auto"/>
          <w:highlight w:val="none"/>
        </w:rPr>
        <w:t>。</w:t>
      </w:r>
    </w:p>
    <w:tbl>
      <w:tblPr>
        <w:tblStyle w:val="2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86"/>
        <w:gridCol w:w="4587"/>
      </w:tblGrid>
      <w:tr w14:paraId="669767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86" w:type="dxa"/>
            <w:vAlign w:val="center"/>
          </w:tcPr>
          <w:p w14:paraId="73712C07">
            <w:pPr>
              <w:ind w:left="0" w:leftChars="0" w:firstLine="0" w:firstLineChars="0"/>
              <w:jc w:val="center"/>
              <w:rPr>
                <w:rFonts w:hint="eastAsia"/>
                <w:color w:val="auto"/>
                <w:sz w:val="21"/>
                <w:szCs w:val="21"/>
                <w:highlight w:val="none"/>
                <w:vertAlign w:val="baseline"/>
              </w:rPr>
            </w:pPr>
            <w:r>
              <w:rPr>
                <w:color w:val="auto"/>
                <w:sz w:val="21"/>
                <w:szCs w:val="21"/>
                <w:highlight w:val="none"/>
              </w:rPr>
              <w:drawing>
                <wp:inline distT="0" distB="0" distL="114300" distR="114300">
                  <wp:extent cx="2700020" cy="2328545"/>
                  <wp:effectExtent l="0" t="0" r="5080" b="14605"/>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27"/>
                          <a:stretch>
                            <a:fillRect/>
                          </a:stretch>
                        </pic:blipFill>
                        <pic:spPr>
                          <a:xfrm>
                            <a:off x="0" y="0"/>
                            <a:ext cx="2700020" cy="2328545"/>
                          </a:xfrm>
                          <a:prstGeom prst="rect">
                            <a:avLst/>
                          </a:prstGeom>
                          <a:noFill/>
                          <a:ln>
                            <a:noFill/>
                          </a:ln>
                        </pic:spPr>
                      </pic:pic>
                    </a:graphicData>
                  </a:graphic>
                </wp:inline>
              </w:drawing>
            </w:r>
          </w:p>
        </w:tc>
        <w:tc>
          <w:tcPr>
            <w:tcW w:w="4587" w:type="dxa"/>
            <w:vAlign w:val="center"/>
          </w:tcPr>
          <w:p w14:paraId="285CFB64">
            <w:pPr>
              <w:ind w:left="0" w:leftChars="0" w:firstLine="0" w:firstLineChars="0"/>
              <w:jc w:val="both"/>
              <w:rPr>
                <w:rFonts w:hint="eastAsia"/>
                <w:color w:val="auto"/>
                <w:sz w:val="21"/>
                <w:szCs w:val="21"/>
                <w:highlight w:val="none"/>
                <w:vertAlign w:val="baseline"/>
              </w:rPr>
            </w:pPr>
            <w:r>
              <w:rPr>
                <w:color w:val="auto"/>
                <w:sz w:val="21"/>
                <w:szCs w:val="21"/>
                <w:highlight w:val="none"/>
              </w:rPr>
              <w:drawing>
                <wp:inline distT="0" distB="0" distL="114300" distR="114300">
                  <wp:extent cx="2658110" cy="2331085"/>
                  <wp:effectExtent l="0" t="0" r="8890" b="12065"/>
                  <wp:docPr id="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pic:cNvPicPr>
                            <a:picLocks noChangeAspect="1"/>
                          </pic:cNvPicPr>
                        </pic:nvPicPr>
                        <pic:blipFill>
                          <a:blip r:embed="rId28"/>
                          <a:stretch>
                            <a:fillRect/>
                          </a:stretch>
                        </pic:blipFill>
                        <pic:spPr>
                          <a:xfrm>
                            <a:off x="0" y="0"/>
                            <a:ext cx="2658110" cy="2331085"/>
                          </a:xfrm>
                          <a:prstGeom prst="rect">
                            <a:avLst/>
                          </a:prstGeom>
                          <a:noFill/>
                          <a:ln>
                            <a:noFill/>
                          </a:ln>
                        </pic:spPr>
                      </pic:pic>
                    </a:graphicData>
                  </a:graphic>
                </wp:inline>
              </w:drawing>
            </w:r>
          </w:p>
        </w:tc>
      </w:tr>
      <w:tr w14:paraId="7FDF9B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86" w:type="dxa"/>
            <w:vAlign w:val="center"/>
          </w:tcPr>
          <w:p w14:paraId="04A60C1D">
            <w:pPr>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发展乡饮用水水源1#取水井</w:t>
            </w:r>
          </w:p>
        </w:tc>
        <w:tc>
          <w:tcPr>
            <w:tcW w:w="4587" w:type="dxa"/>
            <w:vAlign w:val="center"/>
          </w:tcPr>
          <w:p w14:paraId="5E7C6102">
            <w:pPr>
              <w:ind w:left="0" w:leftChars="0" w:firstLine="0" w:firstLineChars="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发展乡饮用水水源2#取水井</w:t>
            </w:r>
          </w:p>
        </w:tc>
      </w:tr>
      <w:tr w14:paraId="14946E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86" w:type="dxa"/>
            <w:vAlign w:val="center"/>
          </w:tcPr>
          <w:p w14:paraId="6A5A5449">
            <w:pPr>
              <w:ind w:left="0" w:leftChars="0" w:firstLine="0" w:firstLineChars="0"/>
              <w:jc w:val="center"/>
              <w:rPr>
                <w:rFonts w:hint="eastAsia"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drawing>
                <wp:inline distT="0" distB="0" distL="114300" distR="114300">
                  <wp:extent cx="2506980" cy="2353945"/>
                  <wp:effectExtent l="0" t="0" r="7620" b="8255"/>
                  <wp:docPr id="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3"/>
                          <pic:cNvPicPr>
                            <a:picLocks noChangeAspect="1"/>
                          </pic:cNvPicPr>
                        </pic:nvPicPr>
                        <pic:blipFill>
                          <a:blip r:embed="rId29"/>
                          <a:stretch>
                            <a:fillRect/>
                          </a:stretch>
                        </pic:blipFill>
                        <pic:spPr>
                          <a:xfrm>
                            <a:off x="0" y="0"/>
                            <a:ext cx="2506980" cy="2353945"/>
                          </a:xfrm>
                          <a:prstGeom prst="rect">
                            <a:avLst/>
                          </a:prstGeom>
                          <a:noFill/>
                          <a:ln>
                            <a:noFill/>
                          </a:ln>
                        </pic:spPr>
                      </pic:pic>
                    </a:graphicData>
                  </a:graphic>
                </wp:inline>
              </w:drawing>
            </w:r>
          </w:p>
        </w:tc>
        <w:tc>
          <w:tcPr>
            <w:tcW w:w="4587" w:type="dxa"/>
            <w:vAlign w:val="center"/>
          </w:tcPr>
          <w:p w14:paraId="5901F6BD">
            <w:pPr>
              <w:ind w:left="0" w:leftChars="0" w:firstLine="0" w:firstLineChars="0"/>
              <w:jc w:val="center"/>
              <w:rPr>
                <w:rFonts w:hint="eastAsia"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drawing>
                <wp:inline distT="0" distB="0" distL="114300" distR="114300">
                  <wp:extent cx="2385060" cy="2399665"/>
                  <wp:effectExtent l="0" t="0" r="15240" b="635"/>
                  <wp:docPr id="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4"/>
                          <pic:cNvPicPr>
                            <a:picLocks noChangeAspect="1"/>
                          </pic:cNvPicPr>
                        </pic:nvPicPr>
                        <pic:blipFill>
                          <a:blip r:embed="rId30"/>
                          <a:stretch>
                            <a:fillRect/>
                          </a:stretch>
                        </pic:blipFill>
                        <pic:spPr>
                          <a:xfrm>
                            <a:off x="0" y="0"/>
                            <a:ext cx="2385060" cy="2399665"/>
                          </a:xfrm>
                          <a:prstGeom prst="rect">
                            <a:avLst/>
                          </a:prstGeom>
                          <a:noFill/>
                          <a:ln>
                            <a:noFill/>
                          </a:ln>
                        </pic:spPr>
                      </pic:pic>
                    </a:graphicData>
                  </a:graphic>
                </wp:inline>
              </w:drawing>
            </w:r>
          </w:p>
        </w:tc>
      </w:tr>
      <w:tr w14:paraId="34E952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86" w:type="dxa"/>
            <w:vAlign w:val="center"/>
          </w:tcPr>
          <w:p w14:paraId="491BDB6E">
            <w:pPr>
              <w:ind w:left="0" w:leftChars="0" w:firstLine="0" w:firstLineChars="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发展乡饮用水水源3#取水井</w:t>
            </w:r>
          </w:p>
        </w:tc>
        <w:tc>
          <w:tcPr>
            <w:tcW w:w="4587" w:type="dxa"/>
            <w:vAlign w:val="center"/>
          </w:tcPr>
          <w:p w14:paraId="0725FB4A">
            <w:pPr>
              <w:ind w:left="0" w:leftChars="0" w:firstLine="0" w:firstLineChars="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发展乡饮用水水源4#取水井</w:t>
            </w:r>
          </w:p>
        </w:tc>
      </w:tr>
      <w:tr w14:paraId="129418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86" w:type="dxa"/>
            <w:vAlign w:val="center"/>
          </w:tcPr>
          <w:p w14:paraId="24E07300">
            <w:pPr>
              <w:ind w:left="0" w:leftChars="0" w:firstLine="0" w:firstLineChars="0"/>
              <w:jc w:val="center"/>
              <w:rPr>
                <w:rFonts w:hint="eastAsia"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drawing>
                <wp:inline distT="0" distB="0" distL="114300" distR="114300">
                  <wp:extent cx="2583815" cy="2300605"/>
                  <wp:effectExtent l="0" t="0" r="6985" b="4445"/>
                  <wp:docPr id="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5"/>
                          <pic:cNvPicPr>
                            <a:picLocks noChangeAspect="1"/>
                          </pic:cNvPicPr>
                        </pic:nvPicPr>
                        <pic:blipFill>
                          <a:blip r:embed="rId31"/>
                          <a:stretch>
                            <a:fillRect/>
                          </a:stretch>
                        </pic:blipFill>
                        <pic:spPr>
                          <a:xfrm>
                            <a:off x="0" y="0"/>
                            <a:ext cx="2583815" cy="2300605"/>
                          </a:xfrm>
                          <a:prstGeom prst="rect">
                            <a:avLst/>
                          </a:prstGeom>
                          <a:noFill/>
                          <a:ln>
                            <a:noFill/>
                          </a:ln>
                        </pic:spPr>
                      </pic:pic>
                    </a:graphicData>
                  </a:graphic>
                </wp:inline>
              </w:drawing>
            </w:r>
          </w:p>
        </w:tc>
        <w:tc>
          <w:tcPr>
            <w:tcW w:w="4587" w:type="dxa"/>
            <w:vAlign w:val="center"/>
          </w:tcPr>
          <w:p w14:paraId="6D617AB5">
            <w:pPr>
              <w:ind w:left="0" w:leftChars="0" w:firstLine="0" w:firstLineChars="0"/>
              <w:jc w:val="center"/>
              <w:rPr>
                <w:rFonts w:hint="eastAsia"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drawing>
                <wp:inline distT="0" distB="0" distL="114300" distR="114300">
                  <wp:extent cx="2428240" cy="2391410"/>
                  <wp:effectExtent l="0" t="0" r="10160" b="8890"/>
                  <wp:docPr id="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6"/>
                          <pic:cNvPicPr>
                            <a:picLocks noChangeAspect="1"/>
                          </pic:cNvPicPr>
                        </pic:nvPicPr>
                        <pic:blipFill>
                          <a:blip r:embed="rId32"/>
                          <a:stretch>
                            <a:fillRect/>
                          </a:stretch>
                        </pic:blipFill>
                        <pic:spPr>
                          <a:xfrm>
                            <a:off x="0" y="0"/>
                            <a:ext cx="2428240" cy="2391410"/>
                          </a:xfrm>
                          <a:prstGeom prst="rect">
                            <a:avLst/>
                          </a:prstGeom>
                          <a:noFill/>
                          <a:ln>
                            <a:noFill/>
                          </a:ln>
                        </pic:spPr>
                      </pic:pic>
                    </a:graphicData>
                  </a:graphic>
                </wp:inline>
              </w:drawing>
            </w:r>
          </w:p>
        </w:tc>
      </w:tr>
      <w:tr w14:paraId="3F15DE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86" w:type="dxa"/>
            <w:vAlign w:val="center"/>
          </w:tcPr>
          <w:p w14:paraId="3D72818F">
            <w:pPr>
              <w:ind w:left="0" w:leftChars="0" w:firstLine="0" w:firstLineChars="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发展乡饮用水水源5#取水井</w:t>
            </w:r>
          </w:p>
        </w:tc>
        <w:tc>
          <w:tcPr>
            <w:tcW w:w="4587" w:type="dxa"/>
            <w:vAlign w:val="center"/>
          </w:tcPr>
          <w:p w14:paraId="7CCCFE7F">
            <w:pPr>
              <w:ind w:left="0" w:leftChars="0" w:firstLine="0" w:firstLineChars="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发展乡饮用水水源6#取水井</w:t>
            </w:r>
          </w:p>
        </w:tc>
      </w:tr>
      <w:tr w14:paraId="107E26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86" w:type="dxa"/>
            <w:vAlign w:val="center"/>
          </w:tcPr>
          <w:p w14:paraId="363699EA">
            <w:pPr>
              <w:ind w:left="0" w:leftChars="0" w:firstLine="0" w:firstLineChars="0"/>
              <w:jc w:val="center"/>
              <w:rPr>
                <w:rFonts w:hint="eastAsia"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drawing>
                <wp:inline distT="0" distB="0" distL="114300" distR="114300">
                  <wp:extent cx="2162810" cy="2583815"/>
                  <wp:effectExtent l="0" t="0" r="8890" b="6985"/>
                  <wp:docPr id="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7"/>
                          <pic:cNvPicPr>
                            <a:picLocks noChangeAspect="1"/>
                          </pic:cNvPicPr>
                        </pic:nvPicPr>
                        <pic:blipFill>
                          <a:blip r:embed="rId33"/>
                          <a:stretch>
                            <a:fillRect/>
                          </a:stretch>
                        </pic:blipFill>
                        <pic:spPr>
                          <a:xfrm>
                            <a:off x="0" y="0"/>
                            <a:ext cx="2162810" cy="2583815"/>
                          </a:xfrm>
                          <a:prstGeom prst="rect">
                            <a:avLst/>
                          </a:prstGeom>
                          <a:noFill/>
                          <a:ln>
                            <a:noFill/>
                          </a:ln>
                        </pic:spPr>
                      </pic:pic>
                    </a:graphicData>
                  </a:graphic>
                </wp:inline>
              </w:drawing>
            </w:r>
          </w:p>
        </w:tc>
        <w:tc>
          <w:tcPr>
            <w:tcW w:w="4587" w:type="dxa"/>
            <w:vAlign w:val="center"/>
          </w:tcPr>
          <w:p w14:paraId="4CF3D746">
            <w:pPr>
              <w:ind w:left="0" w:leftChars="0" w:firstLine="0" w:firstLineChars="0"/>
              <w:jc w:val="center"/>
              <w:rPr>
                <w:rFonts w:hint="eastAsia"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drawing>
                <wp:inline distT="0" distB="0" distL="114300" distR="114300">
                  <wp:extent cx="2372360" cy="2520950"/>
                  <wp:effectExtent l="0" t="0" r="8890" b="12700"/>
                  <wp:docPr id="1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8"/>
                          <pic:cNvPicPr>
                            <a:picLocks noChangeAspect="1"/>
                          </pic:cNvPicPr>
                        </pic:nvPicPr>
                        <pic:blipFill>
                          <a:blip r:embed="rId34"/>
                          <a:stretch>
                            <a:fillRect/>
                          </a:stretch>
                        </pic:blipFill>
                        <pic:spPr>
                          <a:xfrm>
                            <a:off x="0" y="0"/>
                            <a:ext cx="2372360" cy="2520950"/>
                          </a:xfrm>
                          <a:prstGeom prst="rect">
                            <a:avLst/>
                          </a:prstGeom>
                          <a:noFill/>
                          <a:ln>
                            <a:noFill/>
                          </a:ln>
                        </pic:spPr>
                      </pic:pic>
                    </a:graphicData>
                  </a:graphic>
                </wp:inline>
              </w:drawing>
            </w:r>
          </w:p>
        </w:tc>
      </w:tr>
      <w:tr w14:paraId="6E6A2B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86" w:type="dxa"/>
            <w:vAlign w:val="center"/>
          </w:tcPr>
          <w:p w14:paraId="408D4698">
            <w:pPr>
              <w:ind w:left="0" w:leftChars="0" w:firstLine="0" w:firstLineChars="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发展乡饮用水水源7#取水井</w:t>
            </w:r>
          </w:p>
        </w:tc>
        <w:tc>
          <w:tcPr>
            <w:tcW w:w="4587" w:type="dxa"/>
            <w:vAlign w:val="center"/>
          </w:tcPr>
          <w:p w14:paraId="0941FFB8">
            <w:pPr>
              <w:ind w:left="0" w:leftChars="0" w:firstLine="0" w:firstLineChars="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发展乡饮用水水源8#取水井</w:t>
            </w:r>
          </w:p>
        </w:tc>
      </w:tr>
      <w:tr w14:paraId="7F21CA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86" w:type="dxa"/>
            <w:vAlign w:val="center"/>
          </w:tcPr>
          <w:p w14:paraId="1977BA29">
            <w:pPr>
              <w:ind w:left="0" w:leftChars="0" w:firstLine="0" w:firstLineChars="0"/>
              <w:jc w:val="center"/>
              <w:rPr>
                <w:rFonts w:hint="eastAsia" w:ascii="Times New Roman" w:hAnsi="Times New Roman" w:eastAsia="宋体" w:cs="Times New Roman"/>
                <w:color w:val="auto"/>
                <w:sz w:val="21"/>
                <w:szCs w:val="21"/>
                <w:highlight w:val="none"/>
                <w:lang w:val="en-US" w:eastAsia="zh-CN"/>
              </w:rPr>
            </w:pPr>
            <w:r>
              <w:rPr>
                <w:color w:val="auto"/>
                <w:sz w:val="21"/>
                <w:szCs w:val="21"/>
                <w:highlight w:val="none"/>
              </w:rPr>
              <w:drawing>
                <wp:inline distT="0" distB="0" distL="114300" distR="114300">
                  <wp:extent cx="2559685" cy="1835785"/>
                  <wp:effectExtent l="0" t="0" r="12065" b="12065"/>
                  <wp:docPr id="1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9"/>
                          <pic:cNvPicPr>
                            <a:picLocks noChangeAspect="1"/>
                          </pic:cNvPicPr>
                        </pic:nvPicPr>
                        <pic:blipFill>
                          <a:blip r:embed="rId35"/>
                          <a:stretch>
                            <a:fillRect/>
                          </a:stretch>
                        </pic:blipFill>
                        <pic:spPr>
                          <a:xfrm>
                            <a:off x="0" y="0"/>
                            <a:ext cx="2559685" cy="1835785"/>
                          </a:xfrm>
                          <a:prstGeom prst="rect">
                            <a:avLst/>
                          </a:prstGeom>
                          <a:noFill/>
                          <a:ln>
                            <a:noFill/>
                          </a:ln>
                        </pic:spPr>
                      </pic:pic>
                    </a:graphicData>
                  </a:graphic>
                </wp:inline>
              </w:drawing>
            </w:r>
          </w:p>
        </w:tc>
        <w:tc>
          <w:tcPr>
            <w:tcW w:w="4587" w:type="dxa"/>
            <w:vAlign w:val="center"/>
          </w:tcPr>
          <w:p w14:paraId="72F01FDE">
            <w:pPr>
              <w:ind w:left="0" w:leftChars="0" w:firstLine="0" w:firstLineChars="0"/>
              <w:jc w:val="center"/>
              <w:rPr>
                <w:rFonts w:hint="eastAsia" w:ascii="Times New Roman" w:hAnsi="Times New Roman" w:eastAsia="宋体" w:cs="Times New Roman"/>
                <w:color w:val="auto"/>
                <w:sz w:val="21"/>
                <w:szCs w:val="21"/>
                <w:highlight w:val="none"/>
                <w:lang w:val="en-US" w:eastAsia="zh-CN"/>
              </w:rPr>
            </w:pPr>
            <w:r>
              <w:rPr>
                <w:color w:val="auto"/>
                <w:sz w:val="21"/>
                <w:szCs w:val="21"/>
                <w:highlight w:val="none"/>
              </w:rPr>
              <w:drawing>
                <wp:inline distT="0" distB="0" distL="114300" distR="114300">
                  <wp:extent cx="2527300" cy="1869440"/>
                  <wp:effectExtent l="0" t="0" r="6350" b="16510"/>
                  <wp:docPr id="1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0"/>
                          <pic:cNvPicPr>
                            <a:picLocks noChangeAspect="1"/>
                          </pic:cNvPicPr>
                        </pic:nvPicPr>
                        <pic:blipFill>
                          <a:blip r:embed="rId36"/>
                          <a:stretch>
                            <a:fillRect/>
                          </a:stretch>
                        </pic:blipFill>
                        <pic:spPr>
                          <a:xfrm>
                            <a:off x="0" y="0"/>
                            <a:ext cx="2527300" cy="1869440"/>
                          </a:xfrm>
                          <a:prstGeom prst="rect">
                            <a:avLst/>
                          </a:prstGeom>
                          <a:noFill/>
                          <a:ln>
                            <a:noFill/>
                          </a:ln>
                        </pic:spPr>
                      </pic:pic>
                    </a:graphicData>
                  </a:graphic>
                </wp:inline>
              </w:drawing>
            </w:r>
          </w:p>
        </w:tc>
      </w:tr>
      <w:tr w14:paraId="07E1A7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86" w:type="dxa"/>
            <w:vAlign w:val="center"/>
          </w:tcPr>
          <w:p w14:paraId="39681339">
            <w:pPr>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建民乡饮用水水源1#取水井</w:t>
            </w:r>
          </w:p>
        </w:tc>
        <w:tc>
          <w:tcPr>
            <w:tcW w:w="4587" w:type="dxa"/>
            <w:vAlign w:val="center"/>
          </w:tcPr>
          <w:p w14:paraId="6EA4E44E">
            <w:pPr>
              <w:ind w:left="0" w:leftChars="0"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建民乡饮用水水源2#取水井</w:t>
            </w:r>
          </w:p>
        </w:tc>
      </w:tr>
      <w:tr w14:paraId="5B457A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86" w:type="dxa"/>
            <w:vAlign w:val="center"/>
          </w:tcPr>
          <w:p w14:paraId="7CA27CE6">
            <w:pPr>
              <w:ind w:left="0" w:leftChars="0" w:firstLine="0" w:firstLineChars="0"/>
              <w:jc w:val="center"/>
              <w:rPr>
                <w:rFonts w:hint="eastAsia" w:ascii="Times New Roman" w:hAnsi="Times New Roman" w:eastAsia="宋体" w:cs="Times New Roman"/>
                <w:color w:val="auto"/>
                <w:sz w:val="21"/>
                <w:szCs w:val="21"/>
                <w:highlight w:val="none"/>
                <w:lang w:val="en-US" w:eastAsia="zh-CN"/>
              </w:rPr>
            </w:pPr>
            <w:r>
              <w:rPr>
                <w:color w:val="auto"/>
                <w:sz w:val="21"/>
                <w:szCs w:val="21"/>
                <w:highlight w:val="none"/>
              </w:rPr>
              <w:drawing>
                <wp:inline distT="0" distB="0" distL="114300" distR="114300">
                  <wp:extent cx="2717800" cy="2143760"/>
                  <wp:effectExtent l="0" t="0" r="6350" b="8890"/>
                  <wp:docPr id="1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1"/>
                          <pic:cNvPicPr>
                            <a:picLocks noChangeAspect="1"/>
                          </pic:cNvPicPr>
                        </pic:nvPicPr>
                        <pic:blipFill>
                          <a:blip r:embed="rId37"/>
                          <a:stretch>
                            <a:fillRect/>
                          </a:stretch>
                        </pic:blipFill>
                        <pic:spPr>
                          <a:xfrm>
                            <a:off x="0" y="0"/>
                            <a:ext cx="2717800" cy="2143760"/>
                          </a:xfrm>
                          <a:prstGeom prst="rect">
                            <a:avLst/>
                          </a:prstGeom>
                          <a:noFill/>
                          <a:ln>
                            <a:noFill/>
                          </a:ln>
                        </pic:spPr>
                      </pic:pic>
                    </a:graphicData>
                  </a:graphic>
                </wp:inline>
              </w:drawing>
            </w:r>
          </w:p>
        </w:tc>
        <w:tc>
          <w:tcPr>
            <w:tcW w:w="4587" w:type="dxa"/>
            <w:vAlign w:val="center"/>
          </w:tcPr>
          <w:p w14:paraId="17C3F561">
            <w:pPr>
              <w:ind w:left="0" w:leftChars="0" w:firstLine="0" w:firstLineChars="0"/>
              <w:jc w:val="center"/>
              <w:rPr>
                <w:rFonts w:hint="eastAsia" w:ascii="Times New Roman" w:hAnsi="Times New Roman" w:eastAsia="宋体" w:cs="Times New Roman"/>
                <w:color w:val="auto"/>
                <w:sz w:val="21"/>
                <w:szCs w:val="21"/>
                <w:highlight w:val="none"/>
                <w:lang w:val="en-US" w:eastAsia="zh-CN"/>
              </w:rPr>
            </w:pPr>
            <w:r>
              <w:rPr>
                <w:color w:val="auto"/>
                <w:sz w:val="21"/>
                <w:szCs w:val="21"/>
                <w:highlight w:val="none"/>
              </w:rPr>
              <w:drawing>
                <wp:inline distT="0" distB="0" distL="114300" distR="114300">
                  <wp:extent cx="2813050" cy="2166620"/>
                  <wp:effectExtent l="0" t="0" r="6350" b="5080"/>
                  <wp:docPr id="1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3"/>
                          <pic:cNvPicPr>
                            <a:picLocks noChangeAspect="1"/>
                          </pic:cNvPicPr>
                        </pic:nvPicPr>
                        <pic:blipFill>
                          <a:blip r:embed="rId38"/>
                          <a:stretch>
                            <a:fillRect/>
                          </a:stretch>
                        </pic:blipFill>
                        <pic:spPr>
                          <a:xfrm>
                            <a:off x="0" y="0"/>
                            <a:ext cx="2813050" cy="2166620"/>
                          </a:xfrm>
                          <a:prstGeom prst="rect">
                            <a:avLst/>
                          </a:prstGeom>
                          <a:noFill/>
                          <a:ln>
                            <a:noFill/>
                          </a:ln>
                        </pic:spPr>
                      </pic:pic>
                    </a:graphicData>
                  </a:graphic>
                </wp:inline>
              </w:drawing>
            </w:r>
          </w:p>
        </w:tc>
      </w:tr>
      <w:tr w14:paraId="0CFF17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86" w:type="dxa"/>
            <w:vAlign w:val="center"/>
          </w:tcPr>
          <w:p w14:paraId="559D9D09">
            <w:pPr>
              <w:ind w:left="0" w:leftChars="0"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建民乡饮用水水源3#取水井</w:t>
            </w:r>
          </w:p>
        </w:tc>
        <w:tc>
          <w:tcPr>
            <w:tcW w:w="4587" w:type="dxa"/>
            <w:vAlign w:val="center"/>
          </w:tcPr>
          <w:p w14:paraId="3952E732">
            <w:pPr>
              <w:ind w:left="0" w:leftChars="0"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同乐镇饮用水水源1#取水井</w:t>
            </w:r>
          </w:p>
        </w:tc>
      </w:tr>
      <w:tr w14:paraId="7CC619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2" w:hRule="atLeast"/>
        </w:trPr>
        <w:tc>
          <w:tcPr>
            <w:tcW w:w="4586" w:type="dxa"/>
            <w:vAlign w:val="center"/>
          </w:tcPr>
          <w:p w14:paraId="2228AC44">
            <w:pPr>
              <w:ind w:left="0" w:leftChars="0" w:firstLine="0" w:firstLineChars="0"/>
              <w:jc w:val="both"/>
              <w:rPr>
                <w:rFonts w:hint="eastAsia" w:ascii="Times New Roman" w:hAnsi="Times New Roman" w:eastAsia="宋体" w:cs="Times New Roman"/>
                <w:color w:val="auto"/>
                <w:sz w:val="21"/>
                <w:szCs w:val="21"/>
                <w:highlight w:val="none"/>
                <w:lang w:val="en-US" w:eastAsia="zh-CN"/>
              </w:rPr>
            </w:pPr>
            <w:r>
              <w:rPr>
                <w:color w:val="auto"/>
                <w:sz w:val="21"/>
                <w:szCs w:val="21"/>
                <w:highlight w:val="none"/>
              </w:rPr>
              <w:drawing>
                <wp:inline distT="0" distB="0" distL="114300" distR="114300">
                  <wp:extent cx="2756535" cy="2109470"/>
                  <wp:effectExtent l="0" t="0" r="5715" b="5080"/>
                  <wp:docPr id="1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4"/>
                          <pic:cNvPicPr>
                            <a:picLocks noChangeAspect="1"/>
                          </pic:cNvPicPr>
                        </pic:nvPicPr>
                        <pic:blipFill>
                          <a:blip r:embed="rId39"/>
                          <a:stretch>
                            <a:fillRect/>
                          </a:stretch>
                        </pic:blipFill>
                        <pic:spPr>
                          <a:xfrm>
                            <a:off x="0" y="0"/>
                            <a:ext cx="2756535" cy="2109470"/>
                          </a:xfrm>
                          <a:prstGeom prst="rect">
                            <a:avLst/>
                          </a:prstGeom>
                          <a:noFill/>
                          <a:ln>
                            <a:noFill/>
                          </a:ln>
                        </pic:spPr>
                      </pic:pic>
                    </a:graphicData>
                  </a:graphic>
                </wp:inline>
              </w:drawing>
            </w:r>
          </w:p>
        </w:tc>
        <w:tc>
          <w:tcPr>
            <w:tcW w:w="4587" w:type="dxa"/>
            <w:vAlign w:val="center"/>
          </w:tcPr>
          <w:p w14:paraId="7250C50C">
            <w:pPr>
              <w:ind w:left="0" w:leftChars="0" w:firstLine="0" w:firstLineChars="0"/>
              <w:jc w:val="center"/>
              <w:rPr>
                <w:rFonts w:hint="eastAsia" w:ascii="Times New Roman" w:hAnsi="Times New Roman" w:eastAsia="宋体" w:cs="Times New Roman"/>
                <w:color w:val="auto"/>
                <w:sz w:val="21"/>
                <w:szCs w:val="21"/>
                <w:highlight w:val="none"/>
                <w:lang w:val="en-US" w:eastAsia="zh-CN"/>
              </w:rPr>
            </w:pPr>
            <w:r>
              <w:rPr>
                <w:color w:val="auto"/>
                <w:sz w:val="21"/>
                <w:szCs w:val="21"/>
                <w:highlight w:val="none"/>
              </w:rPr>
              <w:drawing>
                <wp:inline distT="0" distB="0" distL="114300" distR="114300">
                  <wp:extent cx="2750185" cy="2303145"/>
                  <wp:effectExtent l="0" t="0" r="12065" b="1905"/>
                  <wp:docPr id="2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5"/>
                          <pic:cNvPicPr>
                            <a:picLocks noChangeAspect="1"/>
                          </pic:cNvPicPr>
                        </pic:nvPicPr>
                        <pic:blipFill>
                          <a:blip r:embed="rId40"/>
                          <a:stretch>
                            <a:fillRect/>
                          </a:stretch>
                        </pic:blipFill>
                        <pic:spPr>
                          <a:xfrm>
                            <a:off x="0" y="0"/>
                            <a:ext cx="2750185" cy="2303145"/>
                          </a:xfrm>
                          <a:prstGeom prst="rect">
                            <a:avLst/>
                          </a:prstGeom>
                          <a:noFill/>
                          <a:ln>
                            <a:noFill/>
                          </a:ln>
                        </pic:spPr>
                      </pic:pic>
                    </a:graphicData>
                  </a:graphic>
                </wp:inline>
              </w:drawing>
            </w:r>
          </w:p>
        </w:tc>
      </w:tr>
      <w:tr w14:paraId="6841E2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86" w:type="dxa"/>
            <w:vAlign w:val="center"/>
          </w:tcPr>
          <w:p w14:paraId="72C61FAC">
            <w:pPr>
              <w:ind w:left="0" w:leftChars="0"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同乐镇饮用水水源2#取水井</w:t>
            </w:r>
          </w:p>
        </w:tc>
        <w:tc>
          <w:tcPr>
            <w:tcW w:w="4587" w:type="dxa"/>
            <w:vAlign w:val="center"/>
          </w:tcPr>
          <w:p w14:paraId="0A71047C">
            <w:pPr>
              <w:ind w:left="0" w:leftChars="0"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同乐镇饮用水水源3#取水井</w:t>
            </w:r>
          </w:p>
        </w:tc>
      </w:tr>
      <w:tr w14:paraId="7921ED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86" w:type="dxa"/>
            <w:vAlign w:val="center"/>
          </w:tcPr>
          <w:p w14:paraId="27E1B1EB">
            <w:pPr>
              <w:ind w:left="0" w:leftChars="0" w:firstLine="0" w:firstLineChars="0"/>
              <w:jc w:val="center"/>
              <w:rPr>
                <w:rFonts w:hint="eastAsia" w:ascii="Times New Roman" w:hAnsi="Times New Roman" w:eastAsia="宋体" w:cs="Times New Roman"/>
                <w:color w:val="auto"/>
                <w:sz w:val="21"/>
                <w:szCs w:val="21"/>
                <w:highlight w:val="none"/>
                <w:lang w:val="en-US" w:eastAsia="zh-CN"/>
              </w:rPr>
            </w:pPr>
            <w:r>
              <w:rPr>
                <w:color w:val="auto"/>
                <w:sz w:val="21"/>
                <w:szCs w:val="21"/>
                <w:highlight w:val="none"/>
              </w:rPr>
              <w:drawing>
                <wp:inline distT="0" distB="0" distL="114300" distR="114300">
                  <wp:extent cx="2728595" cy="2423160"/>
                  <wp:effectExtent l="0" t="0" r="14605" b="15240"/>
                  <wp:docPr id="4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8"/>
                          <pic:cNvPicPr>
                            <a:picLocks noChangeAspect="1"/>
                          </pic:cNvPicPr>
                        </pic:nvPicPr>
                        <pic:blipFill>
                          <a:blip r:embed="rId41"/>
                          <a:stretch>
                            <a:fillRect/>
                          </a:stretch>
                        </pic:blipFill>
                        <pic:spPr>
                          <a:xfrm>
                            <a:off x="0" y="0"/>
                            <a:ext cx="2728595" cy="2423160"/>
                          </a:xfrm>
                          <a:prstGeom prst="rect">
                            <a:avLst/>
                          </a:prstGeom>
                          <a:noFill/>
                          <a:ln>
                            <a:noFill/>
                          </a:ln>
                        </pic:spPr>
                      </pic:pic>
                    </a:graphicData>
                  </a:graphic>
                </wp:inline>
              </w:drawing>
            </w:r>
          </w:p>
        </w:tc>
        <w:tc>
          <w:tcPr>
            <w:tcW w:w="4587" w:type="dxa"/>
            <w:vAlign w:val="center"/>
          </w:tcPr>
          <w:p w14:paraId="42BB2ADC">
            <w:pPr>
              <w:ind w:left="0" w:leftChars="0" w:firstLine="0" w:firstLineChars="0"/>
              <w:jc w:val="center"/>
              <w:rPr>
                <w:rFonts w:hint="eastAsia" w:ascii="Times New Roman" w:hAnsi="Times New Roman" w:eastAsia="宋体" w:cs="Times New Roman"/>
                <w:color w:val="auto"/>
                <w:sz w:val="21"/>
                <w:szCs w:val="21"/>
                <w:highlight w:val="none"/>
                <w:lang w:val="en-US" w:eastAsia="zh-CN"/>
              </w:rPr>
            </w:pPr>
            <w:r>
              <w:rPr>
                <w:color w:val="auto"/>
                <w:sz w:val="21"/>
                <w:szCs w:val="21"/>
                <w:highlight w:val="none"/>
              </w:rPr>
              <w:drawing>
                <wp:inline distT="0" distB="0" distL="114300" distR="114300">
                  <wp:extent cx="2780030" cy="2073275"/>
                  <wp:effectExtent l="0" t="0" r="1270" b="3175"/>
                  <wp:docPr id="47"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9"/>
                          <pic:cNvPicPr>
                            <a:picLocks noChangeAspect="1"/>
                          </pic:cNvPicPr>
                        </pic:nvPicPr>
                        <pic:blipFill>
                          <a:blip r:embed="rId42"/>
                          <a:stretch>
                            <a:fillRect/>
                          </a:stretch>
                        </pic:blipFill>
                        <pic:spPr>
                          <a:xfrm>
                            <a:off x="0" y="0"/>
                            <a:ext cx="2780030" cy="2073275"/>
                          </a:xfrm>
                          <a:prstGeom prst="rect">
                            <a:avLst/>
                          </a:prstGeom>
                          <a:noFill/>
                          <a:ln>
                            <a:noFill/>
                          </a:ln>
                        </pic:spPr>
                      </pic:pic>
                    </a:graphicData>
                  </a:graphic>
                </wp:inline>
              </w:drawing>
            </w:r>
          </w:p>
        </w:tc>
      </w:tr>
      <w:tr w14:paraId="0D5B37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86" w:type="dxa"/>
            <w:vAlign w:val="center"/>
          </w:tcPr>
          <w:p w14:paraId="0D62CA63">
            <w:pPr>
              <w:ind w:left="0" w:leftChars="0"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柳河镇饮用水水源1#取水井</w:t>
            </w:r>
          </w:p>
        </w:tc>
        <w:tc>
          <w:tcPr>
            <w:tcW w:w="4587" w:type="dxa"/>
            <w:vAlign w:val="center"/>
          </w:tcPr>
          <w:p w14:paraId="6BB0AE2F">
            <w:pPr>
              <w:ind w:left="0" w:leftChars="0"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柳河镇饮用水水源2#取水井</w:t>
            </w:r>
          </w:p>
        </w:tc>
      </w:tr>
      <w:tr w14:paraId="1E66CF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86" w:type="dxa"/>
            <w:vAlign w:val="center"/>
          </w:tcPr>
          <w:p w14:paraId="31925BD1">
            <w:pPr>
              <w:ind w:left="0" w:leftChars="0" w:firstLine="0" w:firstLineChars="0"/>
              <w:jc w:val="center"/>
              <w:rPr>
                <w:rFonts w:hint="eastAsia" w:ascii="Times New Roman" w:hAnsi="Times New Roman" w:eastAsia="宋体" w:cs="Times New Roman"/>
                <w:color w:val="auto"/>
                <w:sz w:val="21"/>
                <w:szCs w:val="21"/>
                <w:highlight w:val="none"/>
                <w:lang w:val="en-US" w:eastAsia="zh-CN"/>
              </w:rPr>
            </w:pPr>
            <w:r>
              <w:rPr>
                <w:color w:val="auto"/>
                <w:sz w:val="21"/>
                <w:szCs w:val="21"/>
                <w:highlight w:val="none"/>
              </w:rPr>
              <w:drawing>
                <wp:inline distT="0" distB="0" distL="114300" distR="114300">
                  <wp:extent cx="2585720" cy="2078355"/>
                  <wp:effectExtent l="0" t="0" r="5080" b="17145"/>
                  <wp:docPr id="51"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20"/>
                          <pic:cNvPicPr>
                            <a:picLocks noChangeAspect="1"/>
                          </pic:cNvPicPr>
                        </pic:nvPicPr>
                        <pic:blipFill>
                          <a:blip r:embed="rId43"/>
                          <a:stretch>
                            <a:fillRect/>
                          </a:stretch>
                        </pic:blipFill>
                        <pic:spPr>
                          <a:xfrm>
                            <a:off x="0" y="0"/>
                            <a:ext cx="2585720" cy="2078355"/>
                          </a:xfrm>
                          <a:prstGeom prst="rect">
                            <a:avLst/>
                          </a:prstGeom>
                          <a:noFill/>
                          <a:ln>
                            <a:noFill/>
                          </a:ln>
                        </pic:spPr>
                      </pic:pic>
                    </a:graphicData>
                  </a:graphic>
                </wp:inline>
              </w:drawing>
            </w:r>
          </w:p>
        </w:tc>
        <w:tc>
          <w:tcPr>
            <w:tcW w:w="4587" w:type="dxa"/>
            <w:vAlign w:val="center"/>
          </w:tcPr>
          <w:p w14:paraId="3BD6D3F9">
            <w:pPr>
              <w:ind w:left="0" w:leftChars="0" w:firstLine="0" w:firstLineChars="0"/>
              <w:jc w:val="center"/>
              <w:rPr>
                <w:rFonts w:hint="eastAsia" w:ascii="Times New Roman" w:hAnsi="Times New Roman" w:eastAsia="宋体" w:cs="Times New Roman"/>
                <w:color w:val="auto"/>
                <w:sz w:val="21"/>
                <w:szCs w:val="21"/>
                <w:highlight w:val="none"/>
                <w:lang w:val="en-US" w:eastAsia="zh-CN"/>
              </w:rPr>
            </w:pPr>
            <w:r>
              <w:rPr>
                <w:color w:val="auto"/>
                <w:sz w:val="21"/>
                <w:szCs w:val="21"/>
                <w:highlight w:val="none"/>
              </w:rPr>
              <w:drawing>
                <wp:inline distT="0" distB="0" distL="114300" distR="114300">
                  <wp:extent cx="2668905" cy="2360295"/>
                  <wp:effectExtent l="0" t="0" r="17145" b="1905"/>
                  <wp:docPr id="6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21"/>
                          <pic:cNvPicPr>
                            <a:picLocks noChangeAspect="1"/>
                          </pic:cNvPicPr>
                        </pic:nvPicPr>
                        <pic:blipFill>
                          <a:blip r:embed="rId44"/>
                          <a:stretch>
                            <a:fillRect/>
                          </a:stretch>
                        </pic:blipFill>
                        <pic:spPr>
                          <a:xfrm>
                            <a:off x="0" y="0"/>
                            <a:ext cx="2668905" cy="2360295"/>
                          </a:xfrm>
                          <a:prstGeom prst="rect">
                            <a:avLst/>
                          </a:prstGeom>
                          <a:noFill/>
                          <a:ln>
                            <a:noFill/>
                          </a:ln>
                        </pic:spPr>
                      </pic:pic>
                    </a:graphicData>
                  </a:graphic>
                </wp:inline>
              </w:drawing>
            </w:r>
          </w:p>
        </w:tc>
      </w:tr>
      <w:tr w14:paraId="6CCEFB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86" w:type="dxa"/>
            <w:vAlign w:val="center"/>
          </w:tcPr>
          <w:p w14:paraId="631353C4">
            <w:pPr>
              <w:ind w:left="0" w:leftChars="0"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柳河镇饮用水水源3#取水井</w:t>
            </w:r>
          </w:p>
        </w:tc>
        <w:tc>
          <w:tcPr>
            <w:tcW w:w="4587" w:type="dxa"/>
            <w:vAlign w:val="center"/>
          </w:tcPr>
          <w:p w14:paraId="4B320BF2">
            <w:pPr>
              <w:ind w:left="0" w:leftChars="0"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柳河镇饮用水水源4#取水井</w:t>
            </w:r>
          </w:p>
        </w:tc>
      </w:tr>
      <w:tr w14:paraId="5A83B5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86" w:type="dxa"/>
            <w:vAlign w:val="center"/>
          </w:tcPr>
          <w:p w14:paraId="7F93A78C">
            <w:pPr>
              <w:ind w:left="0" w:leftChars="0" w:firstLine="0" w:firstLineChars="0"/>
              <w:jc w:val="center"/>
              <w:rPr>
                <w:rFonts w:hint="eastAsia" w:ascii="Times New Roman" w:hAnsi="Times New Roman" w:eastAsia="宋体" w:cs="Times New Roman"/>
                <w:color w:val="auto"/>
                <w:sz w:val="21"/>
                <w:szCs w:val="21"/>
                <w:highlight w:val="none"/>
                <w:lang w:val="en-US" w:eastAsia="zh-CN"/>
              </w:rPr>
            </w:pPr>
            <w:r>
              <w:rPr>
                <w:color w:val="auto"/>
                <w:sz w:val="21"/>
                <w:szCs w:val="21"/>
                <w:highlight w:val="none"/>
              </w:rPr>
              <w:drawing>
                <wp:inline distT="0" distB="0" distL="114300" distR="114300">
                  <wp:extent cx="2806700" cy="2267585"/>
                  <wp:effectExtent l="0" t="0" r="12700" b="18415"/>
                  <wp:docPr id="6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22"/>
                          <pic:cNvPicPr>
                            <a:picLocks noChangeAspect="1"/>
                          </pic:cNvPicPr>
                        </pic:nvPicPr>
                        <pic:blipFill>
                          <a:blip r:embed="rId45"/>
                          <a:stretch>
                            <a:fillRect/>
                          </a:stretch>
                        </pic:blipFill>
                        <pic:spPr>
                          <a:xfrm>
                            <a:off x="0" y="0"/>
                            <a:ext cx="2806700" cy="2267585"/>
                          </a:xfrm>
                          <a:prstGeom prst="rect">
                            <a:avLst/>
                          </a:prstGeom>
                          <a:noFill/>
                          <a:ln>
                            <a:noFill/>
                          </a:ln>
                        </pic:spPr>
                      </pic:pic>
                    </a:graphicData>
                  </a:graphic>
                </wp:inline>
              </w:drawing>
            </w:r>
          </w:p>
        </w:tc>
        <w:tc>
          <w:tcPr>
            <w:tcW w:w="4587" w:type="dxa"/>
            <w:vAlign w:val="center"/>
          </w:tcPr>
          <w:p w14:paraId="73825881">
            <w:pPr>
              <w:ind w:left="0" w:leftChars="0" w:firstLine="0" w:firstLineChars="0"/>
              <w:jc w:val="center"/>
              <w:rPr>
                <w:rFonts w:hint="eastAsia" w:ascii="Times New Roman" w:hAnsi="Times New Roman" w:eastAsia="宋体" w:cs="Times New Roman"/>
                <w:color w:val="auto"/>
                <w:sz w:val="21"/>
                <w:szCs w:val="21"/>
                <w:highlight w:val="none"/>
                <w:lang w:val="en-US" w:eastAsia="zh-CN"/>
              </w:rPr>
            </w:pPr>
            <w:r>
              <w:rPr>
                <w:color w:val="auto"/>
                <w:sz w:val="21"/>
                <w:szCs w:val="21"/>
                <w:highlight w:val="none"/>
              </w:rPr>
              <w:drawing>
                <wp:inline distT="0" distB="0" distL="114300" distR="114300">
                  <wp:extent cx="2378075" cy="2141220"/>
                  <wp:effectExtent l="0" t="0" r="3175" b="11430"/>
                  <wp:docPr id="71"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28"/>
                          <pic:cNvPicPr>
                            <a:picLocks noChangeAspect="1"/>
                          </pic:cNvPicPr>
                        </pic:nvPicPr>
                        <pic:blipFill>
                          <a:blip r:embed="rId46"/>
                          <a:stretch>
                            <a:fillRect/>
                          </a:stretch>
                        </pic:blipFill>
                        <pic:spPr>
                          <a:xfrm>
                            <a:off x="0" y="0"/>
                            <a:ext cx="2378075" cy="2141220"/>
                          </a:xfrm>
                          <a:prstGeom prst="rect">
                            <a:avLst/>
                          </a:prstGeom>
                          <a:noFill/>
                          <a:ln>
                            <a:noFill/>
                          </a:ln>
                        </pic:spPr>
                      </pic:pic>
                    </a:graphicData>
                  </a:graphic>
                </wp:inline>
              </w:drawing>
            </w:r>
          </w:p>
        </w:tc>
      </w:tr>
      <w:tr w14:paraId="077BD2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86" w:type="dxa"/>
            <w:vAlign w:val="center"/>
          </w:tcPr>
          <w:p w14:paraId="7C6873E1">
            <w:pPr>
              <w:ind w:left="0" w:leftChars="0"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柳河镇饮用水水源5#取水井</w:t>
            </w:r>
          </w:p>
        </w:tc>
        <w:tc>
          <w:tcPr>
            <w:tcW w:w="4587" w:type="dxa"/>
            <w:vAlign w:val="center"/>
          </w:tcPr>
          <w:p w14:paraId="29EA1D00">
            <w:pPr>
              <w:ind w:left="0" w:leftChars="0"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丰收乡饮用水水源1#取水井（水厂内）</w:t>
            </w:r>
          </w:p>
        </w:tc>
      </w:tr>
      <w:tr w14:paraId="40B3DC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86" w:type="dxa"/>
            <w:vAlign w:val="center"/>
          </w:tcPr>
          <w:p w14:paraId="278A23AC">
            <w:pPr>
              <w:ind w:left="0" w:leftChars="0" w:firstLine="0" w:firstLineChars="0"/>
              <w:jc w:val="center"/>
              <w:rPr>
                <w:rFonts w:hint="eastAsia" w:ascii="Times New Roman" w:hAnsi="Times New Roman" w:eastAsia="宋体" w:cs="Times New Roman"/>
                <w:color w:val="auto"/>
                <w:sz w:val="21"/>
                <w:szCs w:val="21"/>
                <w:highlight w:val="none"/>
                <w:lang w:val="en-US" w:eastAsia="zh-CN"/>
              </w:rPr>
            </w:pPr>
            <w:r>
              <w:rPr>
                <w:color w:val="auto"/>
                <w:sz w:val="21"/>
                <w:szCs w:val="21"/>
                <w:highlight w:val="none"/>
              </w:rPr>
              <w:drawing>
                <wp:inline distT="0" distB="0" distL="114300" distR="114300">
                  <wp:extent cx="2753995" cy="2111375"/>
                  <wp:effectExtent l="0" t="0" r="8255" b="3175"/>
                  <wp:docPr id="72"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29"/>
                          <pic:cNvPicPr>
                            <a:picLocks noChangeAspect="1"/>
                          </pic:cNvPicPr>
                        </pic:nvPicPr>
                        <pic:blipFill>
                          <a:blip r:embed="rId47"/>
                          <a:stretch>
                            <a:fillRect/>
                          </a:stretch>
                        </pic:blipFill>
                        <pic:spPr>
                          <a:xfrm>
                            <a:off x="0" y="0"/>
                            <a:ext cx="2753995" cy="2111375"/>
                          </a:xfrm>
                          <a:prstGeom prst="rect">
                            <a:avLst/>
                          </a:prstGeom>
                          <a:noFill/>
                          <a:ln>
                            <a:noFill/>
                          </a:ln>
                        </pic:spPr>
                      </pic:pic>
                    </a:graphicData>
                  </a:graphic>
                </wp:inline>
              </w:drawing>
            </w:r>
          </w:p>
        </w:tc>
        <w:tc>
          <w:tcPr>
            <w:tcW w:w="4587" w:type="dxa"/>
            <w:vAlign w:val="center"/>
          </w:tcPr>
          <w:p w14:paraId="48654FCD">
            <w:pPr>
              <w:ind w:left="0" w:leftChars="0" w:firstLine="0" w:firstLineChars="0"/>
              <w:jc w:val="center"/>
              <w:rPr>
                <w:rFonts w:hint="eastAsia" w:ascii="Times New Roman" w:hAnsi="Times New Roman" w:eastAsia="宋体" w:cs="Times New Roman"/>
                <w:color w:val="auto"/>
                <w:sz w:val="21"/>
                <w:szCs w:val="21"/>
                <w:highlight w:val="none"/>
                <w:lang w:val="en-US" w:eastAsia="zh-CN"/>
              </w:rPr>
            </w:pPr>
            <w:r>
              <w:rPr>
                <w:color w:val="auto"/>
                <w:sz w:val="21"/>
                <w:szCs w:val="21"/>
                <w:highlight w:val="none"/>
              </w:rPr>
              <w:drawing>
                <wp:inline distT="0" distB="0" distL="114300" distR="114300">
                  <wp:extent cx="2795270" cy="2056765"/>
                  <wp:effectExtent l="0" t="0" r="5080" b="635"/>
                  <wp:docPr id="73"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30"/>
                          <pic:cNvPicPr>
                            <a:picLocks noChangeAspect="1"/>
                          </pic:cNvPicPr>
                        </pic:nvPicPr>
                        <pic:blipFill>
                          <a:blip r:embed="rId48"/>
                          <a:stretch>
                            <a:fillRect/>
                          </a:stretch>
                        </pic:blipFill>
                        <pic:spPr>
                          <a:xfrm>
                            <a:off x="0" y="0"/>
                            <a:ext cx="2795270" cy="2056765"/>
                          </a:xfrm>
                          <a:prstGeom prst="rect">
                            <a:avLst/>
                          </a:prstGeom>
                          <a:noFill/>
                          <a:ln>
                            <a:noFill/>
                          </a:ln>
                        </pic:spPr>
                      </pic:pic>
                    </a:graphicData>
                  </a:graphic>
                </wp:inline>
              </w:drawing>
            </w:r>
          </w:p>
        </w:tc>
      </w:tr>
      <w:tr w14:paraId="616A4D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86" w:type="dxa"/>
            <w:vAlign w:val="center"/>
          </w:tcPr>
          <w:p w14:paraId="7ECF1873">
            <w:pPr>
              <w:ind w:left="0" w:leftChars="0" w:firstLine="412" w:firstLineChars="20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丰收乡饮用水水源2#取水井</w:t>
            </w:r>
          </w:p>
        </w:tc>
        <w:tc>
          <w:tcPr>
            <w:tcW w:w="4587" w:type="dxa"/>
            <w:vAlign w:val="center"/>
          </w:tcPr>
          <w:p w14:paraId="453DB1E7">
            <w:pPr>
              <w:ind w:left="0" w:leftChars="0" w:firstLine="412" w:firstLineChars="20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丰收乡饮用水水源3#取水井</w:t>
            </w:r>
          </w:p>
        </w:tc>
      </w:tr>
      <w:tr w14:paraId="60D1FE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86" w:type="dxa"/>
            <w:vAlign w:val="center"/>
          </w:tcPr>
          <w:p w14:paraId="454D12D1">
            <w:pPr>
              <w:ind w:left="0" w:leftChars="0" w:firstLine="0" w:firstLineChars="0"/>
              <w:jc w:val="center"/>
              <w:rPr>
                <w:rFonts w:hint="eastAsia" w:ascii="Times New Roman" w:hAnsi="Times New Roman" w:eastAsia="宋体" w:cs="Times New Roman"/>
                <w:color w:val="auto"/>
                <w:sz w:val="21"/>
                <w:szCs w:val="21"/>
                <w:highlight w:val="none"/>
                <w:lang w:val="en-US" w:eastAsia="zh-CN"/>
              </w:rPr>
            </w:pPr>
            <w:r>
              <w:rPr>
                <w:color w:val="auto"/>
                <w:sz w:val="21"/>
                <w:szCs w:val="21"/>
                <w:highlight w:val="none"/>
              </w:rPr>
              <w:drawing>
                <wp:inline distT="0" distB="0" distL="114300" distR="114300">
                  <wp:extent cx="2697480" cy="2129155"/>
                  <wp:effectExtent l="0" t="0" r="7620" b="4445"/>
                  <wp:docPr id="3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3"/>
                          <pic:cNvPicPr>
                            <a:picLocks noChangeAspect="1"/>
                          </pic:cNvPicPr>
                        </pic:nvPicPr>
                        <pic:blipFill>
                          <a:blip r:embed="rId49"/>
                          <a:stretch>
                            <a:fillRect/>
                          </a:stretch>
                        </pic:blipFill>
                        <pic:spPr>
                          <a:xfrm>
                            <a:off x="0" y="0"/>
                            <a:ext cx="2697480" cy="2129155"/>
                          </a:xfrm>
                          <a:prstGeom prst="rect">
                            <a:avLst/>
                          </a:prstGeom>
                          <a:noFill/>
                          <a:ln>
                            <a:noFill/>
                          </a:ln>
                        </pic:spPr>
                      </pic:pic>
                    </a:graphicData>
                  </a:graphic>
                </wp:inline>
              </w:drawing>
            </w:r>
          </w:p>
        </w:tc>
        <w:tc>
          <w:tcPr>
            <w:tcW w:w="4587" w:type="dxa"/>
            <w:vAlign w:val="center"/>
          </w:tcPr>
          <w:p w14:paraId="65B18FDB">
            <w:pPr>
              <w:ind w:left="0" w:leftChars="0" w:firstLine="0" w:firstLineChars="0"/>
              <w:jc w:val="center"/>
              <w:rPr>
                <w:rFonts w:hint="eastAsia" w:ascii="Times New Roman" w:hAnsi="Times New Roman" w:eastAsia="宋体" w:cs="Times New Roman"/>
                <w:color w:val="auto"/>
                <w:sz w:val="21"/>
                <w:szCs w:val="21"/>
                <w:highlight w:val="none"/>
                <w:lang w:val="en-US" w:eastAsia="zh-CN"/>
              </w:rPr>
            </w:pPr>
            <w:r>
              <w:rPr>
                <w:color w:val="auto"/>
                <w:sz w:val="21"/>
                <w:szCs w:val="21"/>
                <w:highlight w:val="none"/>
              </w:rPr>
              <w:drawing>
                <wp:inline distT="0" distB="0" distL="114300" distR="114300">
                  <wp:extent cx="2567940" cy="2349500"/>
                  <wp:effectExtent l="0" t="0" r="3810" b="12700"/>
                  <wp:docPr id="3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4"/>
                          <pic:cNvPicPr>
                            <a:picLocks noChangeAspect="1"/>
                          </pic:cNvPicPr>
                        </pic:nvPicPr>
                        <pic:blipFill>
                          <a:blip r:embed="rId50"/>
                          <a:stretch>
                            <a:fillRect/>
                          </a:stretch>
                        </pic:blipFill>
                        <pic:spPr>
                          <a:xfrm>
                            <a:off x="0" y="0"/>
                            <a:ext cx="2567940" cy="2349500"/>
                          </a:xfrm>
                          <a:prstGeom prst="rect">
                            <a:avLst/>
                          </a:prstGeom>
                          <a:noFill/>
                          <a:ln>
                            <a:noFill/>
                          </a:ln>
                        </pic:spPr>
                      </pic:pic>
                    </a:graphicData>
                  </a:graphic>
                </wp:inline>
              </w:drawing>
            </w:r>
          </w:p>
        </w:tc>
      </w:tr>
      <w:tr w14:paraId="2A7C58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86" w:type="dxa"/>
            <w:vAlign w:val="center"/>
          </w:tcPr>
          <w:p w14:paraId="165004B3">
            <w:pPr>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柳河镇新强村饮用水水源1#取水井</w:t>
            </w:r>
          </w:p>
        </w:tc>
        <w:tc>
          <w:tcPr>
            <w:tcW w:w="4587" w:type="dxa"/>
            <w:vAlign w:val="center"/>
          </w:tcPr>
          <w:p w14:paraId="55CFB39D">
            <w:pPr>
              <w:spacing w:line="240" w:lineRule="auto"/>
              <w:ind w:left="0" w:leftChars="0"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柳河镇新强村饮用水水源2#取水井</w:t>
            </w:r>
          </w:p>
          <w:p w14:paraId="16D3D4CC">
            <w:pPr>
              <w:spacing w:line="240" w:lineRule="auto"/>
              <w:ind w:left="0" w:leftChars="0"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（井房内）</w:t>
            </w:r>
          </w:p>
        </w:tc>
      </w:tr>
      <w:tr w14:paraId="32B8A7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86" w:type="dxa"/>
            <w:vAlign w:val="center"/>
          </w:tcPr>
          <w:p w14:paraId="27E0F57D">
            <w:pPr>
              <w:ind w:left="0" w:leftChars="0" w:firstLine="0" w:firstLineChars="0"/>
              <w:jc w:val="center"/>
              <w:rPr>
                <w:rFonts w:hint="eastAsia" w:ascii="Times New Roman" w:hAnsi="Times New Roman" w:eastAsia="宋体" w:cs="Times New Roman"/>
                <w:color w:val="auto"/>
                <w:sz w:val="21"/>
                <w:szCs w:val="21"/>
                <w:highlight w:val="none"/>
                <w:lang w:val="en-US" w:eastAsia="zh-CN"/>
              </w:rPr>
            </w:pPr>
            <w:r>
              <w:rPr>
                <w:color w:val="auto"/>
                <w:sz w:val="21"/>
                <w:szCs w:val="21"/>
                <w:highlight w:val="none"/>
              </w:rPr>
              <w:drawing>
                <wp:inline distT="0" distB="0" distL="114300" distR="114300">
                  <wp:extent cx="2782570" cy="2082165"/>
                  <wp:effectExtent l="0" t="0" r="17780" b="13335"/>
                  <wp:docPr id="3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5"/>
                          <pic:cNvPicPr>
                            <a:picLocks noChangeAspect="1"/>
                          </pic:cNvPicPr>
                        </pic:nvPicPr>
                        <pic:blipFill>
                          <a:blip r:embed="rId51"/>
                          <a:stretch>
                            <a:fillRect/>
                          </a:stretch>
                        </pic:blipFill>
                        <pic:spPr>
                          <a:xfrm>
                            <a:off x="0" y="0"/>
                            <a:ext cx="2782570" cy="2082165"/>
                          </a:xfrm>
                          <a:prstGeom prst="rect">
                            <a:avLst/>
                          </a:prstGeom>
                          <a:noFill/>
                          <a:ln>
                            <a:noFill/>
                          </a:ln>
                        </pic:spPr>
                      </pic:pic>
                    </a:graphicData>
                  </a:graphic>
                </wp:inline>
              </w:drawing>
            </w:r>
          </w:p>
        </w:tc>
        <w:tc>
          <w:tcPr>
            <w:tcW w:w="4587" w:type="dxa"/>
            <w:vAlign w:val="center"/>
          </w:tcPr>
          <w:p w14:paraId="64F4D870">
            <w:pPr>
              <w:ind w:left="0" w:leftChars="0" w:firstLine="0" w:firstLineChars="0"/>
              <w:jc w:val="center"/>
              <w:rPr>
                <w:rFonts w:hint="eastAsia" w:ascii="Times New Roman" w:hAnsi="Times New Roman" w:eastAsia="宋体" w:cs="Times New Roman"/>
                <w:color w:val="auto"/>
                <w:sz w:val="21"/>
                <w:szCs w:val="21"/>
                <w:highlight w:val="none"/>
                <w:lang w:val="en-US" w:eastAsia="zh-CN"/>
              </w:rPr>
            </w:pPr>
            <w:r>
              <w:rPr>
                <w:color w:val="auto"/>
                <w:sz w:val="21"/>
                <w:szCs w:val="21"/>
                <w:highlight w:val="none"/>
              </w:rPr>
              <w:drawing>
                <wp:inline distT="0" distB="0" distL="114300" distR="114300">
                  <wp:extent cx="2539365" cy="2124075"/>
                  <wp:effectExtent l="0" t="0" r="13335" b="9525"/>
                  <wp:docPr id="3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6"/>
                          <pic:cNvPicPr>
                            <a:picLocks noChangeAspect="1"/>
                          </pic:cNvPicPr>
                        </pic:nvPicPr>
                        <pic:blipFill>
                          <a:blip r:embed="rId52"/>
                          <a:stretch>
                            <a:fillRect/>
                          </a:stretch>
                        </pic:blipFill>
                        <pic:spPr>
                          <a:xfrm>
                            <a:off x="0" y="0"/>
                            <a:ext cx="2539365" cy="2124075"/>
                          </a:xfrm>
                          <a:prstGeom prst="rect">
                            <a:avLst/>
                          </a:prstGeom>
                          <a:noFill/>
                          <a:ln>
                            <a:noFill/>
                          </a:ln>
                        </pic:spPr>
                      </pic:pic>
                    </a:graphicData>
                  </a:graphic>
                </wp:inline>
              </w:drawing>
            </w:r>
          </w:p>
        </w:tc>
      </w:tr>
      <w:tr w14:paraId="7A6B2D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86" w:type="dxa"/>
            <w:vAlign w:val="center"/>
          </w:tcPr>
          <w:p w14:paraId="00F95F73">
            <w:pPr>
              <w:spacing w:line="240" w:lineRule="auto"/>
              <w:ind w:left="0" w:leftChars="0"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柳河镇新强村饮用水水源3#取水井</w:t>
            </w:r>
          </w:p>
          <w:p w14:paraId="46F0BD34">
            <w:pPr>
              <w:spacing w:line="240" w:lineRule="auto"/>
              <w:ind w:left="0" w:leftChars="0"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（井房内）</w:t>
            </w:r>
          </w:p>
        </w:tc>
        <w:tc>
          <w:tcPr>
            <w:tcW w:w="4587" w:type="dxa"/>
            <w:vAlign w:val="center"/>
          </w:tcPr>
          <w:p w14:paraId="46355621">
            <w:pPr>
              <w:spacing w:line="240" w:lineRule="auto"/>
              <w:ind w:left="0" w:leftChars="0"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柳河镇新强村饮用水水源4#取水井</w:t>
            </w:r>
          </w:p>
          <w:p w14:paraId="02284BF6">
            <w:pPr>
              <w:spacing w:line="240" w:lineRule="auto"/>
              <w:ind w:left="0" w:leftChars="0"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（井房内）</w:t>
            </w:r>
          </w:p>
        </w:tc>
      </w:tr>
      <w:tr w14:paraId="6939DF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86" w:type="dxa"/>
            <w:vAlign w:val="center"/>
          </w:tcPr>
          <w:p w14:paraId="30DD3578">
            <w:pPr>
              <w:ind w:left="0" w:leftChars="0" w:firstLine="0" w:firstLineChars="0"/>
              <w:jc w:val="center"/>
              <w:rPr>
                <w:rFonts w:hint="eastAsia" w:ascii="Times New Roman" w:hAnsi="Times New Roman" w:eastAsia="宋体" w:cs="Times New Roman"/>
                <w:color w:val="auto"/>
                <w:sz w:val="21"/>
                <w:szCs w:val="21"/>
                <w:highlight w:val="none"/>
                <w:lang w:val="en-US" w:eastAsia="zh-CN"/>
              </w:rPr>
            </w:pPr>
            <w:r>
              <w:rPr>
                <w:color w:val="auto"/>
                <w:sz w:val="21"/>
                <w:szCs w:val="21"/>
                <w:highlight w:val="none"/>
              </w:rPr>
              <w:drawing>
                <wp:inline distT="0" distB="0" distL="114300" distR="114300">
                  <wp:extent cx="2788285" cy="1982470"/>
                  <wp:effectExtent l="0" t="0" r="12065" b="17780"/>
                  <wp:docPr id="3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7"/>
                          <pic:cNvPicPr>
                            <a:picLocks noChangeAspect="1"/>
                          </pic:cNvPicPr>
                        </pic:nvPicPr>
                        <pic:blipFill>
                          <a:blip r:embed="rId53"/>
                          <a:stretch>
                            <a:fillRect/>
                          </a:stretch>
                        </pic:blipFill>
                        <pic:spPr>
                          <a:xfrm>
                            <a:off x="0" y="0"/>
                            <a:ext cx="2788285" cy="1982470"/>
                          </a:xfrm>
                          <a:prstGeom prst="rect">
                            <a:avLst/>
                          </a:prstGeom>
                          <a:noFill/>
                          <a:ln>
                            <a:noFill/>
                          </a:ln>
                        </pic:spPr>
                      </pic:pic>
                    </a:graphicData>
                  </a:graphic>
                </wp:inline>
              </w:drawing>
            </w:r>
          </w:p>
        </w:tc>
        <w:tc>
          <w:tcPr>
            <w:tcW w:w="4587" w:type="dxa"/>
            <w:vAlign w:val="center"/>
          </w:tcPr>
          <w:p w14:paraId="511AA5DE">
            <w:pPr>
              <w:ind w:left="0" w:leftChars="0" w:firstLine="0" w:firstLineChars="0"/>
              <w:jc w:val="center"/>
              <w:rPr>
                <w:rFonts w:hint="eastAsia" w:ascii="Times New Roman" w:hAnsi="Times New Roman" w:eastAsia="宋体" w:cs="Times New Roman"/>
                <w:color w:val="auto"/>
                <w:sz w:val="21"/>
                <w:szCs w:val="21"/>
                <w:highlight w:val="none"/>
                <w:lang w:val="en-US" w:eastAsia="zh-CN"/>
              </w:rPr>
            </w:pPr>
            <w:r>
              <w:rPr>
                <w:color w:val="auto"/>
                <w:sz w:val="21"/>
                <w:szCs w:val="21"/>
                <w:highlight w:val="none"/>
              </w:rPr>
              <w:drawing>
                <wp:inline distT="0" distB="0" distL="114300" distR="114300">
                  <wp:extent cx="2717165" cy="2298700"/>
                  <wp:effectExtent l="0" t="0" r="6985" b="6350"/>
                  <wp:docPr id="74"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31"/>
                          <pic:cNvPicPr>
                            <a:picLocks noChangeAspect="1"/>
                          </pic:cNvPicPr>
                        </pic:nvPicPr>
                        <pic:blipFill>
                          <a:blip r:embed="rId54"/>
                          <a:stretch>
                            <a:fillRect/>
                          </a:stretch>
                        </pic:blipFill>
                        <pic:spPr>
                          <a:xfrm>
                            <a:off x="0" y="0"/>
                            <a:ext cx="2717165" cy="2298700"/>
                          </a:xfrm>
                          <a:prstGeom prst="rect">
                            <a:avLst/>
                          </a:prstGeom>
                          <a:noFill/>
                          <a:ln>
                            <a:noFill/>
                          </a:ln>
                        </pic:spPr>
                      </pic:pic>
                    </a:graphicData>
                  </a:graphic>
                </wp:inline>
              </w:drawing>
            </w:r>
          </w:p>
        </w:tc>
      </w:tr>
      <w:tr w14:paraId="21397A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86" w:type="dxa"/>
            <w:vAlign w:val="center"/>
          </w:tcPr>
          <w:p w14:paraId="0DE6EF27">
            <w:pPr>
              <w:spacing w:line="240" w:lineRule="auto"/>
              <w:ind w:left="0" w:leftChars="0"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柳河镇新强村饮用水水源5#取水井</w:t>
            </w:r>
          </w:p>
          <w:p w14:paraId="13E5F867">
            <w:pPr>
              <w:spacing w:line="240" w:lineRule="auto"/>
              <w:ind w:left="0" w:leftChars="0" w:firstLine="0" w:firstLineChars="0"/>
              <w:jc w:val="center"/>
              <w:rPr>
                <w:rFonts w:hint="eastAsia"/>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（井房内）</w:t>
            </w:r>
          </w:p>
        </w:tc>
        <w:tc>
          <w:tcPr>
            <w:tcW w:w="4587" w:type="dxa"/>
            <w:vAlign w:val="center"/>
          </w:tcPr>
          <w:p w14:paraId="7B43D204">
            <w:pPr>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bidi="ar"/>
              </w:rPr>
              <w:t>平安镇饮用水水源</w:t>
            </w:r>
            <w:r>
              <w:rPr>
                <w:rFonts w:hint="eastAsia" w:ascii="Times New Roman" w:hAnsi="Times New Roman" w:eastAsia="宋体" w:cs="Times New Roman"/>
                <w:color w:val="auto"/>
                <w:sz w:val="21"/>
                <w:szCs w:val="21"/>
                <w:highlight w:val="none"/>
                <w:lang w:val="en-US" w:eastAsia="zh-CN"/>
              </w:rPr>
              <w:t>1#取水井（水厂内）</w:t>
            </w:r>
          </w:p>
        </w:tc>
      </w:tr>
      <w:tr w14:paraId="2B191F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86" w:type="dxa"/>
            <w:vAlign w:val="center"/>
          </w:tcPr>
          <w:p w14:paraId="5D596CE1">
            <w:pPr>
              <w:ind w:left="0" w:leftChars="0" w:firstLine="0" w:firstLineChars="0"/>
              <w:jc w:val="center"/>
              <w:rPr>
                <w:rFonts w:hint="eastAsia" w:ascii="Times New Roman" w:hAnsi="Times New Roman" w:eastAsia="宋体" w:cs="Times New Roman"/>
                <w:color w:val="auto"/>
                <w:sz w:val="21"/>
                <w:szCs w:val="21"/>
                <w:highlight w:val="none"/>
                <w:lang w:val="en-US" w:eastAsia="zh-CN"/>
              </w:rPr>
            </w:pPr>
            <w:r>
              <w:rPr>
                <w:color w:val="auto"/>
                <w:sz w:val="21"/>
                <w:szCs w:val="21"/>
                <w:highlight w:val="none"/>
              </w:rPr>
              <w:drawing>
                <wp:inline distT="0" distB="0" distL="114300" distR="114300">
                  <wp:extent cx="2725420" cy="2202180"/>
                  <wp:effectExtent l="0" t="0" r="17780" b="7620"/>
                  <wp:docPr id="75"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33"/>
                          <pic:cNvPicPr>
                            <a:picLocks noChangeAspect="1"/>
                          </pic:cNvPicPr>
                        </pic:nvPicPr>
                        <pic:blipFill>
                          <a:blip r:embed="rId55"/>
                          <a:stretch>
                            <a:fillRect/>
                          </a:stretch>
                        </pic:blipFill>
                        <pic:spPr>
                          <a:xfrm>
                            <a:off x="0" y="0"/>
                            <a:ext cx="2725420" cy="2202180"/>
                          </a:xfrm>
                          <a:prstGeom prst="rect">
                            <a:avLst/>
                          </a:prstGeom>
                          <a:noFill/>
                          <a:ln>
                            <a:noFill/>
                          </a:ln>
                        </pic:spPr>
                      </pic:pic>
                    </a:graphicData>
                  </a:graphic>
                </wp:inline>
              </w:drawing>
            </w:r>
          </w:p>
        </w:tc>
        <w:tc>
          <w:tcPr>
            <w:tcW w:w="4587" w:type="dxa"/>
            <w:vAlign w:val="center"/>
          </w:tcPr>
          <w:p w14:paraId="086868E0">
            <w:pPr>
              <w:ind w:left="0" w:leftChars="0" w:firstLine="0" w:firstLineChars="0"/>
              <w:jc w:val="center"/>
              <w:rPr>
                <w:rFonts w:hint="eastAsia" w:ascii="Times New Roman" w:hAnsi="Times New Roman" w:eastAsia="宋体" w:cs="Times New Roman"/>
                <w:color w:val="auto"/>
                <w:sz w:val="21"/>
                <w:szCs w:val="21"/>
                <w:highlight w:val="none"/>
                <w:lang w:val="en-US" w:eastAsia="zh-CN"/>
              </w:rPr>
            </w:pPr>
          </w:p>
        </w:tc>
      </w:tr>
      <w:tr w14:paraId="28372A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86" w:type="dxa"/>
            <w:vAlign w:val="center"/>
          </w:tcPr>
          <w:p w14:paraId="383924E0">
            <w:pPr>
              <w:ind w:left="0" w:leftChars="0"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bidi="ar"/>
              </w:rPr>
              <w:t>平安镇饮用水水源</w:t>
            </w:r>
            <w:r>
              <w:rPr>
                <w:rFonts w:hint="eastAsia" w:ascii="Times New Roman" w:hAnsi="Times New Roman" w:eastAsia="宋体" w:cs="Times New Roman"/>
                <w:color w:val="auto"/>
                <w:sz w:val="21"/>
                <w:szCs w:val="21"/>
                <w:highlight w:val="none"/>
                <w:lang w:val="en-US" w:eastAsia="zh-CN"/>
              </w:rPr>
              <w:t>2#取水井</w:t>
            </w:r>
          </w:p>
        </w:tc>
        <w:tc>
          <w:tcPr>
            <w:tcW w:w="4587" w:type="dxa"/>
            <w:vAlign w:val="center"/>
          </w:tcPr>
          <w:p w14:paraId="409389E8">
            <w:pPr>
              <w:ind w:left="0" w:leftChars="0" w:firstLine="412" w:firstLineChars="200"/>
              <w:jc w:val="center"/>
              <w:rPr>
                <w:rFonts w:hint="eastAsia" w:ascii="Times New Roman" w:hAnsi="Times New Roman" w:eastAsia="宋体" w:cs="Times New Roman"/>
                <w:color w:val="auto"/>
                <w:sz w:val="21"/>
                <w:szCs w:val="21"/>
                <w:highlight w:val="none"/>
                <w:lang w:val="en-US" w:eastAsia="zh-CN"/>
              </w:rPr>
            </w:pPr>
          </w:p>
        </w:tc>
      </w:tr>
    </w:tbl>
    <w:p w14:paraId="2311CEE2">
      <w:pPr>
        <w:ind w:firstLine="470"/>
        <w:jc w:val="center"/>
        <w:rPr>
          <w:rFonts w:eastAsia="黑体"/>
          <w:color w:val="auto"/>
          <w:highlight w:val="none"/>
        </w:rPr>
      </w:pPr>
      <w:r>
        <w:rPr>
          <w:rFonts w:hint="eastAsia" w:eastAsia="黑体"/>
          <w:color w:val="auto"/>
          <w:highlight w:val="none"/>
        </w:rPr>
        <w:t>图</w:t>
      </w:r>
      <w:r>
        <w:rPr>
          <w:rFonts w:eastAsia="黑体"/>
          <w:color w:val="auto"/>
          <w:highlight w:val="none"/>
        </w:rPr>
        <w:t>2-</w:t>
      </w:r>
      <w:r>
        <w:rPr>
          <w:rFonts w:hint="eastAsia" w:eastAsia="黑体"/>
          <w:color w:val="auto"/>
          <w:highlight w:val="none"/>
          <w:lang w:val="en-US" w:eastAsia="zh-CN"/>
        </w:rPr>
        <w:t>8</w:t>
      </w:r>
      <w:r>
        <w:rPr>
          <w:rFonts w:eastAsia="黑体"/>
          <w:color w:val="auto"/>
          <w:highlight w:val="none"/>
        </w:rPr>
        <w:t xml:space="preserve"> </w:t>
      </w:r>
      <w:r>
        <w:rPr>
          <w:rFonts w:hint="eastAsia" w:eastAsia="黑体"/>
          <w:color w:val="auto"/>
          <w:highlight w:val="none"/>
        </w:rPr>
        <w:t>取水井照片</w:t>
      </w:r>
    </w:p>
    <w:p w14:paraId="2BDD75C6">
      <w:pPr>
        <w:autoSpaceDE w:val="0"/>
        <w:ind w:firstLine="470"/>
        <w:jc w:val="center"/>
        <w:rPr>
          <w:rFonts w:eastAsia="黑体"/>
          <w:color w:val="auto"/>
          <w:kern w:val="0"/>
          <w:highlight w:val="none"/>
        </w:rPr>
        <w:sectPr>
          <w:pgSz w:w="11905" w:h="16838"/>
          <w:pgMar w:top="1474" w:right="1474" w:bottom="1474" w:left="1474" w:header="850" w:footer="992" w:gutter="0"/>
          <w:pgBorders>
            <w:top w:val="none" w:sz="0" w:space="0"/>
            <w:left w:val="none" w:sz="0" w:space="0"/>
            <w:bottom w:val="none" w:sz="0" w:space="0"/>
            <w:right w:val="none" w:sz="0" w:space="0"/>
          </w:pgBorders>
          <w:pgNumType w:fmt="decimal"/>
          <w:cols w:space="720" w:num="1"/>
          <w:docGrid w:type="linesAndChars" w:linePitch="347" w:charSpace="-1024"/>
        </w:sectPr>
      </w:pPr>
      <w:bookmarkStart w:id="56" w:name="_Toc949_WPSOffice_Level2"/>
      <w:bookmarkStart w:id="57" w:name="_Toc5004_WPSOffice_Level2"/>
    </w:p>
    <w:p w14:paraId="494277DE">
      <w:pPr>
        <w:autoSpaceDE w:val="0"/>
        <w:ind w:firstLine="470"/>
        <w:jc w:val="center"/>
        <w:rPr>
          <w:rFonts w:eastAsia="黑体"/>
          <w:color w:val="auto"/>
          <w:kern w:val="0"/>
          <w:highlight w:val="none"/>
        </w:rPr>
      </w:pPr>
      <w:r>
        <w:rPr>
          <w:rFonts w:eastAsia="黑体"/>
          <w:color w:val="auto"/>
          <w:kern w:val="0"/>
          <w:highlight w:val="none"/>
        </w:rPr>
        <w:t>表2</w:t>
      </w:r>
      <w:r>
        <w:rPr>
          <w:rFonts w:hint="eastAsia" w:eastAsia="黑体"/>
          <w:color w:val="auto"/>
          <w:kern w:val="0"/>
          <w:highlight w:val="none"/>
        </w:rPr>
        <w:t>-</w:t>
      </w:r>
      <w:r>
        <w:rPr>
          <w:rFonts w:hint="eastAsia" w:eastAsia="黑体"/>
          <w:color w:val="auto"/>
          <w:kern w:val="0"/>
          <w:highlight w:val="none"/>
          <w:lang w:val="en-US" w:eastAsia="zh-CN"/>
        </w:rPr>
        <w:t>6</w:t>
      </w:r>
      <w:r>
        <w:rPr>
          <w:rFonts w:hint="eastAsia" w:eastAsia="黑体"/>
          <w:color w:val="auto"/>
          <w:kern w:val="0"/>
          <w:highlight w:val="none"/>
        </w:rPr>
        <w:t xml:space="preserve"> </w:t>
      </w:r>
      <w:r>
        <w:rPr>
          <w:rFonts w:hint="eastAsia" w:eastAsia="黑体"/>
          <w:color w:val="auto"/>
          <w:kern w:val="0"/>
          <w:highlight w:val="none"/>
          <w:lang w:val="en-US" w:eastAsia="zh-CN"/>
        </w:rPr>
        <w:t xml:space="preserve"> 各乡镇村屯</w:t>
      </w:r>
      <w:r>
        <w:rPr>
          <w:rFonts w:hint="eastAsia" w:eastAsia="黑体"/>
          <w:color w:val="auto"/>
          <w:kern w:val="0"/>
          <w:highlight w:val="none"/>
        </w:rPr>
        <w:t>饮用水水源地</w:t>
      </w:r>
      <w:r>
        <w:rPr>
          <w:rFonts w:eastAsia="黑体"/>
          <w:color w:val="auto"/>
          <w:kern w:val="0"/>
          <w:highlight w:val="none"/>
        </w:rPr>
        <w:t>基本情况表</w:t>
      </w:r>
      <w:bookmarkEnd w:id="56"/>
      <w:bookmarkEnd w:id="57"/>
    </w:p>
    <w:tbl>
      <w:tblPr>
        <w:tblStyle w:val="21"/>
        <w:tblW w:w="4997"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57" w:type="dxa"/>
          <w:bottom w:w="0" w:type="dxa"/>
          <w:right w:w="57" w:type="dxa"/>
        </w:tblCellMar>
      </w:tblPr>
      <w:tblGrid>
        <w:gridCol w:w="816"/>
        <w:gridCol w:w="718"/>
        <w:gridCol w:w="1581"/>
        <w:gridCol w:w="1475"/>
        <w:gridCol w:w="555"/>
        <w:gridCol w:w="625"/>
        <w:gridCol w:w="936"/>
        <w:gridCol w:w="673"/>
        <w:gridCol w:w="726"/>
        <w:gridCol w:w="726"/>
        <w:gridCol w:w="707"/>
        <w:gridCol w:w="847"/>
        <w:gridCol w:w="771"/>
        <w:gridCol w:w="771"/>
        <w:gridCol w:w="1001"/>
        <w:gridCol w:w="496"/>
        <w:gridCol w:w="572"/>
      </w:tblGrid>
      <w:tr w14:paraId="5B2A4B8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57" w:type="dxa"/>
            <w:bottom w:w="0" w:type="dxa"/>
            <w:right w:w="57" w:type="dxa"/>
          </w:tblCellMar>
        </w:tblPrEx>
        <w:trPr>
          <w:trHeight w:val="482" w:hRule="atLeast"/>
          <w:tblHeader/>
          <w:jc w:val="center"/>
        </w:trPr>
        <w:tc>
          <w:tcPr>
            <w:tcW w:w="291" w:type="pct"/>
            <w:noWrap w:val="0"/>
            <w:vAlign w:val="center"/>
          </w:tcPr>
          <w:p w14:paraId="338335EB">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eastAsia="en-US"/>
              </w:rPr>
            </w:pPr>
            <w:r>
              <w:rPr>
                <w:rFonts w:hint="eastAsia" w:ascii="Times New Roman" w:hAnsi="Times New Roman" w:eastAsia="宋体" w:cs="Times New Roman"/>
                <w:color w:val="auto"/>
                <w:kern w:val="0"/>
                <w:sz w:val="21"/>
                <w:szCs w:val="21"/>
                <w:highlight w:val="none"/>
                <w:lang w:eastAsia="en-US"/>
              </w:rPr>
              <w:t>水源地名称</w:t>
            </w:r>
          </w:p>
        </w:tc>
        <w:tc>
          <w:tcPr>
            <w:tcW w:w="256" w:type="pct"/>
            <w:noWrap w:val="0"/>
            <w:vAlign w:val="center"/>
          </w:tcPr>
          <w:p w14:paraId="67E5AD88">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eastAsia="en-US"/>
              </w:rPr>
            </w:pPr>
            <w:r>
              <w:rPr>
                <w:rFonts w:hint="eastAsia" w:ascii="Times New Roman" w:hAnsi="Times New Roman" w:eastAsia="宋体" w:cs="Times New Roman"/>
                <w:color w:val="auto"/>
                <w:kern w:val="0"/>
                <w:sz w:val="21"/>
                <w:szCs w:val="21"/>
                <w:highlight w:val="none"/>
                <w:lang w:eastAsia="en-US"/>
              </w:rPr>
              <w:t>水源井编号</w:t>
            </w:r>
          </w:p>
        </w:tc>
        <w:tc>
          <w:tcPr>
            <w:tcW w:w="564" w:type="pct"/>
            <w:noWrap w:val="0"/>
            <w:vAlign w:val="center"/>
          </w:tcPr>
          <w:p w14:paraId="2E71F56D">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eastAsia="en-US"/>
              </w:rPr>
            </w:pPr>
            <w:r>
              <w:rPr>
                <w:rFonts w:hint="eastAsia" w:ascii="Times New Roman" w:hAnsi="Times New Roman" w:eastAsia="宋体" w:cs="Times New Roman"/>
                <w:color w:val="auto"/>
                <w:kern w:val="0"/>
                <w:sz w:val="21"/>
                <w:szCs w:val="21"/>
                <w:highlight w:val="none"/>
                <w:lang w:eastAsia="en-US"/>
              </w:rPr>
              <w:t>经度2000</w:t>
            </w:r>
          </w:p>
          <w:p w14:paraId="39999EB8">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eastAsia="en-US"/>
              </w:rPr>
            </w:pPr>
            <w:r>
              <w:rPr>
                <w:rFonts w:hint="eastAsia" w:ascii="Times New Roman" w:hAnsi="Times New Roman" w:eastAsia="宋体" w:cs="Times New Roman"/>
                <w:color w:val="auto"/>
                <w:kern w:val="0"/>
                <w:sz w:val="21"/>
                <w:szCs w:val="21"/>
                <w:highlight w:val="none"/>
                <w:lang w:eastAsia="en-US"/>
              </w:rPr>
              <w:t>坐标</w:t>
            </w:r>
          </w:p>
        </w:tc>
        <w:tc>
          <w:tcPr>
            <w:tcW w:w="526" w:type="pct"/>
            <w:noWrap w:val="0"/>
            <w:vAlign w:val="center"/>
          </w:tcPr>
          <w:p w14:paraId="5F402DFE">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eastAsia="en-US"/>
              </w:rPr>
            </w:pPr>
            <w:r>
              <w:rPr>
                <w:rFonts w:hint="eastAsia" w:ascii="Times New Roman" w:hAnsi="Times New Roman" w:eastAsia="宋体" w:cs="Times New Roman"/>
                <w:color w:val="auto"/>
                <w:kern w:val="0"/>
                <w:sz w:val="21"/>
                <w:szCs w:val="21"/>
                <w:highlight w:val="none"/>
                <w:lang w:eastAsia="en-US"/>
              </w:rPr>
              <w:t>纬度2000</w:t>
            </w:r>
          </w:p>
          <w:p w14:paraId="278A93F8">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ascii="Times New Roman" w:hAnsi="Times New Roman" w:eastAsia="宋体" w:cs="Times New Roman"/>
                <w:color w:val="auto"/>
                <w:kern w:val="0"/>
                <w:sz w:val="21"/>
                <w:szCs w:val="21"/>
                <w:highlight w:val="none"/>
                <w:lang w:eastAsia="en-US"/>
              </w:rPr>
              <w:t>坐标</w:t>
            </w:r>
          </w:p>
        </w:tc>
        <w:tc>
          <w:tcPr>
            <w:tcW w:w="198" w:type="pct"/>
            <w:noWrap w:val="0"/>
            <w:vAlign w:val="center"/>
          </w:tcPr>
          <w:p w14:paraId="0835D6EB">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eastAsia="en-US"/>
              </w:rPr>
            </w:pPr>
            <w:r>
              <w:rPr>
                <w:rFonts w:hint="eastAsia" w:ascii="Times New Roman" w:hAnsi="Times New Roman" w:eastAsia="宋体" w:cs="Times New Roman"/>
                <w:color w:val="auto"/>
                <w:kern w:val="0"/>
                <w:sz w:val="21"/>
                <w:szCs w:val="21"/>
                <w:highlight w:val="none"/>
                <w:lang w:eastAsia="en-US"/>
              </w:rPr>
              <w:t>建井年份</w:t>
            </w:r>
          </w:p>
        </w:tc>
        <w:tc>
          <w:tcPr>
            <w:tcW w:w="223" w:type="pct"/>
            <w:noWrap w:val="0"/>
            <w:vAlign w:val="center"/>
          </w:tcPr>
          <w:p w14:paraId="174D698D">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eastAsia="en-US"/>
              </w:rPr>
            </w:pPr>
            <w:r>
              <w:rPr>
                <w:rFonts w:hint="eastAsia" w:ascii="Times New Roman" w:hAnsi="Times New Roman" w:eastAsia="宋体" w:cs="Times New Roman"/>
                <w:color w:val="auto"/>
                <w:kern w:val="0"/>
                <w:sz w:val="21"/>
                <w:szCs w:val="21"/>
                <w:highlight w:val="none"/>
                <w:lang w:eastAsia="en-US"/>
              </w:rPr>
              <w:t>取水年份</w:t>
            </w:r>
          </w:p>
        </w:tc>
        <w:tc>
          <w:tcPr>
            <w:tcW w:w="334" w:type="pct"/>
            <w:tcBorders>
              <w:right w:val="single" w:color="auto" w:sz="4" w:space="0"/>
            </w:tcBorders>
            <w:noWrap w:val="0"/>
            <w:vAlign w:val="center"/>
          </w:tcPr>
          <w:p w14:paraId="1DE12AC3">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ascii="Times New Roman" w:hAnsi="Times New Roman" w:eastAsia="宋体" w:cs="Times New Roman"/>
                <w:color w:val="auto"/>
                <w:kern w:val="0"/>
                <w:sz w:val="21"/>
                <w:szCs w:val="21"/>
                <w:highlight w:val="none"/>
              </w:rPr>
              <w:t>设计取水量</w:t>
            </w:r>
            <w:r>
              <w:rPr>
                <w:rFonts w:hint="eastAsia" w:cs="Times New Roman"/>
                <w:color w:val="auto"/>
                <w:kern w:val="0"/>
                <w:sz w:val="21"/>
                <w:szCs w:val="21"/>
                <w:highlight w:val="none"/>
                <w:lang w:eastAsia="zh-CN"/>
              </w:rPr>
              <w:t>（</w:t>
            </w:r>
            <w:r>
              <w:rPr>
                <w:rFonts w:hint="eastAsia" w:ascii="Times New Roman" w:hAnsi="Times New Roman" w:eastAsia="宋体" w:cs="Times New Roman"/>
                <w:color w:val="auto"/>
                <w:kern w:val="0"/>
                <w:sz w:val="21"/>
                <w:szCs w:val="21"/>
                <w:highlight w:val="none"/>
              </w:rPr>
              <w:t>立方米/天）</w:t>
            </w:r>
          </w:p>
        </w:tc>
        <w:tc>
          <w:tcPr>
            <w:tcW w:w="240" w:type="pct"/>
            <w:tcBorders>
              <w:right w:val="single" w:color="auto" w:sz="4" w:space="0"/>
            </w:tcBorders>
            <w:noWrap w:val="0"/>
            <w:vAlign w:val="center"/>
          </w:tcPr>
          <w:p w14:paraId="2C5D581F">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ascii="Times New Roman" w:hAnsi="Times New Roman" w:eastAsia="宋体" w:cs="Times New Roman"/>
                <w:color w:val="auto"/>
                <w:kern w:val="0"/>
                <w:sz w:val="21"/>
                <w:szCs w:val="21"/>
                <w:highlight w:val="none"/>
              </w:rPr>
              <w:t>实际取水量</w:t>
            </w:r>
            <w:r>
              <w:rPr>
                <w:rFonts w:hint="eastAsia" w:cs="Times New Roman"/>
                <w:color w:val="auto"/>
                <w:kern w:val="0"/>
                <w:sz w:val="21"/>
                <w:szCs w:val="21"/>
                <w:highlight w:val="none"/>
                <w:lang w:eastAsia="zh-CN"/>
              </w:rPr>
              <w:t>（</w:t>
            </w:r>
            <w:r>
              <w:rPr>
                <w:rFonts w:hint="eastAsia" w:ascii="Times New Roman" w:hAnsi="Times New Roman" w:eastAsia="宋体" w:cs="Times New Roman"/>
                <w:color w:val="auto"/>
                <w:kern w:val="0"/>
                <w:sz w:val="21"/>
                <w:szCs w:val="21"/>
                <w:highlight w:val="none"/>
              </w:rPr>
              <w:t>立方米/天）</w:t>
            </w:r>
          </w:p>
        </w:tc>
        <w:tc>
          <w:tcPr>
            <w:tcW w:w="259" w:type="pct"/>
            <w:tcBorders>
              <w:left w:val="single" w:color="auto" w:sz="4" w:space="0"/>
            </w:tcBorders>
            <w:noWrap w:val="0"/>
            <w:vAlign w:val="center"/>
          </w:tcPr>
          <w:p w14:paraId="0A44C0E1">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ascii="Times New Roman" w:hAnsi="Times New Roman" w:eastAsia="宋体" w:cs="Times New Roman"/>
                <w:color w:val="auto"/>
                <w:kern w:val="0"/>
                <w:sz w:val="21"/>
                <w:szCs w:val="21"/>
                <w:highlight w:val="none"/>
                <w:lang w:val="en-US" w:eastAsia="zh-CN"/>
              </w:rPr>
              <w:t>降深（m）</w:t>
            </w:r>
          </w:p>
        </w:tc>
        <w:tc>
          <w:tcPr>
            <w:tcW w:w="259" w:type="pct"/>
            <w:tcBorders>
              <w:left w:val="single" w:color="auto" w:sz="4" w:space="0"/>
            </w:tcBorders>
            <w:noWrap w:val="0"/>
            <w:vAlign w:val="center"/>
          </w:tcPr>
          <w:p w14:paraId="58EC5A9F">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ascii="Times New Roman" w:hAnsi="Times New Roman" w:eastAsia="宋体" w:cs="Times New Roman"/>
                <w:color w:val="auto"/>
                <w:kern w:val="0"/>
                <w:sz w:val="21"/>
                <w:szCs w:val="21"/>
                <w:highlight w:val="none"/>
                <w:lang w:val="en-US" w:eastAsia="zh-CN"/>
              </w:rPr>
              <w:t>水位埋深（m）</w:t>
            </w:r>
          </w:p>
        </w:tc>
        <w:tc>
          <w:tcPr>
            <w:tcW w:w="252" w:type="pct"/>
            <w:tcBorders>
              <w:left w:val="single" w:color="auto" w:sz="4" w:space="0"/>
            </w:tcBorders>
            <w:noWrap w:val="0"/>
            <w:vAlign w:val="center"/>
          </w:tcPr>
          <w:p w14:paraId="11BA2210">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eastAsia="en-US"/>
              </w:rPr>
            </w:pPr>
            <w:r>
              <w:rPr>
                <w:rFonts w:hint="eastAsia" w:ascii="Times New Roman" w:hAnsi="Times New Roman" w:eastAsia="宋体" w:cs="Times New Roman"/>
                <w:color w:val="auto"/>
                <w:kern w:val="0"/>
                <w:sz w:val="21"/>
                <w:szCs w:val="21"/>
                <w:highlight w:val="none"/>
                <w:lang w:eastAsia="en-US"/>
              </w:rPr>
              <w:t>埋藏条件</w:t>
            </w:r>
          </w:p>
        </w:tc>
        <w:tc>
          <w:tcPr>
            <w:tcW w:w="302" w:type="pct"/>
            <w:tcBorders>
              <w:left w:val="single" w:color="auto" w:sz="4" w:space="0"/>
            </w:tcBorders>
            <w:noWrap w:val="0"/>
            <w:vAlign w:val="center"/>
          </w:tcPr>
          <w:p w14:paraId="75ED8E91">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eastAsia="en-US"/>
              </w:rPr>
            </w:pPr>
            <w:r>
              <w:rPr>
                <w:rFonts w:hint="eastAsia" w:ascii="Times New Roman" w:hAnsi="Times New Roman" w:eastAsia="宋体" w:cs="Times New Roman"/>
                <w:color w:val="auto"/>
                <w:kern w:val="0"/>
                <w:sz w:val="21"/>
                <w:szCs w:val="21"/>
                <w:highlight w:val="none"/>
                <w:lang w:eastAsia="en-US"/>
              </w:rPr>
              <w:t>含水层介质类型</w:t>
            </w:r>
          </w:p>
        </w:tc>
        <w:tc>
          <w:tcPr>
            <w:tcW w:w="275" w:type="pct"/>
            <w:tcBorders>
              <w:left w:val="single" w:color="auto" w:sz="4" w:space="0"/>
            </w:tcBorders>
            <w:noWrap w:val="0"/>
            <w:vAlign w:val="center"/>
          </w:tcPr>
          <w:p w14:paraId="53363AA3">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eastAsia="en-US"/>
              </w:rPr>
            </w:pPr>
            <w:r>
              <w:rPr>
                <w:rFonts w:hint="eastAsia" w:ascii="Times New Roman" w:hAnsi="Times New Roman" w:eastAsia="宋体" w:cs="Times New Roman"/>
                <w:color w:val="auto"/>
                <w:kern w:val="0"/>
                <w:sz w:val="21"/>
                <w:szCs w:val="21"/>
                <w:highlight w:val="none"/>
                <w:lang w:eastAsia="en-US"/>
              </w:rPr>
              <w:t>井深</w:t>
            </w:r>
          </w:p>
          <w:p w14:paraId="5178D759">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ascii="Times New Roman" w:hAnsi="Times New Roman" w:eastAsia="宋体" w:cs="Times New Roman"/>
                <w:color w:val="auto"/>
                <w:kern w:val="0"/>
                <w:sz w:val="21"/>
                <w:szCs w:val="21"/>
                <w:highlight w:val="none"/>
                <w:lang w:eastAsia="en-US"/>
              </w:rPr>
              <w:t>（米</w:t>
            </w:r>
            <w:r>
              <w:rPr>
                <w:rFonts w:hint="eastAsia" w:ascii="Times New Roman" w:hAnsi="Times New Roman" w:eastAsia="宋体" w:cs="Times New Roman"/>
                <w:color w:val="auto"/>
                <w:kern w:val="0"/>
                <w:sz w:val="21"/>
                <w:szCs w:val="21"/>
                <w:highlight w:val="none"/>
              </w:rPr>
              <w:t>）</w:t>
            </w:r>
          </w:p>
        </w:tc>
        <w:tc>
          <w:tcPr>
            <w:tcW w:w="275" w:type="pct"/>
            <w:tcBorders>
              <w:left w:val="single" w:color="auto" w:sz="4" w:space="0"/>
            </w:tcBorders>
            <w:noWrap w:val="0"/>
            <w:vAlign w:val="center"/>
          </w:tcPr>
          <w:p w14:paraId="7EFA1BC2">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ascii="Times New Roman" w:hAnsi="Times New Roman" w:eastAsia="宋体" w:cs="Times New Roman"/>
                <w:color w:val="auto"/>
                <w:kern w:val="0"/>
                <w:sz w:val="21"/>
                <w:szCs w:val="21"/>
                <w:highlight w:val="none"/>
                <w:lang w:eastAsia="en-US"/>
              </w:rPr>
              <w:t>服务人口（人</w:t>
            </w:r>
            <w:r>
              <w:rPr>
                <w:rFonts w:hint="eastAsia" w:ascii="Times New Roman" w:hAnsi="Times New Roman" w:eastAsia="宋体" w:cs="Times New Roman"/>
                <w:color w:val="auto"/>
                <w:kern w:val="0"/>
                <w:sz w:val="21"/>
                <w:szCs w:val="21"/>
                <w:highlight w:val="none"/>
              </w:rPr>
              <w:t>）</w:t>
            </w:r>
          </w:p>
        </w:tc>
        <w:tc>
          <w:tcPr>
            <w:tcW w:w="357" w:type="pct"/>
            <w:tcBorders>
              <w:left w:val="single" w:color="auto" w:sz="4" w:space="0"/>
            </w:tcBorders>
            <w:noWrap w:val="0"/>
            <w:vAlign w:val="center"/>
          </w:tcPr>
          <w:p w14:paraId="74058ED0">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eastAsia="en-US"/>
              </w:rPr>
            </w:pPr>
            <w:r>
              <w:rPr>
                <w:rFonts w:hint="eastAsia" w:ascii="Times New Roman" w:hAnsi="Times New Roman" w:eastAsia="宋体" w:cs="Times New Roman"/>
                <w:color w:val="auto"/>
                <w:kern w:val="0"/>
                <w:sz w:val="21"/>
                <w:szCs w:val="21"/>
                <w:highlight w:val="none"/>
                <w:lang w:eastAsia="en-US"/>
              </w:rPr>
              <w:t>服务</w:t>
            </w:r>
          </w:p>
          <w:p w14:paraId="008EA44D">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eastAsia="en-US"/>
              </w:rPr>
            </w:pPr>
            <w:r>
              <w:rPr>
                <w:rFonts w:hint="eastAsia" w:ascii="Times New Roman" w:hAnsi="Times New Roman" w:eastAsia="宋体" w:cs="Times New Roman"/>
                <w:color w:val="auto"/>
                <w:kern w:val="0"/>
                <w:sz w:val="21"/>
                <w:szCs w:val="21"/>
                <w:highlight w:val="none"/>
                <w:lang w:eastAsia="en-US"/>
              </w:rPr>
              <w:t>对象</w:t>
            </w:r>
          </w:p>
        </w:tc>
        <w:tc>
          <w:tcPr>
            <w:tcW w:w="177" w:type="pct"/>
            <w:tcBorders>
              <w:left w:val="single" w:color="auto" w:sz="4" w:space="0"/>
            </w:tcBorders>
            <w:noWrap w:val="0"/>
            <w:vAlign w:val="center"/>
          </w:tcPr>
          <w:p w14:paraId="7BC1C4F1">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eastAsia="en-US"/>
              </w:rPr>
            </w:pPr>
            <w:r>
              <w:rPr>
                <w:rFonts w:hint="eastAsia" w:ascii="Times New Roman" w:hAnsi="Times New Roman" w:eastAsia="宋体" w:cs="Times New Roman"/>
                <w:color w:val="auto"/>
                <w:kern w:val="0"/>
                <w:sz w:val="21"/>
                <w:szCs w:val="21"/>
                <w:highlight w:val="none"/>
                <w:lang w:eastAsia="en-US"/>
              </w:rPr>
              <w:t>对应水厂</w:t>
            </w:r>
          </w:p>
        </w:tc>
        <w:tc>
          <w:tcPr>
            <w:tcW w:w="204" w:type="pct"/>
            <w:tcBorders>
              <w:left w:val="single" w:color="auto" w:sz="4" w:space="0"/>
            </w:tcBorders>
            <w:noWrap w:val="0"/>
            <w:vAlign w:val="center"/>
          </w:tcPr>
          <w:p w14:paraId="68A06F04">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eastAsia="en-US"/>
              </w:rPr>
            </w:pPr>
            <w:r>
              <w:rPr>
                <w:rFonts w:hint="eastAsia" w:ascii="Times New Roman" w:hAnsi="Times New Roman" w:eastAsia="宋体" w:cs="Times New Roman"/>
                <w:color w:val="auto"/>
                <w:kern w:val="0"/>
                <w:sz w:val="21"/>
                <w:szCs w:val="21"/>
                <w:highlight w:val="none"/>
                <w:lang w:eastAsia="en-US"/>
              </w:rPr>
              <w:t>水处理工艺</w:t>
            </w:r>
          </w:p>
        </w:tc>
      </w:tr>
      <w:tr w14:paraId="178552D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57" w:type="dxa"/>
            <w:bottom w:w="0" w:type="dxa"/>
            <w:right w:w="57" w:type="dxa"/>
          </w:tblCellMar>
        </w:tblPrEx>
        <w:trPr>
          <w:trHeight w:val="90" w:hRule="atLeast"/>
          <w:jc w:val="center"/>
        </w:trPr>
        <w:tc>
          <w:tcPr>
            <w:tcW w:w="291" w:type="pct"/>
            <w:vMerge w:val="restart"/>
            <w:tcBorders>
              <w:right w:val="single" w:color="000000" w:sz="4" w:space="0"/>
            </w:tcBorders>
            <w:noWrap w:val="0"/>
            <w:vAlign w:val="center"/>
          </w:tcPr>
          <w:p w14:paraId="0293DF08">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rPr>
            </w:pPr>
            <w:r>
              <w:rPr>
                <w:rFonts w:hint="eastAsia" w:ascii="Times New Roman" w:hAnsi="Times New Roman" w:eastAsia="宋体" w:cs="Times New Roman"/>
                <w:color w:val="auto"/>
                <w:kern w:val="0"/>
                <w:sz w:val="21"/>
                <w:szCs w:val="21"/>
                <w:highlight w:val="none"/>
                <w:lang w:val="en-US" w:eastAsia="zh-CN" w:bidi="ar"/>
              </w:rPr>
              <w:t>绥化市庆安县发展乡</w:t>
            </w:r>
            <w:r>
              <w:rPr>
                <w:rFonts w:ascii="Times New Roman" w:hAnsi="Times New Roman" w:eastAsia="宋体" w:cs="Times New Roman"/>
                <w:color w:val="auto"/>
                <w:kern w:val="0"/>
                <w:sz w:val="21"/>
                <w:szCs w:val="21"/>
                <w:highlight w:val="none"/>
                <w:lang w:bidi="ar"/>
              </w:rPr>
              <w:t>饮用水水源地</w:t>
            </w:r>
          </w:p>
        </w:tc>
        <w:tc>
          <w:tcPr>
            <w:tcW w:w="256" w:type="pct"/>
            <w:tcBorders>
              <w:left w:val="single" w:color="000000" w:sz="4" w:space="0"/>
              <w:right w:val="single" w:color="000000" w:sz="4" w:space="0"/>
            </w:tcBorders>
            <w:noWrap w:val="0"/>
            <w:vAlign w:val="center"/>
          </w:tcPr>
          <w:p w14:paraId="677932DE">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1#</w:t>
            </w:r>
          </w:p>
        </w:tc>
        <w:tc>
          <w:tcPr>
            <w:tcW w:w="564" w:type="pct"/>
            <w:tcBorders>
              <w:left w:val="single" w:color="000000" w:sz="4" w:space="0"/>
              <w:right w:val="single" w:color="000000" w:sz="4" w:space="0"/>
            </w:tcBorders>
            <w:noWrap w:val="0"/>
            <w:vAlign w:val="center"/>
          </w:tcPr>
          <w:p w14:paraId="2786C35D">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127°40'45.8207"</w:t>
            </w:r>
          </w:p>
        </w:tc>
        <w:tc>
          <w:tcPr>
            <w:tcW w:w="526" w:type="pct"/>
            <w:tcBorders>
              <w:left w:val="single" w:color="000000" w:sz="4" w:space="0"/>
              <w:right w:val="single" w:color="000000" w:sz="4" w:space="0"/>
            </w:tcBorders>
            <w:noWrap w:val="0"/>
            <w:vAlign w:val="center"/>
          </w:tcPr>
          <w:p w14:paraId="3F47B847">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en-US"/>
              </w:rPr>
            </w:pPr>
            <w:r>
              <w:rPr>
                <w:rFonts w:hint="default" w:ascii="Times New Roman" w:hAnsi="Times New Roman" w:eastAsia="宋体" w:cs="Times New Roman"/>
                <w:color w:val="auto"/>
                <w:kern w:val="0"/>
                <w:sz w:val="21"/>
                <w:szCs w:val="21"/>
                <w:highlight w:val="none"/>
                <w:lang w:val="en-US" w:eastAsia="zh-CN"/>
              </w:rPr>
              <w:t>47°03'03.0287"</w:t>
            </w:r>
          </w:p>
        </w:tc>
        <w:tc>
          <w:tcPr>
            <w:tcW w:w="198" w:type="pct"/>
            <w:tcBorders>
              <w:left w:val="single" w:color="000000" w:sz="4" w:space="0"/>
              <w:right w:val="single" w:color="000000" w:sz="4" w:space="0"/>
            </w:tcBorders>
            <w:noWrap w:val="0"/>
            <w:vAlign w:val="center"/>
          </w:tcPr>
          <w:p w14:paraId="086DA486">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2024年</w:t>
            </w:r>
          </w:p>
        </w:tc>
        <w:tc>
          <w:tcPr>
            <w:tcW w:w="223" w:type="pct"/>
            <w:tcBorders>
              <w:left w:val="single" w:color="000000" w:sz="4" w:space="0"/>
              <w:right w:val="single" w:color="000000" w:sz="4" w:space="0"/>
            </w:tcBorders>
            <w:noWrap w:val="0"/>
            <w:vAlign w:val="center"/>
          </w:tcPr>
          <w:p w14:paraId="7CA032CC">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2025年</w:t>
            </w:r>
          </w:p>
        </w:tc>
        <w:tc>
          <w:tcPr>
            <w:tcW w:w="334" w:type="pct"/>
            <w:vMerge w:val="restart"/>
            <w:tcBorders>
              <w:left w:val="single" w:color="000000" w:sz="4" w:space="0"/>
              <w:right w:val="single" w:color="000000" w:sz="4" w:space="0"/>
            </w:tcBorders>
            <w:noWrap w:val="0"/>
            <w:vAlign w:val="center"/>
          </w:tcPr>
          <w:p w14:paraId="5A1509E7">
            <w:pPr>
              <w:widowControl/>
              <w:snapToGrid w:val="0"/>
              <w:spacing w:line="240" w:lineRule="auto"/>
              <w:ind w:firstLine="0" w:firstLineChars="0"/>
              <w:jc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1259.46</w:t>
            </w:r>
          </w:p>
        </w:tc>
        <w:tc>
          <w:tcPr>
            <w:tcW w:w="240" w:type="pct"/>
            <w:vMerge w:val="restart"/>
            <w:tcBorders>
              <w:left w:val="single" w:color="000000" w:sz="4" w:space="0"/>
              <w:right w:val="single" w:color="000000" w:sz="4" w:space="0"/>
            </w:tcBorders>
            <w:noWrap w:val="0"/>
            <w:vAlign w:val="center"/>
          </w:tcPr>
          <w:p w14:paraId="7B153DBF">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800</w:t>
            </w:r>
          </w:p>
        </w:tc>
        <w:tc>
          <w:tcPr>
            <w:tcW w:w="259" w:type="pct"/>
            <w:tcBorders>
              <w:left w:val="single" w:color="000000" w:sz="4" w:space="0"/>
            </w:tcBorders>
            <w:noWrap w:val="0"/>
            <w:vAlign w:val="center"/>
          </w:tcPr>
          <w:p w14:paraId="27D83FC7">
            <w:pPr>
              <w:widowControl/>
              <w:snapToGrid w:val="0"/>
              <w:spacing w:line="240" w:lineRule="auto"/>
              <w:ind w:firstLine="0" w:firstLineChars="0"/>
              <w:jc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11</w:t>
            </w:r>
          </w:p>
        </w:tc>
        <w:tc>
          <w:tcPr>
            <w:tcW w:w="259" w:type="pct"/>
            <w:tcBorders>
              <w:left w:val="single" w:color="000000" w:sz="4" w:space="0"/>
            </w:tcBorders>
            <w:noWrap w:val="0"/>
            <w:vAlign w:val="center"/>
          </w:tcPr>
          <w:p w14:paraId="0F2DCB4E">
            <w:pPr>
              <w:widowControl/>
              <w:snapToGrid w:val="0"/>
              <w:spacing w:line="240" w:lineRule="auto"/>
              <w:ind w:firstLine="0" w:firstLineChars="0"/>
              <w:jc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32</w:t>
            </w:r>
          </w:p>
        </w:tc>
        <w:tc>
          <w:tcPr>
            <w:tcW w:w="252" w:type="pct"/>
            <w:tcBorders>
              <w:left w:val="single" w:color="000000" w:sz="4" w:space="0"/>
            </w:tcBorders>
            <w:noWrap w:val="0"/>
            <w:vAlign w:val="center"/>
          </w:tcPr>
          <w:p w14:paraId="6AA28A9F">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ascii="Times New Roman" w:hAnsi="Times New Roman" w:eastAsia="宋体" w:cs="Times New Roman"/>
                <w:color w:val="auto"/>
                <w:kern w:val="0"/>
                <w:sz w:val="21"/>
                <w:szCs w:val="21"/>
                <w:highlight w:val="none"/>
              </w:rPr>
              <w:t>承压水</w:t>
            </w:r>
          </w:p>
        </w:tc>
        <w:tc>
          <w:tcPr>
            <w:tcW w:w="302" w:type="pct"/>
            <w:tcBorders>
              <w:left w:val="single" w:color="000000" w:sz="4" w:space="0"/>
            </w:tcBorders>
            <w:noWrap w:val="0"/>
            <w:vAlign w:val="center"/>
          </w:tcPr>
          <w:p w14:paraId="34BF2F2E">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color w:val="auto"/>
                <w:kern w:val="0"/>
                <w:sz w:val="21"/>
                <w:szCs w:val="21"/>
                <w:highlight w:val="none"/>
              </w:rPr>
              <w:t>裂隙</w:t>
            </w:r>
            <w:r>
              <w:rPr>
                <w:rFonts w:hint="eastAsia" w:ascii="Times New Roman" w:hAnsi="Times New Roman" w:eastAsia="宋体" w:cs="Times New Roman"/>
                <w:color w:val="auto"/>
                <w:kern w:val="0"/>
                <w:sz w:val="21"/>
                <w:szCs w:val="21"/>
                <w:highlight w:val="none"/>
              </w:rPr>
              <w:t>水</w:t>
            </w:r>
          </w:p>
        </w:tc>
        <w:tc>
          <w:tcPr>
            <w:tcW w:w="275" w:type="pct"/>
            <w:tcBorders>
              <w:left w:val="single" w:color="000000" w:sz="4" w:space="0"/>
            </w:tcBorders>
            <w:noWrap w:val="0"/>
            <w:vAlign w:val="center"/>
          </w:tcPr>
          <w:p w14:paraId="649B2996">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130</w:t>
            </w:r>
          </w:p>
        </w:tc>
        <w:tc>
          <w:tcPr>
            <w:tcW w:w="275" w:type="pct"/>
            <w:vMerge w:val="restart"/>
            <w:tcBorders>
              <w:left w:val="single" w:color="000000" w:sz="4" w:space="0"/>
            </w:tcBorders>
            <w:noWrap w:val="0"/>
            <w:vAlign w:val="center"/>
          </w:tcPr>
          <w:p w14:paraId="0D2451E2">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val="en-US" w:eastAsia="zh-CN" w:bidi="ar"/>
              </w:rPr>
              <w:t>9865</w:t>
            </w:r>
            <w:r>
              <w:rPr>
                <w:rFonts w:hint="eastAsia" w:ascii="Times New Roman" w:hAnsi="Times New Roman" w:eastAsia="宋体" w:cs="Times New Roman"/>
                <w:color w:val="auto"/>
                <w:kern w:val="0"/>
                <w:sz w:val="21"/>
                <w:szCs w:val="21"/>
                <w:highlight w:val="none"/>
                <w:lang w:val="en-US" w:eastAsia="zh-CN" w:bidi="ar"/>
              </w:rPr>
              <w:t>人</w:t>
            </w:r>
          </w:p>
        </w:tc>
        <w:tc>
          <w:tcPr>
            <w:tcW w:w="357" w:type="pct"/>
            <w:vMerge w:val="restart"/>
            <w:tcBorders>
              <w:left w:val="single" w:color="000000" w:sz="4" w:space="0"/>
            </w:tcBorders>
            <w:noWrap w:val="0"/>
            <w:vAlign w:val="center"/>
          </w:tcPr>
          <w:p w14:paraId="6ADFAF42">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rPr>
            </w:pPr>
            <w:r>
              <w:rPr>
                <w:rFonts w:hint="eastAsia"/>
                <w:color w:val="auto"/>
                <w:spacing w:val="-3"/>
                <w:sz w:val="21"/>
                <w:szCs w:val="21"/>
                <w:highlight w:val="none"/>
              </w:rPr>
              <w:t>发展乡内发富村、发展村、发祥村、发明村、发源村</w:t>
            </w:r>
            <w:r>
              <w:rPr>
                <w:rFonts w:hint="eastAsia"/>
                <w:color w:val="auto"/>
                <w:spacing w:val="-3"/>
                <w:sz w:val="21"/>
                <w:szCs w:val="21"/>
                <w:highlight w:val="none"/>
                <w:lang w:eastAsia="zh-CN"/>
              </w:rPr>
              <w:t>、</w:t>
            </w:r>
            <w:r>
              <w:rPr>
                <w:rFonts w:hint="eastAsia"/>
                <w:color w:val="auto"/>
                <w:spacing w:val="-3"/>
                <w:sz w:val="21"/>
                <w:szCs w:val="21"/>
                <w:highlight w:val="none"/>
              </w:rPr>
              <w:t>东农业队，共计</w:t>
            </w:r>
            <w:r>
              <w:rPr>
                <w:rFonts w:hint="eastAsia"/>
                <w:color w:val="auto"/>
                <w:spacing w:val="-3"/>
                <w:sz w:val="21"/>
                <w:szCs w:val="21"/>
                <w:highlight w:val="none"/>
                <w:lang w:val="en-US" w:eastAsia="zh-CN"/>
              </w:rPr>
              <w:t>5</w:t>
            </w:r>
            <w:r>
              <w:rPr>
                <w:rFonts w:hint="eastAsia"/>
                <w:color w:val="auto"/>
                <w:spacing w:val="-3"/>
                <w:sz w:val="21"/>
                <w:szCs w:val="21"/>
                <w:highlight w:val="none"/>
              </w:rPr>
              <w:t>个行政村4</w:t>
            </w:r>
            <w:r>
              <w:rPr>
                <w:rFonts w:hint="eastAsia"/>
                <w:color w:val="auto"/>
                <w:spacing w:val="-3"/>
                <w:sz w:val="21"/>
                <w:szCs w:val="21"/>
                <w:highlight w:val="none"/>
                <w:lang w:val="en-US" w:eastAsia="zh-CN"/>
              </w:rPr>
              <w:t>7</w:t>
            </w:r>
            <w:r>
              <w:rPr>
                <w:rFonts w:hint="eastAsia"/>
                <w:color w:val="auto"/>
                <w:spacing w:val="-3"/>
                <w:sz w:val="21"/>
                <w:szCs w:val="21"/>
                <w:highlight w:val="none"/>
              </w:rPr>
              <w:t>个自然屯、1个奶牛场及1个农业队</w:t>
            </w:r>
          </w:p>
        </w:tc>
        <w:tc>
          <w:tcPr>
            <w:tcW w:w="177" w:type="pct"/>
            <w:vMerge w:val="restart"/>
            <w:tcBorders>
              <w:left w:val="single" w:color="000000" w:sz="4" w:space="0"/>
            </w:tcBorders>
            <w:noWrap w:val="0"/>
            <w:vAlign w:val="center"/>
          </w:tcPr>
          <w:p w14:paraId="73E5E71E">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eastAsia="zh-CN"/>
              </w:rPr>
            </w:pPr>
            <w:r>
              <w:rPr>
                <w:rFonts w:hint="eastAsia" w:cs="Times New Roman"/>
                <w:color w:val="auto"/>
                <w:kern w:val="0"/>
                <w:sz w:val="21"/>
                <w:szCs w:val="21"/>
                <w:highlight w:val="none"/>
                <w:lang w:eastAsia="zh-CN"/>
              </w:rPr>
              <w:t>发展水厂</w:t>
            </w:r>
          </w:p>
        </w:tc>
        <w:tc>
          <w:tcPr>
            <w:tcW w:w="204" w:type="pct"/>
            <w:vMerge w:val="restart"/>
            <w:tcBorders>
              <w:left w:val="single" w:color="000000" w:sz="4" w:space="0"/>
            </w:tcBorders>
            <w:noWrap w:val="0"/>
            <w:vAlign w:val="center"/>
          </w:tcPr>
          <w:p w14:paraId="2DE51D60">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color w:val="auto"/>
                <w:sz w:val="21"/>
                <w:szCs w:val="21"/>
                <w:highlight w:val="none"/>
              </w:rPr>
              <w:t>机械曝气</w:t>
            </w:r>
            <w:r>
              <w:rPr>
                <w:rFonts w:hint="eastAsia"/>
                <w:color w:val="auto"/>
                <w:sz w:val="21"/>
                <w:szCs w:val="21"/>
                <w:highlight w:val="none"/>
                <w:lang w:eastAsia="zh-CN"/>
              </w:rPr>
              <w:t>、</w:t>
            </w:r>
            <w:r>
              <w:rPr>
                <w:rFonts w:hint="eastAsia"/>
                <w:color w:val="auto"/>
                <w:sz w:val="21"/>
                <w:szCs w:val="21"/>
                <w:highlight w:val="none"/>
              </w:rPr>
              <w:t>锰砂过滤</w:t>
            </w:r>
            <w:r>
              <w:rPr>
                <w:rFonts w:hint="eastAsia"/>
                <w:color w:val="auto"/>
                <w:sz w:val="21"/>
                <w:szCs w:val="21"/>
                <w:highlight w:val="none"/>
                <w:lang w:eastAsia="zh-CN"/>
              </w:rPr>
              <w:t>、</w:t>
            </w:r>
            <w:r>
              <w:rPr>
                <w:rFonts w:hint="eastAsia"/>
                <w:color w:val="auto"/>
                <w:sz w:val="21"/>
                <w:szCs w:val="21"/>
                <w:highlight w:val="none"/>
              </w:rPr>
              <w:t>次氯酸钠消毒</w:t>
            </w:r>
          </w:p>
        </w:tc>
      </w:tr>
      <w:tr w14:paraId="42C8C9E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57" w:type="dxa"/>
            <w:bottom w:w="0" w:type="dxa"/>
            <w:right w:w="57" w:type="dxa"/>
          </w:tblCellMar>
        </w:tblPrEx>
        <w:trPr>
          <w:trHeight w:val="473" w:hRule="atLeast"/>
          <w:jc w:val="center"/>
        </w:trPr>
        <w:tc>
          <w:tcPr>
            <w:tcW w:w="291" w:type="pct"/>
            <w:vMerge w:val="continue"/>
            <w:tcBorders>
              <w:right w:val="single" w:color="000000" w:sz="4" w:space="0"/>
            </w:tcBorders>
            <w:noWrap w:val="0"/>
            <w:vAlign w:val="center"/>
          </w:tcPr>
          <w:p w14:paraId="25EF7AD2">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p>
        </w:tc>
        <w:tc>
          <w:tcPr>
            <w:tcW w:w="256" w:type="pct"/>
            <w:tcBorders>
              <w:left w:val="single" w:color="000000" w:sz="4" w:space="0"/>
              <w:right w:val="single" w:color="000000" w:sz="4" w:space="0"/>
            </w:tcBorders>
            <w:noWrap w:val="0"/>
            <w:vAlign w:val="center"/>
          </w:tcPr>
          <w:p w14:paraId="02C647D1">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2#</w:t>
            </w:r>
          </w:p>
        </w:tc>
        <w:tc>
          <w:tcPr>
            <w:tcW w:w="564" w:type="pct"/>
            <w:tcBorders>
              <w:left w:val="single" w:color="000000" w:sz="4" w:space="0"/>
              <w:right w:val="single" w:color="000000" w:sz="4" w:space="0"/>
            </w:tcBorders>
            <w:noWrap w:val="0"/>
            <w:vAlign w:val="center"/>
          </w:tcPr>
          <w:p w14:paraId="28625A1E">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127°40'54.7042"</w:t>
            </w:r>
          </w:p>
        </w:tc>
        <w:tc>
          <w:tcPr>
            <w:tcW w:w="526" w:type="pct"/>
            <w:tcBorders>
              <w:left w:val="single" w:color="000000" w:sz="4" w:space="0"/>
              <w:right w:val="single" w:color="000000" w:sz="4" w:space="0"/>
            </w:tcBorders>
            <w:noWrap w:val="0"/>
            <w:vAlign w:val="center"/>
          </w:tcPr>
          <w:p w14:paraId="00FE34A4">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47°03'01.6011"</w:t>
            </w:r>
          </w:p>
        </w:tc>
        <w:tc>
          <w:tcPr>
            <w:tcW w:w="198" w:type="pct"/>
            <w:tcBorders>
              <w:left w:val="single" w:color="000000" w:sz="4" w:space="0"/>
              <w:right w:val="single" w:color="000000" w:sz="4" w:space="0"/>
            </w:tcBorders>
            <w:noWrap w:val="0"/>
            <w:vAlign w:val="center"/>
          </w:tcPr>
          <w:p w14:paraId="15F87DB2">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cs="Times New Roman"/>
                <w:color w:val="auto"/>
                <w:kern w:val="0"/>
                <w:sz w:val="21"/>
                <w:szCs w:val="21"/>
                <w:highlight w:val="none"/>
                <w:lang w:val="en-US" w:eastAsia="zh-CN"/>
              </w:rPr>
              <w:t>2024年</w:t>
            </w:r>
          </w:p>
        </w:tc>
        <w:tc>
          <w:tcPr>
            <w:tcW w:w="223" w:type="pct"/>
            <w:tcBorders>
              <w:left w:val="single" w:color="000000" w:sz="4" w:space="0"/>
              <w:right w:val="single" w:color="000000" w:sz="4" w:space="0"/>
            </w:tcBorders>
            <w:noWrap w:val="0"/>
            <w:vAlign w:val="center"/>
          </w:tcPr>
          <w:p w14:paraId="77CBB4CA">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2025年</w:t>
            </w:r>
          </w:p>
        </w:tc>
        <w:tc>
          <w:tcPr>
            <w:tcW w:w="334" w:type="pct"/>
            <w:vMerge w:val="continue"/>
            <w:tcBorders>
              <w:left w:val="single" w:color="000000" w:sz="4" w:space="0"/>
              <w:right w:val="single" w:color="000000" w:sz="4" w:space="0"/>
            </w:tcBorders>
            <w:noWrap w:val="0"/>
            <w:vAlign w:val="center"/>
          </w:tcPr>
          <w:p w14:paraId="12373D38">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p>
        </w:tc>
        <w:tc>
          <w:tcPr>
            <w:tcW w:w="240" w:type="pct"/>
            <w:vMerge w:val="continue"/>
            <w:tcBorders>
              <w:left w:val="single" w:color="000000" w:sz="4" w:space="0"/>
              <w:right w:val="single" w:color="000000" w:sz="4" w:space="0"/>
            </w:tcBorders>
            <w:noWrap w:val="0"/>
            <w:vAlign w:val="center"/>
          </w:tcPr>
          <w:p w14:paraId="49650A5E">
            <w:pPr>
              <w:widowControl/>
              <w:snapToGrid w:val="0"/>
              <w:spacing w:line="240" w:lineRule="auto"/>
              <w:ind w:firstLine="0" w:firstLineChars="0"/>
              <w:jc w:val="center"/>
              <w:rPr>
                <w:rFonts w:hint="eastAsia" w:cs="Times New Roman"/>
                <w:color w:val="auto"/>
                <w:kern w:val="0"/>
                <w:sz w:val="21"/>
                <w:szCs w:val="21"/>
                <w:highlight w:val="none"/>
                <w:lang w:val="en-US" w:eastAsia="zh-CN"/>
              </w:rPr>
            </w:pPr>
          </w:p>
        </w:tc>
        <w:tc>
          <w:tcPr>
            <w:tcW w:w="259" w:type="pct"/>
            <w:tcBorders>
              <w:left w:val="single" w:color="000000" w:sz="4" w:space="0"/>
            </w:tcBorders>
            <w:noWrap w:val="0"/>
            <w:vAlign w:val="center"/>
          </w:tcPr>
          <w:p w14:paraId="7E61B92B">
            <w:pPr>
              <w:widowControl/>
              <w:snapToGrid w:val="0"/>
              <w:spacing w:line="240" w:lineRule="auto"/>
              <w:ind w:firstLine="0" w:firstLineChars="0"/>
              <w:jc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9</w:t>
            </w:r>
          </w:p>
        </w:tc>
        <w:tc>
          <w:tcPr>
            <w:tcW w:w="259" w:type="pct"/>
            <w:tcBorders>
              <w:left w:val="single" w:color="000000" w:sz="4" w:space="0"/>
            </w:tcBorders>
            <w:noWrap w:val="0"/>
            <w:vAlign w:val="center"/>
          </w:tcPr>
          <w:p w14:paraId="76C3F0F4">
            <w:pPr>
              <w:widowControl/>
              <w:snapToGrid w:val="0"/>
              <w:spacing w:line="240" w:lineRule="auto"/>
              <w:ind w:firstLine="0" w:firstLineChars="0"/>
              <w:jc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29</w:t>
            </w:r>
          </w:p>
        </w:tc>
        <w:tc>
          <w:tcPr>
            <w:tcW w:w="252" w:type="pct"/>
            <w:tcBorders>
              <w:left w:val="single" w:color="000000" w:sz="4" w:space="0"/>
            </w:tcBorders>
            <w:noWrap w:val="0"/>
            <w:vAlign w:val="center"/>
          </w:tcPr>
          <w:p w14:paraId="3437AEBC">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ascii="Times New Roman" w:hAnsi="Times New Roman" w:eastAsia="宋体" w:cs="Times New Roman"/>
                <w:color w:val="auto"/>
                <w:kern w:val="0"/>
                <w:sz w:val="21"/>
                <w:szCs w:val="21"/>
                <w:highlight w:val="none"/>
              </w:rPr>
              <w:t>承压水</w:t>
            </w:r>
          </w:p>
        </w:tc>
        <w:tc>
          <w:tcPr>
            <w:tcW w:w="302" w:type="pct"/>
            <w:tcBorders>
              <w:left w:val="single" w:color="000000" w:sz="4" w:space="0"/>
            </w:tcBorders>
            <w:noWrap w:val="0"/>
            <w:vAlign w:val="center"/>
          </w:tcPr>
          <w:p w14:paraId="494EEA06">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color w:val="auto"/>
                <w:kern w:val="0"/>
                <w:sz w:val="21"/>
                <w:szCs w:val="21"/>
                <w:highlight w:val="none"/>
              </w:rPr>
              <w:t>裂隙</w:t>
            </w:r>
            <w:r>
              <w:rPr>
                <w:rFonts w:hint="eastAsia" w:ascii="Times New Roman" w:hAnsi="Times New Roman" w:eastAsia="宋体" w:cs="Times New Roman"/>
                <w:color w:val="auto"/>
                <w:kern w:val="0"/>
                <w:sz w:val="21"/>
                <w:szCs w:val="21"/>
                <w:highlight w:val="none"/>
              </w:rPr>
              <w:t>水</w:t>
            </w:r>
          </w:p>
        </w:tc>
        <w:tc>
          <w:tcPr>
            <w:tcW w:w="275" w:type="pct"/>
            <w:tcBorders>
              <w:left w:val="single" w:color="000000" w:sz="4" w:space="0"/>
            </w:tcBorders>
            <w:noWrap w:val="0"/>
            <w:vAlign w:val="center"/>
          </w:tcPr>
          <w:p w14:paraId="255EC761">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130</w:t>
            </w:r>
          </w:p>
        </w:tc>
        <w:tc>
          <w:tcPr>
            <w:tcW w:w="275" w:type="pct"/>
            <w:vMerge w:val="continue"/>
            <w:tcBorders>
              <w:left w:val="single" w:color="000000" w:sz="4" w:space="0"/>
            </w:tcBorders>
            <w:noWrap w:val="0"/>
            <w:vAlign w:val="center"/>
          </w:tcPr>
          <w:p w14:paraId="6200C1FD">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p>
        </w:tc>
        <w:tc>
          <w:tcPr>
            <w:tcW w:w="357" w:type="pct"/>
            <w:vMerge w:val="continue"/>
            <w:tcBorders>
              <w:left w:val="single" w:color="000000" w:sz="4" w:space="0"/>
            </w:tcBorders>
            <w:noWrap w:val="0"/>
            <w:vAlign w:val="center"/>
          </w:tcPr>
          <w:p w14:paraId="21A6CF51">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p>
        </w:tc>
        <w:tc>
          <w:tcPr>
            <w:tcW w:w="177" w:type="pct"/>
            <w:vMerge w:val="continue"/>
            <w:tcBorders>
              <w:left w:val="single" w:color="000000" w:sz="4" w:space="0"/>
            </w:tcBorders>
            <w:noWrap w:val="0"/>
            <w:vAlign w:val="center"/>
          </w:tcPr>
          <w:p w14:paraId="2DA8FAC4">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p>
        </w:tc>
        <w:tc>
          <w:tcPr>
            <w:tcW w:w="204" w:type="pct"/>
            <w:vMerge w:val="continue"/>
            <w:tcBorders>
              <w:left w:val="single" w:color="000000" w:sz="4" w:space="0"/>
            </w:tcBorders>
            <w:noWrap w:val="0"/>
            <w:vAlign w:val="center"/>
          </w:tcPr>
          <w:p w14:paraId="182D5472">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p>
        </w:tc>
      </w:tr>
      <w:tr w14:paraId="4237ABB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57" w:type="dxa"/>
            <w:bottom w:w="0" w:type="dxa"/>
            <w:right w:w="57" w:type="dxa"/>
          </w:tblCellMar>
        </w:tblPrEx>
        <w:trPr>
          <w:trHeight w:val="482" w:hRule="atLeast"/>
          <w:jc w:val="center"/>
        </w:trPr>
        <w:tc>
          <w:tcPr>
            <w:tcW w:w="291" w:type="pct"/>
            <w:vMerge w:val="continue"/>
            <w:tcBorders>
              <w:right w:val="single" w:color="000000" w:sz="4" w:space="0"/>
            </w:tcBorders>
            <w:noWrap w:val="0"/>
            <w:vAlign w:val="center"/>
          </w:tcPr>
          <w:p w14:paraId="1B88761B">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p>
        </w:tc>
        <w:tc>
          <w:tcPr>
            <w:tcW w:w="256" w:type="pct"/>
            <w:tcBorders>
              <w:left w:val="single" w:color="000000" w:sz="4" w:space="0"/>
              <w:right w:val="single" w:color="000000" w:sz="4" w:space="0"/>
            </w:tcBorders>
            <w:noWrap w:val="0"/>
            <w:vAlign w:val="center"/>
          </w:tcPr>
          <w:p w14:paraId="267A7B50">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3#</w:t>
            </w:r>
          </w:p>
        </w:tc>
        <w:tc>
          <w:tcPr>
            <w:tcW w:w="564" w:type="pct"/>
            <w:tcBorders>
              <w:left w:val="single" w:color="000000" w:sz="4" w:space="0"/>
              <w:right w:val="single" w:color="000000" w:sz="4" w:space="0"/>
            </w:tcBorders>
            <w:noWrap w:val="0"/>
            <w:vAlign w:val="center"/>
          </w:tcPr>
          <w:p w14:paraId="226004C3">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127°41'00.8453"</w:t>
            </w:r>
          </w:p>
        </w:tc>
        <w:tc>
          <w:tcPr>
            <w:tcW w:w="526" w:type="pct"/>
            <w:tcBorders>
              <w:left w:val="single" w:color="000000" w:sz="4" w:space="0"/>
              <w:right w:val="single" w:color="000000" w:sz="4" w:space="0"/>
            </w:tcBorders>
            <w:noWrap w:val="0"/>
            <w:vAlign w:val="center"/>
          </w:tcPr>
          <w:p w14:paraId="1F0A2E8B">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47°02'57.9036"</w:t>
            </w:r>
          </w:p>
        </w:tc>
        <w:tc>
          <w:tcPr>
            <w:tcW w:w="198" w:type="pct"/>
            <w:tcBorders>
              <w:left w:val="single" w:color="000000" w:sz="4" w:space="0"/>
              <w:right w:val="single" w:color="000000" w:sz="4" w:space="0"/>
            </w:tcBorders>
            <w:noWrap w:val="0"/>
            <w:vAlign w:val="center"/>
          </w:tcPr>
          <w:p w14:paraId="1F0F062A">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cs="Times New Roman"/>
                <w:color w:val="auto"/>
                <w:kern w:val="0"/>
                <w:sz w:val="21"/>
                <w:szCs w:val="21"/>
                <w:highlight w:val="none"/>
                <w:lang w:val="en-US" w:eastAsia="zh-CN"/>
              </w:rPr>
              <w:t>2024年</w:t>
            </w:r>
          </w:p>
        </w:tc>
        <w:tc>
          <w:tcPr>
            <w:tcW w:w="223" w:type="pct"/>
            <w:tcBorders>
              <w:left w:val="single" w:color="000000" w:sz="4" w:space="0"/>
              <w:right w:val="single" w:color="000000" w:sz="4" w:space="0"/>
            </w:tcBorders>
            <w:noWrap w:val="0"/>
            <w:vAlign w:val="center"/>
          </w:tcPr>
          <w:p w14:paraId="003A8587">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2025年</w:t>
            </w:r>
          </w:p>
        </w:tc>
        <w:tc>
          <w:tcPr>
            <w:tcW w:w="334" w:type="pct"/>
            <w:vMerge w:val="continue"/>
            <w:tcBorders>
              <w:left w:val="single" w:color="000000" w:sz="4" w:space="0"/>
              <w:right w:val="single" w:color="000000" w:sz="4" w:space="0"/>
            </w:tcBorders>
            <w:noWrap w:val="0"/>
            <w:vAlign w:val="center"/>
          </w:tcPr>
          <w:p w14:paraId="3E3DBC19">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p>
        </w:tc>
        <w:tc>
          <w:tcPr>
            <w:tcW w:w="240" w:type="pct"/>
            <w:vMerge w:val="continue"/>
            <w:tcBorders>
              <w:left w:val="single" w:color="000000" w:sz="4" w:space="0"/>
              <w:right w:val="single" w:color="000000" w:sz="4" w:space="0"/>
            </w:tcBorders>
            <w:noWrap w:val="0"/>
            <w:vAlign w:val="center"/>
          </w:tcPr>
          <w:p w14:paraId="7F431D66">
            <w:pPr>
              <w:widowControl/>
              <w:snapToGrid w:val="0"/>
              <w:spacing w:line="240" w:lineRule="auto"/>
              <w:ind w:firstLine="0" w:firstLineChars="0"/>
              <w:jc w:val="center"/>
              <w:rPr>
                <w:rFonts w:hint="eastAsia" w:cs="Times New Roman"/>
                <w:color w:val="auto"/>
                <w:kern w:val="0"/>
                <w:sz w:val="21"/>
                <w:szCs w:val="21"/>
                <w:highlight w:val="none"/>
                <w:lang w:val="en-US" w:eastAsia="zh-CN"/>
              </w:rPr>
            </w:pPr>
          </w:p>
        </w:tc>
        <w:tc>
          <w:tcPr>
            <w:tcW w:w="259" w:type="pct"/>
            <w:tcBorders>
              <w:left w:val="single" w:color="000000" w:sz="4" w:space="0"/>
            </w:tcBorders>
            <w:noWrap w:val="0"/>
            <w:vAlign w:val="center"/>
          </w:tcPr>
          <w:p w14:paraId="1FE0A4E8">
            <w:pPr>
              <w:widowControl/>
              <w:snapToGrid w:val="0"/>
              <w:spacing w:line="240" w:lineRule="auto"/>
              <w:ind w:firstLine="0" w:firstLineChars="0"/>
              <w:jc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11</w:t>
            </w:r>
          </w:p>
        </w:tc>
        <w:tc>
          <w:tcPr>
            <w:tcW w:w="259" w:type="pct"/>
            <w:tcBorders>
              <w:left w:val="single" w:color="000000" w:sz="4" w:space="0"/>
            </w:tcBorders>
            <w:noWrap w:val="0"/>
            <w:vAlign w:val="center"/>
          </w:tcPr>
          <w:p w14:paraId="1B8226C6">
            <w:pPr>
              <w:widowControl/>
              <w:snapToGrid w:val="0"/>
              <w:spacing w:line="240" w:lineRule="auto"/>
              <w:ind w:firstLine="0" w:firstLineChars="0"/>
              <w:jc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32</w:t>
            </w:r>
          </w:p>
        </w:tc>
        <w:tc>
          <w:tcPr>
            <w:tcW w:w="252" w:type="pct"/>
            <w:tcBorders>
              <w:left w:val="single" w:color="000000" w:sz="4" w:space="0"/>
            </w:tcBorders>
            <w:noWrap w:val="0"/>
            <w:vAlign w:val="center"/>
          </w:tcPr>
          <w:p w14:paraId="322F7091">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ascii="Times New Roman" w:hAnsi="Times New Roman" w:eastAsia="宋体" w:cs="Times New Roman"/>
                <w:color w:val="auto"/>
                <w:kern w:val="0"/>
                <w:sz w:val="21"/>
                <w:szCs w:val="21"/>
                <w:highlight w:val="none"/>
              </w:rPr>
              <w:t>承压水</w:t>
            </w:r>
          </w:p>
        </w:tc>
        <w:tc>
          <w:tcPr>
            <w:tcW w:w="302" w:type="pct"/>
            <w:tcBorders>
              <w:left w:val="single" w:color="000000" w:sz="4" w:space="0"/>
            </w:tcBorders>
            <w:noWrap w:val="0"/>
            <w:vAlign w:val="center"/>
          </w:tcPr>
          <w:p w14:paraId="682E16D2">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color w:val="auto"/>
                <w:kern w:val="0"/>
                <w:sz w:val="21"/>
                <w:szCs w:val="21"/>
                <w:highlight w:val="none"/>
              </w:rPr>
              <w:t>裂隙</w:t>
            </w:r>
            <w:r>
              <w:rPr>
                <w:rFonts w:hint="eastAsia" w:ascii="Times New Roman" w:hAnsi="Times New Roman" w:eastAsia="宋体" w:cs="Times New Roman"/>
                <w:color w:val="auto"/>
                <w:kern w:val="0"/>
                <w:sz w:val="21"/>
                <w:szCs w:val="21"/>
                <w:highlight w:val="none"/>
              </w:rPr>
              <w:t>水</w:t>
            </w:r>
          </w:p>
        </w:tc>
        <w:tc>
          <w:tcPr>
            <w:tcW w:w="275" w:type="pct"/>
            <w:tcBorders>
              <w:left w:val="single" w:color="000000" w:sz="4" w:space="0"/>
            </w:tcBorders>
            <w:noWrap w:val="0"/>
            <w:vAlign w:val="center"/>
          </w:tcPr>
          <w:p w14:paraId="33E42876">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cs="Times New Roman"/>
                <w:color w:val="auto"/>
                <w:kern w:val="0"/>
                <w:sz w:val="21"/>
                <w:szCs w:val="21"/>
                <w:highlight w:val="none"/>
                <w:lang w:val="en-US" w:eastAsia="zh-CN"/>
              </w:rPr>
              <w:t>130</w:t>
            </w:r>
          </w:p>
        </w:tc>
        <w:tc>
          <w:tcPr>
            <w:tcW w:w="275" w:type="pct"/>
            <w:vMerge w:val="continue"/>
            <w:tcBorders>
              <w:left w:val="single" w:color="000000" w:sz="4" w:space="0"/>
            </w:tcBorders>
            <w:noWrap w:val="0"/>
            <w:vAlign w:val="center"/>
          </w:tcPr>
          <w:p w14:paraId="639FF0AD">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p>
        </w:tc>
        <w:tc>
          <w:tcPr>
            <w:tcW w:w="357" w:type="pct"/>
            <w:vMerge w:val="continue"/>
            <w:tcBorders>
              <w:left w:val="single" w:color="000000" w:sz="4" w:space="0"/>
            </w:tcBorders>
            <w:noWrap w:val="0"/>
            <w:vAlign w:val="center"/>
          </w:tcPr>
          <w:p w14:paraId="4B0FE4A0">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p>
        </w:tc>
        <w:tc>
          <w:tcPr>
            <w:tcW w:w="177" w:type="pct"/>
            <w:vMerge w:val="continue"/>
            <w:tcBorders>
              <w:left w:val="single" w:color="000000" w:sz="4" w:space="0"/>
            </w:tcBorders>
            <w:noWrap w:val="0"/>
            <w:vAlign w:val="center"/>
          </w:tcPr>
          <w:p w14:paraId="4C55BBD7">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p>
        </w:tc>
        <w:tc>
          <w:tcPr>
            <w:tcW w:w="204" w:type="pct"/>
            <w:vMerge w:val="continue"/>
            <w:tcBorders>
              <w:left w:val="single" w:color="000000" w:sz="4" w:space="0"/>
            </w:tcBorders>
            <w:noWrap w:val="0"/>
            <w:vAlign w:val="center"/>
          </w:tcPr>
          <w:p w14:paraId="154DC2C9">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p>
        </w:tc>
      </w:tr>
      <w:tr w14:paraId="61F4889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57" w:type="dxa"/>
            <w:bottom w:w="0" w:type="dxa"/>
            <w:right w:w="57" w:type="dxa"/>
          </w:tblCellMar>
        </w:tblPrEx>
        <w:trPr>
          <w:trHeight w:val="482" w:hRule="atLeast"/>
          <w:jc w:val="center"/>
        </w:trPr>
        <w:tc>
          <w:tcPr>
            <w:tcW w:w="291" w:type="pct"/>
            <w:vMerge w:val="continue"/>
            <w:tcBorders>
              <w:right w:val="single" w:color="000000" w:sz="4" w:space="0"/>
            </w:tcBorders>
            <w:noWrap w:val="0"/>
            <w:vAlign w:val="center"/>
          </w:tcPr>
          <w:p w14:paraId="5AE87F5D">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p>
        </w:tc>
        <w:tc>
          <w:tcPr>
            <w:tcW w:w="256" w:type="pct"/>
            <w:tcBorders>
              <w:left w:val="single" w:color="000000" w:sz="4" w:space="0"/>
              <w:right w:val="single" w:color="000000" w:sz="4" w:space="0"/>
            </w:tcBorders>
            <w:noWrap w:val="0"/>
            <w:vAlign w:val="center"/>
          </w:tcPr>
          <w:p w14:paraId="09A89ACC">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4#</w:t>
            </w:r>
          </w:p>
        </w:tc>
        <w:tc>
          <w:tcPr>
            <w:tcW w:w="564" w:type="pct"/>
            <w:tcBorders>
              <w:left w:val="single" w:color="000000" w:sz="4" w:space="0"/>
              <w:right w:val="single" w:color="000000" w:sz="4" w:space="0"/>
            </w:tcBorders>
            <w:noWrap w:val="0"/>
            <w:vAlign w:val="center"/>
          </w:tcPr>
          <w:p w14:paraId="5C0BA34F">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127°40'56.3505"</w:t>
            </w:r>
          </w:p>
        </w:tc>
        <w:tc>
          <w:tcPr>
            <w:tcW w:w="526" w:type="pct"/>
            <w:tcBorders>
              <w:left w:val="single" w:color="000000" w:sz="4" w:space="0"/>
              <w:right w:val="single" w:color="000000" w:sz="4" w:space="0"/>
            </w:tcBorders>
            <w:noWrap w:val="0"/>
            <w:vAlign w:val="center"/>
          </w:tcPr>
          <w:p w14:paraId="44768F5F">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47°02'49.5148"</w:t>
            </w:r>
          </w:p>
        </w:tc>
        <w:tc>
          <w:tcPr>
            <w:tcW w:w="198" w:type="pct"/>
            <w:tcBorders>
              <w:left w:val="single" w:color="000000" w:sz="4" w:space="0"/>
              <w:right w:val="single" w:color="000000" w:sz="4" w:space="0"/>
            </w:tcBorders>
            <w:noWrap w:val="0"/>
            <w:vAlign w:val="center"/>
          </w:tcPr>
          <w:p w14:paraId="6A7DF45F">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cs="Times New Roman"/>
                <w:color w:val="auto"/>
                <w:kern w:val="0"/>
                <w:sz w:val="21"/>
                <w:szCs w:val="21"/>
                <w:highlight w:val="none"/>
                <w:lang w:val="en-US" w:eastAsia="zh-CN"/>
              </w:rPr>
              <w:t>2024年</w:t>
            </w:r>
          </w:p>
        </w:tc>
        <w:tc>
          <w:tcPr>
            <w:tcW w:w="223" w:type="pct"/>
            <w:tcBorders>
              <w:left w:val="single" w:color="000000" w:sz="4" w:space="0"/>
              <w:right w:val="single" w:color="000000" w:sz="4" w:space="0"/>
            </w:tcBorders>
            <w:noWrap w:val="0"/>
            <w:vAlign w:val="center"/>
          </w:tcPr>
          <w:p w14:paraId="2774F815">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2025年</w:t>
            </w:r>
          </w:p>
        </w:tc>
        <w:tc>
          <w:tcPr>
            <w:tcW w:w="334" w:type="pct"/>
            <w:vMerge w:val="continue"/>
            <w:tcBorders>
              <w:left w:val="single" w:color="000000" w:sz="4" w:space="0"/>
              <w:right w:val="single" w:color="000000" w:sz="4" w:space="0"/>
            </w:tcBorders>
            <w:noWrap w:val="0"/>
            <w:vAlign w:val="center"/>
          </w:tcPr>
          <w:p w14:paraId="4C9527E4">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p>
        </w:tc>
        <w:tc>
          <w:tcPr>
            <w:tcW w:w="240" w:type="pct"/>
            <w:vMerge w:val="continue"/>
            <w:tcBorders>
              <w:left w:val="single" w:color="000000" w:sz="4" w:space="0"/>
              <w:right w:val="single" w:color="000000" w:sz="4" w:space="0"/>
            </w:tcBorders>
            <w:noWrap w:val="0"/>
            <w:vAlign w:val="center"/>
          </w:tcPr>
          <w:p w14:paraId="623DAB70">
            <w:pPr>
              <w:widowControl/>
              <w:snapToGrid w:val="0"/>
              <w:spacing w:line="240" w:lineRule="auto"/>
              <w:ind w:firstLine="0" w:firstLineChars="0"/>
              <w:jc w:val="center"/>
              <w:rPr>
                <w:rFonts w:hint="eastAsia" w:cs="Times New Roman"/>
                <w:color w:val="auto"/>
                <w:kern w:val="0"/>
                <w:sz w:val="21"/>
                <w:szCs w:val="21"/>
                <w:highlight w:val="none"/>
                <w:lang w:val="en-US" w:eastAsia="zh-CN"/>
              </w:rPr>
            </w:pPr>
          </w:p>
        </w:tc>
        <w:tc>
          <w:tcPr>
            <w:tcW w:w="259" w:type="pct"/>
            <w:tcBorders>
              <w:left w:val="single" w:color="000000" w:sz="4" w:space="0"/>
            </w:tcBorders>
            <w:noWrap w:val="0"/>
            <w:vAlign w:val="center"/>
          </w:tcPr>
          <w:p w14:paraId="17D8E58B">
            <w:pPr>
              <w:widowControl/>
              <w:snapToGrid w:val="0"/>
              <w:spacing w:line="240" w:lineRule="auto"/>
              <w:ind w:firstLine="0" w:firstLineChars="0"/>
              <w:jc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14</w:t>
            </w:r>
          </w:p>
        </w:tc>
        <w:tc>
          <w:tcPr>
            <w:tcW w:w="259" w:type="pct"/>
            <w:tcBorders>
              <w:left w:val="single" w:color="000000" w:sz="4" w:space="0"/>
            </w:tcBorders>
            <w:noWrap w:val="0"/>
            <w:vAlign w:val="center"/>
          </w:tcPr>
          <w:p w14:paraId="7C29BB1D">
            <w:pPr>
              <w:widowControl/>
              <w:snapToGrid w:val="0"/>
              <w:spacing w:line="240" w:lineRule="auto"/>
              <w:ind w:firstLine="0" w:firstLineChars="0"/>
              <w:jc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28</w:t>
            </w:r>
          </w:p>
        </w:tc>
        <w:tc>
          <w:tcPr>
            <w:tcW w:w="252" w:type="pct"/>
            <w:tcBorders>
              <w:left w:val="single" w:color="000000" w:sz="4" w:space="0"/>
            </w:tcBorders>
            <w:noWrap w:val="0"/>
            <w:vAlign w:val="center"/>
          </w:tcPr>
          <w:p w14:paraId="361575FA">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ascii="Times New Roman" w:hAnsi="Times New Roman" w:eastAsia="宋体" w:cs="Times New Roman"/>
                <w:color w:val="auto"/>
                <w:kern w:val="0"/>
                <w:sz w:val="21"/>
                <w:szCs w:val="21"/>
                <w:highlight w:val="none"/>
              </w:rPr>
              <w:t>承压水</w:t>
            </w:r>
          </w:p>
        </w:tc>
        <w:tc>
          <w:tcPr>
            <w:tcW w:w="302" w:type="pct"/>
            <w:tcBorders>
              <w:left w:val="single" w:color="000000" w:sz="4" w:space="0"/>
            </w:tcBorders>
            <w:noWrap w:val="0"/>
            <w:vAlign w:val="center"/>
          </w:tcPr>
          <w:p w14:paraId="2D3131AD">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color w:val="auto"/>
                <w:kern w:val="0"/>
                <w:sz w:val="21"/>
                <w:szCs w:val="21"/>
                <w:highlight w:val="none"/>
              </w:rPr>
              <w:t>裂隙</w:t>
            </w:r>
            <w:r>
              <w:rPr>
                <w:rFonts w:hint="eastAsia" w:ascii="Times New Roman" w:hAnsi="Times New Roman" w:eastAsia="宋体" w:cs="Times New Roman"/>
                <w:color w:val="auto"/>
                <w:kern w:val="0"/>
                <w:sz w:val="21"/>
                <w:szCs w:val="21"/>
                <w:highlight w:val="none"/>
              </w:rPr>
              <w:t>水</w:t>
            </w:r>
          </w:p>
        </w:tc>
        <w:tc>
          <w:tcPr>
            <w:tcW w:w="275" w:type="pct"/>
            <w:tcBorders>
              <w:left w:val="single" w:color="000000" w:sz="4" w:space="0"/>
            </w:tcBorders>
            <w:noWrap w:val="0"/>
            <w:vAlign w:val="center"/>
          </w:tcPr>
          <w:p w14:paraId="75258A5C">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cs="Times New Roman"/>
                <w:color w:val="auto"/>
                <w:kern w:val="0"/>
                <w:sz w:val="21"/>
                <w:szCs w:val="21"/>
                <w:highlight w:val="none"/>
                <w:lang w:val="en-US" w:eastAsia="zh-CN"/>
              </w:rPr>
              <w:t>130</w:t>
            </w:r>
          </w:p>
        </w:tc>
        <w:tc>
          <w:tcPr>
            <w:tcW w:w="275" w:type="pct"/>
            <w:vMerge w:val="continue"/>
            <w:tcBorders>
              <w:left w:val="single" w:color="000000" w:sz="4" w:space="0"/>
            </w:tcBorders>
            <w:noWrap w:val="0"/>
            <w:vAlign w:val="center"/>
          </w:tcPr>
          <w:p w14:paraId="3A0A9758">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p>
        </w:tc>
        <w:tc>
          <w:tcPr>
            <w:tcW w:w="357" w:type="pct"/>
            <w:vMerge w:val="continue"/>
            <w:tcBorders>
              <w:left w:val="single" w:color="000000" w:sz="4" w:space="0"/>
            </w:tcBorders>
            <w:noWrap w:val="0"/>
            <w:vAlign w:val="center"/>
          </w:tcPr>
          <w:p w14:paraId="19B8E93A">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p>
        </w:tc>
        <w:tc>
          <w:tcPr>
            <w:tcW w:w="177" w:type="pct"/>
            <w:vMerge w:val="continue"/>
            <w:tcBorders>
              <w:left w:val="single" w:color="000000" w:sz="4" w:space="0"/>
            </w:tcBorders>
            <w:noWrap w:val="0"/>
            <w:vAlign w:val="center"/>
          </w:tcPr>
          <w:p w14:paraId="234469A4">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p>
        </w:tc>
        <w:tc>
          <w:tcPr>
            <w:tcW w:w="204" w:type="pct"/>
            <w:vMerge w:val="continue"/>
            <w:tcBorders>
              <w:left w:val="single" w:color="000000" w:sz="4" w:space="0"/>
            </w:tcBorders>
            <w:noWrap w:val="0"/>
            <w:vAlign w:val="center"/>
          </w:tcPr>
          <w:p w14:paraId="6377FEF1">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p>
        </w:tc>
      </w:tr>
      <w:tr w14:paraId="14DCA3A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57" w:type="dxa"/>
            <w:bottom w:w="0" w:type="dxa"/>
            <w:right w:w="57" w:type="dxa"/>
          </w:tblCellMar>
        </w:tblPrEx>
        <w:trPr>
          <w:trHeight w:val="482" w:hRule="atLeast"/>
          <w:jc w:val="center"/>
        </w:trPr>
        <w:tc>
          <w:tcPr>
            <w:tcW w:w="291" w:type="pct"/>
            <w:vMerge w:val="continue"/>
            <w:tcBorders>
              <w:right w:val="single" w:color="000000" w:sz="4" w:space="0"/>
            </w:tcBorders>
            <w:noWrap w:val="0"/>
            <w:vAlign w:val="center"/>
          </w:tcPr>
          <w:p w14:paraId="07730D18">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p>
        </w:tc>
        <w:tc>
          <w:tcPr>
            <w:tcW w:w="256" w:type="pct"/>
            <w:tcBorders>
              <w:left w:val="single" w:color="000000" w:sz="4" w:space="0"/>
              <w:right w:val="single" w:color="000000" w:sz="4" w:space="0"/>
            </w:tcBorders>
            <w:noWrap w:val="0"/>
            <w:vAlign w:val="center"/>
          </w:tcPr>
          <w:p w14:paraId="341ADB30">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5#</w:t>
            </w:r>
          </w:p>
        </w:tc>
        <w:tc>
          <w:tcPr>
            <w:tcW w:w="564" w:type="pct"/>
            <w:tcBorders>
              <w:left w:val="single" w:color="000000" w:sz="4" w:space="0"/>
              <w:right w:val="single" w:color="000000" w:sz="4" w:space="0"/>
            </w:tcBorders>
            <w:noWrap w:val="0"/>
            <w:vAlign w:val="center"/>
          </w:tcPr>
          <w:p w14:paraId="5615F3BA">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127°40'53.4247"</w:t>
            </w:r>
          </w:p>
        </w:tc>
        <w:tc>
          <w:tcPr>
            <w:tcW w:w="526" w:type="pct"/>
            <w:tcBorders>
              <w:left w:val="single" w:color="000000" w:sz="4" w:space="0"/>
              <w:right w:val="single" w:color="000000" w:sz="4" w:space="0"/>
            </w:tcBorders>
            <w:noWrap w:val="0"/>
            <w:vAlign w:val="center"/>
          </w:tcPr>
          <w:p w14:paraId="1E860BA1">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47°02'47.9588"</w:t>
            </w:r>
          </w:p>
        </w:tc>
        <w:tc>
          <w:tcPr>
            <w:tcW w:w="198" w:type="pct"/>
            <w:tcBorders>
              <w:left w:val="single" w:color="000000" w:sz="4" w:space="0"/>
              <w:right w:val="single" w:color="000000" w:sz="4" w:space="0"/>
            </w:tcBorders>
            <w:noWrap w:val="0"/>
            <w:vAlign w:val="center"/>
          </w:tcPr>
          <w:p w14:paraId="5EBEB354">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cs="Times New Roman"/>
                <w:color w:val="auto"/>
                <w:kern w:val="0"/>
                <w:sz w:val="21"/>
                <w:szCs w:val="21"/>
                <w:highlight w:val="none"/>
                <w:lang w:val="en-US" w:eastAsia="zh-CN"/>
              </w:rPr>
              <w:t>2024年</w:t>
            </w:r>
          </w:p>
        </w:tc>
        <w:tc>
          <w:tcPr>
            <w:tcW w:w="223" w:type="pct"/>
            <w:tcBorders>
              <w:left w:val="single" w:color="000000" w:sz="4" w:space="0"/>
              <w:right w:val="single" w:color="000000" w:sz="4" w:space="0"/>
            </w:tcBorders>
            <w:noWrap w:val="0"/>
            <w:vAlign w:val="center"/>
          </w:tcPr>
          <w:p w14:paraId="1B65D648">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2025年</w:t>
            </w:r>
          </w:p>
        </w:tc>
        <w:tc>
          <w:tcPr>
            <w:tcW w:w="334" w:type="pct"/>
            <w:vMerge w:val="continue"/>
            <w:tcBorders>
              <w:left w:val="single" w:color="000000" w:sz="4" w:space="0"/>
              <w:right w:val="single" w:color="000000" w:sz="4" w:space="0"/>
            </w:tcBorders>
            <w:noWrap w:val="0"/>
            <w:vAlign w:val="center"/>
          </w:tcPr>
          <w:p w14:paraId="205B46B6">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p>
        </w:tc>
        <w:tc>
          <w:tcPr>
            <w:tcW w:w="240" w:type="pct"/>
            <w:vMerge w:val="continue"/>
            <w:tcBorders>
              <w:left w:val="single" w:color="000000" w:sz="4" w:space="0"/>
              <w:right w:val="single" w:color="000000" w:sz="4" w:space="0"/>
            </w:tcBorders>
            <w:noWrap w:val="0"/>
            <w:vAlign w:val="center"/>
          </w:tcPr>
          <w:p w14:paraId="5BF7A2C2">
            <w:pPr>
              <w:widowControl/>
              <w:snapToGrid w:val="0"/>
              <w:spacing w:line="240" w:lineRule="auto"/>
              <w:ind w:firstLine="0" w:firstLineChars="0"/>
              <w:jc w:val="center"/>
              <w:rPr>
                <w:rFonts w:hint="eastAsia" w:cs="Times New Roman"/>
                <w:color w:val="auto"/>
                <w:kern w:val="0"/>
                <w:sz w:val="21"/>
                <w:szCs w:val="21"/>
                <w:highlight w:val="none"/>
                <w:lang w:val="en-US" w:eastAsia="zh-CN"/>
              </w:rPr>
            </w:pPr>
          </w:p>
        </w:tc>
        <w:tc>
          <w:tcPr>
            <w:tcW w:w="259" w:type="pct"/>
            <w:tcBorders>
              <w:left w:val="single" w:color="000000" w:sz="4" w:space="0"/>
            </w:tcBorders>
            <w:noWrap w:val="0"/>
            <w:vAlign w:val="center"/>
          </w:tcPr>
          <w:p w14:paraId="682873A9">
            <w:pPr>
              <w:widowControl/>
              <w:snapToGrid w:val="0"/>
              <w:spacing w:line="240" w:lineRule="auto"/>
              <w:ind w:firstLine="0" w:firstLineChars="0"/>
              <w:jc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14</w:t>
            </w:r>
          </w:p>
        </w:tc>
        <w:tc>
          <w:tcPr>
            <w:tcW w:w="259" w:type="pct"/>
            <w:tcBorders>
              <w:left w:val="single" w:color="000000" w:sz="4" w:space="0"/>
            </w:tcBorders>
            <w:noWrap w:val="0"/>
            <w:vAlign w:val="center"/>
          </w:tcPr>
          <w:p w14:paraId="43A3D4B6">
            <w:pPr>
              <w:widowControl/>
              <w:snapToGrid w:val="0"/>
              <w:spacing w:line="240" w:lineRule="auto"/>
              <w:ind w:firstLine="0" w:firstLineChars="0"/>
              <w:jc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28</w:t>
            </w:r>
          </w:p>
        </w:tc>
        <w:tc>
          <w:tcPr>
            <w:tcW w:w="252" w:type="pct"/>
            <w:tcBorders>
              <w:left w:val="single" w:color="000000" w:sz="4" w:space="0"/>
            </w:tcBorders>
            <w:noWrap w:val="0"/>
            <w:vAlign w:val="center"/>
          </w:tcPr>
          <w:p w14:paraId="6E334902">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ascii="Times New Roman" w:hAnsi="Times New Roman" w:eastAsia="宋体" w:cs="Times New Roman"/>
                <w:color w:val="auto"/>
                <w:kern w:val="0"/>
                <w:sz w:val="21"/>
                <w:szCs w:val="21"/>
                <w:highlight w:val="none"/>
              </w:rPr>
              <w:t>承压水</w:t>
            </w:r>
          </w:p>
        </w:tc>
        <w:tc>
          <w:tcPr>
            <w:tcW w:w="302" w:type="pct"/>
            <w:tcBorders>
              <w:left w:val="single" w:color="000000" w:sz="4" w:space="0"/>
            </w:tcBorders>
            <w:noWrap w:val="0"/>
            <w:vAlign w:val="center"/>
          </w:tcPr>
          <w:p w14:paraId="5B094217">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color w:val="auto"/>
                <w:kern w:val="0"/>
                <w:sz w:val="21"/>
                <w:szCs w:val="21"/>
                <w:highlight w:val="none"/>
              </w:rPr>
              <w:t>裂隙</w:t>
            </w:r>
            <w:r>
              <w:rPr>
                <w:rFonts w:hint="eastAsia" w:ascii="Times New Roman" w:hAnsi="Times New Roman" w:eastAsia="宋体" w:cs="Times New Roman"/>
                <w:color w:val="auto"/>
                <w:kern w:val="0"/>
                <w:sz w:val="21"/>
                <w:szCs w:val="21"/>
                <w:highlight w:val="none"/>
              </w:rPr>
              <w:t>水</w:t>
            </w:r>
          </w:p>
        </w:tc>
        <w:tc>
          <w:tcPr>
            <w:tcW w:w="275" w:type="pct"/>
            <w:tcBorders>
              <w:left w:val="single" w:color="000000" w:sz="4" w:space="0"/>
            </w:tcBorders>
            <w:noWrap w:val="0"/>
            <w:vAlign w:val="center"/>
          </w:tcPr>
          <w:p w14:paraId="6E994477">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cs="Times New Roman"/>
                <w:color w:val="auto"/>
                <w:kern w:val="0"/>
                <w:sz w:val="21"/>
                <w:szCs w:val="21"/>
                <w:highlight w:val="none"/>
                <w:lang w:val="en-US" w:eastAsia="zh-CN"/>
              </w:rPr>
              <w:t>130</w:t>
            </w:r>
          </w:p>
        </w:tc>
        <w:tc>
          <w:tcPr>
            <w:tcW w:w="275" w:type="pct"/>
            <w:vMerge w:val="continue"/>
            <w:tcBorders>
              <w:left w:val="single" w:color="000000" w:sz="4" w:space="0"/>
            </w:tcBorders>
            <w:noWrap w:val="0"/>
            <w:vAlign w:val="center"/>
          </w:tcPr>
          <w:p w14:paraId="68E47880">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p>
        </w:tc>
        <w:tc>
          <w:tcPr>
            <w:tcW w:w="357" w:type="pct"/>
            <w:vMerge w:val="continue"/>
            <w:tcBorders>
              <w:left w:val="single" w:color="000000" w:sz="4" w:space="0"/>
            </w:tcBorders>
            <w:noWrap w:val="0"/>
            <w:vAlign w:val="center"/>
          </w:tcPr>
          <w:p w14:paraId="69E622E4">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p>
        </w:tc>
        <w:tc>
          <w:tcPr>
            <w:tcW w:w="177" w:type="pct"/>
            <w:vMerge w:val="continue"/>
            <w:tcBorders>
              <w:left w:val="single" w:color="000000" w:sz="4" w:space="0"/>
            </w:tcBorders>
            <w:noWrap w:val="0"/>
            <w:vAlign w:val="center"/>
          </w:tcPr>
          <w:p w14:paraId="10170887">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p>
        </w:tc>
        <w:tc>
          <w:tcPr>
            <w:tcW w:w="204" w:type="pct"/>
            <w:vMerge w:val="continue"/>
            <w:tcBorders>
              <w:left w:val="single" w:color="000000" w:sz="4" w:space="0"/>
            </w:tcBorders>
            <w:noWrap w:val="0"/>
            <w:vAlign w:val="center"/>
          </w:tcPr>
          <w:p w14:paraId="396D43ED">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p>
        </w:tc>
      </w:tr>
      <w:tr w14:paraId="39F3F11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57" w:type="dxa"/>
            <w:bottom w:w="0" w:type="dxa"/>
            <w:right w:w="57" w:type="dxa"/>
          </w:tblCellMar>
        </w:tblPrEx>
        <w:trPr>
          <w:trHeight w:val="482" w:hRule="atLeast"/>
          <w:jc w:val="center"/>
        </w:trPr>
        <w:tc>
          <w:tcPr>
            <w:tcW w:w="291" w:type="pct"/>
            <w:vMerge w:val="continue"/>
            <w:tcBorders>
              <w:right w:val="single" w:color="000000" w:sz="4" w:space="0"/>
            </w:tcBorders>
            <w:noWrap w:val="0"/>
            <w:vAlign w:val="center"/>
          </w:tcPr>
          <w:p w14:paraId="79A3077C">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p>
        </w:tc>
        <w:tc>
          <w:tcPr>
            <w:tcW w:w="256" w:type="pct"/>
            <w:tcBorders>
              <w:left w:val="single" w:color="000000" w:sz="4" w:space="0"/>
              <w:right w:val="single" w:color="000000" w:sz="4" w:space="0"/>
            </w:tcBorders>
            <w:noWrap w:val="0"/>
            <w:vAlign w:val="center"/>
          </w:tcPr>
          <w:p w14:paraId="0004F676">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6#</w:t>
            </w:r>
          </w:p>
        </w:tc>
        <w:tc>
          <w:tcPr>
            <w:tcW w:w="564" w:type="pct"/>
            <w:tcBorders>
              <w:left w:val="single" w:color="000000" w:sz="4" w:space="0"/>
              <w:right w:val="single" w:color="000000" w:sz="4" w:space="0"/>
            </w:tcBorders>
            <w:noWrap w:val="0"/>
            <w:vAlign w:val="center"/>
          </w:tcPr>
          <w:p w14:paraId="09A7F9E5">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127°40'41.8160"</w:t>
            </w:r>
          </w:p>
        </w:tc>
        <w:tc>
          <w:tcPr>
            <w:tcW w:w="526" w:type="pct"/>
            <w:tcBorders>
              <w:left w:val="single" w:color="000000" w:sz="4" w:space="0"/>
              <w:right w:val="single" w:color="000000" w:sz="4" w:space="0"/>
            </w:tcBorders>
            <w:noWrap w:val="0"/>
            <w:vAlign w:val="center"/>
          </w:tcPr>
          <w:p w14:paraId="3DB4B7E8">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47°02'49.5560"</w:t>
            </w:r>
          </w:p>
        </w:tc>
        <w:tc>
          <w:tcPr>
            <w:tcW w:w="198" w:type="pct"/>
            <w:tcBorders>
              <w:left w:val="single" w:color="000000" w:sz="4" w:space="0"/>
              <w:right w:val="single" w:color="000000" w:sz="4" w:space="0"/>
            </w:tcBorders>
            <w:noWrap w:val="0"/>
            <w:vAlign w:val="center"/>
          </w:tcPr>
          <w:p w14:paraId="0D7C7C50">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cs="Times New Roman"/>
                <w:color w:val="auto"/>
                <w:kern w:val="0"/>
                <w:sz w:val="21"/>
                <w:szCs w:val="21"/>
                <w:highlight w:val="none"/>
                <w:lang w:val="en-US" w:eastAsia="zh-CN"/>
              </w:rPr>
              <w:t>2024年</w:t>
            </w:r>
          </w:p>
        </w:tc>
        <w:tc>
          <w:tcPr>
            <w:tcW w:w="223" w:type="pct"/>
            <w:tcBorders>
              <w:left w:val="single" w:color="000000" w:sz="4" w:space="0"/>
              <w:right w:val="single" w:color="000000" w:sz="4" w:space="0"/>
            </w:tcBorders>
            <w:noWrap w:val="0"/>
            <w:vAlign w:val="center"/>
          </w:tcPr>
          <w:p w14:paraId="56347482">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2025年</w:t>
            </w:r>
          </w:p>
        </w:tc>
        <w:tc>
          <w:tcPr>
            <w:tcW w:w="334" w:type="pct"/>
            <w:vMerge w:val="continue"/>
            <w:tcBorders>
              <w:left w:val="single" w:color="000000" w:sz="4" w:space="0"/>
              <w:right w:val="single" w:color="000000" w:sz="4" w:space="0"/>
            </w:tcBorders>
            <w:noWrap w:val="0"/>
            <w:vAlign w:val="center"/>
          </w:tcPr>
          <w:p w14:paraId="5C9C170F">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p>
        </w:tc>
        <w:tc>
          <w:tcPr>
            <w:tcW w:w="240" w:type="pct"/>
            <w:vMerge w:val="continue"/>
            <w:tcBorders>
              <w:left w:val="single" w:color="000000" w:sz="4" w:space="0"/>
              <w:right w:val="single" w:color="000000" w:sz="4" w:space="0"/>
            </w:tcBorders>
            <w:noWrap w:val="0"/>
            <w:vAlign w:val="center"/>
          </w:tcPr>
          <w:p w14:paraId="6AA030FB">
            <w:pPr>
              <w:widowControl/>
              <w:snapToGrid w:val="0"/>
              <w:spacing w:line="240" w:lineRule="auto"/>
              <w:ind w:firstLine="0" w:firstLineChars="0"/>
              <w:jc w:val="center"/>
              <w:rPr>
                <w:rFonts w:hint="eastAsia" w:cs="Times New Roman"/>
                <w:color w:val="auto"/>
                <w:kern w:val="0"/>
                <w:sz w:val="21"/>
                <w:szCs w:val="21"/>
                <w:highlight w:val="none"/>
                <w:lang w:val="en-US" w:eastAsia="zh-CN"/>
              </w:rPr>
            </w:pPr>
          </w:p>
        </w:tc>
        <w:tc>
          <w:tcPr>
            <w:tcW w:w="259" w:type="pct"/>
            <w:tcBorders>
              <w:left w:val="single" w:color="000000" w:sz="4" w:space="0"/>
            </w:tcBorders>
            <w:noWrap w:val="0"/>
            <w:vAlign w:val="center"/>
          </w:tcPr>
          <w:p w14:paraId="3ED03C89">
            <w:pPr>
              <w:widowControl/>
              <w:snapToGrid w:val="0"/>
              <w:spacing w:line="240" w:lineRule="auto"/>
              <w:ind w:firstLine="0" w:firstLineChars="0"/>
              <w:jc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14</w:t>
            </w:r>
          </w:p>
        </w:tc>
        <w:tc>
          <w:tcPr>
            <w:tcW w:w="259" w:type="pct"/>
            <w:tcBorders>
              <w:left w:val="single" w:color="000000" w:sz="4" w:space="0"/>
            </w:tcBorders>
            <w:noWrap w:val="0"/>
            <w:vAlign w:val="center"/>
          </w:tcPr>
          <w:p w14:paraId="24984464">
            <w:pPr>
              <w:widowControl/>
              <w:snapToGrid w:val="0"/>
              <w:spacing w:line="240" w:lineRule="auto"/>
              <w:ind w:firstLine="0" w:firstLineChars="0"/>
              <w:jc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28</w:t>
            </w:r>
          </w:p>
        </w:tc>
        <w:tc>
          <w:tcPr>
            <w:tcW w:w="252" w:type="pct"/>
            <w:tcBorders>
              <w:left w:val="single" w:color="000000" w:sz="4" w:space="0"/>
            </w:tcBorders>
            <w:noWrap w:val="0"/>
            <w:vAlign w:val="center"/>
          </w:tcPr>
          <w:p w14:paraId="7DB17552">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ascii="Times New Roman" w:hAnsi="Times New Roman" w:eastAsia="宋体" w:cs="Times New Roman"/>
                <w:color w:val="auto"/>
                <w:kern w:val="0"/>
                <w:sz w:val="21"/>
                <w:szCs w:val="21"/>
                <w:highlight w:val="none"/>
              </w:rPr>
              <w:t>承压水</w:t>
            </w:r>
          </w:p>
        </w:tc>
        <w:tc>
          <w:tcPr>
            <w:tcW w:w="302" w:type="pct"/>
            <w:tcBorders>
              <w:left w:val="single" w:color="000000" w:sz="4" w:space="0"/>
            </w:tcBorders>
            <w:noWrap w:val="0"/>
            <w:vAlign w:val="center"/>
          </w:tcPr>
          <w:p w14:paraId="15E24775">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color w:val="auto"/>
                <w:kern w:val="0"/>
                <w:sz w:val="21"/>
                <w:szCs w:val="21"/>
                <w:highlight w:val="none"/>
              </w:rPr>
              <w:t>裂隙</w:t>
            </w:r>
            <w:r>
              <w:rPr>
                <w:rFonts w:hint="eastAsia" w:ascii="Times New Roman" w:hAnsi="Times New Roman" w:eastAsia="宋体" w:cs="Times New Roman"/>
                <w:color w:val="auto"/>
                <w:kern w:val="0"/>
                <w:sz w:val="21"/>
                <w:szCs w:val="21"/>
                <w:highlight w:val="none"/>
              </w:rPr>
              <w:t>水</w:t>
            </w:r>
          </w:p>
        </w:tc>
        <w:tc>
          <w:tcPr>
            <w:tcW w:w="275" w:type="pct"/>
            <w:tcBorders>
              <w:left w:val="single" w:color="000000" w:sz="4" w:space="0"/>
            </w:tcBorders>
            <w:noWrap w:val="0"/>
            <w:vAlign w:val="center"/>
          </w:tcPr>
          <w:p w14:paraId="08C4424E">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cs="Times New Roman"/>
                <w:color w:val="auto"/>
                <w:kern w:val="0"/>
                <w:sz w:val="21"/>
                <w:szCs w:val="21"/>
                <w:highlight w:val="none"/>
                <w:lang w:val="en-US" w:eastAsia="zh-CN"/>
              </w:rPr>
              <w:t>130</w:t>
            </w:r>
          </w:p>
        </w:tc>
        <w:tc>
          <w:tcPr>
            <w:tcW w:w="275" w:type="pct"/>
            <w:vMerge w:val="continue"/>
            <w:tcBorders>
              <w:left w:val="single" w:color="000000" w:sz="4" w:space="0"/>
            </w:tcBorders>
            <w:noWrap w:val="0"/>
            <w:vAlign w:val="center"/>
          </w:tcPr>
          <w:p w14:paraId="70AC9EC8">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p>
        </w:tc>
        <w:tc>
          <w:tcPr>
            <w:tcW w:w="357" w:type="pct"/>
            <w:vMerge w:val="continue"/>
            <w:tcBorders>
              <w:left w:val="single" w:color="000000" w:sz="4" w:space="0"/>
            </w:tcBorders>
            <w:noWrap w:val="0"/>
            <w:vAlign w:val="center"/>
          </w:tcPr>
          <w:p w14:paraId="53F1BE05">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p>
        </w:tc>
        <w:tc>
          <w:tcPr>
            <w:tcW w:w="177" w:type="pct"/>
            <w:vMerge w:val="continue"/>
            <w:tcBorders>
              <w:left w:val="single" w:color="000000" w:sz="4" w:space="0"/>
            </w:tcBorders>
            <w:noWrap w:val="0"/>
            <w:vAlign w:val="center"/>
          </w:tcPr>
          <w:p w14:paraId="71795CBA">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p>
        </w:tc>
        <w:tc>
          <w:tcPr>
            <w:tcW w:w="204" w:type="pct"/>
            <w:vMerge w:val="continue"/>
            <w:tcBorders>
              <w:left w:val="single" w:color="000000" w:sz="4" w:space="0"/>
            </w:tcBorders>
            <w:noWrap w:val="0"/>
            <w:vAlign w:val="center"/>
          </w:tcPr>
          <w:p w14:paraId="28591B81">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p>
        </w:tc>
      </w:tr>
      <w:tr w14:paraId="73905CD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57" w:type="dxa"/>
            <w:bottom w:w="0" w:type="dxa"/>
            <w:right w:w="57" w:type="dxa"/>
          </w:tblCellMar>
        </w:tblPrEx>
        <w:trPr>
          <w:trHeight w:val="482" w:hRule="atLeast"/>
          <w:jc w:val="center"/>
        </w:trPr>
        <w:tc>
          <w:tcPr>
            <w:tcW w:w="291" w:type="pct"/>
            <w:vMerge w:val="continue"/>
            <w:tcBorders>
              <w:right w:val="single" w:color="000000" w:sz="4" w:space="0"/>
            </w:tcBorders>
            <w:noWrap w:val="0"/>
            <w:vAlign w:val="center"/>
          </w:tcPr>
          <w:p w14:paraId="6A757487">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p>
        </w:tc>
        <w:tc>
          <w:tcPr>
            <w:tcW w:w="256" w:type="pct"/>
            <w:tcBorders>
              <w:left w:val="single" w:color="000000" w:sz="4" w:space="0"/>
              <w:right w:val="single" w:color="000000" w:sz="4" w:space="0"/>
            </w:tcBorders>
            <w:noWrap w:val="0"/>
            <w:vAlign w:val="center"/>
          </w:tcPr>
          <w:p w14:paraId="0F2C3368">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7#</w:t>
            </w:r>
          </w:p>
        </w:tc>
        <w:tc>
          <w:tcPr>
            <w:tcW w:w="564" w:type="pct"/>
            <w:tcBorders>
              <w:left w:val="single" w:color="000000" w:sz="4" w:space="0"/>
              <w:right w:val="single" w:color="000000" w:sz="4" w:space="0"/>
            </w:tcBorders>
            <w:noWrap w:val="0"/>
            <w:vAlign w:val="center"/>
          </w:tcPr>
          <w:p w14:paraId="554B5E95">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127°40'37.7290"</w:t>
            </w:r>
          </w:p>
        </w:tc>
        <w:tc>
          <w:tcPr>
            <w:tcW w:w="526" w:type="pct"/>
            <w:tcBorders>
              <w:left w:val="single" w:color="000000" w:sz="4" w:space="0"/>
              <w:right w:val="single" w:color="000000" w:sz="4" w:space="0"/>
            </w:tcBorders>
            <w:noWrap w:val="0"/>
            <w:vAlign w:val="center"/>
          </w:tcPr>
          <w:p w14:paraId="7C9E42A4">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47°02'57.9003"</w:t>
            </w:r>
          </w:p>
        </w:tc>
        <w:tc>
          <w:tcPr>
            <w:tcW w:w="198" w:type="pct"/>
            <w:tcBorders>
              <w:left w:val="single" w:color="000000" w:sz="4" w:space="0"/>
              <w:right w:val="single" w:color="000000" w:sz="4" w:space="0"/>
            </w:tcBorders>
            <w:noWrap w:val="0"/>
            <w:vAlign w:val="center"/>
          </w:tcPr>
          <w:p w14:paraId="4906A085">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cs="Times New Roman"/>
                <w:color w:val="auto"/>
                <w:kern w:val="0"/>
                <w:sz w:val="21"/>
                <w:szCs w:val="21"/>
                <w:highlight w:val="none"/>
                <w:lang w:val="en-US" w:eastAsia="zh-CN"/>
              </w:rPr>
              <w:t>2024年</w:t>
            </w:r>
          </w:p>
        </w:tc>
        <w:tc>
          <w:tcPr>
            <w:tcW w:w="223" w:type="pct"/>
            <w:tcBorders>
              <w:left w:val="single" w:color="000000" w:sz="4" w:space="0"/>
              <w:right w:val="single" w:color="000000" w:sz="4" w:space="0"/>
            </w:tcBorders>
            <w:noWrap w:val="0"/>
            <w:vAlign w:val="center"/>
          </w:tcPr>
          <w:p w14:paraId="71A2445B">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2025年</w:t>
            </w:r>
          </w:p>
        </w:tc>
        <w:tc>
          <w:tcPr>
            <w:tcW w:w="334" w:type="pct"/>
            <w:vMerge w:val="continue"/>
            <w:tcBorders>
              <w:left w:val="single" w:color="000000" w:sz="4" w:space="0"/>
              <w:right w:val="single" w:color="000000" w:sz="4" w:space="0"/>
            </w:tcBorders>
            <w:noWrap w:val="0"/>
            <w:vAlign w:val="center"/>
          </w:tcPr>
          <w:p w14:paraId="510917D3">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p>
        </w:tc>
        <w:tc>
          <w:tcPr>
            <w:tcW w:w="240" w:type="pct"/>
            <w:vMerge w:val="continue"/>
            <w:tcBorders>
              <w:left w:val="single" w:color="000000" w:sz="4" w:space="0"/>
              <w:right w:val="single" w:color="000000" w:sz="4" w:space="0"/>
            </w:tcBorders>
            <w:noWrap w:val="0"/>
            <w:vAlign w:val="center"/>
          </w:tcPr>
          <w:p w14:paraId="72DE7C0C">
            <w:pPr>
              <w:widowControl/>
              <w:snapToGrid w:val="0"/>
              <w:spacing w:line="240" w:lineRule="auto"/>
              <w:ind w:firstLine="0" w:firstLineChars="0"/>
              <w:jc w:val="center"/>
              <w:rPr>
                <w:rFonts w:hint="eastAsia" w:cs="Times New Roman"/>
                <w:color w:val="auto"/>
                <w:kern w:val="0"/>
                <w:sz w:val="21"/>
                <w:szCs w:val="21"/>
                <w:highlight w:val="none"/>
                <w:lang w:val="en-US" w:eastAsia="zh-CN"/>
              </w:rPr>
            </w:pPr>
          </w:p>
        </w:tc>
        <w:tc>
          <w:tcPr>
            <w:tcW w:w="259" w:type="pct"/>
            <w:tcBorders>
              <w:left w:val="single" w:color="000000" w:sz="4" w:space="0"/>
            </w:tcBorders>
            <w:noWrap w:val="0"/>
            <w:vAlign w:val="center"/>
          </w:tcPr>
          <w:p w14:paraId="5307A9DB">
            <w:pPr>
              <w:widowControl/>
              <w:snapToGrid w:val="0"/>
              <w:spacing w:line="240" w:lineRule="auto"/>
              <w:ind w:firstLine="0" w:firstLineChars="0"/>
              <w:jc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11</w:t>
            </w:r>
          </w:p>
        </w:tc>
        <w:tc>
          <w:tcPr>
            <w:tcW w:w="259" w:type="pct"/>
            <w:tcBorders>
              <w:left w:val="single" w:color="000000" w:sz="4" w:space="0"/>
            </w:tcBorders>
            <w:noWrap w:val="0"/>
            <w:vAlign w:val="center"/>
          </w:tcPr>
          <w:p w14:paraId="08B15779">
            <w:pPr>
              <w:widowControl/>
              <w:snapToGrid w:val="0"/>
              <w:spacing w:line="240" w:lineRule="auto"/>
              <w:ind w:firstLine="0" w:firstLineChars="0"/>
              <w:jc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30</w:t>
            </w:r>
          </w:p>
        </w:tc>
        <w:tc>
          <w:tcPr>
            <w:tcW w:w="252" w:type="pct"/>
            <w:tcBorders>
              <w:left w:val="single" w:color="000000" w:sz="4" w:space="0"/>
            </w:tcBorders>
            <w:noWrap w:val="0"/>
            <w:vAlign w:val="center"/>
          </w:tcPr>
          <w:p w14:paraId="5DFC3FBC">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ascii="Times New Roman" w:hAnsi="Times New Roman" w:eastAsia="宋体" w:cs="Times New Roman"/>
                <w:color w:val="auto"/>
                <w:kern w:val="0"/>
                <w:sz w:val="21"/>
                <w:szCs w:val="21"/>
                <w:highlight w:val="none"/>
              </w:rPr>
              <w:t>承压水</w:t>
            </w:r>
          </w:p>
        </w:tc>
        <w:tc>
          <w:tcPr>
            <w:tcW w:w="302" w:type="pct"/>
            <w:tcBorders>
              <w:left w:val="single" w:color="000000" w:sz="4" w:space="0"/>
            </w:tcBorders>
            <w:noWrap w:val="0"/>
            <w:vAlign w:val="center"/>
          </w:tcPr>
          <w:p w14:paraId="423B6EC2">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color w:val="auto"/>
                <w:kern w:val="0"/>
                <w:sz w:val="21"/>
                <w:szCs w:val="21"/>
                <w:highlight w:val="none"/>
              </w:rPr>
              <w:t>裂隙</w:t>
            </w:r>
            <w:r>
              <w:rPr>
                <w:rFonts w:hint="eastAsia" w:ascii="Times New Roman" w:hAnsi="Times New Roman" w:eastAsia="宋体" w:cs="Times New Roman"/>
                <w:color w:val="auto"/>
                <w:kern w:val="0"/>
                <w:sz w:val="21"/>
                <w:szCs w:val="21"/>
                <w:highlight w:val="none"/>
              </w:rPr>
              <w:t>水</w:t>
            </w:r>
          </w:p>
        </w:tc>
        <w:tc>
          <w:tcPr>
            <w:tcW w:w="275" w:type="pct"/>
            <w:tcBorders>
              <w:left w:val="single" w:color="000000" w:sz="4" w:space="0"/>
            </w:tcBorders>
            <w:noWrap w:val="0"/>
            <w:vAlign w:val="center"/>
          </w:tcPr>
          <w:p w14:paraId="44DACBA0">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cs="Times New Roman"/>
                <w:color w:val="auto"/>
                <w:kern w:val="0"/>
                <w:sz w:val="21"/>
                <w:szCs w:val="21"/>
                <w:highlight w:val="none"/>
                <w:lang w:val="en-US" w:eastAsia="zh-CN"/>
              </w:rPr>
              <w:t>130</w:t>
            </w:r>
          </w:p>
        </w:tc>
        <w:tc>
          <w:tcPr>
            <w:tcW w:w="275" w:type="pct"/>
            <w:vMerge w:val="continue"/>
            <w:tcBorders>
              <w:left w:val="single" w:color="000000" w:sz="4" w:space="0"/>
            </w:tcBorders>
            <w:noWrap w:val="0"/>
            <w:vAlign w:val="center"/>
          </w:tcPr>
          <w:p w14:paraId="145BD746">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p>
        </w:tc>
        <w:tc>
          <w:tcPr>
            <w:tcW w:w="357" w:type="pct"/>
            <w:vMerge w:val="continue"/>
            <w:tcBorders>
              <w:left w:val="single" w:color="000000" w:sz="4" w:space="0"/>
            </w:tcBorders>
            <w:noWrap w:val="0"/>
            <w:vAlign w:val="center"/>
          </w:tcPr>
          <w:p w14:paraId="18978DC4">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p>
        </w:tc>
        <w:tc>
          <w:tcPr>
            <w:tcW w:w="177" w:type="pct"/>
            <w:vMerge w:val="continue"/>
            <w:tcBorders>
              <w:left w:val="single" w:color="000000" w:sz="4" w:space="0"/>
            </w:tcBorders>
            <w:noWrap w:val="0"/>
            <w:vAlign w:val="center"/>
          </w:tcPr>
          <w:p w14:paraId="4C486C83">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p>
        </w:tc>
        <w:tc>
          <w:tcPr>
            <w:tcW w:w="204" w:type="pct"/>
            <w:vMerge w:val="continue"/>
            <w:tcBorders>
              <w:left w:val="single" w:color="000000" w:sz="4" w:space="0"/>
            </w:tcBorders>
            <w:noWrap w:val="0"/>
            <w:vAlign w:val="center"/>
          </w:tcPr>
          <w:p w14:paraId="3A2D1B02">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p>
        </w:tc>
      </w:tr>
      <w:tr w14:paraId="64C7687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57" w:type="dxa"/>
            <w:bottom w:w="0" w:type="dxa"/>
            <w:right w:w="57" w:type="dxa"/>
          </w:tblCellMar>
        </w:tblPrEx>
        <w:trPr>
          <w:trHeight w:val="90" w:hRule="atLeast"/>
          <w:jc w:val="center"/>
        </w:trPr>
        <w:tc>
          <w:tcPr>
            <w:tcW w:w="291" w:type="pct"/>
            <w:vMerge w:val="continue"/>
            <w:tcBorders>
              <w:right w:val="single" w:color="000000" w:sz="4" w:space="0"/>
            </w:tcBorders>
            <w:noWrap w:val="0"/>
            <w:vAlign w:val="center"/>
          </w:tcPr>
          <w:p w14:paraId="55D39393">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p>
        </w:tc>
        <w:tc>
          <w:tcPr>
            <w:tcW w:w="256" w:type="pct"/>
            <w:tcBorders>
              <w:left w:val="single" w:color="000000" w:sz="4" w:space="0"/>
              <w:right w:val="single" w:color="000000" w:sz="4" w:space="0"/>
            </w:tcBorders>
            <w:noWrap w:val="0"/>
            <w:vAlign w:val="center"/>
          </w:tcPr>
          <w:p w14:paraId="3A8C3503">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8#</w:t>
            </w:r>
          </w:p>
        </w:tc>
        <w:tc>
          <w:tcPr>
            <w:tcW w:w="564" w:type="pct"/>
            <w:tcBorders>
              <w:left w:val="single" w:color="000000" w:sz="4" w:space="0"/>
              <w:right w:val="single" w:color="000000" w:sz="4" w:space="0"/>
            </w:tcBorders>
            <w:noWrap w:val="0"/>
            <w:vAlign w:val="center"/>
          </w:tcPr>
          <w:p w14:paraId="3A88F5A8">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127°40'31.9402"</w:t>
            </w:r>
          </w:p>
        </w:tc>
        <w:tc>
          <w:tcPr>
            <w:tcW w:w="526" w:type="pct"/>
            <w:tcBorders>
              <w:left w:val="single" w:color="000000" w:sz="4" w:space="0"/>
              <w:right w:val="single" w:color="000000" w:sz="4" w:space="0"/>
            </w:tcBorders>
            <w:noWrap w:val="0"/>
            <w:vAlign w:val="center"/>
          </w:tcPr>
          <w:p w14:paraId="0ACDC288">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47°03'01.5682"</w:t>
            </w:r>
          </w:p>
        </w:tc>
        <w:tc>
          <w:tcPr>
            <w:tcW w:w="198" w:type="pct"/>
            <w:tcBorders>
              <w:left w:val="single" w:color="000000" w:sz="4" w:space="0"/>
              <w:right w:val="single" w:color="000000" w:sz="4" w:space="0"/>
            </w:tcBorders>
            <w:noWrap w:val="0"/>
            <w:vAlign w:val="center"/>
          </w:tcPr>
          <w:p w14:paraId="2E9FBC53">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cs="Times New Roman"/>
                <w:color w:val="auto"/>
                <w:kern w:val="0"/>
                <w:sz w:val="21"/>
                <w:szCs w:val="21"/>
                <w:highlight w:val="none"/>
                <w:lang w:val="en-US" w:eastAsia="zh-CN"/>
              </w:rPr>
              <w:t>2024年</w:t>
            </w:r>
          </w:p>
        </w:tc>
        <w:tc>
          <w:tcPr>
            <w:tcW w:w="223" w:type="pct"/>
            <w:tcBorders>
              <w:left w:val="single" w:color="000000" w:sz="4" w:space="0"/>
              <w:right w:val="single" w:color="000000" w:sz="4" w:space="0"/>
            </w:tcBorders>
            <w:noWrap w:val="0"/>
            <w:vAlign w:val="center"/>
          </w:tcPr>
          <w:p w14:paraId="0666EF61">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2025年</w:t>
            </w:r>
          </w:p>
        </w:tc>
        <w:tc>
          <w:tcPr>
            <w:tcW w:w="334" w:type="pct"/>
            <w:vMerge w:val="continue"/>
            <w:tcBorders>
              <w:left w:val="single" w:color="000000" w:sz="4" w:space="0"/>
              <w:right w:val="single" w:color="000000" w:sz="4" w:space="0"/>
            </w:tcBorders>
            <w:noWrap w:val="0"/>
            <w:vAlign w:val="center"/>
          </w:tcPr>
          <w:p w14:paraId="01C4BCF4">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p>
        </w:tc>
        <w:tc>
          <w:tcPr>
            <w:tcW w:w="240" w:type="pct"/>
            <w:vMerge w:val="continue"/>
            <w:tcBorders>
              <w:left w:val="single" w:color="000000" w:sz="4" w:space="0"/>
              <w:right w:val="single" w:color="000000" w:sz="4" w:space="0"/>
            </w:tcBorders>
            <w:noWrap w:val="0"/>
            <w:vAlign w:val="center"/>
          </w:tcPr>
          <w:p w14:paraId="6C14DD15">
            <w:pPr>
              <w:widowControl/>
              <w:snapToGrid w:val="0"/>
              <w:spacing w:line="240" w:lineRule="auto"/>
              <w:ind w:firstLine="0" w:firstLineChars="0"/>
              <w:jc w:val="center"/>
              <w:rPr>
                <w:rFonts w:hint="eastAsia" w:cs="Times New Roman"/>
                <w:color w:val="auto"/>
                <w:kern w:val="0"/>
                <w:sz w:val="21"/>
                <w:szCs w:val="21"/>
                <w:highlight w:val="none"/>
                <w:lang w:val="en-US" w:eastAsia="zh-CN"/>
              </w:rPr>
            </w:pPr>
          </w:p>
        </w:tc>
        <w:tc>
          <w:tcPr>
            <w:tcW w:w="259" w:type="pct"/>
            <w:tcBorders>
              <w:left w:val="single" w:color="000000" w:sz="4" w:space="0"/>
            </w:tcBorders>
            <w:noWrap w:val="0"/>
            <w:vAlign w:val="center"/>
          </w:tcPr>
          <w:p w14:paraId="01A553A6">
            <w:pPr>
              <w:widowControl/>
              <w:snapToGrid w:val="0"/>
              <w:spacing w:line="240" w:lineRule="auto"/>
              <w:ind w:firstLine="0" w:firstLineChars="0"/>
              <w:jc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15</w:t>
            </w:r>
          </w:p>
        </w:tc>
        <w:tc>
          <w:tcPr>
            <w:tcW w:w="259" w:type="pct"/>
            <w:tcBorders>
              <w:left w:val="single" w:color="000000" w:sz="4" w:space="0"/>
            </w:tcBorders>
            <w:noWrap w:val="0"/>
            <w:vAlign w:val="center"/>
          </w:tcPr>
          <w:p w14:paraId="53159D1C">
            <w:pPr>
              <w:widowControl/>
              <w:snapToGrid w:val="0"/>
              <w:spacing w:line="240" w:lineRule="auto"/>
              <w:ind w:firstLine="0" w:firstLineChars="0"/>
              <w:jc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31</w:t>
            </w:r>
          </w:p>
        </w:tc>
        <w:tc>
          <w:tcPr>
            <w:tcW w:w="252" w:type="pct"/>
            <w:tcBorders>
              <w:left w:val="single" w:color="000000" w:sz="4" w:space="0"/>
            </w:tcBorders>
            <w:noWrap w:val="0"/>
            <w:vAlign w:val="center"/>
          </w:tcPr>
          <w:p w14:paraId="58F2A262">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ascii="Times New Roman" w:hAnsi="Times New Roman" w:eastAsia="宋体" w:cs="Times New Roman"/>
                <w:color w:val="auto"/>
                <w:kern w:val="0"/>
                <w:sz w:val="21"/>
                <w:szCs w:val="21"/>
                <w:highlight w:val="none"/>
              </w:rPr>
              <w:t>承压水</w:t>
            </w:r>
          </w:p>
        </w:tc>
        <w:tc>
          <w:tcPr>
            <w:tcW w:w="302" w:type="pct"/>
            <w:tcBorders>
              <w:left w:val="single" w:color="000000" w:sz="4" w:space="0"/>
            </w:tcBorders>
            <w:noWrap w:val="0"/>
            <w:vAlign w:val="center"/>
          </w:tcPr>
          <w:p w14:paraId="212362DA">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color w:val="auto"/>
                <w:kern w:val="0"/>
                <w:sz w:val="21"/>
                <w:szCs w:val="21"/>
                <w:highlight w:val="none"/>
              </w:rPr>
              <w:t>裂隙</w:t>
            </w:r>
            <w:r>
              <w:rPr>
                <w:rFonts w:hint="eastAsia" w:ascii="Times New Roman" w:hAnsi="Times New Roman" w:eastAsia="宋体" w:cs="Times New Roman"/>
                <w:color w:val="auto"/>
                <w:kern w:val="0"/>
                <w:sz w:val="21"/>
                <w:szCs w:val="21"/>
                <w:highlight w:val="none"/>
              </w:rPr>
              <w:t>水</w:t>
            </w:r>
          </w:p>
        </w:tc>
        <w:tc>
          <w:tcPr>
            <w:tcW w:w="275" w:type="pct"/>
            <w:tcBorders>
              <w:left w:val="single" w:color="000000" w:sz="4" w:space="0"/>
            </w:tcBorders>
            <w:noWrap w:val="0"/>
            <w:vAlign w:val="center"/>
          </w:tcPr>
          <w:p w14:paraId="766EADC8">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cs="Times New Roman"/>
                <w:color w:val="auto"/>
                <w:kern w:val="0"/>
                <w:sz w:val="21"/>
                <w:szCs w:val="21"/>
                <w:highlight w:val="none"/>
                <w:lang w:val="en-US" w:eastAsia="zh-CN"/>
              </w:rPr>
              <w:t>130</w:t>
            </w:r>
          </w:p>
        </w:tc>
        <w:tc>
          <w:tcPr>
            <w:tcW w:w="275" w:type="pct"/>
            <w:vMerge w:val="continue"/>
            <w:tcBorders>
              <w:left w:val="single" w:color="000000" w:sz="4" w:space="0"/>
            </w:tcBorders>
            <w:noWrap w:val="0"/>
            <w:vAlign w:val="center"/>
          </w:tcPr>
          <w:p w14:paraId="39501A4A">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p>
        </w:tc>
        <w:tc>
          <w:tcPr>
            <w:tcW w:w="357" w:type="pct"/>
            <w:vMerge w:val="continue"/>
            <w:tcBorders>
              <w:left w:val="single" w:color="000000" w:sz="4" w:space="0"/>
            </w:tcBorders>
            <w:noWrap w:val="0"/>
            <w:vAlign w:val="center"/>
          </w:tcPr>
          <w:p w14:paraId="64AA92D2">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p>
        </w:tc>
        <w:tc>
          <w:tcPr>
            <w:tcW w:w="177" w:type="pct"/>
            <w:vMerge w:val="continue"/>
            <w:tcBorders>
              <w:left w:val="single" w:color="000000" w:sz="4" w:space="0"/>
            </w:tcBorders>
            <w:noWrap w:val="0"/>
            <w:vAlign w:val="center"/>
          </w:tcPr>
          <w:p w14:paraId="601ACD52">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p>
        </w:tc>
        <w:tc>
          <w:tcPr>
            <w:tcW w:w="204" w:type="pct"/>
            <w:vMerge w:val="continue"/>
            <w:tcBorders>
              <w:left w:val="single" w:color="000000" w:sz="4" w:space="0"/>
            </w:tcBorders>
            <w:noWrap w:val="0"/>
            <w:vAlign w:val="center"/>
          </w:tcPr>
          <w:p w14:paraId="26417850">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p>
        </w:tc>
      </w:tr>
      <w:tr w14:paraId="7C676B7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57" w:type="dxa"/>
            <w:bottom w:w="0" w:type="dxa"/>
            <w:right w:w="57" w:type="dxa"/>
          </w:tblCellMar>
        </w:tblPrEx>
        <w:trPr>
          <w:trHeight w:val="482" w:hRule="atLeast"/>
          <w:jc w:val="center"/>
        </w:trPr>
        <w:tc>
          <w:tcPr>
            <w:tcW w:w="291" w:type="pct"/>
            <w:vMerge w:val="restart"/>
            <w:tcBorders>
              <w:right w:val="single" w:color="000000" w:sz="4" w:space="0"/>
            </w:tcBorders>
            <w:noWrap w:val="0"/>
            <w:vAlign w:val="center"/>
          </w:tcPr>
          <w:p w14:paraId="08A5B20C">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rPr>
            </w:pPr>
            <w:r>
              <w:rPr>
                <w:rFonts w:hint="eastAsia" w:ascii="Times New Roman" w:hAnsi="Times New Roman" w:eastAsia="宋体" w:cs="Times New Roman"/>
                <w:color w:val="auto"/>
                <w:kern w:val="0"/>
                <w:sz w:val="21"/>
                <w:szCs w:val="21"/>
                <w:highlight w:val="none"/>
                <w:lang w:val="en-US" w:eastAsia="zh-CN" w:bidi="ar"/>
              </w:rPr>
              <w:t>绥化市庆安县建民乡</w:t>
            </w:r>
            <w:r>
              <w:rPr>
                <w:rFonts w:ascii="Times New Roman" w:hAnsi="Times New Roman" w:eastAsia="宋体" w:cs="Times New Roman"/>
                <w:color w:val="auto"/>
                <w:kern w:val="0"/>
                <w:sz w:val="21"/>
                <w:szCs w:val="21"/>
                <w:highlight w:val="none"/>
                <w:lang w:bidi="ar"/>
              </w:rPr>
              <w:t>饮用水水源地</w:t>
            </w:r>
          </w:p>
        </w:tc>
        <w:tc>
          <w:tcPr>
            <w:tcW w:w="256" w:type="pct"/>
            <w:tcBorders>
              <w:left w:val="single" w:color="000000" w:sz="4" w:space="0"/>
              <w:right w:val="single" w:color="000000" w:sz="4" w:space="0"/>
            </w:tcBorders>
            <w:noWrap w:val="0"/>
            <w:vAlign w:val="center"/>
          </w:tcPr>
          <w:p w14:paraId="418AB828">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cs="Times New Roman"/>
                <w:color w:val="auto"/>
                <w:kern w:val="0"/>
                <w:sz w:val="21"/>
                <w:szCs w:val="21"/>
                <w:highlight w:val="none"/>
                <w:lang w:val="en-US" w:eastAsia="zh-CN"/>
              </w:rPr>
              <w:t>1#</w:t>
            </w:r>
          </w:p>
        </w:tc>
        <w:tc>
          <w:tcPr>
            <w:tcW w:w="564" w:type="pct"/>
            <w:tcBorders>
              <w:left w:val="single" w:color="000000" w:sz="4" w:space="0"/>
              <w:right w:val="single" w:color="000000" w:sz="4" w:space="0"/>
            </w:tcBorders>
            <w:noWrap w:val="0"/>
            <w:vAlign w:val="center"/>
          </w:tcPr>
          <w:p w14:paraId="599B63CD">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127°30'49.0249"</w:t>
            </w:r>
          </w:p>
        </w:tc>
        <w:tc>
          <w:tcPr>
            <w:tcW w:w="526" w:type="pct"/>
            <w:tcBorders>
              <w:left w:val="single" w:color="000000" w:sz="4" w:space="0"/>
              <w:right w:val="single" w:color="000000" w:sz="4" w:space="0"/>
            </w:tcBorders>
            <w:noWrap w:val="0"/>
            <w:vAlign w:val="center"/>
          </w:tcPr>
          <w:p w14:paraId="05E87423">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46°42'42.9945"</w:t>
            </w:r>
          </w:p>
        </w:tc>
        <w:tc>
          <w:tcPr>
            <w:tcW w:w="198" w:type="pct"/>
            <w:tcBorders>
              <w:left w:val="single" w:color="000000" w:sz="4" w:space="0"/>
              <w:right w:val="single" w:color="000000" w:sz="4" w:space="0"/>
            </w:tcBorders>
            <w:noWrap w:val="0"/>
            <w:vAlign w:val="center"/>
          </w:tcPr>
          <w:p w14:paraId="5132AF92">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cs="Times New Roman"/>
                <w:color w:val="auto"/>
                <w:kern w:val="0"/>
                <w:sz w:val="21"/>
                <w:szCs w:val="21"/>
                <w:highlight w:val="none"/>
                <w:lang w:val="en-US" w:eastAsia="zh-CN"/>
              </w:rPr>
              <w:t>2024年</w:t>
            </w:r>
          </w:p>
        </w:tc>
        <w:tc>
          <w:tcPr>
            <w:tcW w:w="223" w:type="pct"/>
            <w:tcBorders>
              <w:left w:val="single" w:color="000000" w:sz="4" w:space="0"/>
              <w:right w:val="single" w:color="000000" w:sz="4" w:space="0"/>
            </w:tcBorders>
            <w:noWrap w:val="0"/>
            <w:vAlign w:val="center"/>
          </w:tcPr>
          <w:p w14:paraId="4F0C534A">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2025年</w:t>
            </w:r>
          </w:p>
        </w:tc>
        <w:tc>
          <w:tcPr>
            <w:tcW w:w="334" w:type="pct"/>
            <w:vMerge w:val="restart"/>
            <w:tcBorders>
              <w:left w:val="single" w:color="000000" w:sz="4" w:space="0"/>
              <w:right w:val="single" w:color="000000" w:sz="4" w:space="0"/>
            </w:tcBorders>
            <w:noWrap w:val="0"/>
            <w:vAlign w:val="center"/>
          </w:tcPr>
          <w:p w14:paraId="3D270113">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881</w:t>
            </w:r>
          </w:p>
        </w:tc>
        <w:tc>
          <w:tcPr>
            <w:tcW w:w="240" w:type="pct"/>
            <w:vMerge w:val="restart"/>
            <w:tcBorders>
              <w:left w:val="single" w:color="000000" w:sz="4" w:space="0"/>
              <w:right w:val="single" w:color="000000" w:sz="4" w:space="0"/>
            </w:tcBorders>
            <w:noWrap w:val="0"/>
            <w:vAlign w:val="center"/>
          </w:tcPr>
          <w:p w14:paraId="3908F5C5">
            <w:pPr>
              <w:widowControl/>
              <w:snapToGrid w:val="0"/>
              <w:spacing w:line="240" w:lineRule="auto"/>
              <w:ind w:firstLine="0" w:firstLineChars="0"/>
              <w:jc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700</w:t>
            </w:r>
          </w:p>
        </w:tc>
        <w:tc>
          <w:tcPr>
            <w:tcW w:w="259" w:type="pct"/>
            <w:tcBorders>
              <w:left w:val="single" w:color="000000" w:sz="4" w:space="0"/>
            </w:tcBorders>
            <w:noWrap w:val="0"/>
            <w:vAlign w:val="center"/>
          </w:tcPr>
          <w:p w14:paraId="38CFEC69">
            <w:pPr>
              <w:widowControl/>
              <w:snapToGrid w:val="0"/>
              <w:spacing w:line="240" w:lineRule="auto"/>
              <w:ind w:firstLine="0" w:firstLineChars="0"/>
              <w:jc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11</w:t>
            </w:r>
          </w:p>
        </w:tc>
        <w:tc>
          <w:tcPr>
            <w:tcW w:w="259" w:type="pct"/>
            <w:tcBorders>
              <w:left w:val="single" w:color="000000" w:sz="4" w:space="0"/>
            </w:tcBorders>
            <w:noWrap w:val="0"/>
            <w:vAlign w:val="center"/>
          </w:tcPr>
          <w:p w14:paraId="61048191">
            <w:pPr>
              <w:widowControl/>
              <w:snapToGrid w:val="0"/>
              <w:spacing w:line="240" w:lineRule="auto"/>
              <w:ind w:firstLine="0" w:firstLineChars="0"/>
              <w:jc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24</w:t>
            </w:r>
          </w:p>
        </w:tc>
        <w:tc>
          <w:tcPr>
            <w:tcW w:w="252" w:type="pct"/>
            <w:tcBorders>
              <w:left w:val="single" w:color="000000" w:sz="4" w:space="0"/>
            </w:tcBorders>
            <w:noWrap w:val="0"/>
            <w:vAlign w:val="center"/>
          </w:tcPr>
          <w:p w14:paraId="4648ACB5">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ascii="Times New Roman" w:hAnsi="Times New Roman" w:eastAsia="宋体" w:cs="Times New Roman"/>
                <w:color w:val="auto"/>
                <w:kern w:val="0"/>
                <w:sz w:val="21"/>
                <w:szCs w:val="21"/>
                <w:highlight w:val="none"/>
              </w:rPr>
              <w:t>承压水</w:t>
            </w:r>
          </w:p>
        </w:tc>
        <w:tc>
          <w:tcPr>
            <w:tcW w:w="302" w:type="pct"/>
            <w:tcBorders>
              <w:left w:val="single" w:color="000000" w:sz="4" w:space="0"/>
            </w:tcBorders>
            <w:noWrap w:val="0"/>
            <w:vAlign w:val="center"/>
          </w:tcPr>
          <w:p w14:paraId="602894FB">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ascii="Times New Roman" w:hAnsi="Times New Roman" w:cs="Times New Roman"/>
                <w:color w:val="auto"/>
                <w:sz w:val="21"/>
                <w:szCs w:val="21"/>
                <w:highlight w:val="none"/>
                <w:lang w:eastAsia="zh-CN"/>
              </w:rPr>
              <w:t>孔隙—裂隙</w:t>
            </w:r>
            <w:r>
              <w:rPr>
                <w:rFonts w:hint="eastAsia" w:ascii="Times New Roman" w:hAnsi="Times New Roman" w:eastAsia="宋体" w:cs="Times New Roman"/>
                <w:color w:val="auto"/>
                <w:kern w:val="0"/>
                <w:sz w:val="21"/>
                <w:szCs w:val="21"/>
                <w:highlight w:val="none"/>
              </w:rPr>
              <w:t>水</w:t>
            </w:r>
          </w:p>
        </w:tc>
        <w:tc>
          <w:tcPr>
            <w:tcW w:w="275" w:type="pct"/>
            <w:tcBorders>
              <w:left w:val="single" w:color="000000" w:sz="4" w:space="0"/>
            </w:tcBorders>
            <w:noWrap w:val="0"/>
            <w:vAlign w:val="center"/>
          </w:tcPr>
          <w:p w14:paraId="174935A9">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90</w:t>
            </w:r>
          </w:p>
        </w:tc>
        <w:tc>
          <w:tcPr>
            <w:tcW w:w="275" w:type="pct"/>
            <w:vMerge w:val="restart"/>
            <w:tcBorders>
              <w:left w:val="single" w:color="000000" w:sz="4" w:space="0"/>
            </w:tcBorders>
            <w:noWrap w:val="0"/>
            <w:vAlign w:val="center"/>
          </w:tcPr>
          <w:p w14:paraId="29ABAE1B">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val="en-US" w:eastAsia="zh-CN" w:bidi="ar"/>
              </w:rPr>
              <w:t>8655</w:t>
            </w:r>
            <w:r>
              <w:rPr>
                <w:rFonts w:hint="eastAsia" w:ascii="Times New Roman" w:hAnsi="Times New Roman" w:eastAsia="宋体" w:cs="Times New Roman"/>
                <w:color w:val="auto"/>
                <w:kern w:val="0"/>
                <w:sz w:val="21"/>
                <w:szCs w:val="21"/>
                <w:highlight w:val="none"/>
                <w:lang w:val="en-US" w:eastAsia="zh-CN" w:bidi="ar"/>
              </w:rPr>
              <w:t>人</w:t>
            </w:r>
          </w:p>
        </w:tc>
        <w:tc>
          <w:tcPr>
            <w:tcW w:w="357" w:type="pct"/>
            <w:vMerge w:val="restart"/>
            <w:tcBorders>
              <w:left w:val="single" w:color="000000" w:sz="4" w:space="0"/>
            </w:tcBorders>
            <w:noWrap w:val="0"/>
            <w:vAlign w:val="center"/>
          </w:tcPr>
          <w:p w14:paraId="7F0A9326">
            <w:pPr>
              <w:keepNext w:val="0"/>
              <w:keepLines w:val="0"/>
              <w:widowControl/>
              <w:suppressLineNumbers w:val="0"/>
              <w:spacing w:line="240" w:lineRule="auto"/>
              <w:ind w:left="0" w:leftChars="0" w:firstLine="0" w:firstLineChars="0"/>
              <w:jc w:val="left"/>
              <w:rPr>
                <w:rFonts w:hint="eastAsia" w:ascii="Times New Roman" w:hAnsi="Times New Roman" w:eastAsia="宋体" w:cs="Times New Roman"/>
                <w:color w:val="auto"/>
                <w:kern w:val="0"/>
                <w:sz w:val="21"/>
                <w:szCs w:val="21"/>
                <w:highlight w:val="none"/>
              </w:rPr>
            </w:pPr>
            <w:r>
              <w:rPr>
                <w:rFonts w:hint="eastAsia"/>
                <w:color w:val="auto"/>
                <w:spacing w:val="-2"/>
                <w:sz w:val="21"/>
                <w:szCs w:val="21"/>
                <w:highlight w:val="none"/>
              </w:rPr>
              <w:t>建民乡内建兴村、建安村、建民村、建业村、建发村、建功村，共计6个行政村61个自然屯</w:t>
            </w:r>
          </w:p>
        </w:tc>
        <w:tc>
          <w:tcPr>
            <w:tcW w:w="177" w:type="pct"/>
            <w:vMerge w:val="restart"/>
            <w:tcBorders>
              <w:left w:val="single" w:color="000000" w:sz="4" w:space="0"/>
            </w:tcBorders>
            <w:noWrap w:val="0"/>
            <w:vAlign w:val="center"/>
          </w:tcPr>
          <w:p w14:paraId="228CABE1">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eastAsia="zh-CN"/>
              </w:rPr>
            </w:pPr>
            <w:r>
              <w:rPr>
                <w:rFonts w:hint="eastAsia" w:cs="Times New Roman"/>
                <w:color w:val="auto"/>
                <w:kern w:val="0"/>
                <w:sz w:val="21"/>
                <w:szCs w:val="21"/>
                <w:highlight w:val="none"/>
                <w:lang w:eastAsia="zh-CN"/>
              </w:rPr>
              <w:t>建民水厂</w:t>
            </w:r>
          </w:p>
        </w:tc>
        <w:tc>
          <w:tcPr>
            <w:tcW w:w="204" w:type="pct"/>
            <w:vMerge w:val="restart"/>
            <w:tcBorders>
              <w:left w:val="single" w:color="000000" w:sz="4" w:space="0"/>
            </w:tcBorders>
            <w:noWrap w:val="0"/>
            <w:vAlign w:val="center"/>
          </w:tcPr>
          <w:p w14:paraId="70877AA1">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color w:val="auto"/>
                <w:sz w:val="21"/>
                <w:szCs w:val="21"/>
                <w:highlight w:val="none"/>
              </w:rPr>
              <w:t>机械曝气</w:t>
            </w:r>
            <w:r>
              <w:rPr>
                <w:rFonts w:hint="eastAsia"/>
                <w:color w:val="auto"/>
                <w:sz w:val="21"/>
                <w:szCs w:val="21"/>
                <w:highlight w:val="none"/>
                <w:lang w:eastAsia="zh-CN"/>
              </w:rPr>
              <w:t>、</w:t>
            </w:r>
            <w:r>
              <w:rPr>
                <w:rFonts w:hint="eastAsia"/>
                <w:color w:val="auto"/>
                <w:sz w:val="21"/>
                <w:szCs w:val="21"/>
                <w:highlight w:val="none"/>
              </w:rPr>
              <w:t>锰砂过滤</w:t>
            </w:r>
            <w:r>
              <w:rPr>
                <w:rFonts w:hint="eastAsia"/>
                <w:color w:val="auto"/>
                <w:sz w:val="21"/>
                <w:szCs w:val="21"/>
                <w:highlight w:val="none"/>
                <w:lang w:eastAsia="zh-CN"/>
              </w:rPr>
              <w:t>、</w:t>
            </w:r>
            <w:r>
              <w:rPr>
                <w:rFonts w:hint="eastAsia"/>
                <w:color w:val="auto"/>
                <w:sz w:val="21"/>
                <w:szCs w:val="21"/>
                <w:highlight w:val="none"/>
              </w:rPr>
              <w:t>次氯酸钠消毒</w:t>
            </w:r>
          </w:p>
        </w:tc>
      </w:tr>
      <w:tr w14:paraId="19FA29D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57" w:type="dxa"/>
            <w:bottom w:w="0" w:type="dxa"/>
            <w:right w:w="57" w:type="dxa"/>
          </w:tblCellMar>
        </w:tblPrEx>
        <w:trPr>
          <w:trHeight w:val="90" w:hRule="atLeast"/>
          <w:jc w:val="center"/>
        </w:trPr>
        <w:tc>
          <w:tcPr>
            <w:tcW w:w="291" w:type="pct"/>
            <w:vMerge w:val="continue"/>
            <w:tcBorders>
              <w:right w:val="single" w:color="000000" w:sz="4" w:space="0"/>
            </w:tcBorders>
            <w:noWrap w:val="0"/>
            <w:vAlign w:val="center"/>
          </w:tcPr>
          <w:p w14:paraId="7B8607A2">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p>
        </w:tc>
        <w:tc>
          <w:tcPr>
            <w:tcW w:w="256" w:type="pct"/>
            <w:tcBorders>
              <w:left w:val="single" w:color="000000" w:sz="4" w:space="0"/>
              <w:right w:val="single" w:color="000000" w:sz="4" w:space="0"/>
            </w:tcBorders>
            <w:noWrap w:val="0"/>
            <w:vAlign w:val="center"/>
          </w:tcPr>
          <w:p w14:paraId="2EFE8520">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cs="Times New Roman"/>
                <w:color w:val="auto"/>
                <w:kern w:val="0"/>
                <w:sz w:val="21"/>
                <w:szCs w:val="21"/>
                <w:highlight w:val="none"/>
                <w:lang w:val="en-US" w:eastAsia="zh-CN"/>
              </w:rPr>
              <w:t>2#</w:t>
            </w:r>
          </w:p>
        </w:tc>
        <w:tc>
          <w:tcPr>
            <w:tcW w:w="564" w:type="pct"/>
            <w:tcBorders>
              <w:left w:val="single" w:color="000000" w:sz="4" w:space="0"/>
              <w:right w:val="single" w:color="000000" w:sz="4" w:space="0"/>
            </w:tcBorders>
            <w:noWrap w:val="0"/>
            <w:vAlign w:val="center"/>
          </w:tcPr>
          <w:p w14:paraId="484CACBD">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127°30'22.7076"</w:t>
            </w:r>
          </w:p>
        </w:tc>
        <w:tc>
          <w:tcPr>
            <w:tcW w:w="526" w:type="pct"/>
            <w:tcBorders>
              <w:left w:val="single" w:color="000000" w:sz="4" w:space="0"/>
              <w:right w:val="single" w:color="000000" w:sz="4" w:space="0"/>
            </w:tcBorders>
            <w:noWrap w:val="0"/>
            <w:vAlign w:val="center"/>
          </w:tcPr>
          <w:p w14:paraId="191E8795">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46°42'28.2925"</w:t>
            </w:r>
          </w:p>
        </w:tc>
        <w:tc>
          <w:tcPr>
            <w:tcW w:w="198" w:type="pct"/>
            <w:tcBorders>
              <w:left w:val="single" w:color="000000" w:sz="4" w:space="0"/>
              <w:right w:val="single" w:color="000000" w:sz="4" w:space="0"/>
            </w:tcBorders>
            <w:noWrap w:val="0"/>
            <w:vAlign w:val="center"/>
          </w:tcPr>
          <w:p w14:paraId="7BCC21C6">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cs="Times New Roman"/>
                <w:color w:val="auto"/>
                <w:kern w:val="0"/>
                <w:sz w:val="21"/>
                <w:szCs w:val="21"/>
                <w:highlight w:val="none"/>
                <w:lang w:val="en-US" w:eastAsia="zh-CN"/>
              </w:rPr>
              <w:t>2024年</w:t>
            </w:r>
          </w:p>
        </w:tc>
        <w:tc>
          <w:tcPr>
            <w:tcW w:w="223" w:type="pct"/>
            <w:tcBorders>
              <w:left w:val="single" w:color="000000" w:sz="4" w:space="0"/>
              <w:right w:val="single" w:color="000000" w:sz="4" w:space="0"/>
            </w:tcBorders>
            <w:noWrap w:val="0"/>
            <w:vAlign w:val="center"/>
          </w:tcPr>
          <w:p w14:paraId="0A7AACA2">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2025年</w:t>
            </w:r>
          </w:p>
        </w:tc>
        <w:tc>
          <w:tcPr>
            <w:tcW w:w="334" w:type="pct"/>
            <w:vMerge w:val="continue"/>
            <w:tcBorders>
              <w:left w:val="single" w:color="000000" w:sz="4" w:space="0"/>
              <w:right w:val="single" w:color="000000" w:sz="4" w:space="0"/>
            </w:tcBorders>
            <w:noWrap w:val="0"/>
            <w:vAlign w:val="center"/>
          </w:tcPr>
          <w:p w14:paraId="3DFD22B3">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p>
        </w:tc>
        <w:tc>
          <w:tcPr>
            <w:tcW w:w="240" w:type="pct"/>
            <w:vMerge w:val="continue"/>
            <w:tcBorders>
              <w:left w:val="single" w:color="000000" w:sz="4" w:space="0"/>
              <w:right w:val="single" w:color="000000" w:sz="4" w:space="0"/>
            </w:tcBorders>
            <w:noWrap w:val="0"/>
            <w:vAlign w:val="center"/>
          </w:tcPr>
          <w:p w14:paraId="57B0EC6D">
            <w:pPr>
              <w:widowControl/>
              <w:snapToGrid w:val="0"/>
              <w:spacing w:line="240" w:lineRule="auto"/>
              <w:ind w:firstLine="0" w:firstLineChars="0"/>
              <w:jc w:val="center"/>
              <w:rPr>
                <w:rFonts w:hint="default" w:cs="Times New Roman"/>
                <w:color w:val="auto"/>
                <w:kern w:val="0"/>
                <w:sz w:val="21"/>
                <w:szCs w:val="21"/>
                <w:highlight w:val="none"/>
                <w:lang w:val="en-US" w:eastAsia="zh-CN"/>
              </w:rPr>
            </w:pPr>
          </w:p>
        </w:tc>
        <w:tc>
          <w:tcPr>
            <w:tcW w:w="259" w:type="pct"/>
            <w:tcBorders>
              <w:left w:val="single" w:color="000000" w:sz="4" w:space="0"/>
            </w:tcBorders>
            <w:noWrap w:val="0"/>
            <w:vAlign w:val="center"/>
          </w:tcPr>
          <w:p w14:paraId="18A5EBE4">
            <w:pPr>
              <w:widowControl/>
              <w:snapToGrid w:val="0"/>
              <w:spacing w:line="240" w:lineRule="auto"/>
              <w:ind w:firstLine="0" w:firstLineChars="0"/>
              <w:jc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12</w:t>
            </w:r>
          </w:p>
        </w:tc>
        <w:tc>
          <w:tcPr>
            <w:tcW w:w="259" w:type="pct"/>
            <w:tcBorders>
              <w:left w:val="single" w:color="000000" w:sz="4" w:space="0"/>
            </w:tcBorders>
            <w:noWrap w:val="0"/>
            <w:vAlign w:val="center"/>
          </w:tcPr>
          <w:p w14:paraId="091B2EF9">
            <w:pPr>
              <w:widowControl/>
              <w:snapToGrid w:val="0"/>
              <w:spacing w:line="240" w:lineRule="auto"/>
              <w:ind w:firstLine="0" w:firstLineChars="0"/>
              <w:jc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25</w:t>
            </w:r>
          </w:p>
        </w:tc>
        <w:tc>
          <w:tcPr>
            <w:tcW w:w="252" w:type="pct"/>
            <w:tcBorders>
              <w:left w:val="single" w:color="000000" w:sz="4" w:space="0"/>
            </w:tcBorders>
            <w:noWrap w:val="0"/>
            <w:vAlign w:val="center"/>
          </w:tcPr>
          <w:p w14:paraId="56B7ECCA">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ascii="Times New Roman" w:hAnsi="Times New Roman" w:eastAsia="宋体" w:cs="Times New Roman"/>
                <w:color w:val="auto"/>
                <w:kern w:val="0"/>
                <w:sz w:val="21"/>
                <w:szCs w:val="21"/>
                <w:highlight w:val="none"/>
              </w:rPr>
              <w:t>承压水</w:t>
            </w:r>
          </w:p>
        </w:tc>
        <w:tc>
          <w:tcPr>
            <w:tcW w:w="302" w:type="pct"/>
            <w:tcBorders>
              <w:left w:val="single" w:color="000000" w:sz="4" w:space="0"/>
            </w:tcBorders>
            <w:noWrap w:val="0"/>
            <w:vAlign w:val="center"/>
          </w:tcPr>
          <w:p w14:paraId="053928F2">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ascii="Times New Roman" w:hAnsi="Times New Roman" w:cs="Times New Roman"/>
                <w:color w:val="auto"/>
                <w:sz w:val="21"/>
                <w:szCs w:val="21"/>
                <w:highlight w:val="none"/>
                <w:lang w:eastAsia="zh-CN"/>
              </w:rPr>
              <w:t>孔隙—裂隙</w:t>
            </w:r>
            <w:r>
              <w:rPr>
                <w:rFonts w:hint="eastAsia" w:ascii="Times New Roman" w:hAnsi="Times New Roman" w:eastAsia="宋体" w:cs="Times New Roman"/>
                <w:color w:val="auto"/>
                <w:kern w:val="0"/>
                <w:sz w:val="21"/>
                <w:szCs w:val="21"/>
                <w:highlight w:val="none"/>
              </w:rPr>
              <w:t>水</w:t>
            </w:r>
          </w:p>
        </w:tc>
        <w:tc>
          <w:tcPr>
            <w:tcW w:w="275" w:type="pct"/>
            <w:tcBorders>
              <w:left w:val="single" w:color="000000" w:sz="4" w:space="0"/>
            </w:tcBorders>
            <w:noWrap w:val="0"/>
            <w:vAlign w:val="center"/>
          </w:tcPr>
          <w:p w14:paraId="3B237BAE">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cs="Times New Roman"/>
                <w:color w:val="auto"/>
                <w:kern w:val="0"/>
                <w:sz w:val="21"/>
                <w:szCs w:val="21"/>
                <w:highlight w:val="none"/>
                <w:lang w:val="en-US" w:eastAsia="zh-CN"/>
              </w:rPr>
              <w:t>90</w:t>
            </w:r>
          </w:p>
        </w:tc>
        <w:tc>
          <w:tcPr>
            <w:tcW w:w="275" w:type="pct"/>
            <w:vMerge w:val="continue"/>
            <w:tcBorders>
              <w:left w:val="single" w:color="000000" w:sz="4" w:space="0"/>
            </w:tcBorders>
            <w:noWrap w:val="0"/>
            <w:vAlign w:val="center"/>
          </w:tcPr>
          <w:p w14:paraId="2CD761BE">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p>
        </w:tc>
        <w:tc>
          <w:tcPr>
            <w:tcW w:w="357" w:type="pct"/>
            <w:vMerge w:val="continue"/>
            <w:tcBorders>
              <w:left w:val="single" w:color="000000" w:sz="4" w:space="0"/>
            </w:tcBorders>
            <w:noWrap w:val="0"/>
            <w:vAlign w:val="center"/>
          </w:tcPr>
          <w:p w14:paraId="1F86C4A7">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p>
        </w:tc>
        <w:tc>
          <w:tcPr>
            <w:tcW w:w="177" w:type="pct"/>
            <w:vMerge w:val="continue"/>
            <w:tcBorders>
              <w:left w:val="single" w:color="000000" w:sz="4" w:space="0"/>
            </w:tcBorders>
            <w:noWrap w:val="0"/>
            <w:vAlign w:val="center"/>
          </w:tcPr>
          <w:p w14:paraId="5802D973">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p>
        </w:tc>
        <w:tc>
          <w:tcPr>
            <w:tcW w:w="204" w:type="pct"/>
            <w:vMerge w:val="continue"/>
            <w:tcBorders>
              <w:left w:val="single" w:color="000000" w:sz="4" w:space="0"/>
            </w:tcBorders>
            <w:noWrap w:val="0"/>
            <w:vAlign w:val="center"/>
          </w:tcPr>
          <w:p w14:paraId="61FABB08">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p>
        </w:tc>
      </w:tr>
      <w:tr w14:paraId="6E6627F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57" w:type="dxa"/>
            <w:bottom w:w="0" w:type="dxa"/>
            <w:right w:w="57" w:type="dxa"/>
          </w:tblCellMar>
        </w:tblPrEx>
        <w:trPr>
          <w:trHeight w:val="482" w:hRule="atLeast"/>
          <w:jc w:val="center"/>
        </w:trPr>
        <w:tc>
          <w:tcPr>
            <w:tcW w:w="291" w:type="pct"/>
            <w:vMerge w:val="continue"/>
            <w:tcBorders>
              <w:right w:val="single" w:color="000000" w:sz="4" w:space="0"/>
            </w:tcBorders>
            <w:noWrap w:val="0"/>
            <w:vAlign w:val="center"/>
          </w:tcPr>
          <w:p w14:paraId="09C66C4F">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p>
        </w:tc>
        <w:tc>
          <w:tcPr>
            <w:tcW w:w="256" w:type="pct"/>
            <w:tcBorders>
              <w:left w:val="single" w:color="000000" w:sz="4" w:space="0"/>
              <w:right w:val="single" w:color="000000" w:sz="4" w:space="0"/>
            </w:tcBorders>
            <w:noWrap w:val="0"/>
            <w:vAlign w:val="center"/>
          </w:tcPr>
          <w:p w14:paraId="79AAE860">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cs="Times New Roman"/>
                <w:color w:val="auto"/>
                <w:kern w:val="0"/>
                <w:sz w:val="21"/>
                <w:szCs w:val="21"/>
                <w:highlight w:val="none"/>
                <w:lang w:val="en-US" w:eastAsia="zh-CN"/>
              </w:rPr>
              <w:t>3#</w:t>
            </w:r>
          </w:p>
        </w:tc>
        <w:tc>
          <w:tcPr>
            <w:tcW w:w="564" w:type="pct"/>
            <w:tcBorders>
              <w:left w:val="single" w:color="000000" w:sz="4" w:space="0"/>
              <w:right w:val="single" w:color="000000" w:sz="4" w:space="0"/>
            </w:tcBorders>
            <w:noWrap w:val="0"/>
            <w:vAlign w:val="center"/>
          </w:tcPr>
          <w:p w14:paraId="54CDA0A7">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127°30'32.5660"</w:t>
            </w:r>
          </w:p>
        </w:tc>
        <w:tc>
          <w:tcPr>
            <w:tcW w:w="526" w:type="pct"/>
            <w:tcBorders>
              <w:left w:val="single" w:color="000000" w:sz="4" w:space="0"/>
              <w:right w:val="single" w:color="000000" w:sz="4" w:space="0"/>
            </w:tcBorders>
            <w:noWrap w:val="0"/>
            <w:vAlign w:val="center"/>
          </w:tcPr>
          <w:p w14:paraId="0F711672">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46°42'12.3110"</w:t>
            </w:r>
          </w:p>
        </w:tc>
        <w:tc>
          <w:tcPr>
            <w:tcW w:w="198" w:type="pct"/>
            <w:tcBorders>
              <w:left w:val="single" w:color="000000" w:sz="4" w:space="0"/>
              <w:right w:val="single" w:color="000000" w:sz="4" w:space="0"/>
            </w:tcBorders>
            <w:noWrap w:val="0"/>
            <w:vAlign w:val="center"/>
          </w:tcPr>
          <w:p w14:paraId="40365444">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cs="Times New Roman"/>
                <w:color w:val="auto"/>
                <w:kern w:val="0"/>
                <w:sz w:val="21"/>
                <w:szCs w:val="21"/>
                <w:highlight w:val="none"/>
                <w:lang w:val="en-US" w:eastAsia="zh-CN"/>
              </w:rPr>
              <w:t>2024年</w:t>
            </w:r>
          </w:p>
        </w:tc>
        <w:tc>
          <w:tcPr>
            <w:tcW w:w="223" w:type="pct"/>
            <w:tcBorders>
              <w:left w:val="single" w:color="000000" w:sz="4" w:space="0"/>
              <w:right w:val="single" w:color="000000" w:sz="4" w:space="0"/>
            </w:tcBorders>
            <w:noWrap w:val="0"/>
            <w:vAlign w:val="center"/>
          </w:tcPr>
          <w:p w14:paraId="72A61EB0">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2025年</w:t>
            </w:r>
          </w:p>
        </w:tc>
        <w:tc>
          <w:tcPr>
            <w:tcW w:w="334" w:type="pct"/>
            <w:vMerge w:val="continue"/>
            <w:tcBorders>
              <w:left w:val="single" w:color="000000" w:sz="4" w:space="0"/>
              <w:right w:val="single" w:color="000000" w:sz="4" w:space="0"/>
            </w:tcBorders>
            <w:noWrap w:val="0"/>
            <w:vAlign w:val="center"/>
          </w:tcPr>
          <w:p w14:paraId="7BDB178E">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p>
        </w:tc>
        <w:tc>
          <w:tcPr>
            <w:tcW w:w="240" w:type="pct"/>
            <w:vMerge w:val="continue"/>
            <w:tcBorders>
              <w:left w:val="single" w:color="000000" w:sz="4" w:space="0"/>
              <w:right w:val="single" w:color="000000" w:sz="4" w:space="0"/>
            </w:tcBorders>
            <w:noWrap w:val="0"/>
            <w:vAlign w:val="center"/>
          </w:tcPr>
          <w:p w14:paraId="224877C0">
            <w:pPr>
              <w:widowControl/>
              <w:snapToGrid w:val="0"/>
              <w:spacing w:line="240" w:lineRule="auto"/>
              <w:ind w:firstLine="0" w:firstLineChars="0"/>
              <w:jc w:val="center"/>
              <w:rPr>
                <w:rFonts w:hint="default" w:cs="Times New Roman"/>
                <w:color w:val="auto"/>
                <w:kern w:val="0"/>
                <w:sz w:val="21"/>
                <w:szCs w:val="21"/>
                <w:highlight w:val="none"/>
                <w:lang w:val="en-US" w:eastAsia="zh-CN"/>
              </w:rPr>
            </w:pPr>
          </w:p>
        </w:tc>
        <w:tc>
          <w:tcPr>
            <w:tcW w:w="259" w:type="pct"/>
            <w:tcBorders>
              <w:left w:val="single" w:color="000000" w:sz="4" w:space="0"/>
            </w:tcBorders>
            <w:noWrap w:val="0"/>
            <w:vAlign w:val="center"/>
          </w:tcPr>
          <w:p w14:paraId="1787AB1A">
            <w:pPr>
              <w:widowControl/>
              <w:snapToGrid w:val="0"/>
              <w:spacing w:line="240" w:lineRule="auto"/>
              <w:ind w:firstLine="0" w:firstLineChars="0"/>
              <w:jc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13</w:t>
            </w:r>
          </w:p>
        </w:tc>
        <w:tc>
          <w:tcPr>
            <w:tcW w:w="259" w:type="pct"/>
            <w:tcBorders>
              <w:left w:val="single" w:color="000000" w:sz="4" w:space="0"/>
            </w:tcBorders>
            <w:noWrap w:val="0"/>
            <w:vAlign w:val="center"/>
          </w:tcPr>
          <w:p w14:paraId="04859933">
            <w:pPr>
              <w:widowControl/>
              <w:snapToGrid w:val="0"/>
              <w:spacing w:line="240" w:lineRule="auto"/>
              <w:ind w:firstLine="0" w:firstLineChars="0"/>
              <w:jc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25</w:t>
            </w:r>
          </w:p>
        </w:tc>
        <w:tc>
          <w:tcPr>
            <w:tcW w:w="252" w:type="pct"/>
            <w:tcBorders>
              <w:left w:val="single" w:color="000000" w:sz="4" w:space="0"/>
            </w:tcBorders>
            <w:noWrap w:val="0"/>
            <w:vAlign w:val="center"/>
          </w:tcPr>
          <w:p w14:paraId="1223EB3A">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ascii="Times New Roman" w:hAnsi="Times New Roman" w:eastAsia="宋体" w:cs="Times New Roman"/>
                <w:color w:val="auto"/>
                <w:kern w:val="0"/>
                <w:sz w:val="21"/>
                <w:szCs w:val="21"/>
                <w:highlight w:val="none"/>
              </w:rPr>
              <w:t>承压水</w:t>
            </w:r>
          </w:p>
        </w:tc>
        <w:tc>
          <w:tcPr>
            <w:tcW w:w="302" w:type="pct"/>
            <w:tcBorders>
              <w:left w:val="single" w:color="000000" w:sz="4" w:space="0"/>
            </w:tcBorders>
            <w:noWrap w:val="0"/>
            <w:vAlign w:val="center"/>
          </w:tcPr>
          <w:p w14:paraId="27654175">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ascii="Times New Roman" w:hAnsi="Times New Roman" w:cs="Times New Roman"/>
                <w:color w:val="auto"/>
                <w:sz w:val="21"/>
                <w:szCs w:val="21"/>
                <w:highlight w:val="none"/>
                <w:lang w:eastAsia="zh-CN"/>
              </w:rPr>
              <w:t>孔隙—裂隙</w:t>
            </w:r>
            <w:r>
              <w:rPr>
                <w:rFonts w:hint="eastAsia" w:ascii="Times New Roman" w:hAnsi="Times New Roman" w:eastAsia="宋体" w:cs="Times New Roman"/>
                <w:color w:val="auto"/>
                <w:kern w:val="0"/>
                <w:sz w:val="21"/>
                <w:szCs w:val="21"/>
                <w:highlight w:val="none"/>
              </w:rPr>
              <w:t>水</w:t>
            </w:r>
          </w:p>
        </w:tc>
        <w:tc>
          <w:tcPr>
            <w:tcW w:w="275" w:type="pct"/>
            <w:tcBorders>
              <w:left w:val="single" w:color="000000" w:sz="4" w:space="0"/>
            </w:tcBorders>
            <w:noWrap w:val="0"/>
            <w:vAlign w:val="center"/>
          </w:tcPr>
          <w:p w14:paraId="3A21BD2E">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cs="Times New Roman"/>
                <w:color w:val="auto"/>
                <w:kern w:val="0"/>
                <w:sz w:val="21"/>
                <w:szCs w:val="21"/>
                <w:highlight w:val="none"/>
                <w:lang w:val="en-US" w:eastAsia="zh-CN"/>
              </w:rPr>
              <w:t>90</w:t>
            </w:r>
          </w:p>
        </w:tc>
        <w:tc>
          <w:tcPr>
            <w:tcW w:w="275" w:type="pct"/>
            <w:vMerge w:val="continue"/>
            <w:tcBorders>
              <w:left w:val="single" w:color="000000" w:sz="4" w:space="0"/>
            </w:tcBorders>
            <w:noWrap w:val="0"/>
            <w:vAlign w:val="center"/>
          </w:tcPr>
          <w:p w14:paraId="44414A47">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p>
        </w:tc>
        <w:tc>
          <w:tcPr>
            <w:tcW w:w="357" w:type="pct"/>
            <w:vMerge w:val="continue"/>
            <w:tcBorders>
              <w:left w:val="single" w:color="000000" w:sz="4" w:space="0"/>
            </w:tcBorders>
            <w:noWrap w:val="0"/>
            <w:vAlign w:val="center"/>
          </w:tcPr>
          <w:p w14:paraId="506C4F45">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p>
        </w:tc>
        <w:tc>
          <w:tcPr>
            <w:tcW w:w="177" w:type="pct"/>
            <w:vMerge w:val="continue"/>
            <w:tcBorders>
              <w:left w:val="single" w:color="000000" w:sz="4" w:space="0"/>
            </w:tcBorders>
            <w:noWrap w:val="0"/>
            <w:vAlign w:val="center"/>
          </w:tcPr>
          <w:p w14:paraId="7B344DA5">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p>
        </w:tc>
        <w:tc>
          <w:tcPr>
            <w:tcW w:w="204" w:type="pct"/>
            <w:vMerge w:val="continue"/>
            <w:tcBorders>
              <w:left w:val="single" w:color="000000" w:sz="4" w:space="0"/>
            </w:tcBorders>
            <w:noWrap w:val="0"/>
            <w:vAlign w:val="center"/>
          </w:tcPr>
          <w:p w14:paraId="4B1C736F">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p>
        </w:tc>
      </w:tr>
      <w:tr w14:paraId="7766476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57" w:type="dxa"/>
            <w:bottom w:w="0" w:type="dxa"/>
            <w:right w:w="57" w:type="dxa"/>
          </w:tblCellMar>
        </w:tblPrEx>
        <w:trPr>
          <w:trHeight w:val="944" w:hRule="atLeast"/>
          <w:jc w:val="center"/>
        </w:trPr>
        <w:tc>
          <w:tcPr>
            <w:tcW w:w="291" w:type="pct"/>
            <w:vMerge w:val="restart"/>
            <w:tcBorders>
              <w:right w:val="single" w:color="000000" w:sz="4" w:space="0"/>
            </w:tcBorders>
            <w:noWrap w:val="0"/>
            <w:vAlign w:val="center"/>
          </w:tcPr>
          <w:p w14:paraId="31524744">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rPr>
            </w:pPr>
            <w:r>
              <w:rPr>
                <w:rFonts w:hint="eastAsia" w:ascii="Times New Roman" w:hAnsi="Times New Roman" w:eastAsia="宋体" w:cs="Times New Roman"/>
                <w:color w:val="auto"/>
                <w:kern w:val="0"/>
                <w:sz w:val="21"/>
                <w:szCs w:val="21"/>
                <w:highlight w:val="none"/>
                <w:lang w:val="en-US" w:eastAsia="zh-CN" w:bidi="ar"/>
              </w:rPr>
              <w:t>绥化市庆安县同乐镇</w:t>
            </w:r>
            <w:r>
              <w:rPr>
                <w:rFonts w:ascii="Times New Roman" w:hAnsi="Times New Roman" w:eastAsia="宋体" w:cs="Times New Roman"/>
                <w:color w:val="auto"/>
                <w:kern w:val="0"/>
                <w:sz w:val="21"/>
                <w:szCs w:val="21"/>
                <w:highlight w:val="none"/>
                <w:lang w:bidi="ar"/>
              </w:rPr>
              <w:t>饮用水水源地</w:t>
            </w:r>
          </w:p>
        </w:tc>
        <w:tc>
          <w:tcPr>
            <w:tcW w:w="256" w:type="pct"/>
            <w:tcBorders>
              <w:left w:val="single" w:color="000000" w:sz="4" w:space="0"/>
              <w:right w:val="single" w:color="000000" w:sz="4" w:space="0"/>
            </w:tcBorders>
            <w:noWrap w:val="0"/>
            <w:vAlign w:val="center"/>
          </w:tcPr>
          <w:p w14:paraId="04928CD9">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cs="Times New Roman"/>
                <w:color w:val="auto"/>
                <w:kern w:val="0"/>
                <w:sz w:val="21"/>
                <w:szCs w:val="21"/>
                <w:highlight w:val="none"/>
                <w:lang w:val="en-US" w:eastAsia="zh-CN"/>
              </w:rPr>
              <w:t>1#</w:t>
            </w:r>
          </w:p>
        </w:tc>
        <w:tc>
          <w:tcPr>
            <w:tcW w:w="564" w:type="pct"/>
            <w:tcBorders>
              <w:left w:val="single" w:color="000000" w:sz="4" w:space="0"/>
              <w:right w:val="single" w:color="000000" w:sz="4" w:space="0"/>
            </w:tcBorders>
            <w:noWrap w:val="0"/>
            <w:vAlign w:val="center"/>
          </w:tcPr>
          <w:p w14:paraId="5E514796">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127°29'37.1508"</w:t>
            </w:r>
          </w:p>
        </w:tc>
        <w:tc>
          <w:tcPr>
            <w:tcW w:w="526" w:type="pct"/>
            <w:tcBorders>
              <w:left w:val="single" w:color="000000" w:sz="4" w:space="0"/>
              <w:right w:val="single" w:color="000000" w:sz="4" w:space="0"/>
            </w:tcBorders>
            <w:noWrap w:val="0"/>
            <w:vAlign w:val="center"/>
          </w:tcPr>
          <w:p w14:paraId="500CE1C5">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47°07'45.9570"</w:t>
            </w:r>
          </w:p>
        </w:tc>
        <w:tc>
          <w:tcPr>
            <w:tcW w:w="198" w:type="pct"/>
            <w:tcBorders>
              <w:left w:val="single" w:color="000000" w:sz="4" w:space="0"/>
              <w:right w:val="single" w:color="000000" w:sz="4" w:space="0"/>
            </w:tcBorders>
            <w:noWrap w:val="0"/>
            <w:vAlign w:val="center"/>
          </w:tcPr>
          <w:p w14:paraId="1987D094">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cs="Times New Roman"/>
                <w:color w:val="auto"/>
                <w:kern w:val="0"/>
                <w:sz w:val="21"/>
                <w:szCs w:val="21"/>
                <w:highlight w:val="none"/>
                <w:lang w:val="en-US" w:eastAsia="zh-CN"/>
              </w:rPr>
              <w:t>2024年</w:t>
            </w:r>
          </w:p>
        </w:tc>
        <w:tc>
          <w:tcPr>
            <w:tcW w:w="223" w:type="pct"/>
            <w:tcBorders>
              <w:left w:val="single" w:color="000000" w:sz="4" w:space="0"/>
              <w:right w:val="single" w:color="000000" w:sz="4" w:space="0"/>
            </w:tcBorders>
            <w:noWrap w:val="0"/>
            <w:vAlign w:val="center"/>
          </w:tcPr>
          <w:p w14:paraId="13B9D865">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2025年</w:t>
            </w:r>
          </w:p>
        </w:tc>
        <w:tc>
          <w:tcPr>
            <w:tcW w:w="334" w:type="pct"/>
            <w:vMerge w:val="restart"/>
            <w:tcBorders>
              <w:left w:val="single" w:color="000000" w:sz="4" w:space="0"/>
              <w:right w:val="single" w:color="000000" w:sz="4" w:space="0"/>
            </w:tcBorders>
            <w:noWrap w:val="0"/>
            <w:vAlign w:val="center"/>
          </w:tcPr>
          <w:p w14:paraId="1C5E8FE5">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1395</w:t>
            </w:r>
          </w:p>
        </w:tc>
        <w:tc>
          <w:tcPr>
            <w:tcW w:w="240" w:type="pct"/>
            <w:vMerge w:val="restart"/>
            <w:tcBorders>
              <w:left w:val="single" w:color="000000" w:sz="4" w:space="0"/>
              <w:right w:val="single" w:color="000000" w:sz="4" w:space="0"/>
            </w:tcBorders>
            <w:noWrap w:val="0"/>
            <w:vAlign w:val="center"/>
          </w:tcPr>
          <w:p w14:paraId="4632EE52">
            <w:pPr>
              <w:widowControl/>
              <w:snapToGrid w:val="0"/>
              <w:spacing w:line="240" w:lineRule="auto"/>
              <w:ind w:firstLine="0" w:firstLineChars="0"/>
              <w:jc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800</w:t>
            </w:r>
          </w:p>
        </w:tc>
        <w:tc>
          <w:tcPr>
            <w:tcW w:w="259" w:type="pct"/>
            <w:tcBorders>
              <w:left w:val="single" w:color="000000" w:sz="4" w:space="0"/>
            </w:tcBorders>
            <w:noWrap w:val="0"/>
            <w:vAlign w:val="center"/>
          </w:tcPr>
          <w:p w14:paraId="0F8B2D3B">
            <w:pPr>
              <w:widowControl/>
              <w:snapToGrid w:val="0"/>
              <w:spacing w:line="240" w:lineRule="auto"/>
              <w:ind w:firstLine="0" w:firstLineChars="0"/>
              <w:jc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13</w:t>
            </w:r>
          </w:p>
        </w:tc>
        <w:tc>
          <w:tcPr>
            <w:tcW w:w="259" w:type="pct"/>
            <w:tcBorders>
              <w:left w:val="single" w:color="000000" w:sz="4" w:space="0"/>
            </w:tcBorders>
            <w:noWrap w:val="0"/>
            <w:vAlign w:val="center"/>
          </w:tcPr>
          <w:p w14:paraId="3B9BEF6E">
            <w:pPr>
              <w:widowControl/>
              <w:snapToGrid w:val="0"/>
              <w:spacing w:line="240" w:lineRule="auto"/>
              <w:ind w:firstLine="0" w:firstLineChars="0"/>
              <w:jc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23</w:t>
            </w:r>
          </w:p>
        </w:tc>
        <w:tc>
          <w:tcPr>
            <w:tcW w:w="252" w:type="pct"/>
            <w:tcBorders>
              <w:left w:val="single" w:color="000000" w:sz="4" w:space="0"/>
            </w:tcBorders>
            <w:noWrap w:val="0"/>
            <w:vAlign w:val="center"/>
          </w:tcPr>
          <w:p w14:paraId="5BB036F4">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ascii="Times New Roman" w:hAnsi="Times New Roman" w:eastAsia="宋体" w:cs="Times New Roman"/>
                <w:color w:val="auto"/>
                <w:kern w:val="0"/>
                <w:sz w:val="21"/>
                <w:szCs w:val="21"/>
                <w:highlight w:val="none"/>
              </w:rPr>
              <w:t>承压水</w:t>
            </w:r>
          </w:p>
        </w:tc>
        <w:tc>
          <w:tcPr>
            <w:tcW w:w="302" w:type="pct"/>
            <w:tcBorders>
              <w:left w:val="single" w:color="000000" w:sz="4" w:space="0"/>
            </w:tcBorders>
            <w:noWrap w:val="0"/>
            <w:vAlign w:val="center"/>
          </w:tcPr>
          <w:p w14:paraId="4EBE7811">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ascii="Times New Roman" w:hAnsi="Times New Roman" w:cs="Times New Roman"/>
                <w:color w:val="auto"/>
                <w:sz w:val="21"/>
                <w:szCs w:val="21"/>
                <w:highlight w:val="none"/>
                <w:lang w:eastAsia="zh-CN"/>
              </w:rPr>
              <w:t>孔隙—裂隙</w:t>
            </w:r>
            <w:r>
              <w:rPr>
                <w:rFonts w:hint="eastAsia" w:ascii="Times New Roman" w:hAnsi="Times New Roman" w:eastAsia="宋体" w:cs="Times New Roman"/>
                <w:color w:val="auto"/>
                <w:kern w:val="0"/>
                <w:sz w:val="21"/>
                <w:szCs w:val="21"/>
                <w:highlight w:val="none"/>
              </w:rPr>
              <w:t>水</w:t>
            </w:r>
          </w:p>
        </w:tc>
        <w:tc>
          <w:tcPr>
            <w:tcW w:w="275" w:type="pct"/>
            <w:tcBorders>
              <w:left w:val="single" w:color="000000" w:sz="4" w:space="0"/>
            </w:tcBorders>
            <w:noWrap w:val="0"/>
            <w:vAlign w:val="center"/>
          </w:tcPr>
          <w:p w14:paraId="18435D3E">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cs="Times New Roman"/>
                <w:color w:val="auto"/>
                <w:kern w:val="0"/>
                <w:sz w:val="21"/>
                <w:szCs w:val="21"/>
                <w:highlight w:val="none"/>
                <w:lang w:val="en-US" w:eastAsia="zh-CN"/>
              </w:rPr>
              <w:t>90</w:t>
            </w:r>
          </w:p>
        </w:tc>
        <w:tc>
          <w:tcPr>
            <w:tcW w:w="275" w:type="pct"/>
            <w:vMerge w:val="restart"/>
            <w:tcBorders>
              <w:left w:val="single" w:color="000000" w:sz="4" w:space="0"/>
            </w:tcBorders>
            <w:noWrap w:val="0"/>
            <w:vAlign w:val="center"/>
          </w:tcPr>
          <w:p w14:paraId="6F8B4F14">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rPr>
            </w:pPr>
            <w:r>
              <w:rPr>
                <w:rFonts w:hint="eastAsia" w:cs="Times New Roman"/>
                <w:color w:val="auto"/>
                <w:kern w:val="0"/>
                <w:sz w:val="21"/>
                <w:szCs w:val="21"/>
                <w:highlight w:val="none"/>
                <w:lang w:val="en-US" w:eastAsia="zh-CN" w:bidi="ar"/>
              </w:rPr>
              <w:t>9891</w:t>
            </w:r>
            <w:r>
              <w:rPr>
                <w:rFonts w:hint="eastAsia" w:ascii="Times New Roman" w:hAnsi="Times New Roman" w:eastAsia="宋体" w:cs="Times New Roman"/>
                <w:color w:val="auto"/>
                <w:kern w:val="0"/>
                <w:sz w:val="21"/>
                <w:szCs w:val="21"/>
                <w:highlight w:val="none"/>
                <w:lang w:val="en-US" w:eastAsia="zh-CN" w:bidi="ar"/>
              </w:rPr>
              <w:t>人</w:t>
            </w:r>
          </w:p>
        </w:tc>
        <w:tc>
          <w:tcPr>
            <w:tcW w:w="357" w:type="pct"/>
            <w:vMerge w:val="restart"/>
            <w:tcBorders>
              <w:left w:val="single" w:color="000000" w:sz="4" w:space="0"/>
            </w:tcBorders>
            <w:noWrap w:val="0"/>
            <w:vAlign w:val="center"/>
          </w:tcPr>
          <w:p w14:paraId="3C985CFC">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rPr>
            </w:pPr>
            <w:r>
              <w:rPr>
                <w:rFonts w:hint="eastAsia"/>
                <w:color w:val="auto"/>
                <w:spacing w:val="-2"/>
                <w:sz w:val="21"/>
                <w:szCs w:val="21"/>
                <w:highlight w:val="none"/>
              </w:rPr>
              <w:t>同乐镇内同乐村、同富村、同发村、同庆村、同兴村，共计5个行政村41个自然屯</w:t>
            </w:r>
          </w:p>
        </w:tc>
        <w:tc>
          <w:tcPr>
            <w:tcW w:w="177" w:type="pct"/>
            <w:vMerge w:val="restart"/>
            <w:tcBorders>
              <w:left w:val="single" w:color="000000" w:sz="4" w:space="0"/>
            </w:tcBorders>
            <w:noWrap w:val="0"/>
            <w:vAlign w:val="center"/>
          </w:tcPr>
          <w:p w14:paraId="2FEDEC9C">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eastAsia="zh-CN"/>
              </w:rPr>
            </w:pPr>
            <w:r>
              <w:rPr>
                <w:rFonts w:hint="eastAsia" w:cs="Times New Roman"/>
                <w:color w:val="auto"/>
                <w:kern w:val="0"/>
                <w:sz w:val="21"/>
                <w:szCs w:val="21"/>
                <w:highlight w:val="none"/>
                <w:lang w:eastAsia="zh-CN"/>
              </w:rPr>
              <w:t>同乐水厂</w:t>
            </w:r>
          </w:p>
        </w:tc>
        <w:tc>
          <w:tcPr>
            <w:tcW w:w="204" w:type="pct"/>
            <w:vMerge w:val="restart"/>
            <w:tcBorders>
              <w:left w:val="single" w:color="000000" w:sz="4" w:space="0"/>
            </w:tcBorders>
            <w:noWrap w:val="0"/>
            <w:vAlign w:val="center"/>
          </w:tcPr>
          <w:p w14:paraId="281C82C7">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color w:val="auto"/>
                <w:sz w:val="21"/>
                <w:szCs w:val="21"/>
                <w:highlight w:val="none"/>
              </w:rPr>
              <w:t>机械曝气</w:t>
            </w:r>
            <w:r>
              <w:rPr>
                <w:rFonts w:hint="eastAsia"/>
                <w:color w:val="auto"/>
                <w:sz w:val="21"/>
                <w:szCs w:val="21"/>
                <w:highlight w:val="none"/>
                <w:lang w:eastAsia="zh-CN"/>
              </w:rPr>
              <w:t>、</w:t>
            </w:r>
            <w:r>
              <w:rPr>
                <w:rFonts w:hint="eastAsia"/>
                <w:color w:val="auto"/>
                <w:sz w:val="21"/>
                <w:szCs w:val="21"/>
                <w:highlight w:val="none"/>
              </w:rPr>
              <w:t>锰砂过滤</w:t>
            </w:r>
            <w:r>
              <w:rPr>
                <w:rFonts w:hint="eastAsia"/>
                <w:color w:val="auto"/>
                <w:sz w:val="21"/>
                <w:szCs w:val="21"/>
                <w:highlight w:val="none"/>
                <w:lang w:eastAsia="zh-CN"/>
              </w:rPr>
              <w:t>、</w:t>
            </w:r>
            <w:r>
              <w:rPr>
                <w:rFonts w:hint="eastAsia"/>
                <w:color w:val="auto"/>
                <w:sz w:val="21"/>
                <w:szCs w:val="21"/>
                <w:highlight w:val="none"/>
              </w:rPr>
              <w:t>次氯酸钠消毒</w:t>
            </w:r>
          </w:p>
        </w:tc>
      </w:tr>
      <w:tr w14:paraId="67DAC2D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57" w:type="dxa"/>
            <w:bottom w:w="0" w:type="dxa"/>
            <w:right w:w="57" w:type="dxa"/>
          </w:tblCellMar>
        </w:tblPrEx>
        <w:trPr>
          <w:trHeight w:val="1079" w:hRule="atLeast"/>
          <w:jc w:val="center"/>
        </w:trPr>
        <w:tc>
          <w:tcPr>
            <w:tcW w:w="291" w:type="pct"/>
            <w:vMerge w:val="continue"/>
            <w:tcBorders>
              <w:right w:val="single" w:color="000000" w:sz="4" w:space="0"/>
            </w:tcBorders>
            <w:noWrap w:val="0"/>
            <w:vAlign w:val="center"/>
          </w:tcPr>
          <w:p w14:paraId="564CB122">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rPr>
            </w:pPr>
          </w:p>
        </w:tc>
        <w:tc>
          <w:tcPr>
            <w:tcW w:w="256" w:type="pct"/>
            <w:tcBorders>
              <w:left w:val="single" w:color="000000" w:sz="4" w:space="0"/>
              <w:right w:val="single" w:color="000000" w:sz="4" w:space="0"/>
            </w:tcBorders>
            <w:noWrap w:val="0"/>
            <w:vAlign w:val="center"/>
          </w:tcPr>
          <w:p w14:paraId="117FDD3D">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cs="Times New Roman"/>
                <w:color w:val="auto"/>
                <w:kern w:val="0"/>
                <w:sz w:val="21"/>
                <w:szCs w:val="21"/>
                <w:highlight w:val="none"/>
                <w:lang w:val="en-US" w:eastAsia="zh-CN"/>
              </w:rPr>
              <w:t>2#</w:t>
            </w:r>
          </w:p>
        </w:tc>
        <w:tc>
          <w:tcPr>
            <w:tcW w:w="564" w:type="pct"/>
            <w:tcBorders>
              <w:left w:val="single" w:color="000000" w:sz="4" w:space="0"/>
              <w:right w:val="single" w:color="000000" w:sz="4" w:space="0"/>
            </w:tcBorders>
            <w:noWrap w:val="0"/>
            <w:vAlign w:val="center"/>
          </w:tcPr>
          <w:p w14:paraId="5A67F9E9">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127°29'40.0476"</w:t>
            </w:r>
          </w:p>
        </w:tc>
        <w:tc>
          <w:tcPr>
            <w:tcW w:w="526" w:type="pct"/>
            <w:tcBorders>
              <w:left w:val="single" w:color="000000" w:sz="4" w:space="0"/>
              <w:right w:val="single" w:color="000000" w:sz="4" w:space="0"/>
            </w:tcBorders>
            <w:noWrap w:val="0"/>
            <w:vAlign w:val="center"/>
          </w:tcPr>
          <w:p w14:paraId="1F33ADD0">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47°07'44.4231"</w:t>
            </w:r>
          </w:p>
        </w:tc>
        <w:tc>
          <w:tcPr>
            <w:tcW w:w="198" w:type="pct"/>
            <w:tcBorders>
              <w:left w:val="single" w:color="000000" w:sz="4" w:space="0"/>
              <w:right w:val="single" w:color="000000" w:sz="4" w:space="0"/>
            </w:tcBorders>
            <w:noWrap w:val="0"/>
            <w:vAlign w:val="center"/>
          </w:tcPr>
          <w:p w14:paraId="2C41203C">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cs="Times New Roman"/>
                <w:color w:val="auto"/>
                <w:kern w:val="0"/>
                <w:sz w:val="21"/>
                <w:szCs w:val="21"/>
                <w:highlight w:val="none"/>
                <w:lang w:val="en-US" w:eastAsia="zh-CN"/>
              </w:rPr>
              <w:t>2024年</w:t>
            </w:r>
          </w:p>
        </w:tc>
        <w:tc>
          <w:tcPr>
            <w:tcW w:w="223" w:type="pct"/>
            <w:tcBorders>
              <w:left w:val="single" w:color="000000" w:sz="4" w:space="0"/>
              <w:right w:val="single" w:color="000000" w:sz="4" w:space="0"/>
            </w:tcBorders>
            <w:noWrap w:val="0"/>
            <w:vAlign w:val="center"/>
          </w:tcPr>
          <w:p w14:paraId="6BD494F8">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2025年</w:t>
            </w:r>
          </w:p>
        </w:tc>
        <w:tc>
          <w:tcPr>
            <w:tcW w:w="334" w:type="pct"/>
            <w:vMerge w:val="continue"/>
            <w:tcBorders>
              <w:left w:val="single" w:color="000000" w:sz="4" w:space="0"/>
              <w:right w:val="single" w:color="000000" w:sz="4" w:space="0"/>
            </w:tcBorders>
            <w:noWrap w:val="0"/>
            <w:vAlign w:val="center"/>
          </w:tcPr>
          <w:p w14:paraId="26F5E802">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p>
        </w:tc>
        <w:tc>
          <w:tcPr>
            <w:tcW w:w="240" w:type="pct"/>
            <w:vMerge w:val="continue"/>
            <w:tcBorders>
              <w:left w:val="single" w:color="000000" w:sz="4" w:space="0"/>
              <w:right w:val="single" w:color="000000" w:sz="4" w:space="0"/>
            </w:tcBorders>
            <w:noWrap w:val="0"/>
            <w:vAlign w:val="center"/>
          </w:tcPr>
          <w:p w14:paraId="1E91A298">
            <w:pPr>
              <w:widowControl/>
              <w:snapToGrid w:val="0"/>
              <w:spacing w:line="240" w:lineRule="auto"/>
              <w:ind w:firstLine="0" w:firstLineChars="0"/>
              <w:jc w:val="center"/>
              <w:rPr>
                <w:rFonts w:hint="eastAsia" w:cs="Times New Roman"/>
                <w:color w:val="auto"/>
                <w:kern w:val="0"/>
                <w:sz w:val="21"/>
                <w:szCs w:val="21"/>
                <w:highlight w:val="none"/>
                <w:lang w:val="en-US" w:eastAsia="zh-CN"/>
              </w:rPr>
            </w:pPr>
          </w:p>
        </w:tc>
        <w:tc>
          <w:tcPr>
            <w:tcW w:w="259" w:type="pct"/>
            <w:tcBorders>
              <w:left w:val="single" w:color="000000" w:sz="4" w:space="0"/>
            </w:tcBorders>
            <w:noWrap w:val="0"/>
            <w:vAlign w:val="center"/>
          </w:tcPr>
          <w:p w14:paraId="62EAA161">
            <w:pPr>
              <w:widowControl/>
              <w:snapToGrid w:val="0"/>
              <w:spacing w:line="240" w:lineRule="auto"/>
              <w:ind w:firstLine="0" w:firstLineChars="0"/>
              <w:jc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12</w:t>
            </w:r>
          </w:p>
        </w:tc>
        <w:tc>
          <w:tcPr>
            <w:tcW w:w="259" w:type="pct"/>
            <w:tcBorders>
              <w:left w:val="single" w:color="000000" w:sz="4" w:space="0"/>
            </w:tcBorders>
            <w:noWrap w:val="0"/>
            <w:vAlign w:val="center"/>
          </w:tcPr>
          <w:p w14:paraId="6960504B">
            <w:pPr>
              <w:widowControl/>
              <w:snapToGrid w:val="0"/>
              <w:spacing w:line="240" w:lineRule="auto"/>
              <w:ind w:firstLine="0" w:firstLineChars="0"/>
              <w:jc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25</w:t>
            </w:r>
          </w:p>
        </w:tc>
        <w:tc>
          <w:tcPr>
            <w:tcW w:w="252" w:type="pct"/>
            <w:tcBorders>
              <w:left w:val="single" w:color="000000" w:sz="4" w:space="0"/>
            </w:tcBorders>
            <w:noWrap w:val="0"/>
            <w:vAlign w:val="center"/>
          </w:tcPr>
          <w:p w14:paraId="5B1DE367">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ascii="Times New Roman" w:hAnsi="Times New Roman" w:eastAsia="宋体" w:cs="Times New Roman"/>
                <w:color w:val="auto"/>
                <w:kern w:val="0"/>
                <w:sz w:val="21"/>
                <w:szCs w:val="21"/>
                <w:highlight w:val="none"/>
              </w:rPr>
              <w:t>承压水</w:t>
            </w:r>
          </w:p>
        </w:tc>
        <w:tc>
          <w:tcPr>
            <w:tcW w:w="302" w:type="pct"/>
            <w:tcBorders>
              <w:left w:val="single" w:color="000000" w:sz="4" w:space="0"/>
            </w:tcBorders>
            <w:noWrap w:val="0"/>
            <w:vAlign w:val="center"/>
          </w:tcPr>
          <w:p w14:paraId="4F3A0DAE">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ascii="Times New Roman" w:hAnsi="Times New Roman" w:cs="Times New Roman"/>
                <w:color w:val="auto"/>
                <w:sz w:val="21"/>
                <w:szCs w:val="21"/>
                <w:highlight w:val="none"/>
                <w:lang w:eastAsia="zh-CN"/>
              </w:rPr>
              <w:t>孔隙—裂隙</w:t>
            </w:r>
            <w:r>
              <w:rPr>
                <w:rFonts w:hint="eastAsia" w:ascii="Times New Roman" w:hAnsi="Times New Roman" w:eastAsia="宋体" w:cs="Times New Roman"/>
                <w:color w:val="auto"/>
                <w:kern w:val="0"/>
                <w:sz w:val="21"/>
                <w:szCs w:val="21"/>
                <w:highlight w:val="none"/>
              </w:rPr>
              <w:t>水</w:t>
            </w:r>
          </w:p>
        </w:tc>
        <w:tc>
          <w:tcPr>
            <w:tcW w:w="275" w:type="pct"/>
            <w:tcBorders>
              <w:left w:val="single" w:color="000000" w:sz="4" w:space="0"/>
            </w:tcBorders>
            <w:noWrap w:val="0"/>
            <w:vAlign w:val="center"/>
          </w:tcPr>
          <w:p w14:paraId="01EB53C0">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cs="Times New Roman"/>
                <w:color w:val="auto"/>
                <w:kern w:val="0"/>
                <w:sz w:val="21"/>
                <w:szCs w:val="21"/>
                <w:highlight w:val="none"/>
                <w:lang w:val="en-US" w:eastAsia="zh-CN"/>
              </w:rPr>
              <w:t>90</w:t>
            </w:r>
          </w:p>
        </w:tc>
        <w:tc>
          <w:tcPr>
            <w:tcW w:w="275" w:type="pct"/>
            <w:vMerge w:val="continue"/>
            <w:tcBorders>
              <w:left w:val="single" w:color="000000" w:sz="4" w:space="0"/>
            </w:tcBorders>
            <w:noWrap w:val="0"/>
            <w:vAlign w:val="center"/>
          </w:tcPr>
          <w:p w14:paraId="2A3BC4FD">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p>
        </w:tc>
        <w:tc>
          <w:tcPr>
            <w:tcW w:w="357" w:type="pct"/>
            <w:vMerge w:val="continue"/>
            <w:tcBorders>
              <w:left w:val="single" w:color="000000" w:sz="4" w:space="0"/>
            </w:tcBorders>
            <w:noWrap w:val="0"/>
            <w:vAlign w:val="center"/>
          </w:tcPr>
          <w:p w14:paraId="1B65E198">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p>
        </w:tc>
        <w:tc>
          <w:tcPr>
            <w:tcW w:w="177" w:type="pct"/>
            <w:vMerge w:val="continue"/>
            <w:tcBorders>
              <w:left w:val="single" w:color="000000" w:sz="4" w:space="0"/>
            </w:tcBorders>
            <w:noWrap w:val="0"/>
            <w:vAlign w:val="center"/>
          </w:tcPr>
          <w:p w14:paraId="588DE70E">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p>
        </w:tc>
        <w:tc>
          <w:tcPr>
            <w:tcW w:w="204" w:type="pct"/>
            <w:vMerge w:val="continue"/>
            <w:tcBorders>
              <w:left w:val="single" w:color="000000" w:sz="4" w:space="0"/>
            </w:tcBorders>
            <w:noWrap w:val="0"/>
            <w:vAlign w:val="center"/>
          </w:tcPr>
          <w:p w14:paraId="24E9833C">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p>
        </w:tc>
      </w:tr>
      <w:tr w14:paraId="7ED7256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57" w:type="dxa"/>
            <w:bottom w:w="0" w:type="dxa"/>
            <w:right w:w="57" w:type="dxa"/>
          </w:tblCellMar>
        </w:tblPrEx>
        <w:trPr>
          <w:trHeight w:val="90" w:hRule="atLeast"/>
          <w:jc w:val="center"/>
        </w:trPr>
        <w:tc>
          <w:tcPr>
            <w:tcW w:w="291" w:type="pct"/>
            <w:vMerge w:val="continue"/>
            <w:tcBorders>
              <w:right w:val="single" w:color="000000" w:sz="4" w:space="0"/>
            </w:tcBorders>
            <w:noWrap w:val="0"/>
            <w:vAlign w:val="center"/>
          </w:tcPr>
          <w:p w14:paraId="6481A708">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rPr>
            </w:pPr>
          </w:p>
        </w:tc>
        <w:tc>
          <w:tcPr>
            <w:tcW w:w="256" w:type="pct"/>
            <w:tcBorders>
              <w:left w:val="single" w:color="000000" w:sz="4" w:space="0"/>
              <w:right w:val="single" w:color="000000" w:sz="4" w:space="0"/>
            </w:tcBorders>
            <w:noWrap w:val="0"/>
            <w:vAlign w:val="center"/>
          </w:tcPr>
          <w:p w14:paraId="1263DC19">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cs="Times New Roman"/>
                <w:color w:val="auto"/>
                <w:kern w:val="0"/>
                <w:sz w:val="21"/>
                <w:szCs w:val="21"/>
                <w:highlight w:val="none"/>
                <w:lang w:val="en-US" w:eastAsia="zh-CN"/>
              </w:rPr>
              <w:t>3#</w:t>
            </w:r>
          </w:p>
        </w:tc>
        <w:tc>
          <w:tcPr>
            <w:tcW w:w="564" w:type="pct"/>
            <w:tcBorders>
              <w:left w:val="single" w:color="000000" w:sz="4" w:space="0"/>
              <w:right w:val="single" w:color="000000" w:sz="4" w:space="0"/>
            </w:tcBorders>
            <w:noWrap w:val="0"/>
            <w:vAlign w:val="center"/>
          </w:tcPr>
          <w:p w14:paraId="087E7284">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127°29'42.7271"</w:t>
            </w:r>
          </w:p>
        </w:tc>
        <w:tc>
          <w:tcPr>
            <w:tcW w:w="526" w:type="pct"/>
            <w:tcBorders>
              <w:left w:val="single" w:color="000000" w:sz="4" w:space="0"/>
              <w:right w:val="single" w:color="000000" w:sz="4" w:space="0"/>
            </w:tcBorders>
            <w:noWrap w:val="0"/>
            <w:vAlign w:val="center"/>
          </w:tcPr>
          <w:p w14:paraId="6EEA82B0">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47°07'33.9708"</w:t>
            </w:r>
          </w:p>
        </w:tc>
        <w:tc>
          <w:tcPr>
            <w:tcW w:w="198" w:type="pct"/>
            <w:tcBorders>
              <w:left w:val="single" w:color="000000" w:sz="4" w:space="0"/>
              <w:right w:val="single" w:color="000000" w:sz="4" w:space="0"/>
            </w:tcBorders>
            <w:noWrap w:val="0"/>
            <w:vAlign w:val="center"/>
          </w:tcPr>
          <w:p w14:paraId="42533320">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cs="Times New Roman"/>
                <w:color w:val="auto"/>
                <w:kern w:val="0"/>
                <w:sz w:val="21"/>
                <w:szCs w:val="21"/>
                <w:highlight w:val="none"/>
                <w:lang w:val="en-US" w:eastAsia="zh-CN"/>
              </w:rPr>
              <w:t>2024年</w:t>
            </w:r>
          </w:p>
        </w:tc>
        <w:tc>
          <w:tcPr>
            <w:tcW w:w="223" w:type="pct"/>
            <w:tcBorders>
              <w:left w:val="single" w:color="000000" w:sz="4" w:space="0"/>
              <w:right w:val="single" w:color="000000" w:sz="4" w:space="0"/>
            </w:tcBorders>
            <w:noWrap w:val="0"/>
            <w:vAlign w:val="center"/>
          </w:tcPr>
          <w:p w14:paraId="1BDFC670">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2025年</w:t>
            </w:r>
          </w:p>
        </w:tc>
        <w:tc>
          <w:tcPr>
            <w:tcW w:w="334" w:type="pct"/>
            <w:vMerge w:val="continue"/>
            <w:tcBorders>
              <w:left w:val="single" w:color="000000" w:sz="4" w:space="0"/>
              <w:right w:val="single" w:color="000000" w:sz="4" w:space="0"/>
            </w:tcBorders>
            <w:noWrap w:val="0"/>
            <w:vAlign w:val="center"/>
          </w:tcPr>
          <w:p w14:paraId="4BEAF092">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p>
        </w:tc>
        <w:tc>
          <w:tcPr>
            <w:tcW w:w="240" w:type="pct"/>
            <w:vMerge w:val="continue"/>
            <w:tcBorders>
              <w:left w:val="single" w:color="000000" w:sz="4" w:space="0"/>
              <w:right w:val="single" w:color="000000" w:sz="4" w:space="0"/>
            </w:tcBorders>
            <w:noWrap w:val="0"/>
            <w:vAlign w:val="center"/>
          </w:tcPr>
          <w:p w14:paraId="7F2A830A">
            <w:pPr>
              <w:widowControl/>
              <w:snapToGrid w:val="0"/>
              <w:spacing w:line="240" w:lineRule="auto"/>
              <w:ind w:firstLine="0" w:firstLineChars="0"/>
              <w:jc w:val="center"/>
              <w:rPr>
                <w:rFonts w:hint="eastAsia" w:cs="Times New Roman"/>
                <w:color w:val="auto"/>
                <w:kern w:val="0"/>
                <w:sz w:val="21"/>
                <w:szCs w:val="21"/>
                <w:highlight w:val="none"/>
                <w:lang w:val="en-US" w:eastAsia="zh-CN"/>
              </w:rPr>
            </w:pPr>
          </w:p>
        </w:tc>
        <w:tc>
          <w:tcPr>
            <w:tcW w:w="259" w:type="pct"/>
            <w:tcBorders>
              <w:left w:val="single" w:color="000000" w:sz="4" w:space="0"/>
            </w:tcBorders>
            <w:noWrap w:val="0"/>
            <w:vAlign w:val="center"/>
          </w:tcPr>
          <w:p w14:paraId="253CDB39">
            <w:pPr>
              <w:widowControl/>
              <w:snapToGrid w:val="0"/>
              <w:spacing w:line="240" w:lineRule="auto"/>
              <w:ind w:firstLine="0" w:firstLineChars="0"/>
              <w:jc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11</w:t>
            </w:r>
          </w:p>
        </w:tc>
        <w:tc>
          <w:tcPr>
            <w:tcW w:w="259" w:type="pct"/>
            <w:tcBorders>
              <w:left w:val="single" w:color="000000" w:sz="4" w:space="0"/>
            </w:tcBorders>
            <w:noWrap w:val="0"/>
            <w:vAlign w:val="center"/>
          </w:tcPr>
          <w:p w14:paraId="2F4C54A6">
            <w:pPr>
              <w:widowControl/>
              <w:snapToGrid w:val="0"/>
              <w:spacing w:line="240" w:lineRule="auto"/>
              <w:ind w:firstLine="0" w:firstLineChars="0"/>
              <w:jc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23</w:t>
            </w:r>
          </w:p>
        </w:tc>
        <w:tc>
          <w:tcPr>
            <w:tcW w:w="252" w:type="pct"/>
            <w:tcBorders>
              <w:left w:val="single" w:color="000000" w:sz="4" w:space="0"/>
            </w:tcBorders>
            <w:noWrap w:val="0"/>
            <w:vAlign w:val="center"/>
          </w:tcPr>
          <w:p w14:paraId="6B3DB15E">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ascii="Times New Roman" w:hAnsi="Times New Roman" w:eastAsia="宋体" w:cs="Times New Roman"/>
                <w:color w:val="auto"/>
                <w:kern w:val="0"/>
                <w:sz w:val="21"/>
                <w:szCs w:val="21"/>
                <w:highlight w:val="none"/>
              </w:rPr>
              <w:t>承压水</w:t>
            </w:r>
          </w:p>
        </w:tc>
        <w:tc>
          <w:tcPr>
            <w:tcW w:w="302" w:type="pct"/>
            <w:tcBorders>
              <w:left w:val="single" w:color="000000" w:sz="4" w:space="0"/>
            </w:tcBorders>
            <w:noWrap w:val="0"/>
            <w:vAlign w:val="center"/>
          </w:tcPr>
          <w:p w14:paraId="050D94F8">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ascii="Times New Roman" w:hAnsi="Times New Roman" w:cs="Times New Roman"/>
                <w:color w:val="auto"/>
                <w:sz w:val="21"/>
                <w:szCs w:val="21"/>
                <w:highlight w:val="none"/>
                <w:lang w:eastAsia="zh-CN"/>
              </w:rPr>
              <w:t>孔隙—裂隙</w:t>
            </w:r>
            <w:r>
              <w:rPr>
                <w:rFonts w:hint="eastAsia" w:ascii="Times New Roman" w:hAnsi="Times New Roman" w:eastAsia="宋体" w:cs="Times New Roman"/>
                <w:color w:val="auto"/>
                <w:kern w:val="0"/>
                <w:sz w:val="21"/>
                <w:szCs w:val="21"/>
                <w:highlight w:val="none"/>
              </w:rPr>
              <w:t>水</w:t>
            </w:r>
          </w:p>
        </w:tc>
        <w:tc>
          <w:tcPr>
            <w:tcW w:w="275" w:type="pct"/>
            <w:tcBorders>
              <w:left w:val="single" w:color="000000" w:sz="4" w:space="0"/>
            </w:tcBorders>
            <w:noWrap w:val="0"/>
            <w:vAlign w:val="center"/>
          </w:tcPr>
          <w:p w14:paraId="1CD27C4E">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cs="Times New Roman"/>
                <w:color w:val="auto"/>
                <w:kern w:val="0"/>
                <w:sz w:val="21"/>
                <w:szCs w:val="21"/>
                <w:highlight w:val="none"/>
                <w:lang w:val="en-US" w:eastAsia="zh-CN"/>
              </w:rPr>
              <w:t>90</w:t>
            </w:r>
          </w:p>
        </w:tc>
        <w:tc>
          <w:tcPr>
            <w:tcW w:w="275" w:type="pct"/>
            <w:vMerge w:val="continue"/>
            <w:tcBorders>
              <w:left w:val="single" w:color="000000" w:sz="4" w:space="0"/>
            </w:tcBorders>
            <w:noWrap w:val="0"/>
            <w:vAlign w:val="center"/>
          </w:tcPr>
          <w:p w14:paraId="19ECA55D">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p>
        </w:tc>
        <w:tc>
          <w:tcPr>
            <w:tcW w:w="357" w:type="pct"/>
            <w:vMerge w:val="continue"/>
            <w:tcBorders>
              <w:left w:val="single" w:color="000000" w:sz="4" w:space="0"/>
            </w:tcBorders>
            <w:noWrap w:val="0"/>
            <w:vAlign w:val="center"/>
          </w:tcPr>
          <w:p w14:paraId="0C392DD2">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p>
        </w:tc>
        <w:tc>
          <w:tcPr>
            <w:tcW w:w="177" w:type="pct"/>
            <w:vMerge w:val="continue"/>
            <w:tcBorders>
              <w:left w:val="single" w:color="000000" w:sz="4" w:space="0"/>
            </w:tcBorders>
            <w:noWrap w:val="0"/>
            <w:vAlign w:val="center"/>
          </w:tcPr>
          <w:p w14:paraId="0787DA12">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p>
        </w:tc>
        <w:tc>
          <w:tcPr>
            <w:tcW w:w="204" w:type="pct"/>
            <w:vMerge w:val="continue"/>
            <w:tcBorders>
              <w:left w:val="single" w:color="000000" w:sz="4" w:space="0"/>
            </w:tcBorders>
            <w:noWrap w:val="0"/>
            <w:vAlign w:val="center"/>
          </w:tcPr>
          <w:p w14:paraId="042BC046">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p>
        </w:tc>
      </w:tr>
      <w:tr w14:paraId="5ACDCDC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57" w:type="dxa"/>
            <w:bottom w:w="0" w:type="dxa"/>
            <w:right w:w="57" w:type="dxa"/>
          </w:tblCellMar>
        </w:tblPrEx>
        <w:trPr>
          <w:trHeight w:val="482" w:hRule="atLeast"/>
          <w:jc w:val="center"/>
        </w:trPr>
        <w:tc>
          <w:tcPr>
            <w:tcW w:w="291" w:type="pct"/>
            <w:vMerge w:val="restart"/>
            <w:tcBorders>
              <w:right w:val="single" w:color="000000" w:sz="4" w:space="0"/>
            </w:tcBorders>
            <w:noWrap w:val="0"/>
            <w:vAlign w:val="center"/>
          </w:tcPr>
          <w:p w14:paraId="18A59EA6">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rPr>
            </w:pPr>
            <w:r>
              <w:rPr>
                <w:rFonts w:hint="eastAsia" w:ascii="Times New Roman" w:hAnsi="Times New Roman" w:eastAsia="宋体" w:cs="Times New Roman"/>
                <w:color w:val="auto"/>
                <w:kern w:val="0"/>
                <w:sz w:val="21"/>
                <w:szCs w:val="21"/>
                <w:highlight w:val="none"/>
                <w:lang w:val="en-US" w:eastAsia="zh-CN" w:bidi="ar"/>
              </w:rPr>
              <w:t>绥化市庆安县柳河镇饮用水水源地</w:t>
            </w:r>
          </w:p>
        </w:tc>
        <w:tc>
          <w:tcPr>
            <w:tcW w:w="256" w:type="pct"/>
            <w:tcBorders>
              <w:left w:val="single" w:color="000000" w:sz="4" w:space="0"/>
              <w:right w:val="single" w:color="000000" w:sz="4" w:space="0"/>
            </w:tcBorders>
            <w:noWrap w:val="0"/>
            <w:vAlign w:val="center"/>
          </w:tcPr>
          <w:p w14:paraId="253187C0">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cs="Times New Roman"/>
                <w:color w:val="auto"/>
                <w:kern w:val="0"/>
                <w:sz w:val="21"/>
                <w:szCs w:val="21"/>
                <w:highlight w:val="none"/>
                <w:lang w:val="en-US" w:eastAsia="zh-CN"/>
              </w:rPr>
              <w:t>1#</w:t>
            </w:r>
          </w:p>
        </w:tc>
        <w:tc>
          <w:tcPr>
            <w:tcW w:w="564" w:type="pct"/>
            <w:tcBorders>
              <w:left w:val="single" w:color="000000" w:sz="4" w:space="0"/>
              <w:right w:val="single" w:color="000000" w:sz="4" w:space="0"/>
            </w:tcBorders>
            <w:noWrap w:val="0"/>
            <w:vAlign w:val="center"/>
          </w:tcPr>
          <w:p w14:paraId="69F4CF60">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127°41'56.9899"</w:t>
            </w:r>
          </w:p>
        </w:tc>
        <w:tc>
          <w:tcPr>
            <w:tcW w:w="526" w:type="pct"/>
            <w:tcBorders>
              <w:left w:val="single" w:color="000000" w:sz="4" w:space="0"/>
              <w:right w:val="single" w:color="000000" w:sz="4" w:space="0"/>
            </w:tcBorders>
            <w:noWrap w:val="0"/>
            <w:vAlign w:val="center"/>
          </w:tcPr>
          <w:p w14:paraId="5309E09C">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46°43'13.5899"</w:t>
            </w:r>
          </w:p>
        </w:tc>
        <w:tc>
          <w:tcPr>
            <w:tcW w:w="198" w:type="pct"/>
            <w:tcBorders>
              <w:left w:val="single" w:color="000000" w:sz="4" w:space="0"/>
              <w:right w:val="single" w:color="000000" w:sz="4" w:space="0"/>
            </w:tcBorders>
            <w:noWrap w:val="0"/>
            <w:vAlign w:val="center"/>
          </w:tcPr>
          <w:p w14:paraId="67B75730">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cs="Times New Roman"/>
                <w:color w:val="auto"/>
                <w:kern w:val="0"/>
                <w:sz w:val="21"/>
                <w:szCs w:val="21"/>
                <w:highlight w:val="none"/>
                <w:lang w:val="en-US" w:eastAsia="zh-CN"/>
              </w:rPr>
              <w:t>2024年</w:t>
            </w:r>
          </w:p>
        </w:tc>
        <w:tc>
          <w:tcPr>
            <w:tcW w:w="223" w:type="pct"/>
            <w:tcBorders>
              <w:left w:val="single" w:color="000000" w:sz="4" w:space="0"/>
              <w:right w:val="single" w:color="000000" w:sz="4" w:space="0"/>
            </w:tcBorders>
            <w:noWrap w:val="0"/>
            <w:vAlign w:val="center"/>
          </w:tcPr>
          <w:p w14:paraId="7CAF6572">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2025年</w:t>
            </w:r>
          </w:p>
        </w:tc>
        <w:tc>
          <w:tcPr>
            <w:tcW w:w="334" w:type="pct"/>
            <w:vMerge w:val="restart"/>
            <w:tcBorders>
              <w:left w:val="single" w:color="000000" w:sz="4" w:space="0"/>
              <w:right w:val="single" w:color="000000" w:sz="4" w:space="0"/>
            </w:tcBorders>
            <w:noWrap w:val="0"/>
            <w:vAlign w:val="center"/>
          </w:tcPr>
          <w:p w14:paraId="5FAA3A6E">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1378.56</w:t>
            </w:r>
          </w:p>
        </w:tc>
        <w:tc>
          <w:tcPr>
            <w:tcW w:w="240" w:type="pct"/>
            <w:vMerge w:val="restart"/>
            <w:tcBorders>
              <w:left w:val="single" w:color="000000" w:sz="4" w:space="0"/>
              <w:right w:val="single" w:color="000000" w:sz="4" w:space="0"/>
            </w:tcBorders>
            <w:noWrap w:val="0"/>
            <w:vAlign w:val="center"/>
          </w:tcPr>
          <w:p w14:paraId="48F0882C">
            <w:pPr>
              <w:widowControl/>
              <w:snapToGrid w:val="0"/>
              <w:spacing w:line="240" w:lineRule="auto"/>
              <w:ind w:firstLine="0" w:firstLineChars="0"/>
              <w:jc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700</w:t>
            </w:r>
          </w:p>
        </w:tc>
        <w:tc>
          <w:tcPr>
            <w:tcW w:w="259" w:type="pct"/>
            <w:tcBorders>
              <w:left w:val="single" w:color="000000" w:sz="4" w:space="0"/>
            </w:tcBorders>
            <w:noWrap w:val="0"/>
            <w:vAlign w:val="center"/>
          </w:tcPr>
          <w:p w14:paraId="187A1327">
            <w:pPr>
              <w:widowControl/>
              <w:snapToGrid w:val="0"/>
              <w:spacing w:line="240" w:lineRule="auto"/>
              <w:ind w:firstLine="0" w:firstLineChars="0"/>
              <w:jc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15</w:t>
            </w:r>
          </w:p>
        </w:tc>
        <w:tc>
          <w:tcPr>
            <w:tcW w:w="259" w:type="pct"/>
            <w:tcBorders>
              <w:left w:val="single" w:color="000000" w:sz="4" w:space="0"/>
            </w:tcBorders>
            <w:noWrap w:val="0"/>
            <w:vAlign w:val="center"/>
          </w:tcPr>
          <w:p w14:paraId="4C2F79B5">
            <w:pPr>
              <w:widowControl/>
              <w:snapToGrid w:val="0"/>
              <w:spacing w:line="240" w:lineRule="auto"/>
              <w:ind w:firstLine="0" w:firstLineChars="0"/>
              <w:jc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24</w:t>
            </w:r>
          </w:p>
        </w:tc>
        <w:tc>
          <w:tcPr>
            <w:tcW w:w="252" w:type="pct"/>
            <w:tcBorders>
              <w:left w:val="single" w:color="000000" w:sz="4" w:space="0"/>
            </w:tcBorders>
            <w:noWrap w:val="0"/>
            <w:vAlign w:val="center"/>
          </w:tcPr>
          <w:p w14:paraId="5E00E496">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ascii="Times New Roman" w:hAnsi="Times New Roman" w:eastAsia="宋体" w:cs="Times New Roman"/>
                <w:color w:val="auto"/>
                <w:kern w:val="0"/>
                <w:sz w:val="21"/>
                <w:szCs w:val="21"/>
                <w:highlight w:val="none"/>
              </w:rPr>
              <w:t>承压水</w:t>
            </w:r>
          </w:p>
        </w:tc>
        <w:tc>
          <w:tcPr>
            <w:tcW w:w="302" w:type="pct"/>
            <w:tcBorders>
              <w:left w:val="single" w:color="000000" w:sz="4" w:space="0"/>
            </w:tcBorders>
            <w:noWrap w:val="0"/>
            <w:vAlign w:val="center"/>
          </w:tcPr>
          <w:p w14:paraId="45BBBA91">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ascii="Times New Roman" w:hAnsi="Times New Roman" w:cs="Times New Roman"/>
                <w:color w:val="auto"/>
                <w:sz w:val="21"/>
                <w:szCs w:val="21"/>
                <w:highlight w:val="none"/>
                <w:lang w:eastAsia="zh-CN"/>
              </w:rPr>
              <w:t>孔隙—裂隙</w:t>
            </w:r>
            <w:r>
              <w:rPr>
                <w:rFonts w:hint="eastAsia" w:ascii="Times New Roman" w:hAnsi="Times New Roman" w:eastAsia="宋体" w:cs="Times New Roman"/>
                <w:color w:val="auto"/>
                <w:kern w:val="0"/>
                <w:sz w:val="21"/>
                <w:szCs w:val="21"/>
                <w:highlight w:val="none"/>
              </w:rPr>
              <w:t>水</w:t>
            </w:r>
          </w:p>
        </w:tc>
        <w:tc>
          <w:tcPr>
            <w:tcW w:w="275" w:type="pct"/>
            <w:tcBorders>
              <w:left w:val="single" w:color="000000" w:sz="4" w:space="0"/>
            </w:tcBorders>
            <w:noWrap w:val="0"/>
            <w:vAlign w:val="center"/>
          </w:tcPr>
          <w:p w14:paraId="279F3C97">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cs="Times New Roman"/>
                <w:color w:val="auto"/>
                <w:kern w:val="0"/>
                <w:sz w:val="21"/>
                <w:szCs w:val="21"/>
                <w:highlight w:val="none"/>
                <w:lang w:val="en-US" w:eastAsia="zh-CN"/>
              </w:rPr>
              <w:t>90</w:t>
            </w:r>
          </w:p>
        </w:tc>
        <w:tc>
          <w:tcPr>
            <w:tcW w:w="275" w:type="pct"/>
            <w:vMerge w:val="restart"/>
            <w:tcBorders>
              <w:left w:val="single" w:color="000000" w:sz="4" w:space="0"/>
            </w:tcBorders>
            <w:noWrap w:val="0"/>
            <w:vAlign w:val="center"/>
          </w:tcPr>
          <w:p w14:paraId="771240A7">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rPr>
            </w:pPr>
            <w:r>
              <w:rPr>
                <w:rFonts w:hint="eastAsia" w:cs="Times New Roman"/>
                <w:color w:val="auto"/>
                <w:kern w:val="0"/>
                <w:sz w:val="21"/>
                <w:szCs w:val="21"/>
                <w:highlight w:val="none"/>
                <w:lang w:val="en-US" w:eastAsia="zh-CN" w:bidi="ar"/>
              </w:rPr>
              <w:t>8631</w:t>
            </w:r>
            <w:r>
              <w:rPr>
                <w:rFonts w:hint="eastAsia" w:ascii="Times New Roman" w:hAnsi="Times New Roman" w:eastAsia="宋体" w:cs="Times New Roman"/>
                <w:color w:val="auto"/>
                <w:kern w:val="0"/>
                <w:sz w:val="21"/>
                <w:szCs w:val="21"/>
                <w:highlight w:val="none"/>
                <w:lang w:val="en-US" w:eastAsia="zh-CN" w:bidi="ar"/>
              </w:rPr>
              <w:t>人</w:t>
            </w:r>
          </w:p>
        </w:tc>
        <w:tc>
          <w:tcPr>
            <w:tcW w:w="357" w:type="pct"/>
            <w:vMerge w:val="restart"/>
            <w:tcBorders>
              <w:left w:val="single" w:color="000000" w:sz="4" w:space="0"/>
            </w:tcBorders>
            <w:noWrap w:val="0"/>
            <w:vAlign w:val="center"/>
          </w:tcPr>
          <w:p w14:paraId="602552BD">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rPr>
            </w:pPr>
            <w:r>
              <w:rPr>
                <w:rFonts w:hint="eastAsia"/>
                <w:color w:val="auto"/>
                <w:spacing w:val="-2"/>
                <w:sz w:val="21"/>
                <w:szCs w:val="21"/>
                <w:highlight w:val="none"/>
              </w:rPr>
              <w:t>柳河镇内新柳村、新胜村、新泉村、新岗村、新宏村，共计5个行政村39个自然屯</w:t>
            </w:r>
          </w:p>
        </w:tc>
        <w:tc>
          <w:tcPr>
            <w:tcW w:w="177" w:type="pct"/>
            <w:vMerge w:val="restart"/>
            <w:tcBorders>
              <w:left w:val="single" w:color="000000" w:sz="4" w:space="0"/>
            </w:tcBorders>
            <w:noWrap w:val="0"/>
            <w:vAlign w:val="center"/>
          </w:tcPr>
          <w:p w14:paraId="076BE874">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eastAsia="zh-CN"/>
              </w:rPr>
            </w:pPr>
            <w:r>
              <w:rPr>
                <w:rFonts w:hint="eastAsia" w:cs="Times New Roman"/>
                <w:color w:val="auto"/>
                <w:kern w:val="0"/>
                <w:sz w:val="21"/>
                <w:szCs w:val="21"/>
                <w:highlight w:val="none"/>
                <w:lang w:val="en-US" w:eastAsia="zh-CN"/>
              </w:rPr>
              <w:t>柳河东水厂</w:t>
            </w:r>
          </w:p>
        </w:tc>
        <w:tc>
          <w:tcPr>
            <w:tcW w:w="204" w:type="pct"/>
            <w:vMerge w:val="restart"/>
            <w:tcBorders>
              <w:left w:val="single" w:color="000000" w:sz="4" w:space="0"/>
            </w:tcBorders>
            <w:noWrap w:val="0"/>
            <w:vAlign w:val="center"/>
          </w:tcPr>
          <w:p w14:paraId="7794A080">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color w:val="auto"/>
                <w:sz w:val="21"/>
                <w:szCs w:val="21"/>
                <w:highlight w:val="none"/>
              </w:rPr>
              <w:t>机械曝气</w:t>
            </w:r>
            <w:r>
              <w:rPr>
                <w:rFonts w:hint="eastAsia"/>
                <w:color w:val="auto"/>
                <w:sz w:val="21"/>
                <w:szCs w:val="21"/>
                <w:highlight w:val="none"/>
                <w:lang w:eastAsia="zh-CN"/>
              </w:rPr>
              <w:t>、</w:t>
            </w:r>
            <w:r>
              <w:rPr>
                <w:rFonts w:hint="eastAsia"/>
                <w:color w:val="auto"/>
                <w:sz w:val="21"/>
                <w:szCs w:val="21"/>
                <w:highlight w:val="none"/>
              </w:rPr>
              <w:t>锰砂过滤</w:t>
            </w:r>
            <w:r>
              <w:rPr>
                <w:rFonts w:hint="eastAsia"/>
                <w:color w:val="auto"/>
                <w:sz w:val="21"/>
                <w:szCs w:val="21"/>
                <w:highlight w:val="none"/>
                <w:lang w:eastAsia="zh-CN"/>
              </w:rPr>
              <w:t>、</w:t>
            </w:r>
            <w:r>
              <w:rPr>
                <w:rFonts w:hint="eastAsia"/>
                <w:color w:val="auto"/>
                <w:sz w:val="21"/>
                <w:szCs w:val="21"/>
                <w:highlight w:val="none"/>
              </w:rPr>
              <w:t>次氯酸钠消毒</w:t>
            </w:r>
          </w:p>
        </w:tc>
      </w:tr>
      <w:tr w14:paraId="1DB275C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57" w:type="dxa"/>
            <w:bottom w:w="0" w:type="dxa"/>
            <w:right w:w="57" w:type="dxa"/>
          </w:tblCellMar>
        </w:tblPrEx>
        <w:trPr>
          <w:trHeight w:val="482" w:hRule="atLeast"/>
          <w:jc w:val="center"/>
        </w:trPr>
        <w:tc>
          <w:tcPr>
            <w:tcW w:w="291" w:type="pct"/>
            <w:vMerge w:val="continue"/>
            <w:tcBorders>
              <w:right w:val="single" w:color="000000" w:sz="4" w:space="0"/>
            </w:tcBorders>
            <w:noWrap w:val="0"/>
            <w:vAlign w:val="center"/>
          </w:tcPr>
          <w:p w14:paraId="51ED9105">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p>
        </w:tc>
        <w:tc>
          <w:tcPr>
            <w:tcW w:w="256" w:type="pct"/>
            <w:tcBorders>
              <w:left w:val="single" w:color="000000" w:sz="4" w:space="0"/>
              <w:right w:val="single" w:color="000000" w:sz="4" w:space="0"/>
            </w:tcBorders>
            <w:noWrap w:val="0"/>
            <w:vAlign w:val="center"/>
          </w:tcPr>
          <w:p w14:paraId="3B0FE402">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cs="Times New Roman"/>
                <w:color w:val="auto"/>
                <w:kern w:val="0"/>
                <w:sz w:val="21"/>
                <w:szCs w:val="21"/>
                <w:highlight w:val="none"/>
                <w:lang w:val="en-US" w:eastAsia="zh-CN"/>
              </w:rPr>
              <w:t>2#</w:t>
            </w:r>
          </w:p>
        </w:tc>
        <w:tc>
          <w:tcPr>
            <w:tcW w:w="564" w:type="pct"/>
            <w:tcBorders>
              <w:left w:val="single" w:color="000000" w:sz="4" w:space="0"/>
              <w:right w:val="single" w:color="000000" w:sz="4" w:space="0"/>
            </w:tcBorders>
            <w:noWrap w:val="0"/>
            <w:vAlign w:val="center"/>
          </w:tcPr>
          <w:p w14:paraId="44AFB622">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127°41'52.4150"</w:t>
            </w:r>
          </w:p>
        </w:tc>
        <w:tc>
          <w:tcPr>
            <w:tcW w:w="526" w:type="pct"/>
            <w:tcBorders>
              <w:left w:val="single" w:color="000000" w:sz="4" w:space="0"/>
              <w:right w:val="single" w:color="000000" w:sz="4" w:space="0"/>
            </w:tcBorders>
            <w:noWrap w:val="0"/>
            <w:vAlign w:val="center"/>
          </w:tcPr>
          <w:p w14:paraId="44043F1F">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46°43'19.7130"</w:t>
            </w:r>
          </w:p>
        </w:tc>
        <w:tc>
          <w:tcPr>
            <w:tcW w:w="198" w:type="pct"/>
            <w:tcBorders>
              <w:left w:val="single" w:color="000000" w:sz="4" w:space="0"/>
              <w:right w:val="single" w:color="000000" w:sz="4" w:space="0"/>
            </w:tcBorders>
            <w:noWrap w:val="0"/>
            <w:vAlign w:val="center"/>
          </w:tcPr>
          <w:p w14:paraId="43806CF9">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cs="Times New Roman"/>
                <w:color w:val="auto"/>
                <w:kern w:val="0"/>
                <w:sz w:val="21"/>
                <w:szCs w:val="21"/>
                <w:highlight w:val="none"/>
                <w:lang w:val="en-US" w:eastAsia="zh-CN"/>
              </w:rPr>
              <w:t>2024年</w:t>
            </w:r>
          </w:p>
        </w:tc>
        <w:tc>
          <w:tcPr>
            <w:tcW w:w="223" w:type="pct"/>
            <w:tcBorders>
              <w:left w:val="single" w:color="000000" w:sz="4" w:space="0"/>
              <w:right w:val="single" w:color="000000" w:sz="4" w:space="0"/>
            </w:tcBorders>
            <w:noWrap w:val="0"/>
            <w:vAlign w:val="center"/>
          </w:tcPr>
          <w:p w14:paraId="2142AA76">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2025年</w:t>
            </w:r>
          </w:p>
        </w:tc>
        <w:tc>
          <w:tcPr>
            <w:tcW w:w="334" w:type="pct"/>
            <w:vMerge w:val="continue"/>
            <w:tcBorders>
              <w:left w:val="single" w:color="000000" w:sz="4" w:space="0"/>
              <w:right w:val="single" w:color="000000" w:sz="4" w:space="0"/>
            </w:tcBorders>
            <w:noWrap w:val="0"/>
            <w:vAlign w:val="center"/>
          </w:tcPr>
          <w:p w14:paraId="1FC89C08">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p>
        </w:tc>
        <w:tc>
          <w:tcPr>
            <w:tcW w:w="240" w:type="pct"/>
            <w:vMerge w:val="continue"/>
            <w:tcBorders>
              <w:left w:val="single" w:color="000000" w:sz="4" w:space="0"/>
              <w:right w:val="single" w:color="000000" w:sz="4" w:space="0"/>
            </w:tcBorders>
            <w:noWrap w:val="0"/>
            <w:vAlign w:val="center"/>
          </w:tcPr>
          <w:p w14:paraId="18774EA7">
            <w:pPr>
              <w:widowControl/>
              <w:snapToGrid w:val="0"/>
              <w:spacing w:line="240" w:lineRule="auto"/>
              <w:ind w:firstLine="0" w:firstLineChars="0"/>
              <w:jc w:val="center"/>
              <w:rPr>
                <w:rFonts w:hint="default" w:cs="Times New Roman"/>
                <w:color w:val="auto"/>
                <w:kern w:val="0"/>
                <w:sz w:val="21"/>
                <w:szCs w:val="21"/>
                <w:highlight w:val="none"/>
                <w:lang w:val="en-US" w:eastAsia="zh-CN"/>
              </w:rPr>
            </w:pPr>
          </w:p>
        </w:tc>
        <w:tc>
          <w:tcPr>
            <w:tcW w:w="259" w:type="pct"/>
            <w:tcBorders>
              <w:left w:val="single" w:color="000000" w:sz="4" w:space="0"/>
            </w:tcBorders>
            <w:noWrap w:val="0"/>
            <w:vAlign w:val="center"/>
          </w:tcPr>
          <w:p w14:paraId="48282922">
            <w:pPr>
              <w:widowControl/>
              <w:snapToGrid w:val="0"/>
              <w:spacing w:line="240" w:lineRule="auto"/>
              <w:ind w:firstLine="0" w:firstLineChars="0"/>
              <w:jc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14</w:t>
            </w:r>
          </w:p>
        </w:tc>
        <w:tc>
          <w:tcPr>
            <w:tcW w:w="259" w:type="pct"/>
            <w:tcBorders>
              <w:left w:val="single" w:color="000000" w:sz="4" w:space="0"/>
            </w:tcBorders>
            <w:noWrap w:val="0"/>
            <w:vAlign w:val="center"/>
          </w:tcPr>
          <w:p w14:paraId="1D6A69B6">
            <w:pPr>
              <w:widowControl/>
              <w:snapToGrid w:val="0"/>
              <w:spacing w:line="240" w:lineRule="auto"/>
              <w:ind w:firstLine="0" w:firstLineChars="0"/>
              <w:jc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24</w:t>
            </w:r>
          </w:p>
        </w:tc>
        <w:tc>
          <w:tcPr>
            <w:tcW w:w="252" w:type="pct"/>
            <w:tcBorders>
              <w:left w:val="single" w:color="000000" w:sz="4" w:space="0"/>
            </w:tcBorders>
            <w:noWrap w:val="0"/>
            <w:vAlign w:val="center"/>
          </w:tcPr>
          <w:p w14:paraId="624ECB95">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ascii="Times New Roman" w:hAnsi="Times New Roman" w:eastAsia="宋体" w:cs="Times New Roman"/>
                <w:color w:val="auto"/>
                <w:kern w:val="0"/>
                <w:sz w:val="21"/>
                <w:szCs w:val="21"/>
                <w:highlight w:val="none"/>
              </w:rPr>
              <w:t>承压水</w:t>
            </w:r>
          </w:p>
        </w:tc>
        <w:tc>
          <w:tcPr>
            <w:tcW w:w="302" w:type="pct"/>
            <w:tcBorders>
              <w:left w:val="single" w:color="000000" w:sz="4" w:space="0"/>
            </w:tcBorders>
            <w:noWrap w:val="0"/>
            <w:vAlign w:val="center"/>
          </w:tcPr>
          <w:p w14:paraId="1F342F1F">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ascii="Times New Roman" w:hAnsi="Times New Roman" w:cs="Times New Roman"/>
                <w:color w:val="auto"/>
                <w:sz w:val="21"/>
                <w:szCs w:val="21"/>
                <w:highlight w:val="none"/>
                <w:lang w:eastAsia="zh-CN"/>
              </w:rPr>
              <w:t>孔隙—裂隙</w:t>
            </w:r>
            <w:r>
              <w:rPr>
                <w:rFonts w:hint="eastAsia" w:ascii="Times New Roman" w:hAnsi="Times New Roman" w:eastAsia="宋体" w:cs="Times New Roman"/>
                <w:color w:val="auto"/>
                <w:kern w:val="0"/>
                <w:sz w:val="21"/>
                <w:szCs w:val="21"/>
                <w:highlight w:val="none"/>
              </w:rPr>
              <w:t>水</w:t>
            </w:r>
          </w:p>
        </w:tc>
        <w:tc>
          <w:tcPr>
            <w:tcW w:w="275" w:type="pct"/>
            <w:tcBorders>
              <w:left w:val="single" w:color="000000" w:sz="4" w:space="0"/>
            </w:tcBorders>
            <w:noWrap w:val="0"/>
            <w:vAlign w:val="center"/>
          </w:tcPr>
          <w:p w14:paraId="4D162C05">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cs="Times New Roman"/>
                <w:color w:val="auto"/>
                <w:kern w:val="0"/>
                <w:sz w:val="21"/>
                <w:szCs w:val="21"/>
                <w:highlight w:val="none"/>
                <w:lang w:val="en-US" w:eastAsia="zh-CN"/>
              </w:rPr>
              <w:t>90</w:t>
            </w:r>
          </w:p>
        </w:tc>
        <w:tc>
          <w:tcPr>
            <w:tcW w:w="275" w:type="pct"/>
            <w:vMerge w:val="continue"/>
            <w:tcBorders>
              <w:left w:val="single" w:color="000000" w:sz="4" w:space="0"/>
            </w:tcBorders>
            <w:noWrap w:val="0"/>
            <w:vAlign w:val="center"/>
          </w:tcPr>
          <w:p w14:paraId="46641734">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p>
        </w:tc>
        <w:tc>
          <w:tcPr>
            <w:tcW w:w="357" w:type="pct"/>
            <w:vMerge w:val="continue"/>
            <w:tcBorders>
              <w:left w:val="single" w:color="000000" w:sz="4" w:space="0"/>
            </w:tcBorders>
            <w:noWrap w:val="0"/>
            <w:vAlign w:val="center"/>
          </w:tcPr>
          <w:p w14:paraId="21CFEEF3">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p>
        </w:tc>
        <w:tc>
          <w:tcPr>
            <w:tcW w:w="177" w:type="pct"/>
            <w:vMerge w:val="continue"/>
            <w:tcBorders>
              <w:left w:val="single" w:color="000000" w:sz="4" w:space="0"/>
            </w:tcBorders>
            <w:noWrap w:val="0"/>
            <w:vAlign w:val="center"/>
          </w:tcPr>
          <w:p w14:paraId="0D87F87C">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p>
        </w:tc>
        <w:tc>
          <w:tcPr>
            <w:tcW w:w="204" w:type="pct"/>
            <w:vMerge w:val="continue"/>
            <w:tcBorders>
              <w:left w:val="single" w:color="000000" w:sz="4" w:space="0"/>
            </w:tcBorders>
            <w:noWrap w:val="0"/>
            <w:vAlign w:val="center"/>
          </w:tcPr>
          <w:p w14:paraId="36DF93AF">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p>
        </w:tc>
      </w:tr>
      <w:tr w14:paraId="41566EC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57" w:type="dxa"/>
            <w:bottom w:w="0" w:type="dxa"/>
            <w:right w:w="57" w:type="dxa"/>
          </w:tblCellMar>
        </w:tblPrEx>
        <w:trPr>
          <w:trHeight w:val="482" w:hRule="atLeast"/>
          <w:jc w:val="center"/>
        </w:trPr>
        <w:tc>
          <w:tcPr>
            <w:tcW w:w="291" w:type="pct"/>
            <w:vMerge w:val="continue"/>
            <w:tcBorders>
              <w:right w:val="single" w:color="000000" w:sz="4" w:space="0"/>
            </w:tcBorders>
            <w:noWrap w:val="0"/>
            <w:vAlign w:val="center"/>
          </w:tcPr>
          <w:p w14:paraId="74424631">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p>
        </w:tc>
        <w:tc>
          <w:tcPr>
            <w:tcW w:w="256" w:type="pct"/>
            <w:tcBorders>
              <w:left w:val="single" w:color="000000" w:sz="4" w:space="0"/>
              <w:right w:val="single" w:color="000000" w:sz="4" w:space="0"/>
            </w:tcBorders>
            <w:noWrap w:val="0"/>
            <w:vAlign w:val="center"/>
          </w:tcPr>
          <w:p w14:paraId="1D338156">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cs="Times New Roman"/>
                <w:color w:val="auto"/>
                <w:kern w:val="0"/>
                <w:sz w:val="21"/>
                <w:szCs w:val="21"/>
                <w:highlight w:val="none"/>
                <w:lang w:val="en-US" w:eastAsia="zh-CN"/>
              </w:rPr>
              <w:t>3#</w:t>
            </w:r>
          </w:p>
        </w:tc>
        <w:tc>
          <w:tcPr>
            <w:tcW w:w="564" w:type="pct"/>
            <w:tcBorders>
              <w:left w:val="single" w:color="000000" w:sz="4" w:space="0"/>
              <w:right w:val="single" w:color="000000" w:sz="4" w:space="0"/>
            </w:tcBorders>
            <w:noWrap w:val="0"/>
            <w:vAlign w:val="center"/>
          </w:tcPr>
          <w:p w14:paraId="5EF431A3">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127°42'08.7991"</w:t>
            </w:r>
          </w:p>
        </w:tc>
        <w:tc>
          <w:tcPr>
            <w:tcW w:w="526" w:type="pct"/>
            <w:tcBorders>
              <w:left w:val="single" w:color="000000" w:sz="4" w:space="0"/>
              <w:right w:val="single" w:color="000000" w:sz="4" w:space="0"/>
            </w:tcBorders>
            <w:noWrap w:val="0"/>
            <w:vAlign w:val="center"/>
          </w:tcPr>
          <w:p w14:paraId="42FA072F">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46°43'19.9481"</w:t>
            </w:r>
          </w:p>
        </w:tc>
        <w:tc>
          <w:tcPr>
            <w:tcW w:w="198" w:type="pct"/>
            <w:tcBorders>
              <w:left w:val="single" w:color="000000" w:sz="4" w:space="0"/>
              <w:right w:val="single" w:color="000000" w:sz="4" w:space="0"/>
            </w:tcBorders>
            <w:noWrap w:val="0"/>
            <w:vAlign w:val="center"/>
          </w:tcPr>
          <w:p w14:paraId="4942E741">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cs="Times New Roman"/>
                <w:color w:val="auto"/>
                <w:kern w:val="0"/>
                <w:sz w:val="21"/>
                <w:szCs w:val="21"/>
                <w:highlight w:val="none"/>
                <w:lang w:val="en-US" w:eastAsia="zh-CN"/>
              </w:rPr>
              <w:t>2024年</w:t>
            </w:r>
          </w:p>
        </w:tc>
        <w:tc>
          <w:tcPr>
            <w:tcW w:w="223" w:type="pct"/>
            <w:tcBorders>
              <w:left w:val="single" w:color="000000" w:sz="4" w:space="0"/>
              <w:right w:val="single" w:color="000000" w:sz="4" w:space="0"/>
            </w:tcBorders>
            <w:noWrap w:val="0"/>
            <w:vAlign w:val="center"/>
          </w:tcPr>
          <w:p w14:paraId="13386853">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2025年</w:t>
            </w:r>
          </w:p>
        </w:tc>
        <w:tc>
          <w:tcPr>
            <w:tcW w:w="334" w:type="pct"/>
            <w:vMerge w:val="continue"/>
            <w:tcBorders>
              <w:left w:val="single" w:color="000000" w:sz="4" w:space="0"/>
              <w:right w:val="single" w:color="000000" w:sz="4" w:space="0"/>
            </w:tcBorders>
            <w:noWrap w:val="0"/>
            <w:vAlign w:val="center"/>
          </w:tcPr>
          <w:p w14:paraId="471E61BD">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p>
        </w:tc>
        <w:tc>
          <w:tcPr>
            <w:tcW w:w="240" w:type="pct"/>
            <w:vMerge w:val="continue"/>
            <w:tcBorders>
              <w:left w:val="single" w:color="000000" w:sz="4" w:space="0"/>
              <w:right w:val="single" w:color="000000" w:sz="4" w:space="0"/>
            </w:tcBorders>
            <w:noWrap w:val="0"/>
            <w:vAlign w:val="center"/>
          </w:tcPr>
          <w:p w14:paraId="0339F22F">
            <w:pPr>
              <w:widowControl/>
              <w:snapToGrid w:val="0"/>
              <w:spacing w:line="240" w:lineRule="auto"/>
              <w:ind w:firstLine="0" w:firstLineChars="0"/>
              <w:jc w:val="center"/>
              <w:rPr>
                <w:rFonts w:hint="default" w:cs="Times New Roman"/>
                <w:color w:val="auto"/>
                <w:kern w:val="0"/>
                <w:sz w:val="21"/>
                <w:szCs w:val="21"/>
                <w:highlight w:val="none"/>
                <w:lang w:val="en-US" w:eastAsia="zh-CN"/>
              </w:rPr>
            </w:pPr>
          </w:p>
        </w:tc>
        <w:tc>
          <w:tcPr>
            <w:tcW w:w="259" w:type="pct"/>
            <w:tcBorders>
              <w:left w:val="single" w:color="000000" w:sz="4" w:space="0"/>
            </w:tcBorders>
            <w:noWrap w:val="0"/>
            <w:vAlign w:val="center"/>
          </w:tcPr>
          <w:p w14:paraId="69D55778">
            <w:pPr>
              <w:widowControl/>
              <w:snapToGrid w:val="0"/>
              <w:spacing w:line="240" w:lineRule="auto"/>
              <w:ind w:firstLine="0" w:firstLineChars="0"/>
              <w:jc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15</w:t>
            </w:r>
          </w:p>
        </w:tc>
        <w:tc>
          <w:tcPr>
            <w:tcW w:w="259" w:type="pct"/>
            <w:tcBorders>
              <w:left w:val="single" w:color="000000" w:sz="4" w:space="0"/>
            </w:tcBorders>
            <w:noWrap w:val="0"/>
            <w:vAlign w:val="center"/>
          </w:tcPr>
          <w:p w14:paraId="0E0559FB">
            <w:pPr>
              <w:widowControl/>
              <w:snapToGrid w:val="0"/>
              <w:spacing w:line="240" w:lineRule="auto"/>
              <w:ind w:firstLine="0" w:firstLineChars="0"/>
              <w:jc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25</w:t>
            </w:r>
          </w:p>
        </w:tc>
        <w:tc>
          <w:tcPr>
            <w:tcW w:w="252" w:type="pct"/>
            <w:tcBorders>
              <w:left w:val="single" w:color="000000" w:sz="4" w:space="0"/>
            </w:tcBorders>
            <w:noWrap w:val="0"/>
            <w:vAlign w:val="center"/>
          </w:tcPr>
          <w:p w14:paraId="6F94B56E">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ascii="Times New Roman" w:hAnsi="Times New Roman" w:eastAsia="宋体" w:cs="Times New Roman"/>
                <w:color w:val="auto"/>
                <w:kern w:val="0"/>
                <w:sz w:val="21"/>
                <w:szCs w:val="21"/>
                <w:highlight w:val="none"/>
              </w:rPr>
              <w:t>承压水</w:t>
            </w:r>
          </w:p>
        </w:tc>
        <w:tc>
          <w:tcPr>
            <w:tcW w:w="302" w:type="pct"/>
            <w:tcBorders>
              <w:left w:val="single" w:color="000000" w:sz="4" w:space="0"/>
            </w:tcBorders>
            <w:noWrap w:val="0"/>
            <w:vAlign w:val="center"/>
          </w:tcPr>
          <w:p w14:paraId="5D30D9C5">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ascii="Times New Roman" w:hAnsi="Times New Roman" w:cs="Times New Roman"/>
                <w:color w:val="auto"/>
                <w:sz w:val="21"/>
                <w:szCs w:val="21"/>
                <w:highlight w:val="none"/>
                <w:lang w:eastAsia="zh-CN"/>
              </w:rPr>
              <w:t>孔隙—裂隙</w:t>
            </w:r>
            <w:r>
              <w:rPr>
                <w:rFonts w:hint="eastAsia" w:ascii="Times New Roman" w:hAnsi="Times New Roman" w:eastAsia="宋体" w:cs="Times New Roman"/>
                <w:color w:val="auto"/>
                <w:kern w:val="0"/>
                <w:sz w:val="21"/>
                <w:szCs w:val="21"/>
                <w:highlight w:val="none"/>
              </w:rPr>
              <w:t>水</w:t>
            </w:r>
          </w:p>
        </w:tc>
        <w:tc>
          <w:tcPr>
            <w:tcW w:w="275" w:type="pct"/>
            <w:tcBorders>
              <w:left w:val="single" w:color="000000" w:sz="4" w:space="0"/>
            </w:tcBorders>
            <w:noWrap w:val="0"/>
            <w:vAlign w:val="center"/>
          </w:tcPr>
          <w:p w14:paraId="5CC00FC6">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cs="Times New Roman"/>
                <w:color w:val="auto"/>
                <w:kern w:val="0"/>
                <w:sz w:val="21"/>
                <w:szCs w:val="21"/>
                <w:highlight w:val="none"/>
                <w:lang w:val="en-US" w:eastAsia="zh-CN"/>
              </w:rPr>
              <w:t>90</w:t>
            </w:r>
          </w:p>
        </w:tc>
        <w:tc>
          <w:tcPr>
            <w:tcW w:w="275" w:type="pct"/>
            <w:vMerge w:val="continue"/>
            <w:tcBorders>
              <w:left w:val="single" w:color="000000" w:sz="4" w:space="0"/>
            </w:tcBorders>
            <w:noWrap w:val="0"/>
            <w:vAlign w:val="center"/>
          </w:tcPr>
          <w:p w14:paraId="1AE38C7C">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p>
        </w:tc>
        <w:tc>
          <w:tcPr>
            <w:tcW w:w="357" w:type="pct"/>
            <w:vMerge w:val="continue"/>
            <w:tcBorders>
              <w:left w:val="single" w:color="000000" w:sz="4" w:space="0"/>
            </w:tcBorders>
            <w:noWrap w:val="0"/>
            <w:vAlign w:val="center"/>
          </w:tcPr>
          <w:p w14:paraId="400847AD">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p>
        </w:tc>
        <w:tc>
          <w:tcPr>
            <w:tcW w:w="177" w:type="pct"/>
            <w:vMerge w:val="continue"/>
            <w:tcBorders>
              <w:left w:val="single" w:color="000000" w:sz="4" w:space="0"/>
            </w:tcBorders>
            <w:noWrap w:val="0"/>
            <w:vAlign w:val="center"/>
          </w:tcPr>
          <w:p w14:paraId="703FCCE9">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p>
        </w:tc>
        <w:tc>
          <w:tcPr>
            <w:tcW w:w="204" w:type="pct"/>
            <w:vMerge w:val="continue"/>
            <w:tcBorders>
              <w:left w:val="single" w:color="000000" w:sz="4" w:space="0"/>
            </w:tcBorders>
            <w:noWrap w:val="0"/>
            <w:vAlign w:val="center"/>
          </w:tcPr>
          <w:p w14:paraId="75EDE901">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p>
        </w:tc>
      </w:tr>
      <w:tr w14:paraId="5FE474F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57" w:type="dxa"/>
            <w:bottom w:w="0" w:type="dxa"/>
            <w:right w:w="57" w:type="dxa"/>
          </w:tblCellMar>
        </w:tblPrEx>
        <w:trPr>
          <w:trHeight w:val="482" w:hRule="atLeast"/>
          <w:jc w:val="center"/>
        </w:trPr>
        <w:tc>
          <w:tcPr>
            <w:tcW w:w="291" w:type="pct"/>
            <w:vMerge w:val="continue"/>
            <w:tcBorders>
              <w:right w:val="single" w:color="000000" w:sz="4" w:space="0"/>
            </w:tcBorders>
            <w:noWrap w:val="0"/>
            <w:vAlign w:val="center"/>
          </w:tcPr>
          <w:p w14:paraId="23006D7C">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p>
        </w:tc>
        <w:tc>
          <w:tcPr>
            <w:tcW w:w="256" w:type="pct"/>
            <w:tcBorders>
              <w:left w:val="single" w:color="000000" w:sz="4" w:space="0"/>
              <w:right w:val="single" w:color="000000" w:sz="4" w:space="0"/>
            </w:tcBorders>
            <w:noWrap w:val="0"/>
            <w:vAlign w:val="center"/>
          </w:tcPr>
          <w:p w14:paraId="5FA12789">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cs="Times New Roman"/>
                <w:color w:val="auto"/>
                <w:kern w:val="0"/>
                <w:sz w:val="21"/>
                <w:szCs w:val="21"/>
                <w:highlight w:val="none"/>
                <w:lang w:val="en-US" w:eastAsia="zh-CN"/>
              </w:rPr>
              <w:t>4#</w:t>
            </w:r>
          </w:p>
        </w:tc>
        <w:tc>
          <w:tcPr>
            <w:tcW w:w="564" w:type="pct"/>
            <w:tcBorders>
              <w:left w:val="single" w:color="000000" w:sz="4" w:space="0"/>
              <w:right w:val="single" w:color="000000" w:sz="4" w:space="0"/>
            </w:tcBorders>
            <w:noWrap w:val="0"/>
            <w:vAlign w:val="center"/>
          </w:tcPr>
          <w:p w14:paraId="7847A6D9">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127°42'09.6923"</w:t>
            </w:r>
          </w:p>
        </w:tc>
        <w:tc>
          <w:tcPr>
            <w:tcW w:w="526" w:type="pct"/>
            <w:tcBorders>
              <w:left w:val="single" w:color="000000" w:sz="4" w:space="0"/>
              <w:right w:val="single" w:color="000000" w:sz="4" w:space="0"/>
            </w:tcBorders>
            <w:noWrap w:val="0"/>
            <w:vAlign w:val="center"/>
          </w:tcPr>
          <w:p w14:paraId="464A9B94">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46°43'17.5452"</w:t>
            </w:r>
          </w:p>
        </w:tc>
        <w:tc>
          <w:tcPr>
            <w:tcW w:w="198" w:type="pct"/>
            <w:tcBorders>
              <w:left w:val="single" w:color="000000" w:sz="4" w:space="0"/>
              <w:right w:val="single" w:color="000000" w:sz="4" w:space="0"/>
            </w:tcBorders>
            <w:noWrap w:val="0"/>
            <w:vAlign w:val="center"/>
          </w:tcPr>
          <w:p w14:paraId="0A739C25">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cs="Times New Roman"/>
                <w:color w:val="auto"/>
                <w:kern w:val="0"/>
                <w:sz w:val="21"/>
                <w:szCs w:val="21"/>
                <w:highlight w:val="none"/>
                <w:lang w:val="en-US" w:eastAsia="zh-CN"/>
              </w:rPr>
              <w:t>2024年</w:t>
            </w:r>
          </w:p>
        </w:tc>
        <w:tc>
          <w:tcPr>
            <w:tcW w:w="223" w:type="pct"/>
            <w:tcBorders>
              <w:left w:val="single" w:color="000000" w:sz="4" w:space="0"/>
              <w:right w:val="single" w:color="000000" w:sz="4" w:space="0"/>
            </w:tcBorders>
            <w:noWrap w:val="0"/>
            <w:vAlign w:val="center"/>
          </w:tcPr>
          <w:p w14:paraId="4AFE21C8">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2025年</w:t>
            </w:r>
          </w:p>
        </w:tc>
        <w:tc>
          <w:tcPr>
            <w:tcW w:w="334" w:type="pct"/>
            <w:vMerge w:val="continue"/>
            <w:tcBorders>
              <w:left w:val="single" w:color="000000" w:sz="4" w:space="0"/>
              <w:right w:val="single" w:color="000000" w:sz="4" w:space="0"/>
            </w:tcBorders>
            <w:noWrap w:val="0"/>
            <w:vAlign w:val="center"/>
          </w:tcPr>
          <w:p w14:paraId="607C7518">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p>
        </w:tc>
        <w:tc>
          <w:tcPr>
            <w:tcW w:w="240" w:type="pct"/>
            <w:vMerge w:val="continue"/>
            <w:tcBorders>
              <w:left w:val="single" w:color="000000" w:sz="4" w:space="0"/>
              <w:right w:val="single" w:color="000000" w:sz="4" w:space="0"/>
            </w:tcBorders>
            <w:noWrap w:val="0"/>
            <w:vAlign w:val="center"/>
          </w:tcPr>
          <w:p w14:paraId="5FB8FE1B">
            <w:pPr>
              <w:widowControl/>
              <w:snapToGrid w:val="0"/>
              <w:spacing w:line="240" w:lineRule="auto"/>
              <w:ind w:firstLine="0" w:firstLineChars="0"/>
              <w:jc w:val="center"/>
              <w:rPr>
                <w:rFonts w:hint="default" w:cs="Times New Roman"/>
                <w:color w:val="auto"/>
                <w:kern w:val="0"/>
                <w:sz w:val="21"/>
                <w:szCs w:val="21"/>
                <w:highlight w:val="none"/>
                <w:lang w:val="en-US" w:eastAsia="zh-CN"/>
              </w:rPr>
            </w:pPr>
          </w:p>
        </w:tc>
        <w:tc>
          <w:tcPr>
            <w:tcW w:w="259" w:type="pct"/>
            <w:tcBorders>
              <w:left w:val="single" w:color="000000" w:sz="4" w:space="0"/>
            </w:tcBorders>
            <w:noWrap w:val="0"/>
            <w:vAlign w:val="center"/>
          </w:tcPr>
          <w:p w14:paraId="5953E145">
            <w:pPr>
              <w:widowControl/>
              <w:snapToGrid w:val="0"/>
              <w:spacing w:line="240" w:lineRule="auto"/>
              <w:ind w:firstLine="0" w:firstLineChars="0"/>
              <w:jc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11</w:t>
            </w:r>
          </w:p>
        </w:tc>
        <w:tc>
          <w:tcPr>
            <w:tcW w:w="259" w:type="pct"/>
            <w:tcBorders>
              <w:left w:val="single" w:color="000000" w:sz="4" w:space="0"/>
            </w:tcBorders>
            <w:noWrap w:val="0"/>
            <w:vAlign w:val="center"/>
          </w:tcPr>
          <w:p w14:paraId="52CD89FD">
            <w:pPr>
              <w:widowControl/>
              <w:snapToGrid w:val="0"/>
              <w:spacing w:line="240" w:lineRule="auto"/>
              <w:ind w:firstLine="0" w:firstLineChars="0"/>
              <w:jc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26</w:t>
            </w:r>
          </w:p>
        </w:tc>
        <w:tc>
          <w:tcPr>
            <w:tcW w:w="252" w:type="pct"/>
            <w:tcBorders>
              <w:left w:val="single" w:color="000000" w:sz="4" w:space="0"/>
            </w:tcBorders>
            <w:noWrap w:val="0"/>
            <w:vAlign w:val="center"/>
          </w:tcPr>
          <w:p w14:paraId="3CEE28EC">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ascii="Times New Roman" w:hAnsi="Times New Roman" w:eastAsia="宋体" w:cs="Times New Roman"/>
                <w:color w:val="auto"/>
                <w:kern w:val="0"/>
                <w:sz w:val="21"/>
                <w:szCs w:val="21"/>
                <w:highlight w:val="none"/>
              </w:rPr>
              <w:t>承压水</w:t>
            </w:r>
          </w:p>
        </w:tc>
        <w:tc>
          <w:tcPr>
            <w:tcW w:w="302" w:type="pct"/>
            <w:tcBorders>
              <w:left w:val="single" w:color="000000" w:sz="4" w:space="0"/>
            </w:tcBorders>
            <w:noWrap w:val="0"/>
            <w:vAlign w:val="center"/>
          </w:tcPr>
          <w:p w14:paraId="02445D36">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ascii="Times New Roman" w:hAnsi="Times New Roman" w:cs="Times New Roman"/>
                <w:color w:val="auto"/>
                <w:sz w:val="21"/>
                <w:szCs w:val="21"/>
                <w:highlight w:val="none"/>
                <w:lang w:eastAsia="zh-CN"/>
              </w:rPr>
              <w:t>孔隙—裂隙</w:t>
            </w:r>
            <w:r>
              <w:rPr>
                <w:rFonts w:hint="eastAsia" w:ascii="Times New Roman" w:hAnsi="Times New Roman" w:eastAsia="宋体" w:cs="Times New Roman"/>
                <w:color w:val="auto"/>
                <w:kern w:val="0"/>
                <w:sz w:val="21"/>
                <w:szCs w:val="21"/>
                <w:highlight w:val="none"/>
              </w:rPr>
              <w:t>水</w:t>
            </w:r>
          </w:p>
        </w:tc>
        <w:tc>
          <w:tcPr>
            <w:tcW w:w="275" w:type="pct"/>
            <w:tcBorders>
              <w:left w:val="single" w:color="000000" w:sz="4" w:space="0"/>
            </w:tcBorders>
            <w:noWrap w:val="0"/>
            <w:vAlign w:val="center"/>
          </w:tcPr>
          <w:p w14:paraId="2DE40529">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cs="Times New Roman"/>
                <w:color w:val="auto"/>
                <w:kern w:val="0"/>
                <w:sz w:val="21"/>
                <w:szCs w:val="21"/>
                <w:highlight w:val="none"/>
                <w:lang w:val="en-US" w:eastAsia="zh-CN"/>
              </w:rPr>
              <w:t>90</w:t>
            </w:r>
          </w:p>
        </w:tc>
        <w:tc>
          <w:tcPr>
            <w:tcW w:w="275" w:type="pct"/>
            <w:vMerge w:val="continue"/>
            <w:tcBorders>
              <w:left w:val="single" w:color="000000" w:sz="4" w:space="0"/>
            </w:tcBorders>
            <w:noWrap w:val="0"/>
            <w:vAlign w:val="center"/>
          </w:tcPr>
          <w:p w14:paraId="4A5FA868">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p>
        </w:tc>
        <w:tc>
          <w:tcPr>
            <w:tcW w:w="357" w:type="pct"/>
            <w:vMerge w:val="continue"/>
            <w:tcBorders>
              <w:left w:val="single" w:color="000000" w:sz="4" w:space="0"/>
            </w:tcBorders>
            <w:noWrap w:val="0"/>
            <w:vAlign w:val="center"/>
          </w:tcPr>
          <w:p w14:paraId="3E22CFFE">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p>
        </w:tc>
        <w:tc>
          <w:tcPr>
            <w:tcW w:w="177" w:type="pct"/>
            <w:vMerge w:val="continue"/>
            <w:tcBorders>
              <w:left w:val="single" w:color="000000" w:sz="4" w:space="0"/>
            </w:tcBorders>
            <w:noWrap w:val="0"/>
            <w:vAlign w:val="center"/>
          </w:tcPr>
          <w:p w14:paraId="308488A8">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p>
        </w:tc>
        <w:tc>
          <w:tcPr>
            <w:tcW w:w="204" w:type="pct"/>
            <w:vMerge w:val="continue"/>
            <w:tcBorders>
              <w:left w:val="single" w:color="000000" w:sz="4" w:space="0"/>
            </w:tcBorders>
            <w:noWrap w:val="0"/>
            <w:vAlign w:val="center"/>
          </w:tcPr>
          <w:p w14:paraId="64A9A22E">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p>
        </w:tc>
      </w:tr>
      <w:tr w14:paraId="6A7B1A2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57" w:type="dxa"/>
            <w:bottom w:w="0" w:type="dxa"/>
            <w:right w:w="57" w:type="dxa"/>
          </w:tblCellMar>
        </w:tblPrEx>
        <w:trPr>
          <w:trHeight w:val="482" w:hRule="atLeast"/>
          <w:jc w:val="center"/>
        </w:trPr>
        <w:tc>
          <w:tcPr>
            <w:tcW w:w="291" w:type="pct"/>
            <w:vMerge w:val="continue"/>
            <w:tcBorders>
              <w:right w:val="single" w:color="000000" w:sz="4" w:space="0"/>
            </w:tcBorders>
            <w:noWrap w:val="0"/>
            <w:vAlign w:val="center"/>
          </w:tcPr>
          <w:p w14:paraId="0374C329">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p>
        </w:tc>
        <w:tc>
          <w:tcPr>
            <w:tcW w:w="256" w:type="pct"/>
            <w:tcBorders>
              <w:left w:val="single" w:color="000000" w:sz="4" w:space="0"/>
              <w:right w:val="single" w:color="000000" w:sz="4" w:space="0"/>
            </w:tcBorders>
            <w:noWrap w:val="0"/>
            <w:vAlign w:val="center"/>
          </w:tcPr>
          <w:p w14:paraId="7500E2F2">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cs="Times New Roman"/>
                <w:color w:val="auto"/>
                <w:kern w:val="0"/>
                <w:sz w:val="21"/>
                <w:szCs w:val="21"/>
                <w:highlight w:val="none"/>
                <w:lang w:val="en-US" w:eastAsia="zh-CN"/>
              </w:rPr>
              <w:t>5#</w:t>
            </w:r>
          </w:p>
        </w:tc>
        <w:tc>
          <w:tcPr>
            <w:tcW w:w="564" w:type="pct"/>
            <w:tcBorders>
              <w:left w:val="single" w:color="000000" w:sz="4" w:space="0"/>
              <w:right w:val="single" w:color="000000" w:sz="4" w:space="0"/>
            </w:tcBorders>
            <w:noWrap w:val="0"/>
            <w:vAlign w:val="center"/>
          </w:tcPr>
          <w:p w14:paraId="55635A1B">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127°41'45.1806"</w:t>
            </w:r>
          </w:p>
        </w:tc>
        <w:tc>
          <w:tcPr>
            <w:tcW w:w="526" w:type="pct"/>
            <w:tcBorders>
              <w:left w:val="single" w:color="000000" w:sz="4" w:space="0"/>
              <w:right w:val="single" w:color="000000" w:sz="4" w:space="0"/>
            </w:tcBorders>
            <w:noWrap w:val="0"/>
            <w:vAlign w:val="center"/>
          </w:tcPr>
          <w:p w14:paraId="3D776CE3">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46°43'03.4383"</w:t>
            </w:r>
          </w:p>
        </w:tc>
        <w:tc>
          <w:tcPr>
            <w:tcW w:w="198" w:type="pct"/>
            <w:tcBorders>
              <w:left w:val="single" w:color="000000" w:sz="4" w:space="0"/>
              <w:right w:val="single" w:color="000000" w:sz="4" w:space="0"/>
            </w:tcBorders>
            <w:noWrap w:val="0"/>
            <w:vAlign w:val="center"/>
          </w:tcPr>
          <w:p w14:paraId="3698CD0F">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cs="Times New Roman"/>
                <w:color w:val="auto"/>
                <w:kern w:val="0"/>
                <w:sz w:val="21"/>
                <w:szCs w:val="21"/>
                <w:highlight w:val="none"/>
                <w:lang w:val="en-US" w:eastAsia="zh-CN"/>
              </w:rPr>
              <w:t>2024年</w:t>
            </w:r>
          </w:p>
        </w:tc>
        <w:tc>
          <w:tcPr>
            <w:tcW w:w="223" w:type="pct"/>
            <w:tcBorders>
              <w:left w:val="single" w:color="000000" w:sz="4" w:space="0"/>
              <w:right w:val="single" w:color="000000" w:sz="4" w:space="0"/>
            </w:tcBorders>
            <w:noWrap w:val="0"/>
            <w:vAlign w:val="center"/>
          </w:tcPr>
          <w:p w14:paraId="420BBEEA">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2025年</w:t>
            </w:r>
          </w:p>
        </w:tc>
        <w:tc>
          <w:tcPr>
            <w:tcW w:w="334" w:type="pct"/>
            <w:vMerge w:val="continue"/>
            <w:tcBorders>
              <w:left w:val="single" w:color="000000" w:sz="4" w:space="0"/>
              <w:right w:val="single" w:color="000000" w:sz="4" w:space="0"/>
            </w:tcBorders>
            <w:noWrap w:val="0"/>
            <w:vAlign w:val="center"/>
          </w:tcPr>
          <w:p w14:paraId="454E60BE">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p>
        </w:tc>
        <w:tc>
          <w:tcPr>
            <w:tcW w:w="240" w:type="pct"/>
            <w:vMerge w:val="continue"/>
            <w:tcBorders>
              <w:left w:val="single" w:color="000000" w:sz="4" w:space="0"/>
              <w:right w:val="single" w:color="000000" w:sz="4" w:space="0"/>
            </w:tcBorders>
            <w:noWrap w:val="0"/>
            <w:vAlign w:val="center"/>
          </w:tcPr>
          <w:p w14:paraId="7D16CFAD">
            <w:pPr>
              <w:widowControl/>
              <w:snapToGrid w:val="0"/>
              <w:spacing w:line="240" w:lineRule="auto"/>
              <w:ind w:firstLine="0" w:firstLineChars="0"/>
              <w:jc w:val="center"/>
              <w:rPr>
                <w:rFonts w:hint="default" w:cs="Times New Roman"/>
                <w:color w:val="auto"/>
                <w:kern w:val="0"/>
                <w:sz w:val="21"/>
                <w:szCs w:val="21"/>
                <w:highlight w:val="none"/>
                <w:lang w:val="en-US" w:eastAsia="zh-CN"/>
              </w:rPr>
            </w:pPr>
          </w:p>
        </w:tc>
        <w:tc>
          <w:tcPr>
            <w:tcW w:w="259" w:type="pct"/>
            <w:tcBorders>
              <w:left w:val="single" w:color="000000" w:sz="4" w:space="0"/>
            </w:tcBorders>
            <w:noWrap w:val="0"/>
            <w:vAlign w:val="center"/>
          </w:tcPr>
          <w:p w14:paraId="6BCADDB6">
            <w:pPr>
              <w:widowControl/>
              <w:snapToGrid w:val="0"/>
              <w:spacing w:line="240" w:lineRule="auto"/>
              <w:ind w:firstLine="0" w:firstLineChars="0"/>
              <w:jc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12</w:t>
            </w:r>
          </w:p>
        </w:tc>
        <w:tc>
          <w:tcPr>
            <w:tcW w:w="259" w:type="pct"/>
            <w:tcBorders>
              <w:left w:val="single" w:color="000000" w:sz="4" w:space="0"/>
            </w:tcBorders>
            <w:noWrap w:val="0"/>
            <w:vAlign w:val="center"/>
          </w:tcPr>
          <w:p w14:paraId="11F5FD48">
            <w:pPr>
              <w:widowControl/>
              <w:snapToGrid w:val="0"/>
              <w:spacing w:line="240" w:lineRule="auto"/>
              <w:ind w:firstLine="0" w:firstLineChars="0"/>
              <w:jc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26</w:t>
            </w:r>
          </w:p>
        </w:tc>
        <w:tc>
          <w:tcPr>
            <w:tcW w:w="252" w:type="pct"/>
            <w:tcBorders>
              <w:left w:val="single" w:color="000000" w:sz="4" w:space="0"/>
            </w:tcBorders>
            <w:noWrap w:val="0"/>
            <w:vAlign w:val="center"/>
          </w:tcPr>
          <w:p w14:paraId="6A3C2E6A">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ascii="Times New Roman" w:hAnsi="Times New Roman" w:eastAsia="宋体" w:cs="Times New Roman"/>
                <w:color w:val="auto"/>
                <w:kern w:val="0"/>
                <w:sz w:val="21"/>
                <w:szCs w:val="21"/>
                <w:highlight w:val="none"/>
              </w:rPr>
              <w:t>承压水</w:t>
            </w:r>
          </w:p>
        </w:tc>
        <w:tc>
          <w:tcPr>
            <w:tcW w:w="302" w:type="pct"/>
            <w:tcBorders>
              <w:left w:val="single" w:color="000000" w:sz="4" w:space="0"/>
            </w:tcBorders>
            <w:noWrap w:val="0"/>
            <w:vAlign w:val="center"/>
          </w:tcPr>
          <w:p w14:paraId="2B521834">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ascii="Times New Roman" w:hAnsi="Times New Roman" w:cs="Times New Roman"/>
                <w:color w:val="auto"/>
                <w:sz w:val="21"/>
                <w:szCs w:val="21"/>
                <w:highlight w:val="none"/>
                <w:lang w:eastAsia="zh-CN"/>
              </w:rPr>
              <w:t>孔隙—裂隙</w:t>
            </w:r>
            <w:r>
              <w:rPr>
                <w:rFonts w:hint="eastAsia" w:ascii="Times New Roman" w:hAnsi="Times New Roman" w:eastAsia="宋体" w:cs="Times New Roman"/>
                <w:color w:val="auto"/>
                <w:kern w:val="0"/>
                <w:sz w:val="21"/>
                <w:szCs w:val="21"/>
                <w:highlight w:val="none"/>
              </w:rPr>
              <w:t>水</w:t>
            </w:r>
          </w:p>
        </w:tc>
        <w:tc>
          <w:tcPr>
            <w:tcW w:w="275" w:type="pct"/>
            <w:tcBorders>
              <w:left w:val="single" w:color="000000" w:sz="4" w:space="0"/>
            </w:tcBorders>
            <w:noWrap w:val="0"/>
            <w:vAlign w:val="center"/>
          </w:tcPr>
          <w:p w14:paraId="1108D99A">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cs="Times New Roman"/>
                <w:color w:val="auto"/>
                <w:kern w:val="0"/>
                <w:sz w:val="21"/>
                <w:szCs w:val="21"/>
                <w:highlight w:val="none"/>
                <w:lang w:val="en-US" w:eastAsia="zh-CN"/>
              </w:rPr>
              <w:t>90</w:t>
            </w:r>
          </w:p>
        </w:tc>
        <w:tc>
          <w:tcPr>
            <w:tcW w:w="275" w:type="pct"/>
            <w:vMerge w:val="continue"/>
            <w:tcBorders>
              <w:left w:val="single" w:color="000000" w:sz="4" w:space="0"/>
            </w:tcBorders>
            <w:noWrap w:val="0"/>
            <w:vAlign w:val="center"/>
          </w:tcPr>
          <w:p w14:paraId="46B2031A">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p>
        </w:tc>
        <w:tc>
          <w:tcPr>
            <w:tcW w:w="357" w:type="pct"/>
            <w:vMerge w:val="continue"/>
            <w:tcBorders>
              <w:left w:val="single" w:color="000000" w:sz="4" w:space="0"/>
            </w:tcBorders>
            <w:noWrap w:val="0"/>
            <w:vAlign w:val="center"/>
          </w:tcPr>
          <w:p w14:paraId="635DB8E1">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p>
        </w:tc>
        <w:tc>
          <w:tcPr>
            <w:tcW w:w="177" w:type="pct"/>
            <w:vMerge w:val="continue"/>
            <w:tcBorders>
              <w:left w:val="single" w:color="000000" w:sz="4" w:space="0"/>
            </w:tcBorders>
            <w:noWrap w:val="0"/>
            <w:vAlign w:val="center"/>
          </w:tcPr>
          <w:p w14:paraId="0B5331F4">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p>
        </w:tc>
        <w:tc>
          <w:tcPr>
            <w:tcW w:w="204" w:type="pct"/>
            <w:vMerge w:val="continue"/>
            <w:tcBorders>
              <w:left w:val="single" w:color="000000" w:sz="4" w:space="0"/>
            </w:tcBorders>
            <w:noWrap w:val="0"/>
            <w:vAlign w:val="center"/>
          </w:tcPr>
          <w:p w14:paraId="77F0B193">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p>
        </w:tc>
      </w:tr>
      <w:tr w14:paraId="6504806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57" w:type="dxa"/>
            <w:bottom w:w="0" w:type="dxa"/>
            <w:right w:w="57" w:type="dxa"/>
          </w:tblCellMar>
        </w:tblPrEx>
        <w:trPr>
          <w:trHeight w:val="482" w:hRule="atLeast"/>
          <w:jc w:val="center"/>
        </w:trPr>
        <w:tc>
          <w:tcPr>
            <w:tcW w:w="291" w:type="pct"/>
            <w:vMerge w:val="restart"/>
            <w:tcBorders>
              <w:right w:val="single" w:color="000000" w:sz="4" w:space="0"/>
            </w:tcBorders>
            <w:noWrap w:val="0"/>
            <w:vAlign w:val="center"/>
          </w:tcPr>
          <w:p w14:paraId="095C667F">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绥化市庆安县柳河镇新强村饮用水水源地</w:t>
            </w:r>
          </w:p>
        </w:tc>
        <w:tc>
          <w:tcPr>
            <w:tcW w:w="256" w:type="pct"/>
            <w:tcBorders>
              <w:left w:val="single" w:color="000000" w:sz="4" w:space="0"/>
              <w:right w:val="single" w:color="000000" w:sz="4" w:space="0"/>
            </w:tcBorders>
            <w:noWrap w:val="0"/>
            <w:vAlign w:val="center"/>
          </w:tcPr>
          <w:p w14:paraId="526F12D1">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cs="Times New Roman"/>
                <w:color w:val="auto"/>
                <w:kern w:val="0"/>
                <w:sz w:val="21"/>
                <w:szCs w:val="21"/>
                <w:highlight w:val="none"/>
                <w:lang w:val="en-US" w:eastAsia="zh-CN"/>
              </w:rPr>
              <w:t>1#</w:t>
            </w:r>
          </w:p>
        </w:tc>
        <w:tc>
          <w:tcPr>
            <w:tcW w:w="564" w:type="pct"/>
            <w:tcBorders>
              <w:left w:val="single" w:color="000000" w:sz="4" w:space="0"/>
              <w:right w:val="single" w:color="000000" w:sz="4" w:space="0"/>
            </w:tcBorders>
            <w:noWrap w:val="0"/>
            <w:vAlign w:val="center"/>
          </w:tcPr>
          <w:p w14:paraId="2F9F93D3">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127°36'20.0261"</w:t>
            </w:r>
          </w:p>
        </w:tc>
        <w:tc>
          <w:tcPr>
            <w:tcW w:w="526" w:type="pct"/>
            <w:tcBorders>
              <w:left w:val="single" w:color="000000" w:sz="4" w:space="0"/>
              <w:right w:val="single" w:color="000000" w:sz="4" w:space="0"/>
            </w:tcBorders>
            <w:noWrap w:val="0"/>
            <w:vAlign w:val="center"/>
          </w:tcPr>
          <w:p w14:paraId="3B6080DB">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46°43'59.4195"</w:t>
            </w:r>
          </w:p>
        </w:tc>
        <w:tc>
          <w:tcPr>
            <w:tcW w:w="198" w:type="pct"/>
            <w:tcBorders>
              <w:left w:val="single" w:color="000000" w:sz="4" w:space="0"/>
              <w:right w:val="single" w:color="000000" w:sz="4" w:space="0"/>
            </w:tcBorders>
            <w:noWrap w:val="0"/>
            <w:vAlign w:val="center"/>
          </w:tcPr>
          <w:p w14:paraId="0B5EB78F">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cs="Times New Roman"/>
                <w:color w:val="auto"/>
                <w:kern w:val="0"/>
                <w:sz w:val="21"/>
                <w:szCs w:val="21"/>
                <w:highlight w:val="none"/>
                <w:lang w:val="en-US" w:eastAsia="zh-CN"/>
              </w:rPr>
              <w:t>2024年</w:t>
            </w:r>
          </w:p>
        </w:tc>
        <w:tc>
          <w:tcPr>
            <w:tcW w:w="223" w:type="pct"/>
            <w:tcBorders>
              <w:left w:val="single" w:color="000000" w:sz="4" w:space="0"/>
              <w:right w:val="single" w:color="000000" w:sz="4" w:space="0"/>
            </w:tcBorders>
            <w:noWrap w:val="0"/>
            <w:vAlign w:val="center"/>
          </w:tcPr>
          <w:p w14:paraId="2F571A3A">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2025年</w:t>
            </w:r>
          </w:p>
        </w:tc>
        <w:tc>
          <w:tcPr>
            <w:tcW w:w="334" w:type="pct"/>
            <w:vMerge w:val="restart"/>
            <w:tcBorders>
              <w:left w:val="single" w:color="000000" w:sz="4" w:space="0"/>
              <w:right w:val="single" w:color="000000" w:sz="4" w:space="0"/>
            </w:tcBorders>
            <w:noWrap w:val="0"/>
            <w:vAlign w:val="center"/>
          </w:tcPr>
          <w:p w14:paraId="40295E1A">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1379.67</w:t>
            </w:r>
          </w:p>
        </w:tc>
        <w:tc>
          <w:tcPr>
            <w:tcW w:w="240" w:type="pct"/>
            <w:vMerge w:val="restart"/>
            <w:tcBorders>
              <w:left w:val="single" w:color="000000" w:sz="4" w:space="0"/>
              <w:right w:val="single" w:color="000000" w:sz="4" w:space="0"/>
            </w:tcBorders>
            <w:noWrap w:val="0"/>
            <w:vAlign w:val="center"/>
          </w:tcPr>
          <w:p w14:paraId="3ED75064">
            <w:pPr>
              <w:widowControl/>
              <w:snapToGrid w:val="0"/>
              <w:spacing w:line="240" w:lineRule="auto"/>
              <w:ind w:firstLine="0" w:firstLineChars="0"/>
              <w:jc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500</w:t>
            </w:r>
          </w:p>
        </w:tc>
        <w:tc>
          <w:tcPr>
            <w:tcW w:w="259" w:type="pct"/>
            <w:tcBorders>
              <w:left w:val="single" w:color="000000" w:sz="4" w:space="0"/>
            </w:tcBorders>
            <w:noWrap w:val="0"/>
            <w:vAlign w:val="center"/>
          </w:tcPr>
          <w:p w14:paraId="7F25B912">
            <w:pPr>
              <w:widowControl/>
              <w:snapToGrid w:val="0"/>
              <w:spacing w:line="240" w:lineRule="auto"/>
              <w:ind w:firstLine="0" w:firstLineChars="0"/>
              <w:jc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15</w:t>
            </w:r>
          </w:p>
        </w:tc>
        <w:tc>
          <w:tcPr>
            <w:tcW w:w="259" w:type="pct"/>
            <w:tcBorders>
              <w:left w:val="single" w:color="000000" w:sz="4" w:space="0"/>
            </w:tcBorders>
            <w:noWrap w:val="0"/>
            <w:vAlign w:val="center"/>
          </w:tcPr>
          <w:p w14:paraId="03AB1C10">
            <w:pPr>
              <w:widowControl/>
              <w:snapToGrid w:val="0"/>
              <w:spacing w:line="240" w:lineRule="auto"/>
              <w:ind w:firstLine="0" w:firstLineChars="0"/>
              <w:jc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23</w:t>
            </w:r>
          </w:p>
        </w:tc>
        <w:tc>
          <w:tcPr>
            <w:tcW w:w="252" w:type="pct"/>
            <w:tcBorders>
              <w:left w:val="single" w:color="000000" w:sz="4" w:space="0"/>
            </w:tcBorders>
            <w:noWrap w:val="0"/>
            <w:vAlign w:val="center"/>
          </w:tcPr>
          <w:p w14:paraId="01248DFE">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ascii="Times New Roman" w:hAnsi="Times New Roman" w:eastAsia="宋体" w:cs="Times New Roman"/>
                <w:color w:val="auto"/>
                <w:kern w:val="0"/>
                <w:sz w:val="21"/>
                <w:szCs w:val="21"/>
                <w:highlight w:val="none"/>
              </w:rPr>
              <w:t>承压水</w:t>
            </w:r>
          </w:p>
        </w:tc>
        <w:tc>
          <w:tcPr>
            <w:tcW w:w="302" w:type="pct"/>
            <w:tcBorders>
              <w:left w:val="single" w:color="000000" w:sz="4" w:space="0"/>
            </w:tcBorders>
            <w:noWrap w:val="0"/>
            <w:vAlign w:val="center"/>
          </w:tcPr>
          <w:p w14:paraId="0A6B39DC">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ascii="Times New Roman" w:hAnsi="Times New Roman" w:cs="Times New Roman"/>
                <w:color w:val="auto"/>
                <w:sz w:val="21"/>
                <w:szCs w:val="21"/>
                <w:highlight w:val="none"/>
                <w:lang w:eastAsia="zh-CN"/>
              </w:rPr>
              <w:t>孔隙水、孔隙—裂隙</w:t>
            </w:r>
            <w:r>
              <w:rPr>
                <w:rFonts w:hint="eastAsia" w:ascii="Times New Roman" w:hAnsi="Times New Roman" w:eastAsia="宋体" w:cs="Times New Roman"/>
                <w:color w:val="auto"/>
                <w:kern w:val="0"/>
                <w:sz w:val="21"/>
                <w:szCs w:val="21"/>
                <w:highlight w:val="none"/>
              </w:rPr>
              <w:t>水</w:t>
            </w:r>
          </w:p>
        </w:tc>
        <w:tc>
          <w:tcPr>
            <w:tcW w:w="275" w:type="pct"/>
            <w:tcBorders>
              <w:left w:val="single" w:color="000000" w:sz="4" w:space="0"/>
            </w:tcBorders>
            <w:noWrap w:val="0"/>
            <w:vAlign w:val="center"/>
          </w:tcPr>
          <w:p w14:paraId="2EE059CE">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cs="Times New Roman"/>
                <w:color w:val="auto"/>
                <w:kern w:val="0"/>
                <w:sz w:val="21"/>
                <w:szCs w:val="21"/>
                <w:highlight w:val="none"/>
                <w:lang w:val="en-US" w:eastAsia="zh-CN"/>
              </w:rPr>
              <w:t>90</w:t>
            </w:r>
          </w:p>
        </w:tc>
        <w:tc>
          <w:tcPr>
            <w:tcW w:w="275" w:type="pct"/>
            <w:vMerge w:val="restart"/>
            <w:tcBorders>
              <w:left w:val="single" w:color="000000" w:sz="4" w:space="0"/>
            </w:tcBorders>
            <w:noWrap w:val="0"/>
            <w:vAlign w:val="center"/>
          </w:tcPr>
          <w:p w14:paraId="55986B55">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rPr>
            </w:pPr>
            <w:r>
              <w:rPr>
                <w:rFonts w:hint="eastAsia" w:cs="Times New Roman"/>
                <w:color w:val="auto"/>
                <w:kern w:val="0"/>
                <w:sz w:val="21"/>
                <w:szCs w:val="21"/>
                <w:highlight w:val="none"/>
                <w:lang w:val="en-US" w:eastAsia="zh-CN" w:bidi="ar"/>
              </w:rPr>
              <w:t>6097</w:t>
            </w:r>
            <w:r>
              <w:rPr>
                <w:rFonts w:hint="eastAsia" w:ascii="Times New Roman" w:hAnsi="Times New Roman" w:eastAsia="宋体" w:cs="Times New Roman"/>
                <w:color w:val="auto"/>
                <w:kern w:val="0"/>
                <w:sz w:val="21"/>
                <w:szCs w:val="21"/>
                <w:highlight w:val="none"/>
                <w:lang w:val="en-US" w:eastAsia="zh-CN" w:bidi="ar"/>
              </w:rPr>
              <w:t>人</w:t>
            </w:r>
          </w:p>
        </w:tc>
        <w:tc>
          <w:tcPr>
            <w:tcW w:w="357" w:type="pct"/>
            <w:vMerge w:val="restart"/>
            <w:tcBorders>
              <w:left w:val="single" w:color="000000" w:sz="4" w:space="0"/>
            </w:tcBorders>
            <w:noWrap w:val="0"/>
            <w:vAlign w:val="center"/>
          </w:tcPr>
          <w:p w14:paraId="2B232F75">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rPr>
            </w:pPr>
            <w:r>
              <w:rPr>
                <w:rFonts w:hint="eastAsia"/>
                <w:color w:val="auto"/>
                <w:spacing w:val="-2"/>
                <w:sz w:val="21"/>
                <w:szCs w:val="21"/>
                <w:highlight w:val="none"/>
              </w:rPr>
              <w:t>柳河镇内新强村、新光村、新明村、新清村、新升村，共计5个行政村47个自然屯</w:t>
            </w:r>
          </w:p>
        </w:tc>
        <w:tc>
          <w:tcPr>
            <w:tcW w:w="177" w:type="pct"/>
            <w:vMerge w:val="restart"/>
            <w:tcBorders>
              <w:left w:val="single" w:color="000000" w:sz="4" w:space="0"/>
            </w:tcBorders>
            <w:noWrap w:val="0"/>
            <w:vAlign w:val="center"/>
          </w:tcPr>
          <w:p w14:paraId="41790AA1">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eastAsia="zh-CN"/>
              </w:rPr>
            </w:pPr>
            <w:r>
              <w:rPr>
                <w:rFonts w:hint="eastAsia" w:cs="Times New Roman"/>
                <w:color w:val="auto"/>
                <w:kern w:val="0"/>
                <w:sz w:val="21"/>
                <w:szCs w:val="21"/>
                <w:highlight w:val="none"/>
                <w:lang w:val="en-US" w:eastAsia="zh-CN"/>
              </w:rPr>
              <w:t>柳河西水厂</w:t>
            </w:r>
          </w:p>
        </w:tc>
        <w:tc>
          <w:tcPr>
            <w:tcW w:w="204" w:type="pct"/>
            <w:vMerge w:val="restart"/>
            <w:tcBorders>
              <w:left w:val="single" w:color="000000" w:sz="4" w:space="0"/>
            </w:tcBorders>
            <w:noWrap w:val="0"/>
            <w:vAlign w:val="center"/>
          </w:tcPr>
          <w:p w14:paraId="6137673D">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color w:val="auto"/>
                <w:sz w:val="21"/>
                <w:szCs w:val="21"/>
                <w:highlight w:val="none"/>
              </w:rPr>
              <w:t>机械曝气</w:t>
            </w:r>
            <w:r>
              <w:rPr>
                <w:rFonts w:hint="eastAsia"/>
                <w:color w:val="auto"/>
                <w:sz w:val="21"/>
                <w:szCs w:val="21"/>
                <w:highlight w:val="none"/>
                <w:lang w:eastAsia="zh-CN"/>
              </w:rPr>
              <w:t>、</w:t>
            </w:r>
            <w:r>
              <w:rPr>
                <w:rFonts w:hint="eastAsia"/>
                <w:color w:val="auto"/>
                <w:sz w:val="21"/>
                <w:szCs w:val="21"/>
                <w:highlight w:val="none"/>
              </w:rPr>
              <w:t>锰砂过滤</w:t>
            </w:r>
            <w:r>
              <w:rPr>
                <w:rFonts w:hint="eastAsia"/>
                <w:color w:val="auto"/>
                <w:sz w:val="21"/>
                <w:szCs w:val="21"/>
                <w:highlight w:val="none"/>
                <w:lang w:eastAsia="zh-CN"/>
              </w:rPr>
              <w:t>、</w:t>
            </w:r>
            <w:r>
              <w:rPr>
                <w:rFonts w:hint="eastAsia"/>
                <w:color w:val="auto"/>
                <w:sz w:val="21"/>
                <w:szCs w:val="21"/>
                <w:highlight w:val="none"/>
              </w:rPr>
              <w:t>次氯酸钠消毒</w:t>
            </w:r>
          </w:p>
        </w:tc>
      </w:tr>
      <w:tr w14:paraId="1E09F67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57" w:type="dxa"/>
            <w:bottom w:w="0" w:type="dxa"/>
            <w:right w:w="57" w:type="dxa"/>
          </w:tblCellMar>
        </w:tblPrEx>
        <w:trPr>
          <w:trHeight w:val="482" w:hRule="atLeast"/>
          <w:jc w:val="center"/>
        </w:trPr>
        <w:tc>
          <w:tcPr>
            <w:tcW w:w="291" w:type="pct"/>
            <w:vMerge w:val="continue"/>
            <w:tcBorders>
              <w:right w:val="single" w:color="000000" w:sz="4" w:space="0"/>
            </w:tcBorders>
            <w:noWrap w:val="0"/>
            <w:vAlign w:val="center"/>
          </w:tcPr>
          <w:p w14:paraId="47A023F1">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rPr>
            </w:pPr>
          </w:p>
        </w:tc>
        <w:tc>
          <w:tcPr>
            <w:tcW w:w="256" w:type="pct"/>
            <w:tcBorders>
              <w:left w:val="single" w:color="000000" w:sz="4" w:space="0"/>
              <w:right w:val="single" w:color="000000" w:sz="4" w:space="0"/>
            </w:tcBorders>
            <w:noWrap w:val="0"/>
            <w:vAlign w:val="center"/>
          </w:tcPr>
          <w:p w14:paraId="00567650">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cs="Times New Roman"/>
                <w:color w:val="auto"/>
                <w:kern w:val="0"/>
                <w:sz w:val="21"/>
                <w:szCs w:val="21"/>
                <w:highlight w:val="none"/>
                <w:lang w:val="en-US" w:eastAsia="zh-CN"/>
              </w:rPr>
              <w:t>2#</w:t>
            </w:r>
          </w:p>
        </w:tc>
        <w:tc>
          <w:tcPr>
            <w:tcW w:w="564" w:type="pct"/>
            <w:tcBorders>
              <w:left w:val="single" w:color="000000" w:sz="4" w:space="0"/>
              <w:right w:val="single" w:color="000000" w:sz="4" w:space="0"/>
            </w:tcBorders>
            <w:noWrap w:val="0"/>
            <w:vAlign w:val="center"/>
          </w:tcPr>
          <w:p w14:paraId="60B35BA2">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127°35'41.6485"</w:t>
            </w:r>
          </w:p>
        </w:tc>
        <w:tc>
          <w:tcPr>
            <w:tcW w:w="526" w:type="pct"/>
            <w:tcBorders>
              <w:left w:val="single" w:color="000000" w:sz="4" w:space="0"/>
              <w:right w:val="single" w:color="000000" w:sz="4" w:space="0"/>
            </w:tcBorders>
            <w:noWrap w:val="0"/>
            <w:vAlign w:val="center"/>
          </w:tcPr>
          <w:p w14:paraId="27A79554">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46°43'51.7092"</w:t>
            </w:r>
          </w:p>
        </w:tc>
        <w:tc>
          <w:tcPr>
            <w:tcW w:w="198" w:type="pct"/>
            <w:tcBorders>
              <w:left w:val="single" w:color="000000" w:sz="4" w:space="0"/>
              <w:right w:val="single" w:color="000000" w:sz="4" w:space="0"/>
            </w:tcBorders>
            <w:noWrap w:val="0"/>
            <w:vAlign w:val="center"/>
          </w:tcPr>
          <w:p w14:paraId="154F6547">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cs="Times New Roman"/>
                <w:color w:val="auto"/>
                <w:kern w:val="0"/>
                <w:sz w:val="21"/>
                <w:szCs w:val="21"/>
                <w:highlight w:val="none"/>
                <w:lang w:val="en-US" w:eastAsia="zh-CN"/>
              </w:rPr>
              <w:t>2024年</w:t>
            </w:r>
          </w:p>
        </w:tc>
        <w:tc>
          <w:tcPr>
            <w:tcW w:w="223" w:type="pct"/>
            <w:tcBorders>
              <w:left w:val="single" w:color="000000" w:sz="4" w:space="0"/>
              <w:right w:val="single" w:color="000000" w:sz="4" w:space="0"/>
            </w:tcBorders>
            <w:noWrap w:val="0"/>
            <w:vAlign w:val="center"/>
          </w:tcPr>
          <w:p w14:paraId="4AD475E8">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2025年</w:t>
            </w:r>
          </w:p>
        </w:tc>
        <w:tc>
          <w:tcPr>
            <w:tcW w:w="334" w:type="pct"/>
            <w:vMerge w:val="continue"/>
            <w:tcBorders>
              <w:left w:val="single" w:color="000000" w:sz="4" w:space="0"/>
              <w:right w:val="single" w:color="000000" w:sz="4" w:space="0"/>
            </w:tcBorders>
            <w:noWrap w:val="0"/>
            <w:vAlign w:val="center"/>
          </w:tcPr>
          <w:p w14:paraId="450E2DE1">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p>
        </w:tc>
        <w:tc>
          <w:tcPr>
            <w:tcW w:w="240" w:type="pct"/>
            <w:vMerge w:val="continue"/>
            <w:tcBorders>
              <w:left w:val="single" w:color="000000" w:sz="4" w:space="0"/>
              <w:right w:val="single" w:color="000000" w:sz="4" w:space="0"/>
            </w:tcBorders>
            <w:noWrap w:val="0"/>
            <w:vAlign w:val="center"/>
          </w:tcPr>
          <w:p w14:paraId="103299E9">
            <w:pPr>
              <w:widowControl/>
              <w:snapToGrid w:val="0"/>
              <w:spacing w:line="240" w:lineRule="auto"/>
              <w:ind w:firstLine="0" w:firstLineChars="0"/>
              <w:jc w:val="center"/>
              <w:rPr>
                <w:rFonts w:hint="eastAsia" w:cs="Times New Roman"/>
                <w:color w:val="auto"/>
                <w:kern w:val="0"/>
                <w:sz w:val="21"/>
                <w:szCs w:val="21"/>
                <w:highlight w:val="none"/>
                <w:lang w:val="en-US" w:eastAsia="zh-CN"/>
              </w:rPr>
            </w:pPr>
          </w:p>
        </w:tc>
        <w:tc>
          <w:tcPr>
            <w:tcW w:w="259" w:type="pct"/>
            <w:tcBorders>
              <w:left w:val="single" w:color="000000" w:sz="4" w:space="0"/>
            </w:tcBorders>
            <w:noWrap w:val="0"/>
            <w:vAlign w:val="center"/>
          </w:tcPr>
          <w:p w14:paraId="4A5F973B">
            <w:pPr>
              <w:widowControl/>
              <w:snapToGrid w:val="0"/>
              <w:spacing w:line="240" w:lineRule="auto"/>
              <w:ind w:firstLine="0" w:firstLineChars="0"/>
              <w:jc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16</w:t>
            </w:r>
          </w:p>
        </w:tc>
        <w:tc>
          <w:tcPr>
            <w:tcW w:w="259" w:type="pct"/>
            <w:tcBorders>
              <w:left w:val="single" w:color="000000" w:sz="4" w:space="0"/>
            </w:tcBorders>
            <w:noWrap w:val="0"/>
            <w:vAlign w:val="center"/>
          </w:tcPr>
          <w:p w14:paraId="093BF658">
            <w:pPr>
              <w:widowControl/>
              <w:snapToGrid w:val="0"/>
              <w:spacing w:line="240" w:lineRule="auto"/>
              <w:ind w:firstLine="0" w:firstLineChars="0"/>
              <w:jc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21</w:t>
            </w:r>
          </w:p>
        </w:tc>
        <w:tc>
          <w:tcPr>
            <w:tcW w:w="252" w:type="pct"/>
            <w:tcBorders>
              <w:left w:val="single" w:color="000000" w:sz="4" w:space="0"/>
            </w:tcBorders>
            <w:noWrap w:val="0"/>
            <w:vAlign w:val="center"/>
          </w:tcPr>
          <w:p w14:paraId="51B49E48">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ascii="Times New Roman" w:hAnsi="Times New Roman" w:eastAsia="宋体" w:cs="Times New Roman"/>
                <w:color w:val="auto"/>
                <w:kern w:val="0"/>
                <w:sz w:val="21"/>
                <w:szCs w:val="21"/>
                <w:highlight w:val="none"/>
              </w:rPr>
              <w:t>承压水</w:t>
            </w:r>
          </w:p>
        </w:tc>
        <w:tc>
          <w:tcPr>
            <w:tcW w:w="302" w:type="pct"/>
            <w:tcBorders>
              <w:left w:val="single" w:color="000000" w:sz="4" w:space="0"/>
            </w:tcBorders>
            <w:noWrap w:val="0"/>
            <w:vAlign w:val="center"/>
          </w:tcPr>
          <w:p w14:paraId="1229DACE">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ascii="Times New Roman" w:hAnsi="Times New Roman" w:cs="Times New Roman"/>
                <w:color w:val="auto"/>
                <w:sz w:val="21"/>
                <w:szCs w:val="21"/>
                <w:highlight w:val="none"/>
                <w:lang w:eastAsia="zh-CN"/>
              </w:rPr>
              <w:t>孔隙水、孔隙—裂隙</w:t>
            </w:r>
            <w:r>
              <w:rPr>
                <w:rFonts w:hint="eastAsia" w:ascii="Times New Roman" w:hAnsi="Times New Roman" w:eastAsia="宋体" w:cs="Times New Roman"/>
                <w:color w:val="auto"/>
                <w:kern w:val="0"/>
                <w:sz w:val="21"/>
                <w:szCs w:val="21"/>
                <w:highlight w:val="none"/>
              </w:rPr>
              <w:t>水</w:t>
            </w:r>
          </w:p>
        </w:tc>
        <w:tc>
          <w:tcPr>
            <w:tcW w:w="275" w:type="pct"/>
            <w:tcBorders>
              <w:left w:val="single" w:color="000000" w:sz="4" w:space="0"/>
            </w:tcBorders>
            <w:noWrap w:val="0"/>
            <w:vAlign w:val="center"/>
          </w:tcPr>
          <w:p w14:paraId="577811C3">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cs="Times New Roman"/>
                <w:color w:val="auto"/>
                <w:kern w:val="0"/>
                <w:sz w:val="21"/>
                <w:szCs w:val="21"/>
                <w:highlight w:val="none"/>
                <w:lang w:val="en-US" w:eastAsia="zh-CN"/>
              </w:rPr>
              <w:t>90</w:t>
            </w:r>
          </w:p>
        </w:tc>
        <w:tc>
          <w:tcPr>
            <w:tcW w:w="275" w:type="pct"/>
            <w:vMerge w:val="continue"/>
            <w:tcBorders>
              <w:left w:val="single" w:color="000000" w:sz="4" w:space="0"/>
            </w:tcBorders>
            <w:noWrap w:val="0"/>
            <w:vAlign w:val="center"/>
          </w:tcPr>
          <w:p w14:paraId="1AE2A21E">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p>
        </w:tc>
        <w:tc>
          <w:tcPr>
            <w:tcW w:w="357" w:type="pct"/>
            <w:vMerge w:val="continue"/>
            <w:tcBorders>
              <w:left w:val="single" w:color="000000" w:sz="4" w:space="0"/>
            </w:tcBorders>
            <w:noWrap w:val="0"/>
            <w:vAlign w:val="center"/>
          </w:tcPr>
          <w:p w14:paraId="3C5897A3">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p>
        </w:tc>
        <w:tc>
          <w:tcPr>
            <w:tcW w:w="177" w:type="pct"/>
            <w:vMerge w:val="continue"/>
            <w:tcBorders>
              <w:left w:val="single" w:color="000000" w:sz="4" w:space="0"/>
            </w:tcBorders>
            <w:noWrap w:val="0"/>
            <w:vAlign w:val="center"/>
          </w:tcPr>
          <w:p w14:paraId="776D3305">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p>
        </w:tc>
        <w:tc>
          <w:tcPr>
            <w:tcW w:w="204" w:type="pct"/>
            <w:vMerge w:val="continue"/>
            <w:tcBorders>
              <w:left w:val="single" w:color="000000" w:sz="4" w:space="0"/>
            </w:tcBorders>
            <w:noWrap w:val="0"/>
            <w:vAlign w:val="center"/>
          </w:tcPr>
          <w:p w14:paraId="099DE800">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p>
        </w:tc>
      </w:tr>
      <w:tr w14:paraId="79DD4ED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57" w:type="dxa"/>
            <w:bottom w:w="0" w:type="dxa"/>
            <w:right w:w="57" w:type="dxa"/>
          </w:tblCellMar>
        </w:tblPrEx>
        <w:trPr>
          <w:trHeight w:val="482" w:hRule="atLeast"/>
          <w:jc w:val="center"/>
        </w:trPr>
        <w:tc>
          <w:tcPr>
            <w:tcW w:w="291" w:type="pct"/>
            <w:vMerge w:val="continue"/>
            <w:tcBorders>
              <w:right w:val="single" w:color="000000" w:sz="4" w:space="0"/>
            </w:tcBorders>
            <w:noWrap w:val="0"/>
            <w:vAlign w:val="center"/>
          </w:tcPr>
          <w:p w14:paraId="15E24D04">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p>
        </w:tc>
        <w:tc>
          <w:tcPr>
            <w:tcW w:w="256" w:type="pct"/>
            <w:tcBorders>
              <w:left w:val="single" w:color="000000" w:sz="4" w:space="0"/>
              <w:right w:val="single" w:color="000000" w:sz="4" w:space="0"/>
            </w:tcBorders>
            <w:noWrap w:val="0"/>
            <w:vAlign w:val="center"/>
          </w:tcPr>
          <w:p w14:paraId="3A692833">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cs="Times New Roman"/>
                <w:color w:val="auto"/>
                <w:kern w:val="0"/>
                <w:sz w:val="21"/>
                <w:szCs w:val="21"/>
                <w:highlight w:val="none"/>
                <w:lang w:val="en-US" w:eastAsia="zh-CN"/>
              </w:rPr>
              <w:t>3#</w:t>
            </w:r>
          </w:p>
        </w:tc>
        <w:tc>
          <w:tcPr>
            <w:tcW w:w="564" w:type="pct"/>
            <w:tcBorders>
              <w:left w:val="single" w:color="000000" w:sz="4" w:space="0"/>
              <w:right w:val="single" w:color="000000" w:sz="4" w:space="0"/>
            </w:tcBorders>
            <w:noWrap w:val="0"/>
            <w:vAlign w:val="center"/>
          </w:tcPr>
          <w:p w14:paraId="7B852B2E">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127°35'41.0981"</w:t>
            </w:r>
          </w:p>
        </w:tc>
        <w:tc>
          <w:tcPr>
            <w:tcW w:w="526" w:type="pct"/>
            <w:tcBorders>
              <w:left w:val="single" w:color="000000" w:sz="4" w:space="0"/>
              <w:right w:val="single" w:color="000000" w:sz="4" w:space="0"/>
            </w:tcBorders>
            <w:noWrap w:val="0"/>
            <w:vAlign w:val="center"/>
          </w:tcPr>
          <w:p w14:paraId="7CE867FA">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46°43'48.0723"</w:t>
            </w:r>
          </w:p>
        </w:tc>
        <w:tc>
          <w:tcPr>
            <w:tcW w:w="198" w:type="pct"/>
            <w:tcBorders>
              <w:left w:val="single" w:color="000000" w:sz="4" w:space="0"/>
              <w:right w:val="single" w:color="000000" w:sz="4" w:space="0"/>
            </w:tcBorders>
            <w:noWrap w:val="0"/>
            <w:vAlign w:val="center"/>
          </w:tcPr>
          <w:p w14:paraId="430B861D">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cs="Times New Roman"/>
                <w:color w:val="auto"/>
                <w:kern w:val="0"/>
                <w:sz w:val="21"/>
                <w:szCs w:val="21"/>
                <w:highlight w:val="none"/>
                <w:lang w:val="en-US" w:eastAsia="zh-CN"/>
              </w:rPr>
              <w:t>2024年</w:t>
            </w:r>
          </w:p>
        </w:tc>
        <w:tc>
          <w:tcPr>
            <w:tcW w:w="223" w:type="pct"/>
            <w:tcBorders>
              <w:left w:val="single" w:color="000000" w:sz="4" w:space="0"/>
              <w:right w:val="single" w:color="000000" w:sz="4" w:space="0"/>
            </w:tcBorders>
            <w:noWrap w:val="0"/>
            <w:vAlign w:val="center"/>
          </w:tcPr>
          <w:p w14:paraId="57BA31A3">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2025年</w:t>
            </w:r>
          </w:p>
        </w:tc>
        <w:tc>
          <w:tcPr>
            <w:tcW w:w="334" w:type="pct"/>
            <w:vMerge w:val="continue"/>
            <w:tcBorders>
              <w:left w:val="single" w:color="000000" w:sz="4" w:space="0"/>
              <w:right w:val="single" w:color="000000" w:sz="4" w:space="0"/>
            </w:tcBorders>
            <w:noWrap w:val="0"/>
            <w:vAlign w:val="center"/>
          </w:tcPr>
          <w:p w14:paraId="564E2189">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p>
        </w:tc>
        <w:tc>
          <w:tcPr>
            <w:tcW w:w="240" w:type="pct"/>
            <w:vMerge w:val="continue"/>
            <w:tcBorders>
              <w:left w:val="single" w:color="000000" w:sz="4" w:space="0"/>
              <w:right w:val="single" w:color="000000" w:sz="4" w:space="0"/>
            </w:tcBorders>
            <w:noWrap w:val="0"/>
            <w:vAlign w:val="center"/>
          </w:tcPr>
          <w:p w14:paraId="3C52074D">
            <w:pPr>
              <w:widowControl/>
              <w:snapToGrid w:val="0"/>
              <w:spacing w:line="240" w:lineRule="auto"/>
              <w:ind w:firstLine="0" w:firstLineChars="0"/>
              <w:jc w:val="center"/>
              <w:rPr>
                <w:rFonts w:hint="eastAsia" w:cs="Times New Roman"/>
                <w:color w:val="auto"/>
                <w:kern w:val="0"/>
                <w:sz w:val="21"/>
                <w:szCs w:val="21"/>
                <w:highlight w:val="none"/>
                <w:lang w:val="en-US" w:eastAsia="zh-CN"/>
              </w:rPr>
            </w:pPr>
          </w:p>
        </w:tc>
        <w:tc>
          <w:tcPr>
            <w:tcW w:w="259" w:type="pct"/>
            <w:tcBorders>
              <w:left w:val="single" w:color="000000" w:sz="4" w:space="0"/>
            </w:tcBorders>
            <w:noWrap w:val="0"/>
            <w:vAlign w:val="center"/>
          </w:tcPr>
          <w:p w14:paraId="21AED60C">
            <w:pPr>
              <w:widowControl/>
              <w:snapToGrid w:val="0"/>
              <w:spacing w:line="240" w:lineRule="auto"/>
              <w:ind w:firstLine="0" w:firstLineChars="0"/>
              <w:jc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9</w:t>
            </w:r>
          </w:p>
        </w:tc>
        <w:tc>
          <w:tcPr>
            <w:tcW w:w="259" w:type="pct"/>
            <w:tcBorders>
              <w:left w:val="single" w:color="000000" w:sz="4" w:space="0"/>
            </w:tcBorders>
            <w:noWrap w:val="0"/>
            <w:vAlign w:val="center"/>
          </w:tcPr>
          <w:p w14:paraId="46264400">
            <w:pPr>
              <w:widowControl/>
              <w:snapToGrid w:val="0"/>
              <w:spacing w:line="240" w:lineRule="auto"/>
              <w:ind w:firstLine="0" w:firstLineChars="0"/>
              <w:jc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26</w:t>
            </w:r>
          </w:p>
        </w:tc>
        <w:tc>
          <w:tcPr>
            <w:tcW w:w="252" w:type="pct"/>
            <w:tcBorders>
              <w:left w:val="single" w:color="000000" w:sz="4" w:space="0"/>
            </w:tcBorders>
            <w:noWrap w:val="0"/>
            <w:vAlign w:val="center"/>
          </w:tcPr>
          <w:p w14:paraId="399AEDE4">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ascii="Times New Roman" w:hAnsi="Times New Roman" w:eastAsia="宋体" w:cs="Times New Roman"/>
                <w:color w:val="auto"/>
                <w:kern w:val="0"/>
                <w:sz w:val="21"/>
                <w:szCs w:val="21"/>
                <w:highlight w:val="none"/>
              </w:rPr>
              <w:t>承压水</w:t>
            </w:r>
          </w:p>
        </w:tc>
        <w:tc>
          <w:tcPr>
            <w:tcW w:w="302" w:type="pct"/>
            <w:tcBorders>
              <w:left w:val="single" w:color="000000" w:sz="4" w:space="0"/>
            </w:tcBorders>
            <w:noWrap w:val="0"/>
            <w:vAlign w:val="center"/>
          </w:tcPr>
          <w:p w14:paraId="2581EAB6">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ascii="Times New Roman" w:hAnsi="Times New Roman" w:cs="Times New Roman"/>
                <w:color w:val="auto"/>
                <w:sz w:val="21"/>
                <w:szCs w:val="21"/>
                <w:highlight w:val="none"/>
                <w:lang w:eastAsia="zh-CN"/>
              </w:rPr>
              <w:t>孔隙水、孔隙—裂隙</w:t>
            </w:r>
            <w:r>
              <w:rPr>
                <w:rFonts w:hint="eastAsia" w:ascii="Times New Roman" w:hAnsi="Times New Roman" w:eastAsia="宋体" w:cs="Times New Roman"/>
                <w:color w:val="auto"/>
                <w:kern w:val="0"/>
                <w:sz w:val="21"/>
                <w:szCs w:val="21"/>
                <w:highlight w:val="none"/>
              </w:rPr>
              <w:t>水</w:t>
            </w:r>
          </w:p>
        </w:tc>
        <w:tc>
          <w:tcPr>
            <w:tcW w:w="275" w:type="pct"/>
            <w:tcBorders>
              <w:left w:val="single" w:color="000000" w:sz="4" w:space="0"/>
            </w:tcBorders>
            <w:noWrap w:val="0"/>
            <w:vAlign w:val="center"/>
          </w:tcPr>
          <w:p w14:paraId="35CA8041">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cs="Times New Roman"/>
                <w:color w:val="auto"/>
                <w:kern w:val="0"/>
                <w:sz w:val="21"/>
                <w:szCs w:val="21"/>
                <w:highlight w:val="none"/>
                <w:lang w:val="en-US" w:eastAsia="zh-CN"/>
              </w:rPr>
              <w:t>90</w:t>
            </w:r>
          </w:p>
        </w:tc>
        <w:tc>
          <w:tcPr>
            <w:tcW w:w="275" w:type="pct"/>
            <w:vMerge w:val="continue"/>
            <w:tcBorders>
              <w:left w:val="single" w:color="000000" w:sz="4" w:space="0"/>
            </w:tcBorders>
            <w:noWrap w:val="0"/>
            <w:vAlign w:val="center"/>
          </w:tcPr>
          <w:p w14:paraId="310A3402">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p>
        </w:tc>
        <w:tc>
          <w:tcPr>
            <w:tcW w:w="357" w:type="pct"/>
            <w:vMerge w:val="continue"/>
            <w:tcBorders>
              <w:left w:val="single" w:color="000000" w:sz="4" w:space="0"/>
            </w:tcBorders>
            <w:noWrap w:val="0"/>
            <w:vAlign w:val="center"/>
          </w:tcPr>
          <w:p w14:paraId="238CD7FB">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p>
        </w:tc>
        <w:tc>
          <w:tcPr>
            <w:tcW w:w="177" w:type="pct"/>
            <w:vMerge w:val="continue"/>
            <w:tcBorders>
              <w:left w:val="single" w:color="000000" w:sz="4" w:space="0"/>
            </w:tcBorders>
            <w:noWrap w:val="0"/>
            <w:vAlign w:val="center"/>
          </w:tcPr>
          <w:p w14:paraId="00711895">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p>
        </w:tc>
        <w:tc>
          <w:tcPr>
            <w:tcW w:w="204" w:type="pct"/>
            <w:vMerge w:val="continue"/>
            <w:tcBorders>
              <w:left w:val="single" w:color="000000" w:sz="4" w:space="0"/>
            </w:tcBorders>
            <w:noWrap w:val="0"/>
            <w:vAlign w:val="center"/>
          </w:tcPr>
          <w:p w14:paraId="1318FC24">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p>
        </w:tc>
      </w:tr>
      <w:tr w14:paraId="76A84A2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57" w:type="dxa"/>
            <w:bottom w:w="0" w:type="dxa"/>
            <w:right w:w="57" w:type="dxa"/>
          </w:tblCellMar>
        </w:tblPrEx>
        <w:trPr>
          <w:trHeight w:val="482" w:hRule="atLeast"/>
          <w:jc w:val="center"/>
        </w:trPr>
        <w:tc>
          <w:tcPr>
            <w:tcW w:w="291" w:type="pct"/>
            <w:vMerge w:val="continue"/>
            <w:tcBorders>
              <w:right w:val="single" w:color="000000" w:sz="4" w:space="0"/>
            </w:tcBorders>
            <w:noWrap w:val="0"/>
            <w:vAlign w:val="center"/>
          </w:tcPr>
          <w:p w14:paraId="560B0347">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p>
        </w:tc>
        <w:tc>
          <w:tcPr>
            <w:tcW w:w="256" w:type="pct"/>
            <w:tcBorders>
              <w:left w:val="single" w:color="000000" w:sz="4" w:space="0"/>
              <w:right w:val="single" w:color="000000" w:sz="4" w:space="0"/>
            </w:tcBorders>
            <w:noWrap w:val="0"/>
            <w:vAlign w:val="center"/>
          </w:tcPr>
          <w:p w14:paraId="0C640D91">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cs="Times New Roman"/>
                <w:color w:val="auto"/>
                <w:kern w:val="0"/>
                <w:sz w:val="21"/>
                <w:szCs w:val="21"/>
                <w:highlight w:val="none"/>
                <w:lang w:val="en-US" w:eastAsia="zh-CN"/>
              </w:rPr>
              <w:t>4#</w:t>
            </w:r>
          </w:p>
        </w:tc>
        <w:tc>
          <w:tcPr>
            <w:tcW w:w="564" w:type="pct"/>
            <w:tcBorders>
              <w:left w:val="single" w:color="000000" w:sz="4" w:space="0"/>
              <w:right w:val="single" w:color="000000" w:sz="4" w:space="0"/>
            </w:tcBorders>
            <w:noWrap w:val="0"/>
            <w:vAlign w:val="center"/>
          </w:tcPr>
          <w:p w14:paraId="12316C4B">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127°35'38.1840"</w:t>
            </w:r>
          </w:p>
        </w:tc>
        <w:tc>
          <w:tcPr>
            <w:tcW w:w="526" w:type="pct"/>
            <w:tcBorders>
              <w:left w:val="single" w:color="000000" w:sz="4" w:space="0"/>
              <w:right w:val="single" w:color="000000" w:sz="4" w:space="0"/>
            </w:tcBorders>
            <w:noWrap w:val="0"/>
            <w:vAlign w:val="center"/>
          </w:tcPr>
          <w:p w14:paraId="04FE3802">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46°43'49.2110"</w:t>
            </w:r>
          </w:p>
        </w:tc>
        <w:tc>
          <w:tcPr>
            <w:tcW w:w="198" w:type="pct"/>
            <w:tcBorders>
              <w:left w:val="single" w:color="000000" w:sz="4" w:space="0"/>
              <w:right w:val="single" w:color="000000" w:sz="4" w:space="0"/>
            </w:tcBorders>
            <w:noWrap w:val="0"/>
            <w:vAlign w:val="center"/>
          </w:tcPr>
          <w:p w14:paraId="4E33EC3A">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cs="Times New Roman"/>
                <w:color w:val="auto"/>
                <w:kern w:val="0"/>
                <w:sz w:val="21"/>
                <w:szCs w:val="21"/>
                <w:highlight w:val="none"/>
                <w:lang w:val="en-US" w:eastAsia="zh-CN"/>
              </w:rPr>
              <w:t>2024年</w:t>
            </w:r>
          </w:p>
        </w:tc>
        <w:tc>
          <w:tcPr>
            <w:tcW w:w="223" w:type="pct"/>
            <w:tcBorders>
              <w:left w:val="single" w:color="000000" w:sz="4" w:space="0"/>
              <w:right w:val="single" w:color="000000" w:sz="4" w:space="0"/>
            </w:tcBorders>
            <w:noWrap w:val="0"/>
            <w:vAlign w:val="center"/>
          </w:tcPr>
          <w:p w14:paraId="70C21698">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2025年</w:t>
            </w:r>
          </w:p>
        </w:tc>
        <w:tc>
          <w:tcPr>
            <w:tcW w:w="334" w:type="pct"/>
            <w:vMerge w:val="continue"/>
            <w:tcBorders>
              <w:left w:val="single" w:color="000000" w:sz="4" w:space="0"/>
              <w:right w:val="single" w:color="000000" w:sz="4" w:space="0"/>
            </w:tcBorders>
            <w:noWrap w:val="0"/>
            <w:vAlign w:val="center"/>
          </w:tcPr>
          <w:p w14:paraId="4AF96840">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p>
        </w:tc>
        <w:tc>
          <w:tcPr>
            <w:tcW w:w="240" w:type="pct"/>
            <w:vMerge w:val="continue"/>
            <w:tcBorders>
              <w:left w:val="single" w:color="000000" w:sz="4" w:space="0"/>
              <w:right w:val="single" w:color="000000" w:sz="4" w:space="0"/>
            </w:tcBorders>
            <w:noWrap w:val="0"/>
            <w:vAlign w:val="center"/>
          </w:tcPr>
          <w:p w14:paraId="2DE9D7FB">
            <w:pPr>
              <w:widowControl/>
              <w:snapToGrid w:val="0"/>
              <w:spacing w:line="240" w:lineRule="auto"/>
              <w:ind w:firstLine="0" w:firstLineChars="0"/>
              <w:jc w:val="center"/>
              <w:rPr>
                <w:rFonts w:hint="eastAsia" w:cs="Times New Roman"/>
                <w:color w:val="auto"/>
                <w:kern w:val="0"/>
                <w:sz w:val="21"/>
                <w:szCs w:val="21"/>
                <w:highlight w:val="none"/>
                <w:lang w:val="en-US" w:eastAsia="zh-CN"/>
              </w:rPr>
            </w:pPr>
          </w:p>
        </w:tc>
        <w:tc>
          <w:tcPr>
            <w:tcW w:w="259" w:type="pct"/>
            <w:tcBorders>
              <w:left w:val="single" w:color="000000" w:sz="4" w:space="0"/>
            </w:tcBorders>
            <w:noWrap w:val="0"/>
            <w:vAlign w:val="center"/>
          </w:tcPr>
          <w:p w14:paraId="723C44D4">
            <w:pPr>
              <w:widowControl/>
              <w:snapToGrid w:val="0"/>
              <w:spacing w:line="240" w:lineRule="auto"/>
              <w:ind w:firstLine="0" w:firstLineChars="0"/>
              <w:jc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13</w:t>
            </w:r>
          </w:p>
        </w:tc>
        <w:tc>
          <w:tcPr>
            <w:tcW w:w="259" w:type="pct"/>
            <w:tcBorders>
              <w:left w:val="single" w:color="000000" w:sz="4" w:space="0"/>
            </w:tcBorders>
            <w:noWrap w:val="0"/>
            <w:vAlign w:val="center"/>
          </w:tcPr>
          <w:p w14:paraId="0DA9EB42">
            <w:pPr>
              <w:widowControl/>
              <w:snapToGrid w:val="0"/>
              <w:spacing w:line="240" w:lineRule="auto"/>
              <w:ind w:firstLine="0" w:firstLineChars="0"/>
              <w:jc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22</w:t>
            </w:r>
          </w:p>
        </w:tc>
        <w:tc>
          <w:tcPr>
            <w:tcW w:w="252" w:type="pct"/>
            <w:tcBorders>
              <w:left w:val="single" w:color="000000" w:sz="4" w:space="0"/>
            </w:tcBorders>
            <w:noWrap w:val="0"/>
            <w:vAlign w:val="center"/>
          </w:tcPr>
          <w:p w14:paraId="22A2A18A">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ascii="Times New Roman" w:hAnsi="Times New Roman" w:eastAsia="宋体" w:cs="Times New Roman"/>
                <w:color w:val="auto"/>
                <w:kern w:val="0"/>
                <w:sz w:val="21"/>
                <w:szCs w:val="21"/>
                <w:highlight w:val="none"/>
              </w:rPr>
              <w:t>承压水</w:t>
            </w:r>
          </w:p>
        </w:tc>
        <w:tc>
          <w:tcPr>
            <w:tcW w:w="302" w:type="pct"/>
            <w:tcBorders>
              <w:left w:val="single" w:color="000000" w:sz="4" w:space="0"/>
            </w:tcBorders>
            <w:noWrap w:val="0"/>
            <w:vAlign w:val="center"/>
          </w:tcPr>
          <w:p w14:paraId="57904476">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ascii="Times New Roman" w:hAnsi="Times New Roman" w:cs="Times New Roman"/>
                <w:color w:val="auto"/>
                <w:sz w:val="21"/>
                <w:szCs w:val="21"/>
                <w:highlight w:val="none"/>
                <w:lang w:eastAsia="zh-CN"/>
              </w:rPr>
              <w:t>孔隙水、孔隙—裂隙</w:t>
            </w:r>
            <w:r>
              <w:rPr>
                <w:rFonts w:hint="eastAsia" w:ascii="Times New Roman" w:hAnsi="Times New Roman" w:eastAsia="宋体" w:cs="Times New Roman"/>
                <w:color w:val="auto"/>
                <w:kern w:val="0"/>
                <w:sz w:val="21"/>
                <w:szCs w:val="21"/>
                <w:highlight w:val="none"/>
              </w:rPr>
              <w:t>水</w:t>
            </w:r>
          </w:p>
        </w:tc>
        <w:tc>
          <w:tcPr>
            <w:tcW w:w="275" w:type="pct"/>
            <w:tcBorders>
              <w:left w:val="single" w:color="000000" w:sz="4" w:space="0"/>
            </w:tcBorders>
            <w:noWrap w:val="0"/>
            <w:vAlign w:val="center"/>
          </w:tcPr>
          <w:p w14:paraId="56AE8752">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cs="Times New Roman"/>
                <w:color w:val="auto"/>
                <w:kern w:val="0"/>
                <w:sz w:val="21"/>
                <w:szCs w:val="21"/>
                <w:highlight w:val="none"/>
                <w:lang w:val="en-US" w:eastAsia="zh-CN"/>
              </w:rPr>
              <w:t>90</w:t>
            </w:r>
          </w:p>
        </w:tc>
        <w:tc>
          <w:tcPr>
            <w:tcW w:w="275" w:type="pct"/>
            <w:vMerge w:val="continue"/>
            <w:tcBorders>
              <w:left w:val="single" w:color="000000" w:sz="4" w:space="0"/>
            </w:tcBorders>
            <w:noWrap w:val="0"/>
            <w:vAlign w:val="center"/>
          </w:tcPr>
          <w:p w14:paraId="3E8C8920">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p>
        </w:tc>
        <w:tc>
          <w:tcPr>
            <w:tcW w:w="357" w:type="pct"/>
            <w:vMerge w:val="continue"/>
            <w:tcBorders>
              <w:left w:val="single" w:color="000000" w:sz="4" w:space="0"/>
            </w:tcBorders>
            <w:noWrap w:val="0"/>
            <w:vAlign w:val="center"/>
          </w:tcPr>
          <w:p w14:paraId="2BA6B837">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p>
        </w:tc>
        <w:tc>
          <w:tcPr>
            <w:tcW w:w="177" w:type="pct"/>
            <w:vMerge w:val="continue"/>
            <w:tcBorders>
              <w:left w:val="single" w:color="000000" w:sz="4" w:space="0"/>
            </w:tcBorders>
            <w:noWrap w:val="0"/>
            <w:vAlign w:val="center"/>
          </w:tcPr>
          <w:p w14:paraId="3C7CDB65">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p>
        </w:tc>
        <w:tc>
          <w:tcPr>
            <w:tcW w:w="204" w:type="pct"/>
            <w:vMerge w:val="continue"/>
            <w:tcBorders>
              <w:left w:val="single" w:color="000000" w:sz="4" w:space="0"/>
            </w:tcBorders>
            <w:noWrap w:val="0"/>
            <w:vAlign w:val="center"/>
          </w:tcPr>
          <w:p w14:paraId="6AADB455">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p>
        </w:tc>
      </w:tr>
      <w:tr w14:paraId="2EE21BE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57" w:type="dxa"/>
            <w:bottom w:w="0" w:type="dxa"/>
            <w:right w:w="57" w:type="dxa"/>
          </w:tblCellMar>
        </w:tblPrEx>
        <w:trPr>
          <w:trHeight w:val="482" w:hRule="atLeast"/>
          <w:jc w:val="center"/>
        </w:trPr>
        <w:tc>
          <w:tcPr>
            <w:tcW w:w="291" w:type="pct"/>
            <w:vMerge w:val="continue"/>
            <w:tcBorders>
              <w:right w:val="single" w:color="000000" w:sz="4" w:space="0"/>
            </w:tcBorders>
            <w:noWrap w:val="0"/>
            <w:vAlign w:val="center"/>
          </w:tcPr>
          <w:p w14:paraId="0DDA0DE0">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p>
        </w:tc>
        <w:tc>
          <w:tcPr>
            <w:tcW w:w="256" w:type="pct"/>
            <w:tcBorders>
              <w:left w:val="single" w:color="000000" w:sz="4" w:space="0"/>
              <w:right w:val="single" w:color="000000" w:sz="4" w:space="0"/>
            </w:tcBorders>
            <w:noWrap w:val="0"/>
            <w:vAlign w:val="center"/>
          </w:tcPr>
          <w:p w14:paraId="240A8B65">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cs="Times New Roman"/>
                <w:color w:val="auto"/>
                <w:kern w:val="0"/>
                <w:sz w:val="21"/>
                <w:szCs w:val="21"/>
                <w:highlight w:val="none"/>
                <w:lang w:val="en-US" w:eastAsia="zh-CN"/>
              </w:rPr>
              <w:t>5#</w:t>
            </w:r>
          </w:p>
        </w:tc>
        <w:tc>
          <w:tcPr>
            <w:tcW w:w="564" w:type="pct"/>
            <w:tcBorders>
              <w:left w:val="single" w:color="000000" w:sz="4" w:space="0"/>
              <w:right w:val="single" w:color="000000" w:sz="4" w:space="0"/>
            </w:tcBorders>
            <w:noWrap w:val="0"/>
            <w:vAlign w:val="center"/>
          </w:tcPr>
          <w:p w14:paraId="4861622D">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127°35'34.1340"</w:t>
            </w:r>
          </w:p>
        </w:tc>
        <w:tc>
          <w:tcPr>
            <w:tcW w:w="526" w:type="pct"/>
            <w:tcBorders>
              <w:left w:val="single" w:color="000000" w:sz="4" w:space="0"/>
              <w:right w:val="single" w:color="000000" w:sz="4" w:space="0"/>
            </w:tcBorders>
            <w:noWrap w:val="0"/>
            <w:vAlign w:val="center"/>
          </w:tcPr>
          <w:p w14:paraId="3EB60618">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46°43'49.1550"</w:t>
            </w:r>
          </w:p>
        </w:tc>
        <w:tc>
          <w:tcPr>
            <w:tcW w:w="198" w:type="pct"/>
            <w:tcBorders>
              <w:left w:val="single" w:color="000000" w:sz="4" w:space="0"/>
              <w:right w:val="single" w:color="000000" w:sz="4" w:space="0"/>
            </w:tcBorders>
            <w:noWrap w:val="0"/>
            <w:vAlign w:val="center"/>
          </w:tcPr>
          <w:p w14:paraId="44664E39">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cs="Times New Roman"/>
                <w:color w:val="auto"/>
                <w:kern w:val="0"/>
                <w:sz w:val="21"/>
                <w:szCs w:val="21"/>
                <w:highlight w:val="none"/>
                <w:lang w:val="en-US" w:eastAsia="zh-CN"/>
              </w:rPr>
              <w:t>2024年</w:t>
            </w:r>
          </w:p>
        </w:tc>
        <w:tc>
          <w:tcPr>
            <w:tcW w:w="223" w:type="pct"/>
            <w:tcBorders>
              <w:left w:val="single" w:color="000000" w:sz="4" w:space="0"/>
              <w:right w:val="single" w:color="000000" w:sz="4" w:space="0"/>
            </w:tcBorders>
            <w:noWrap w:val="0"/>
            <w:vAlign w:val="center"/>
          </w:tcPr>
          <w:p w14:paraId="5B88991F">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2025年</w:t>
            </w:r>
          </w:p>
        </w:tc>
        <w:tc>
          <w:tcPr>
            <w:tcW w:w="334" w:type="pct"/>
            <w:vMerge w:val="continue"/>
            <w:tcBorders>
              <w:left w:val="single" w:color="000000" w:sz="4" w:space="0"/>
              <w:right w:val="single" w:color="000000" w:sz="4" w:space="0"/>
            </w:tcBorders>
            <w:noWrap w:val="0"/>
            <w:vAlign w:val="center"/>
          </w:tcPr>
          <w:p w14:paraId="6056126B">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p>
        </w:tc>
        <w:tc>
          <w:tcPr>
            <w:tcW w:w="240" w:type="pct"/>
            <w:vMerge w:val="continue"/>
            <w:tcBorders>
              <w:left w:val="single" w:color="000000" w:sz="4" w:space="0"/>
              <w:right w:val="single" w:color="000000" w:sz="4" w:space="0"/>
            </w:tcBorders>
            <w:noWrap w:val="0"/>
            <w:vAlign w:val="center"/>
          </w:tcPr>
          <w:p w14:paraId="2BFCA66C">
            <w:pPr>
              <w:widowControl/>
              <w:snapToGrid w:val="0"/>
              <w:spacing w:line="240" w:lineRule="auto"/>
              <w:ind w:firstLine="0" w:firstLineChars="0"/>
              <w:jc w:val="center"/>
              <w:rPr>
                <w:rFonts w:hint="eastAsia" w:cs="Times New Roman"/>
                <w:color w:val="auto"/>
                <w:kern w:val="0"/>
                <w:sz w:val="21"/>
                <w:szCs w:val="21"/>
                <w:highlight w:val="none"/>
                <w:lang w:val="en-US" w:eastAsia="zh-CN"/>
              </w:rPr>
            </w:pPr>
          </w:p>
        </w:tc>
        <w:tc>
          <w:tcPr>
            <w:tcW w:w="259" w:type="pct"/>
            <w:tcBorders>
              <w:left w:val="single" w:color="000000" w:sz="4" w:space="0"/>
            </w:tcBorders>
            <w:noWrap w:val="0"/>
            <w:vAlign w:val="center"/>
          </w:tcPr>
          <w:p w14:paraId="3FF33968">
            <w:pPr>
              <w:widowControl/>
              <w:snapToGrid w:val="0"/>
              <w:spacing w:line="240" w:lineRule="auto"/>
              <w:ind w:firstLine="0" w:firstLineChars="0"/>
              <w:jc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10</w:t>
            </w:r>
          </w:p>
        </w:tc>
        <w:tc>
          <w:tcPr>
            <w:tcW w:w="259" w:type="pct"/>
            <w:tcBorders>
              <w:left w:val="single" w:color="000000" w:sz="4" w:space="0"/>
            </w:tcBorders>
            <w:noWrap w:val="0"/>
            <w:vAlign w:val="center"/>
          </w:tcPr>
          <w:p w14:paraId="362CF1FC">
            <w:pPr>
              <w:widowControl/>
              <w:snapToGrid w:val="0"/>
              <w:spacing w:line="240" w:lineRule="auto"/>
              <w:ind w:firstLine="0" w:firstLineChars="0"/>
              <w:jc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24</w:t>
            </w:r>
          </w:p>
        </w:tc>
        <w:tc>
          <w:tcPr>
            <w:tcW w:w="252" w:type="pct"/>
            <w:tcBorders>
              <w:left w:val="single" w:color="000000" w:sz="4" w:space="0"/>
            </w:tcBorders>
            <w:noWrap w:val="0"/>
            <w:vAlign w:val="center"/>
          </w:tcPr>
          <w:p w14:paraId="1427D950">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ascii="Times New Roman" w:hAnsi="Times New Roman" w:eastAsia="宋体" w:cs="Times New Roman"/>
                <w:color w:val="auto"/>
                <w:kern w:val="0"/>
                <w:sz w:val="21"/>
                <w:szCs w:val="21"/>
                <w:highlight w:val="none"/>
              </w:rPr>
              <w:t>承压水</w:t>
            </w:r>
          </w:p>
        </w:tc>
        <w:tc>
          <w:tcPr>
            <w:tcW w:w="302" w:type="pct"/>
            <w:tcBorders>
              <w:left w:val="single" w:color="000000" w:sz="4" w:space="0"/>
            </w:tcBorders>
            <w:noWrap w:val="0"/>
            <w:vAlign w:val="center"/>
          </w:tcPr>
          <w:p w14:paraId="742BE012">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ascii="Times New Roman" w:hAnsi="Times New Roman" w:cs="Times New Roman"/>
                <w:color w:val="auto"/>
                <w:sz w:val="21"/>
                <w:szCs w:val="21"/>
                <w:highlight w:val="none"/>
                <w:lang w:eastAsia="zh-CN"/>
              </w:rPr>
              <w:t>孔隙水、孔隙—裂隙</w:t>
            </w:r>
            <w:r>
              <w:rPr>
                <w:rFonts w:hint="eastAsia" w:ascii="Times New Roman" w:hAnsi="Times New Roman" w:eastAsia="宋体" w:cs="Times New Roman"/>
                <w:color w:val="auto"/>
                <w:kern w:val="0"/>
                <w:sz w:val="21"/>
                <w:szCs w:val="21"/>
                <w:highlight w:val="none"/>
              </w:rPr>
              <w:t>水</w:t>
            </w:r>
          </w:p>
        </w:tc>
        <w:tc>
          <w:tcPr>
            <w:tcW w:w="275" w:type="pct"/>
            <w:tcBorders>
              <w:left w:val="single" w:color="000000" w:sz="4" w:space="0"/>
            </w:tcBorders>
            <w:noWrap w:val="0"/>
            <w:vAlign w:val="center"/>
          </w:tcPr>
          <w:p w14:paraId="10165A8A">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cs="Times New Roman"/>
                <w:color w:val="auto"/>
                <w:kern w:val="0"/>
                <w:sz w:val="21"/>
                <w:szCs w:val="21"/>
                <w:highlight w:val="none"/>
                <w:lang w:val="en-US" w:eastAsia="zh-CN"/>
              </w:rPr>
              <w:t>90</w:t>
            </w:r>
          </w:p>
        </w:tc>
        <w:tc>
          <w:tcPr>
            <w:tcW w:w="275" w:type="pct"/>
            <w:vMerge w:val="continue"/>
            <w:tcBorders>
              <w:left w:val="single" w:color="000000" w:sz="4" w:space="0"/>
            </w:tcBorders>
            <w:noWrap w:val="0"/>
            <w:vAlign w:val="center"/>
          </w:tcPr>
          <w:p w14:paraId="7B9AA567">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p>
        </w:tc>
        <w:tc>
          <w:tcPr>
            <w:tcW w:w="357" w:type="pct"/>
            <w:vMerge w:val="continue"/>
            <w:tcBorders>
              <w:left w:val="single" w:color="000000" w:sz="4" w:space="0"/>
            </w:tcBorders>
            <w:noWrap w:val="0"/>
            <w:vAlign w:val="center"/>
          </w:tcPr>
          <w:p w14:paraId="5CC0368F">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p>
        </w:tc>
        <w:tc>
          <w:tcPr>
            <w:tcW w:w="177" w:type="pct"/>
            <w:vMerge w:val="continue"/>
            <w:tcBorders>
              <w:left w:val="single" w:color="000000" w:sz="4" w:space="0"/>
            </w:tcBorders>
            <w:noWrap w:val="0"/>
            <w:vAlign w:val="center"/>
          </w:tcPr>
          <w:p w14:paraId="42800449">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p>
        </w:tc>
        <w:tc>
          <w:tcPr>
            <w:tcW w:w="204" w:type="pct"/>
            <w:vMerge w:val="continue"/>
            <w:tcBorders>
              <w:left w:val="single" w:color="000000" w:sz="4" w:space="0"/>
            </w:tcBorders>
            <w:noWrap w:val="0"/>
            <w:vAlign w:val="center"/>
          </w:tcPr>
          <w:p w14:paraId="00B742A1">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p>
        </w:tc>
      </w:tr>
      <w:tr w14:paraId="7036452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57" w:type="dxa"/>
            <w:bottom w:w="0" w:type="dxa"/>
            <w:right w:w="57" w:type="dxa"/>
          </w:tblCellMar>
        </w:tblPrEx>
        <w:trPr>
          <w:trHeight w:val="482" w:hRule="atLeast"/>
          <w:jc w:val="center"/>
        </w:trPr>
        <w:tc>
          <w:tcPr>
            <w:tcW w:w="291" w:type="pct"/>
            <w:vMerge w:val="restart"/>
            <w:tcBorders>
              <w:right w:val="single" w:color="000000" w:sz="4" w:space="0"/>
            </w:tcBorders>
            <w:noWrap w:val="0"/>
            <w:vAlign w:val="center"/>
          </w:tcPr>
          <w:p w14:paraId="331FBF59">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rPr>
            </w:pPr>
            <w:r>
              <w:rPr>
                <w:rFonts w:hint="eastAsia" w:ascii="Times New Roman" w:hAnsi="Times New Roman" w:eastAsia="宋体" w:cs="Times New Roman"/>
                <w:color w:val="auto"/>
                <w:kern w:val="0"/>
                <w:sz w:val="21"/>
                <w:szCs w:val="21"/>
                <w:highlight w:val="none"/>
                <w:lang w:val="en-US" w:eastAsia="zh-CN" w:bidi="ar"/>
              </w:rPr>
              <w:t>绥化市庆安县丰收乡饮用水水源地</w:t>
            </w:r>
          </w:p>
        </w:tc>
        <w:tc>
          <w:tcPr>
            <w:tcW w:w="256" w:type="pct"/>
            <w:tcBorders>
              <w:left w:val="single" w:color="000000" w:sz="4" w:space="0"/>
              <w:right w:val="single" w:color="000000" w:sz="4" w:space="0"/>
            </w:tcBorders>
            <w:noWrap w:val="0"/>
            <w:vAlign w:val="center"/>
          </w:tcPr>
          <w:p w14:paraId="4AA206A4">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cs="Times New Roman"/>
                <w:color w:val="auto"/>
                <w:kern w:val="0"/>
                <w:sz w:val="21"/>
                <w:szCs w:val="21"/>
                <w:highlight w:val="none"/>
                <w:lang w:val="en-US" w:eastAsia="zh-CN"/>
              </w:rPr>
              <w:t>1#</w:t>
            </w:r>
          </w:p>
        </w:tc>
        <w:tc>
          <w:tcPr>
            <w:tcW w:w="564" w:type="pct"/>
            <w:tcBorders>
              <w:left w:val="single" w:color="000000" w:sz="4" w:space="0"/>
              <w:right w:val="single" w:color="000000" w:sz="4" w:space="0"/>
            </w:tcBorders>
            <w:noWrap w:val="0"/>
            <w:vAlign w:val="center"/>
          </w:tcPr>
          <w:p w14:paraId="33049293">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127°43'18.1578"</w:t>
            </w:r>
          </w:p>
        </w:tc>
        <w:tc>
          <w:tcPr>
            <w:tcW w:w="526" w:type="pct"/>
            <w:tcBorders>
              <w:left w:val="single" w:color="000000" w:sz="4" w:space="0"/>
              <w:right w:val="single" w:color="000000" w:sz="4" w:space="0"/>
            </w:tcBorders>
            <w:noWrap w:val="0"/>
            <w:vAlign w:val="center"/>
          </w:tcPr>
          <w:p w14:paraId="0D0C9278">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46°51'50.4898"</w:t>
            </w:r>
          </w:p>
        </w:tc>
        <w:tc>
          <w:tcPr>
            <w:tcW w:w="198" w:type="pct"/>
            <w:tcBorders>
              <w:left w:val="single" w:color="000000" w:sz="4" w:space="0"/>
              <w:right w:val="single" w:color="000000" w:sz="4" w:space="0"/>
            </w:tcBorders>
            <w:noWrap w:val="0"/>
            <w:vAlign w:val="center"/>
          </w:tcPr>
          <w:p w14:paraId="7F09CCA7">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2023年</w:t>
            </w:r>
          </w:p>
        </w:tc>
        <w:tc>
          <w:tcPr>
            <w:tcW w:w="223" w:type="pct"/>
            <w:tcBorders>
              <w:left w:val="single" w:color="000000" w:sz="4" w:space="0"/>
              <w:right w:val="single" w:color="000000" w:sz="4" w:space="0"/>
            </w:tcBorders>
            <w:noWrap w:val="0"/>
            <w:vAlign w:val="center"/>
          </w:tcPr>
          <w:p w14:paraId="74CDB0A5">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cs="Times New Roman"/>
                <w:color w:val="auto"/>
                <w:kern w:val="0"/>
                <w:sz w:val="21"/>
                <w:szCs w:val="21"/>
                <w:highlight w:val="none"/>
                <w:lang w:val="en-US" w:eastAsia="zh-CN"/>
              </w:rPr>
              <w:t>2024年</w:t>
            </w:r>
          </w:p>
        </w:tc>
        <w:tc>
          <w:tcPr>
            <w:tcW w:w="334" w:type="pct"/>
            <w:vMerge w:val="restart"/>
            <w:tcBorders>
              <w:left w:val="single" w:color="000000" w:sz="4" w:space="0"/>
              <w:right w:val="single" w:color="000000" w:sz="4" w:space="0"/>
            </w:tcBorders>
            <w:noWrap w:val="0"/>
            <w:vAlign w:val="center"/>
          </w:tcPr>
          <w:p w14:paraId="0B960620">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rPr>
            </w:pPr>
            <w:r>
              <w:rPr>
                <w:rFonts w:hint="eastAsia" w:cs="Times New Roman"/>
                <w:color w:val="auto"/>
                <w:kern w:val="0"/>
                <w:sz w:val="21"/>
                <w:szCs w:val="21"/>
                <w:highlight w:val="none"/>
                <w:lang w:val="en-US" w:eastAsia="zh-CN"/>
              </w:rPr>
              <w:t>2074.52</w:t>
            </w:r>
          </w:p>
        </w:tc>
        <w:tc>
          <w:tcPr>
            <w:tcW w:w="240" w:type="pct"/>
            <w:vMerge w:val="restart"/>
            <w:tcBorders>
              <w:left w:val="single" w:color="000000" w:sz="4" w:space="0"/>
              <w:right w:val="single" w:color="000000" w:sz="4" w:space="0"/>
            </w:tcBorders>
            <w:noWrap w:val="0"/>
            <w:vAlign w:val="center"/>
          </w:tcPr>
          <w:p w14:paraId="18845072">
            <w:pPr>
              <w:widowControl/>
              <w:snapToGrid w:val="0"/>
              <w:spacing w:line="240" w:lineRule="auto"/>
              <w:ind w:firstLine="0" w:firstLineChars="0"/>
              <w:jc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750</w:t>
            </w:r>
          </w:p>
        </w:tc>
        <w:tc>
          <w:tcPr>
            <w:tcW w:w="259" w:type="pct"/>
            <w:tcBorders>
              <w:left w:val="single" w:color="000000" w:sz="4" w:space="0"/>
            </w:tcBorders>
            <w:noWrap w:val="0"/>
            <w:vAlign w:val="center"/>
          </w:tcPr>
          <w:p w14:paraId="42CA6743">
            <w:pPr>
              <w:widowControl/>
              <w:snapToGrid w:val="0"/>
              <w:spacing w:line="240" w:lineRule="auto"/>
              <w:ind w:firstLine="0" w:firstLineChars="0"/>
              <w:jc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17</w:t>
            </w:r>
          </w:p>
        </w:tc>
        <w:tc>
          <w:tcPr>
            <w:tcW w:w="259" w:type="pct"/>
            <w:tcBorders>
              <w:left w:val="single" w:color="000000" w:sz="4" w:space="0"/>
            </w:tcBorders>
            <w:noWrap w:val="0"/>
            <w:vAlign w:val="center"/>
          </w:tcPr>
          <w:p w14:paraId="3C39F440">
            <w:pPr>
              <w:widowControl/>
              <w:snapToGrid w:val="0"/>
              <w:spacing w:line="240" w:lineRule="auto"/>
              <w:ind w:firstLine="0" w:firstLineChars="0"/>
              <w:jc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21</w:t>
            </w:r>
          </w:p>
        </w:tc>
        <w:tc>
          <w:tcPr>
            <w:tcW w:w="252" w:type="pct"/>
            <w:tcBorders>
              <w:left w:val="single" w:color="000000" w:sz="4" w:space="0"/>
            </w:tcBorders>
            <w:noWrap w:val="0"/>
            <w:vAlign w:val="center"/>
          </w:tcPr>
          <w:p w14:paraId="5292F50B">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ascii="Times New Roman" w:hAnsi="Times New Roman" w:eastAsia="宋体" w:cs="Times New Roman"/>
                <w:color w:val="auto"/>
                <w:kern w:val="0"/>
                <w:sz w:val="21"/>
                <w:szCs w:val="21"/>
                <w:highlight w:val="none"/>
              </w:rPr>
              <w:t>承压水</w:t>
            </w:r>
          </w:p>
        </w:tc>
        <w:tc>
          <w:tcPr>
            <w:tcW w:w="302" w:type="pct"/>
            <w:tcBorders>
              <w:left w:val="single" w:color="000000" w:sz="4" w:space="0"/>
            </w:tcBorders>
            <w:noWrap w:val="0"/>
            <w:vAlign w:val="center"/>
          </w:tcPr>
          <w:p w14:paraId="46B9BDEC">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ascii="Times New Roman" w:hAnsi="Times New Roman" w:cs="Times New Roman"/>
                <w:color w:val="auto"/>
                <w:sz w:val="21"/>
                <w:szCs w:val="21"/>
                <w:highlight w:val="none"/>
                <w:lang w:eastAsia="zh-CN"/>
              </w:rPr>
              <w:t>孔隙—裂隙</w:t>
            </w:r>
            <w:r>
              <w:rPr>
                <w:rFonts w:hint="eastAsia" w:ascii="Times New Roman" w:hAnsi="Times New Roman" w:eastAsia="宋体" w:cs="Times New Roman"/>
                <w:color w:val="auto"/>
                <w:kern w:val="0"/>
                <w:sz w:val="21"/>
                <w:szCs w:val="21"/>
                <w:highlight w:val="none"/>
              </w:rPr>
              <w:t>水</w:t>
            </w:r>
          </w:p>
        </w:tc>
        <w:tc>
          <w:tcPr>
            <w:tcW w:w="275" w:type="pct"/>
            <w:tcBorders>
              <w:left w:val="single" w:color="000000" w:sz="4" w:space="0"/>
            </w:tcBorders>
            <w:noWrap w:val="0"/>
            <w:vAlign w:val="center"/>
          </w:tcPr>
          <w:p w14:paraId="1791041D">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cs="Times New Roman"/>
                <w:color w:val="auto"/>
                <w:kern w:val="0"/>
                <w:sz w:val="21"/>
                <w:szCs w:val="21"/>
                <w:highlight w:val="none"/>
                <w:lang w:val="en-US" w:eastAsia="zh-CN"/>
              </w:rPr>
              <w:t>90</w:t>
            </w:r>
          </w:p>
        </w:tc>
        <w:tc>
          <w:tcPr>
            <w:tcW w:w="275" w:type="pct"/>
            <w:vMerge w:val="restart"/>
            <w:tcBorders>
              <w:left w:val="single" w:color="000000" w:sz="4" w:space="0"/>
            </w:tcBorders>
            <w:noWrap w:val="0"/>
            <w:vAlign w:val="center"/>
          </w:tcPr>
          <w:p w14:paraId="0368B4FC">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rPr>
            </w:pPr>
            <w:r>
              <w:rPr>
                <w:rFonts w:hint="eastAsia" w:ascii="Times New Roman" w:hAnsi="Times New Roman" w:eastAsia="宋体" w:cs="Times New Roman"/>
                <w:color w:val="auto"/>
                <w:kern w:val="0"/>
                <w:sz w:val="21"/>
                <w:szCs w:val="21"/>
                <w:highlight w:val="none"/>
                <w:lang w:val="en-US" w:eastAsia="zh-CN" w:bidi="ar"/>
              </w:rPr>
              <w:t>9130人</w:t>
            </w:r>
          </w:p>
        </w:tc>
        <w:tc>
          <w:tcPr>
            <w:tcW w:w="357" w:type="pct"/>
            <w:vMerge w:val="restart"/>
            <w:tcBorders>
              <w:left w:val="single" w:color="000000" w:sz="4" w:space="0"/>
            </w:tcBorders>
            <w:noWrap w:val="0"/>
            <w:vAlign w:val="center"/>
          </w:tcPr>
          <w:p w14:paraId="02C80022">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rPr>
            </w:pPr>
            <w:r>
              <w:rPr>
                <w:rFonts w:hint="eastAsia"/>
                <w:color w:val="auto"/>
                <w:sz w:val="21"/>
                <w:szCs w:val="21"/>
                <w:highlight w:val="none"/>
                <w:lang w:eastAsia="zh-CN"/>
              </w:rPr>
              <w:t>丰收乡内</w:t>
            </w:r>
            <w:r>
              <w:rPr>
                <w:rFonts w:hint="eastAsia" w:cs="Times New Roman"/>
                <w:color w:val="auto"/>
                <w:kern w:val="0"/>
                <w:sz w:val="21"/>
                <w:szCs w:val="21"/>
                <w:highlight w:val="none"/>
                <w:lang w:val="en-US" w:eastAsia="zh-CN" w:bidi="ar"/>
              </w:rPr>
              <w:t>丰满村、丰裕村、丰田村</w:t>
            </w:r>
            <w:r>
              <w:rPr>
                <w:rFonts w:hint="eastAsia"/>
                <w:color w:val="auto"/>
                <w:sz w:val="21"/>
                <w:szCs w:val="21"/>
                <w:highlight w:val="none"/>
                <w:lang w:eastAsia="zh-CN"/>
              </w:rPr>
              <w:t>、</w:t>
            </w:r>
            <w:r>
              <w:rPr>
                <w:rFonts w:hint="eastAsia" w:cs="Times New Roman"/>
                <w:color w:val="auto"/>
                <w:kern w:val="0"/>
                <w:sz w:val="21"/>
                <w:szCs w:val="21"/>
                <w:highlight w:val="none"/>
                <w:lang w:val="en-US" w:eastAsia="zh-CN" w:bidi="ar"/>
              </w:rPr>
              <w:t>丰林村、丰山村、丰泰村、丰民村、丰盛村、丰华村</w:t>
            </w:r>
            <w:r>
              <w:rPr>
                <w:rFonts w:hint="eastAsia"/>
                <w:color w:val="auto"/>
                <w:sz w:val="21"/>
                <w:szCs w:val="21"/>
                <w:highlight w:val="none"/>
                <w:lang w:eastAsia="zh-CN"/>
              </w:rPr>
              <w:t>、</w:t>
            </w:r>
            <w:r>
              <w:rPr>
                <w:rFonts w:hint="eastAsia" w:cs="Times New Roman"/>
                <w:color w:val="auto"/>
                <w:kern w:val="0"/>
                <w:sz w:val="21"/>
                <w:szCs w:val="21"/>
                <w:highlight w:val="none"/>
                <w:lang w:val="en-US" w:eastAsia="zh-CN" w:bidi="ar"/>
              </w:rPr>
              <w:t>丰年村、丰收村、星光村，共计12个行政村村86个自然屯</w:t>
            </w:r>
          </w:p>
        </w:tc>
        <w:tc>
          <w:tcPr>
            <w:tcW w:w="177" w:type="pct"/>
            <w:vMerge w:val="restart"/>
            <w:tcBorders>
              <w:left w:val="single" w:color="000000" w:sz="4" w:space="0"/>
            </w:tcBorders>
            <w:noWrap w:val="0"/>
            <w:vAlign w:val="center"/>
          </w:tcPr>
          <w:p w14:paraId="7CC54DA8">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eastAsia="zh-CN"/>
              </w:rPr>
            </w:pPr>
            <w:r>
              <w:rPr>
                <w:rFonts w:hint="eastAsia" w:cs="Times New Roman"/>
                <w:color w:val="auto"/>
                <w:kern w:val="0"/>
                <w:sz w:val="21"/>
                <w:szCs w:val="21"/>
                <w:highlight w:val="none"/>
                <w:lang w:eastAsia="zh-CN"/>
              </w:rPr>
              <w:t>丰满水厂</w:t>
            </w:r>
          </w:p>
        </w:tc>
        <w:tc>
          <w:tcPr>
            <w:tcW w:w="204" w:type="pct"/>
            <w:vMerge w:val="restart"/>
            <w:tcBorders>
              <w:left w:val="single" w:color="000000" w:sz="4" w:space="0"/>
            </w:tcBorders>
            <w:noWrap w:val="0"/>
            <w:vAlign w:val="center"/>
          </w:tcPr>
          <w:p w14:paraId="5CBD6F56">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color w:val="auto"/>
                <w:sz w:val="21"/>
                <w:szCs w:val="21"/>
                <w:highlight w:val="none"/>
              </w:rPr>
              <w:t>机械曝气</w:t>
            </w:r>
            <w:r>
              <w:rPr>
                <w:rFonts w:hint="eastAsia"/>
                <w:color w:val="auto"/>
                <w:sz w:val="21"/>
                <w:szCs w:val="21"/>
                <w:highlight w:val="none"/>
                <w:lang w:eastAsia="zh-CN"/>
              </w:rPr>
              <w:t>、</w:t>
            </w:r>
            <w:r>
              <w:rPr>
                <w:rFonts w:hint="eastAsia"/>
                <w:color w:val="auto"/>
                <w:sz w:val="21"/>
                <w:szCs w:val="21"/>
                <w:highlight w:val="none"/>
              </w:rPr>
              <w:t>二级除铁除锰</w:t>
            </w:r>
            <w:r>
              <w:rPr>
                <w:rFonts w:hint="eastAsia"/>
                <w:color w:val="auto"/>
                <w:sz w:val="21"/>
                <w:szCs w:val="21"/>
                <w:highlight w:val="none"/>
                <w:lang w:eastAsia="zh-CN"/>
              </w:rPr>
              <w:t>、</w:t>
            </w:r>
            <w:r>
              <w:rPr>
                <w:rFonts w:hint="eastAsia"/>
                <w:color w:val="auto"/>
                <w:sz w:val="21"/>
                <w:szCs w:val="21"/>
                <w:highlight w:val="none"/>
              </w:rPr>
              <w:t>二氧化氯</w:t>
            </w:r>
            <w:r>
              <w:rPr>
                <w:rFonts w:hint="eastAsia"/>
                <w:color w:val="auto"/>
                <w:sz w:val="21"/>
                <w:szCs w:val="21"/>
                <w:highlight w:val="none"/>
                <w:lang w:eastAsia="zh-CN"/>
              </w:rPr>
              <w:t>消毒</w:t>
            </w:r>
          </w:p>
        </w:tc>
      </w:tr>
      <w:tr w14:paraId="2C84425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57" w:type="dxa"/>
            <w:bottom w:w="0" w:type="dxa"/>
            <w:right w:w="57" w:type="dxa"/>
          </w:tblCellMar>
        </w:tblPrEx>
        <w:trPr>
          <w:trHeight w:val="482" w:hRule="atLeast"/>
          <w:jc w:val="center"/>
        </w:trPr>
        <w:tc>
          <w:tcPr>
            <w:tcW w:w="291" w:type="pct"/>
            <w:vMerge w:val="continue"/>
            <w:tcBorders>
              <w:right w:val="single" w:color="000000" w:sz="4" w:space="0"/>
            </w:tcBorders>
            <w:noWrap w:val="0"/>
            <w:vAlign w:val="center"/>
          </w:tcPr>
          <w:p w14:paraId="5130A04A">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p>
        </w:tc>
        <w:tc>
          <w:tcPr>
            <w:tcW w:w="256" w:type="pct"/>
            <w:tcBorders>
              <w:left w:val="single" w:color="000000" w:sz="4" w:space="0"/>
              <w:right w:val="single" w:color="000000" w:sz="4" w:space="0"/>
            </w:tcBorders>
            <w:noWrap w:val="0"/>
            <w:vAlign w:val="center"/>
          </w:tcPr>
          <w:p w14:paraId="46273340">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cs="Times New Roman"/>
                <w:color w:val="auto"/>
                <w:kern w:val="0"/>
                <w:sz w:val="21"/>
                <w:szCs w:val="21"/>
                <w:highlight w:val="none"/>
                <w:lang w:val="en-US" w:eastAsia="zh-CN"/>
              </w:rPr>
              <w:t>2#</w:t>
            </w:r>
          </w:p>
        </w:tc>
        <w:tc>
          <w:tcPr>
            <w:tcW w:w="564" w:type="pct"/>
            <w:tcBorders>
              <w:left w:val="single" w:color="000000" w:sz="4" w:space="0"/>
              <w:right w:val="single" w:color="000000" w:sz="4" w:space="0"/>
            </w:tcBorders>
            <w:noWrap w:val="0"/>
            <w:vAlign w:val="center"/>
          </w:tcPr>
          <w:p w14:paraId="094EE7E6">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127°43'09.9889"</w:t>
            </w:r>
          </w:p>
        </w:tc>
        <w:tc>
          <w:tcPr>
            <w:tcW w:w="526" w:type="pct"/>
            <w:tcBorders>
              <w:left w:val="single" w:color="000000" w:sz="4" w:space="0"/>
              <w:right w:val="single" w:color="000000" w:sz="4" w:space="0"/>
            </w:tcBorders>
            <w:noWrap w:val="0"/>
            <w:vAlign w:val="center"/>
          </w:tcPr>
          <w:p w14:paraId="01D35001">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46°51'48.4795"</w:t>
            </w:r>
          </w:p>
        </w:tc>
        <w:tc>
          <w:tcPr>
            <w:tcW w:w="198" w:type="pct"/>
            <w:tcBorders>
              <w:left w:val="single" w:color="000000" w:sz="4" w:space="0"/>
              <w:right w:val="single" w:color="000000" w:sz="4" w:space="0"/>
            </w:tcBorders>
            <w:noWrap w:val="0"/>
            <w:vAlign w:val="center"/>
          </w:tcPr>
          <w:p w14:paraId="3CECF797">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2023年</w:t>
            </w:r>
          </w:p>
        </w:tc>
        <w:tc>
          <w:tcPr>
            <w:tcW w:w="223" w:type="pct"/>
            <w:tcBorders>
              <w:left w:val="single" w:color="000000" w:sz="4" w:space="0"/>
              <w:right w:val="single" w:color="000000" w:sz="4" w:space="0"/>
            </w:tcBorders>
            <w:noWrap w:val="0"/>
            <w:vAlign w:val="center"/>
          </w:tcPr>
          <w:p w14:paraId="1A291132">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cs="Times New Roman"/>
                <w:color w:val="auto"/>
                <w:kern w:val="0"/>
                <w:sz w:val="21"/>
                <w:szCs w:val="21"/>
                <w:highlight w:val="none"/>
                <w:lang w:val="en-US" w:eastAsia="zh-CN"/>
              </w:rPr>
              <w:t>2024年</w:t>
            </w:r>
          </w:p>
        </w:tc>
        <w:tc>
          <w:tcPr>
            <w:tcW w:w="334" w:type="pct"/>
            <w:vMerge w:val="continue"/>
            <w:tcBorders>
              <w:left w:val="single" w:color="000000" w:sz="4" w:space="0"/>
              <w:right w:val="single" w:color="000000" w:sz="4" w:space="0"/>
            </w:tcBorders>
            <w:noWrap w:val="0"/>
            <w:vAlign w:val="center"/>
          </w:tcPr>
          <w:p w14:paraId="16E1578B">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p>
        </w:tc>
        <w:tc>
          <w:tcPr>
            <w:tcW w:w="240" w:type="pct"/>
            <w:vMerge w:val="continue"/>
            <w:tcBorders>
              <w:left w:val="single" w:color="000000" w:sz="4" w:space="0"/>
              <w:right w:val="single" w:color="000000" w:sz="4" w:space="0"/>
            </w:tcBorders>
            <w:noWrap w:val="0"/>
            <w:vAlign w:val="center"/>
          </w:tcPr>
          <w:p w14:paraId="2C08E7AE">
            <w:pPr>
              <w:widowControl/>
              <w:snapToGrid w:val="0"/>
              <w:spacing w:line="240" w:lineRule="auto"/>
              <w:ind w:firstLine="0" w:firstLineChars="0"/>
              <w:jc w:val="center"/>
              <w:rPr>
                <w:rFonts w:hint="default" w:cs="Times New Roman"/>
                <w:color w:val="auto"/>
                <w:kern w:val="0"/>
                <w:sz w:val="21"/>
                <w:szCs w:val="21"/>
                <w:highlight w:val="none"/>
                <w:lang w:val="en-US" w:eastAsia="zh-CN"/>
              </w:rPr>
            </w:pPr>
          </w:p>
        </w:tc>
        <w:tc>
          <w:tcPr>
            <w:tcW w:w="259" w:type="pct"/>
            <w:tcBorders>
              <w:left w:val="single" w:color="000000" w:sz="4" w:space="0"/>
            </w:tcBorders>
            <w:noWrap w:val="0"/>
            <w:vAlign w:val="center"/>
          </w:tcPr>
          <w:p w14:paraId="45484976">
            <w:pPr>
              <w:widowControl/>
              <w:snapToGrid w:val="0"/>
              <w:spacing w:line="240" w:lineRule="auto"/>
              <w:ind w:firstLine="0" w:firstLineChars="0"/>
              <w:jc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15</w:t>
            </w:r>
          </w:p>
        </w:tc>
        <w:tc>
          <w:tcPr>
            <w:tcW w:w="259" w:type="pct"/>
            <w:tcBorders>
              <w:left w:val="single" w:color="000000" w:sz="4" w:space="0"/>
            </w:tcBorders>
            <w:noWrap w:val="0"/>
            <w:vAlign w:val="center"/>
          </w:tcPr>
          <w:p w14:paraId="763D4591">
            <w:pPr>
              <w:widowControl/>
              <w:snapToGrid w:val="0"/>
              <w:spacing w:line="240" w:lineRule="auto"/>
              <w:ind w:firstLine="0" w:firstLineChars="0"/>
              <w:jc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22</w:t>
            </w:r>
          </w:p>
        </w:tc>
        <w:tc>
          <w:tcPr>
            <w:tcW w:w="252" w:type="pct"/>
            <w:tcBorders>
              <w:left w:val="single" w:color="000000" w:sz="4" w:space="0"/>
            </w:tcBorders>
            <w:noWrap w:val="0"/>
            <w:vAlign w:val="center"/>
          </w:tcPr>
          <w:p w14:paraId="1B111123">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ascii="Times New Roman" w:hAnsi="Times New Roman" w:eastAsia="宋体" w:cs="Times New Roman"/>
                <w:color w:val="auto"/>
                <w:kern w:val="0"/>
                <w:sz w:val="21"/>
                <w:szCs w:val="21"/>
                <w:highlight w:val="none"/>
              </w:rPr>
              <w:t>承压水</w:t>
            </w:r>
          </w:p>
        </w:tc>
        <w:tc>
          <w:tcPr>
            <w:tcW w:w="302" w:type="pct"/>
            <w:tcBorders>
              <w:left w:val="single" w:color="000000" w:sz="4" w:space="0"/>
            </w:tcBorders>
            <w:noWrap w:val="0"/>
            <w:vAlign w:val="center"/>
          </w:tcPr>
          <w:p w14:paraId="38C6A879">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ascii="Times New Roman" w:hAnsi="Times New Roman" w:cs="Times New Roman"/>
                <w:color w:val="auto"/>
                <w:sz w:val="21"/>
                <w:szCs w:val="21"/>
                <w:highlight w:val="none"/>
                <w:lang w:eastAsia="zh-CN"/>
              </w:rPr>
              <w:t>孔隙—裂隙</w:t>
            </w:r>
            <w:r>
              <w:rPr>
                <w:rFonts w:hint="eastAsia" w:ascii="Times New Roman" w:hAnsi="Times New Roman" w:eastAsia="宋体" w:cs="Times New Roman"/>
                <w:color w:val="auto"/>
                <w:kern w:val="0"/>
                <w:sz w:val="21"/>
                <w:szCs w:val="21"/>
                <w:highlight w:val="none"/>
              </w:rPr>
              <w:t>水</w:t>
            </w:r>
          </w:p>
        </w:tc>
        <w:tc>
          <w:tcPr>
            <w:tcW w:w="275" w:type="pct"/>
            <w:tcBorders>
              <w:left w:val="single" w:color="000000" w:sz="4" w:space="0"/>
            </w:tcBorders>
            <w:noWrap w:val="0"/>
            <w:vAlign w:val="center"/>
          </w:tcPr>
          <w:p w14:paraId="4C3893DB">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cs="Times New Roman"/>
                <w:color w:val="auto"/>
                <w:kern w:val="0"/>
                <w:sz w:val="21"/>
                <w:szCs w:val="21"/>
                <w:highlight w:val="none"/>
                <w:lang w:val="en-US" w:eastAsia="zh-CN"/>
              </w:rPr>
              <w:t>90</w:t>
            </w:r>
          </w:p>
        </w:tc>
        <w:tc>
          <w:tcPr>
            <w:tcW w:w="275" w:type="pct"/>
            <w:vMerge w:val="continue"/>
            <w:tcBorders>
              <w:left w:val="single" w:color="000000" w:sz="4" w:space="0"/>
            </w:tcBorders>
            <w:noWrap w:val="0"/>
            <w:vAlign w:val="center"/>
          </w:tcPr>
          <w:p w14:paraId="2559491E">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p>
        </w:tc>
        <w:tc>
          <w:tcPr>
            <w:tcW w:w="357" w:type="pct"/>
            <w:vMerge w:val="continue"/>
            <w:tcBorders>
              <w:left w:val="single" w:color="000000" w:sz="4" w:space="0"/>
            </w:tcBorders>
            <w:noWrap w:val="0"/>
            <w:vAlign w:val="center"/>
          </w:tcPr>
          <w:p w14:paraId="5DDFCBE1">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p>
        </w:tc>
        <w:tc>
          <w:tcPr>
            <w:tcW w:w="177" w:type="pct"/>
            <w:vMerge w:val="continue"/>
            <w:tcBorders>
              <w:left w:val="single" w:color="000000" w:sz="4" w:space="0"/>
            </w:tcBorders>
            <w:noWrap w:val="0"/>
            <w:vAlign w:val="center"/>
          </w:tcPr>
          <w:p w14:paraId="0560A138">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p>
        </w:tc>
        <w:tc>
          <w:tcPr>
            <w:tcW w:w="204" w:type="pct"/>
            <w:vMerge w:val="continue"/>
            <w:tcBorders>
              <w:left w:val="single" w:color="000000" w:sz="4" w:space="0"/>
            </w:tcBorders>
            <w:noWrap w:val="0"/>
            <w:vAlign w:val="center"/>
          </w:tcPr>
          <w:p w14:paraId="00AAA111">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p>
        </w:tc>
      </w:tr>
      <w:tr w14:paraId="57C5BDA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57" w:type="dxa"/>
            <w:bottom w:w="0" w:type="dxa"/>
            <w:right w:w="57" w:type="dxa"/>
          </w:tblCellMar>
        </w:tblPrEx>
        <w:trPr>
          <w:trHeight w:val="482" w:hRule="atLeast"/>
          <w:jc w:val="center"/>
        </w:trPr>
        <w:tc>
          <w:tcPr>
            <w:tcW w:w="291" w:type="pct"/>
            <w:vMerge w:val="continue"/>
            <w:tcBorders>
              <w:right w:val="single" w:color="000000" w:sz="4" w:space="0"/>
            </w:tcBorders>
            <w:noWrap w:val="0"/>
            <w:vAlign w:val="center"/>
          </w:tcPr>
          <w:p w14:paraId="4E18B55F">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p>
        </w:tc>
        <w:tc>
          <w:tcPr>
            <w:tcW w:w="256" w:type="pct"/>
            <w:tcBorders>
              <w:left w:val="single" w:color="000000" w:sz="4" w:space="0"/>
              <w:right w:val="single" w:color="000000" w:sz="4" w:space="0"/>
            </w:tcBorders>
            <w:noWrap w:val="0"/>
            <w:vAlign w:val="center"/>
          </w:tcPr>
          <w:p w14:paraId="5DF41604">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cs="Times New Roman"/>
                <w:color w:val="auto"/>
                <w:kern w:val="0"/>
                <w:sz w:val="21"/>
                <w:szCs w:val="21"/>
                <w:highlight w:val="none"/>
                <w:lang w:val="en-US" w:eastAsia="zh-CN"/>
              </w:rPr>
              <w:t>3#</w:t>
            </w:r>
          </w:p>
        </w:tc>
        <w:tc>
          <w:tcPr>
            <w:tcW w:w="564" w:type="pct"/>
            <w:tcBorders>
              <w:left w:val="single" w:color="000000" w:sz="4" w:space="0"/>
              <w:right w:val="single" w:color="000000" w:sz="4" w:space="0"/>
            </w:tcBorders>
            <w:noWrap w:val="0"/>
            <w:vAlign w:val="center"/>
          </w:tcPr>
          <w:p w14:paraId="054EC045">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127°43'02.7179"</w:t>
            </w:r>
          </w:p>
        </w:tc>
        <w:tc>
          <w:tcPr>
            <w:tcW w:w="526" w:type="pct"/>
            <w:tcBorders>
              <w:left w:val="single" w:color="000000" w:sz="4" w:space="0"/>
              <w:right w:val="single" w:color="000000" w:sz="4" w:space="0"/>
            </w:tcBorders>
            <w:noWrap w:val="0"/>
            <w:vAlign w:val="center"/>
          </w:tcPr>
          <w:p w14:paraId="7C00F7AA">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46°51'47.0666"</w:t>
            </w:r>
          </w:p>
        </w:tc>
        <w:tc>
          <w:tcPr>
            <w:tcW w:w="198" w:type="pct"/>
            <w:tcBorders>
              <w:left w:val="single" w:color="000000" w:sz="4" w:space="0"/>
              <w:right w:val="single" w:color="000000" w:sz="4" w:space="0"/>
            </w:tcBorders>
            <w:noWrap w:val="0"/>
            <w:vAlign w:val="center"/>
          </w:tcPr>
          <w:p w14:paraId="5A339855">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2023年</w:t>
            </w:r>
          </w:p>
        </w:tc>
        <w:tc>
          <w:tcPr>
            <w:tcW w:w="223" w:type="pct"/>
            <w:tcBorders>
              <w:left w:val="single" w:color="000000" w:sz="4" w:space="0"/>
              <w:right w:val="single" w:color="000000" w:sz="4" w:space="0"/>
            </w:tcBorders>
            <w:noWrap w:val="0"/>
            <w:vAlign w:val="center"/>
          </w:tcPr>
          <w:p w14:paraId="5A60D7C2">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2024年</w:t>
            </w:r>
          </w:p>
        </w:tc>
        <w:tc>
          <w:tcPr>
            <w:tcW w:w="334" w:type="pct"/>
            <w:vMerge w:val="continue"/>
            <w:tcBorders>
              <w:left w:val="single" w:color="000000" w:sz="4" w:space="0"/>
              <w:right w:val="single" w:color="000000" w:sz="4" w:space="0"/>
            </w:tcBorders>
            <w:noWrap w:val="0"/>
            <w:vAlign w:val="center"/>
          </w:tcPr>
          <w:p w14:paraId="673134B6">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p>
        </w:tc>
        <w:tc>
          <w:tcPr>
            <w:tcW w:w="240" w:type="pct"/>
            <w:vMerge w:val="continue"/>
            <w:tcBorders>
              <w:left w:val="single" w:color="000000" w:sz="4" w:space="0"/>
              <w:right w:val="single" w:color="000000" w:sz="4" w:space="0"/>
            </w:tcBorders>
            <w:noWrap w:val="0"/>
            <w:vAlign w:val="center"/>
          </w:tcPr>
          <w:p w14:paraId="58185703">
            <w:pPr>
              <w:widowControl/>
              <w:snapToGrid w:val="0"/>
              <w:spacing w:line="240" w:lineRule="auto"/>
              <w:ind w:firstLine="0" w:firstLineChars="0"/>
              <w:jc w:val="center"/>
              <w:rPr>
                <w:rFonts w:hint="default" w:cs="Times New Roman"/>
                <w:color w:val="auto"/>
                <w:kern w:val="0"/>
                <w:sz w:val="21"/>
                <w:szCs w:val="21"/>
                <w:highlight w:val="none"/>
                <w:lang w:val="en-US" w:eastAsia="zh-CN"/>
              </w:rPr>
            </w:pPr>
          </w:p>
        </w:tc>
        <w:tc>
          <w:tcPr>
            <w:tcW w:w="259" w:type="pct"/>
            <w:tcBorders>
              <w:left w:val="single" w:color="000000" w:sz="4" w:space="0"/>
            </w:tcBorders>
            <w:noWrap w:val="0"/>
            <w:vAlign w:val="center"/>
          </w:tcPr>
          <w:p w14:paraId="32FFEB7B">
            <w:pPr>
              <w:widowControl/>
              <w:snapToGrid w:val="0"/>
              <w:spacing w:line="240" w:lineRule="auto"/>
              <w:ind w:firstLine="0" w:firstLineChars="0"/>
              <w:jc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14</w:t>
            </w:r>
          </w:p>
        </w:tc>
        <w:tc>
          <w:tcPr>
            <w:tcW w:w="259" w:type="pct"/>
            <w:tcBorders>
              <w:left w:val="single" w:color="000000" w:sz="4" w:space="0"/>
            </w:tcBorders>
            <w:noWrap w:val="0"/>
            <w:vAlign w:val="center"/>
          </w:tcPr>
          <w:p w14:paraId="7166F12B">
            <w:pPr>
              <w:widowControl/>
              <w:snapToGrid w:val="0"/>
              <w:spacing w:line="240" w:lineRule="auto"/>
              <w:ind w:firstLine="0" w:firstLineChars="0"/>
              <w:jc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25</w:t>
            </w:r>
          </w:p>
        </w:tc>
        <w:tc>
          <w:tcPr>
            <w:tcW w:w="252" w:type="pct"/>
            <w:tcBorders>
              <w:left w:val="single" w:color="000000" w:sz="4" w:space="0"/>
            </w:tcBorders>
            <w:noWrap w:val="0"/>
            <w:vAlign w:val="center"/>
          </w:tcPr>
          <w:p w14:paraId="5F68C55B">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ascii="Times New Roman" w:hAnsi="Times New Roman" w:eastAsia="宋体" w:cs="Times New Roman"/>
                <w:color w:val="auto"/>
                <w:kern w:val="0"/>
                <w:sz w:val="21"/>
                <w:szCs w:val="21"/>
                <w:highlight w:val="none"/>
              </w:rPr>
              <w:t>承压水</w:t>
            </w:r>
          </w:p>
        </w:tc>
        <w:tc>
          <w:tcPr>
            <w:tcW w:w="302" w:type="pct"/>
            <w:tcBorders>
              <w:left w:val="single" w:color="000000" w:sz="4" w:space="0"/>
            </w:tcBorders>
            <w:noWrap w:val="0"/>
            <w:vAlign w:val="center"/>
          </w:tcPr>
          <w:p w14:paraId="524ED6F4">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ascii="Times New Roman" w:hAnsi="Times New Roman" w:cs="Times New Roman"/>
                <w:color w:val="auto"/>
                <w:sz w:val="21"/>
                <w:szCs w:val="21"/>
                <w:highlight w:val="none"/>
                <w:lang w:eastAsia="zh-CN"/>
              </w:rPr>
              <w:t>孔隙—裂隙</w:t>
            </w:r>
            <w:r>
              <w:rPr>
                <w:rFonts w:hint="eastAsia" w:ascii="Times New Roman" w:hAnsi="Times New Roman" w:eastAsia="宋体" w:cs="Times New Roman"/>
                <w:color w:val="auto"/>
                <w:kern w:val="0"/>
                <w:sz w:val="21"/>
                <w:szCs w:val="21"/>
                <w:highlight w:val="none"/>
              </w:rPr>
              <w:t>水</w:t>
            </w:r>
          </w:p>
        </w:tc>
        <w:tc>
          <w:tcPr>
            <w:tcW w:w="275" w:type="pct"/>
            <w:tcBorders>
              <w:left w:val="single" w:color="000000" w:sz="4" w:space="0"/>
            </w:tcBorders>
            <w:noWrap w:val="0"/>
            <w:vAlign w:val="center"/>
          </w:tcPr>
          <w:p w14:paraId="5BECC431">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cs="Times New Roman"/>
                <w:color w:val="auto"/>
                <w:kern w:val="0"/>
                <w:sz w:val="21"/>
                <w:szCs w:val="21"/>
                <w:highlight w:val="none"/>
                <w:lang w:val="en-US" w:eastAsia="zh-CN"/>
              </w:rPr>
              <w:t>90</w:t>
            </w:r>
          </w:p>
        </w:tc>
        <w:tc>
          <w:tcPr>
            <w:tcW w:w="275" w:type="pct"/>
            <w:vMerge w:val="continue"/>
            <w:tcBorders>
              <w:left w:val="single" w:color="000000" w:sz="4" w:space="0"/>
            </w:tcBorders>
            <w:noWrap w:val="0"/>
            <w:vAlign w:val="center"/>
          </w:tcPr>
          <w:p w14:paraId="1204398F">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p>
        </w:tc>
        <w:tc>
          <w:tcPr>
            <w:tcW w:w="357" w:type="pct"/>
            <w:vMerge w:val="continue"/>
            <w:tcBorders>
              <w:left w:val="single" w:color="000000" w:sz="4" w:space="0"/>
            </w:tcBorders>
            <w:noWrap w:val="0"/>
            <w:vAlign w:val="center"/>
          </w:tcPr>
          <w:p w14:paraId="3F109992">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p>
        </w:tc>
        <w:tc>
          <w:tcPr>
            <w:tcW w:w="177" w:type="pct"/>
            <w:vMerge w:val="continue"/>
            <w:tcBorders>
              <w:left w:val="single" w:color="000000" w:sz="4" w:space="0"/>
            </w:tcBorders>
            <w:noWrap w:val="0"/>
            <w:vAlign w:val="center"/>
          </w:tcPr>
          <w:p w14:paraId="080C91DF">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p>
        </w:tc>
        <w:tc>
          <w:tcPr>
            <w:tcW w:w="204" w:type="pct"/>
            <w:vMerge w:val="continue"/>
            <w:tcBorders>
              <w:left w:val="single" w:color="000000" w:sz="4" w:space="0"/>
            </w:tcBorders>
            <w:noWrap w:val="0"/>
            <w:vAlign w:val="center"/>
          </w:tcPr>
          <w:p w14:paraId="66F15255">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p>
        </w:tc>
      </w:tr>
      <w:tr w14:paraId="02255CE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57" w:type="dxa"/>
            <w:bottom w:w="0" w:type="dxa"/>
            <w:right w:w="57" w:type="dxa"/>
          </w:tblCellMar>
        </w:tblPrEx>
        <w:trPr>
          <w:trHeight w:val="791" w:hRule="atLeast"/>
          <w:jc w:val="center"/>
        </w:trPr>
        <w:tc>
          <w:tcPr>
            <w:tcW w:w="291" w:type="pct"/>
            <w:vMerge w:val="restart"/>
            <w:tcBorders>
              <w:right w:val="single" w:color="000000" w:sz="4" w:space="0"/>
            </w:tcBorders>
            <w:noWrap w:val="0"/>
            <w:vAlign w:val="center"/>
          </w:tcPr>
          <w:p w14:paraId="22C87DDD">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rPr>
            </w:pPr>
            <w:r>
              <w:rPr>
                <w:rFonts w:hint="eastAsia" w:cs="Times New Roman"/>
                <w:color w:val="auto"/>
                <w:kern w:val="0"/>
                <w:sz w:val="21"/>
                <w:szCs w:val="21"/>
                <w:highlight w:val="none"/>
                <w:lang w:val="en-US" w:eastAsia="zh-CN" w:bidi="ar"/>
              </w:rPr>
              <w:t>绥化市庆安县</w:t>
            </w:r>
            <w:r>
              <w:rPr>
                <w:rFonts w:hint="eastAsia" w:ascii="Times New Roman" w:hAnsi="Times New Roman" w:eastAsia="宋体" w:cs="Times New Roman"/>
                <w:color w:val="auto"/>
                <w:kern w:val="0"/>
                <w:sz w:val="21"/>
                <w:szCs w:val="21"/>
                <w:highlight w:val="none"/>
                <w:lang w:val="en-US" w:eastAsia="zh-CN" w:bidi="ar"/>
              </w:rPr>
              <w:t>平安镇饮用水水源地</w:t>
            </w:r>
          </w:p>
        </w:tc>
        <w:tc>
          <w:tcPr>
            <w:tcW w:w="256" w:type="pct"/>
            <w:tcBorders>
              <w:left w:val="single" w:color="000000" w:sz="4" w:space="0"/>
              <w:right w:val="single" w:color="000000" w:sz="4" w:space="0"/>
            </w:tcBorders>
            <w:shd w:val="clear" w:color="auto" w:fill="auto"/>
            <w:noWrap w:val="0"/>
            <w:vAlign w:val="center"/>
          </w:tcPr>
          <w:p w14:paraId="147EE8B0">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rPr>
              <w:t>1#</w:t>
            </w:r>
          </w:p>
        </w:tc>
        <w:tc>
          <w:tcPr>
            <w:tcW w:w="564" w:type="pct"/>
            <w:tcBorders>
              <w:left w:val="single" w:color="000000" w:sz="4" w:space="0"/>
              <w:right w:val="single" w:color="000000" w:sz="4" w:space="0"/>
            </w:tcBorders>
            <w:noWrap w:val="0"/>
            <w:vAlign w:val="center"/>
          </w:tcPr>
          <w:p w14:paraId="063B63B3">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127°39'08.4694"</w:t>
            </w:r>
          </w:p>
        </w:tc>
        <w:tc>
          <w:tcPr>
            <w:tcW w:w="526" w:type="pct"/>
            <w:tcBorders>
              <w:left w:val="single" w:color="000000" w:sz="4" w:space="0"/>
              <w:right w:val="single" w:color="000000" w:sz="4" w:space="0"/>
            </w:tcBorders>
            <w:noWrap w:val="0"/>
            <w:vAlign w:val="center"/>
          </w:tcPr>
          <w:p w14:paraId="31DD81F4">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46°56'28.1322"</w:t>
            </w:r>
          </w:p>
        </w:tc>
        <w:tc>
          <w:tcPr>
            <w:tcW w:w="198" w:type="pct"/>
            <w:tcBorders>
              <w:left w:val="single" w:color="000000" w:sz="4" w:space="0"/>
              <w:right w:val="single" w:color="000000" w:sz="4" w:space="0"/>
            </w:tcBorders>
            <w:noWrap w:val="0"/>
            <w:vAlign w:val="center"/>
          </w:tcPr>
          <w:p w14:paraId="4779C903">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2022年</w:t>
            </w:r>
          </w:p>
        </w:tc>
        <w:tc>
          <w:tcPr>
            <w:tcW w:w="223" w:type="pct"/>
            <w:tcBorders>
              <w:left w:val="single" w:color="000000" w:sz="4" w:space="0"/>
              <w:right w:val="single" w:color="000000" w:sz="4" w:space="0"/>
            </w:tcBorders>
            <w:noWrap w:val="0"/>
            <w:vAlign w:val="center"/>
          </w:tcPr>
          <w:p w14:paraId="501C3584">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cs="Times New Roman"/>
                <w:color w:val="auto"/>
                <w:kern w:val="0"/>
                <w:sz w:val="21"/>
                <w:szCs w:val="21"/>
                <w:highlight w:val="none"/>
                <w:lang w:val="en-US" w:eastAsia="zh-CN"/>
              </w:rPr>
              <w:t>2023年</w:t>
            </w:r>
          </w:p>
        </w:tc>
        <w:tc>
          <w:tcPr>
            <w:tcW w:w="334" w:type="pct"/>
            <w:vMerge w:val="restart"/>
            <w:tcBorders>
              <w:left w:val="single" w:color="000000" w:sz="4" w:space="0"/>
              <w:right w:val="single" w:color="000000" w:sz="4" w:space="0"/>
            </w:tcBorders>
            <w:noWrap w:val="0"/>
            <w:vAlign w:val="center"/>
          </w:tcPr>
          <w:p w14:paraId="67ECAAF0">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rPr>
            </w:pPr>
            <w:r>
              <w:rPr>
                <w:rFonts w:hint="eastAsia" w:cs="Times New Roman"/>
                <w:color w:val="auto"/>
                <w:kern w:val="0"/>
                <w:sz w:val="21"/>
                <w:szCs w:val="21"/>
                <w:highlight w:val="none"/>
                <w:lang w:val="en-US" w:eastAsia="zh-CN"/>
              </w:rPr>
              <w:t>1141.26</w:t>
            </w:r>
          </w:p>
        </w:tc>
        <w:tc>
          <w:tcPr>
            <w:tcW w:w="240" w:type="pct"/>
            <w:vMerge w:val="restart"/>
            <w:tcBorders>
              <w:left w:val="single" w:color="000000" w:sz="4" w:space="0"/>
              <w:right w:val="single" w:color="000000" w:sz="4" w:space="0"/>
            </w:tcBorders>
            <w:noWrap w:val="0"/>
            <w:vAlign w:val="center"/>
          </w:tcPr>
          <w:p w14:paraId="48B5E2CF">
            <w:pPr>
              <w:widowControl/>
              <w:snapToGrid w:val="0"/>
              <w:spacing w:line="240" w:lineRule="auto"/>
              <w:ind w:firstLine="0" w:firstLineChars="0"/>
              <w:jc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400</w:t>
            </w:r>
          </w:p>
        </w:tc>
        <w:tc>
          <w:tcPr>
            <w:tcW w:w="259" w:type="pct"/>
            <w:tcBorders>
              <w:left w:val="single" w:color="000000" w:sz="4" w:space="0"/>
            </w:tcBorders>
            <w:noWrap w:val="0"/>
            <w:vAlign w:val="center"/>
          </w:tcPr>
          <w:p w14:paraId="7EDB6946">
            <w:pPr>
              <w:widowControl/>
              <w:snapToGrid w:val="0"/>
              <w:spacing w:line="240" w:lineRule="auto"/>
              <w:ind w:firstLine="0" w:firstLineChars="0"/>
              <w:jc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12</w:t>
            </w:r>
          </w:p>
        </w:tc>
        <w:tc>
          <w:tcPr>
            <w:tcW w:w="259" w:type="pct"/>
            <w:tcBorders>
              <w:left w:val="single" w:color="000000" w:sz="4" w:space="0"/>
            </w:tcBorders>
            <w:noWrap w:val="0"/>
            <w:vAlign w:val="center"/>
          </w:tcPr>
          <w:p w14:paraId="3206BEBD">
            <w:pPr>
              <w:widowControl/>
              <w:snapToGrid w:val="0"/>
              <w:spacing w:line="240" w:lineRule="auto"/>
              <w:ind w:firstLine="0" w:firstLineChars="0"/>
              <w:jc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22</w:t>
            </w:r>
          </w:p>
        </w:tc>
        <w:tc>
          <w:tcPr>
            <w:tcW w:w="252" w:type="pct"/>
            <w:tcBorders>
              <w:left w:val="single" w:color="000000" w:sz="4" w:space="0"/>
            </w:tcBorders>
            <w:noWrap w:val="0"/>
            <w:vAlign w:val="center"/>
          </w:tcPr>
          <w:p w14:paraId="42346D61">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ascii="Times New Roman" w:hAnsi="Times New Roman" w:eastAsia="宋体" w:cs="Times New Roman"/>
                <w:color w:val="auto"/>
                <w:kern w:val="0"/>
                <w:sz w:val="21"/>
                <w:szCs w:val="21"/>
                <w:highlight w:val="none"/>
              </w:rPr>
              <w:t>承压水</w:t>
            </w:r>
          </w:p>
        </w:tc>
        <w:tc>
          <w:tcPr>
            <w:tcW w:w="302" w:type="pct"/>
            <w:tcBorders>
              <w:left w:val="single" w:color="000000" w:sz="4" w:space="0"/>
            </w:tcBorders>
            <w:noWrap w:val="0"/>
            <w:vAlign w:val="center"/>
          </w:tcPr>
          <w:p w14:paraId="12642D61">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ascii="Times New Roman" w:hAnsi="Times New Roman" w:cs="Times New Roman"/>
                <w:color w:val="auto"/>
                <w:sz w:val="21"/>
                <w:szCs w:val="21"/>
                <w:highlight w:val="none"/>
                <w:lang w:eastAsia="zh-CN"/>
              </w:rPr>
              <w:t>孔隙水、孔隙—裂隙</w:t>
            </w:r>
            <w:r>
              <w:rPr>
                <w:rFonts w:hint="eastAsia" w:ascii="Times New Roman" w:hAnsi="Times New Roman" w:eastAsia="宋体" w:cs="Times New Roman"/>
                <w:color w:val="auto"/>
                <w:kern w:val="0"/>
                <w:sz w:val="21"/>
                <w:szCs w:val="21"/>
                <w:highlight w:val="none"/>
              </w:rPr>
              <w:t>水</w:t>
            </w:r>
          </w:p>
        </w:tc>
        <w:tc>
          <w:tcPr>
            <w:tcW w:w="275" w:type="pct"/>
            <w:tcBorders>
              <w:left w:val="single" w:color="000000" w:sz="4" w:space="0"/>
            </w:tcBorders>
            <w:noWrap w:val="0"/>
            <w:vAlign w:val="center"/>
          </w:tcPr>
          <w:p w14:paraId="69AB650B">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60</w:t>
            </w:r>
          </w:p>
        </w:tc>
        <w:tc>
          <w:tcPr>
            <w:tcW w:w="275" w:type="pct"/>
            <w:vMerge w:val="restart"/>
            <w:tcBorders>
              <w:left w:val="single" w:color="000000" w:sz="4" w:space="0"/>
            </w:tcBorders>
            <w:noWrap w:val="0"/>
            <w:vAlign w:val="center"/>
          </w:tcPr>
          <w:p w14:paraId="4DADDAD2">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rPr>
            </w:pPr>
            <w:r>
              <w:rPr>
                <w:rFonts w:hint="eastAsia" w:cs="Times New Roman"/>
                <w:color w:val="auto"/>
                <w:kern w:val="0"/>
                <w:sz w:val="21"/>
                <w:szCs w:val="21"/>
                <w:highlight w:val="none"/>
                <w:lang w:val="en-US" w:eastAsia="zh-CN" w:bidi="ar"/>
              </w:rPr>
              <w:t>5200</w:t>
            </w:r>
            <w:r>
              <w:rPr>
                <w:rFonts w:hint="eastAsia" w:ascii="Times New Roman" w:hAnsi="Times New Roman" w:eastAsia="宋体" w:cs="Times New Roman"/>
                <w:color w:val="auto"/>
                <w:kern w:val="0"/>
                <w:sz w:val="21"/>
                <w:szCs w:val="21"/>
                <w:highlight w:val="none"/>
                <w:lang w:val="en-US" w:eastAsia="zh-CN" w:bidi="ar"/>
              </w:rPr>
              <w:t>人</w:t>
            </w:r>
          </w:p>
        </w:tc>
        <w:tc>
          <w:tcPr>
            <w:tcW w:w="357" w:type="pct"/>
            <w:vMerge w:val="restart"/>
            <w:tcBorders>
              <w:left w:val="single" w:color="000000" w:sz="4" w:space="0"/>
            </w:tcBorders>
            <w:noWrap w:val="0"/>
            <w:vAlign w:val="center"/>
          </w:tcPr>
          <w:p w14:paraId="348BFD9D">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rPr>
            </w:pPr>
            <w:r>
              <w:rPr>
                <w:rFonts w:hint="eastAsia"/>
                <w:color w:val="auto"/>
                <w:sz w:val="21"/>
                <w:szCs w:val="21"/>
                <w:highlight w:val="none"/>
                <w:lang w:eastAsia="zh-CN"/>
              </w:rPr>
              <w:t>平安镇内</w:t>
            </w:r>
            <w:r>
              <w:rPr>
                <w:rFonts w:hint="eastAsia" w:cs="Times New Roman"/>
                <w:color w:val="auto"/>
                <w:kern w:val="0"/>
                <w:sz w:val="21"/>
                <w:szCs w:val="21"/>
                <w:highlight w:val="none"/>
                <w:lang w:val="en-US" w:eastAsia="zh-CN" w:bidi="ar"/>
              </w:rPr>
              <w:t>和平村、安平村、升平村、太平村、永平村，共计5个行政村46个自然屯</w:t>
            </w:r>
          </w:p>
        </w:tc>
        <w:tc>
          <w:tcPr>
            <w:tcW w:w="177" w:type="pct"/>
            <w:vMerge w:val="restart"/>
            <w:tcBorders>
              <w:left w:val="single" w:color="000000" w:sz="4" w:space="0"/>
            </w:tcBorders>
            <w:noWrap w:val="0"/>
            <w:vAlign w:val="center"/>
          </w:tcPr>
          <w:p w14:paraId="07CAF640">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eastAsia="zh-CN"/>
              </w:rPr>
            </w:pPr>
            <w:r>
              <w:rPr>
                <w:rFonts w:hint="eastAsia" w:cs="Times New Roman"/>
                <w:color w:val="auto"/>
                <w:kern w:val="0"/>
                <w:sz w:val="21"/>
                <w:szCs w:val="21"/>
                <w:highlight w:val="none"/>
                <w:lang w:eastAsia="zh-CN"/>
              </w:rPr>
              <w:t>平安水厂</w:t>
            </w:r>
          </w:p>
        </w:tc>
        <w:tc>
          <w:tcPr>
            <w:tcW w:w="204" w:type="pct"/>
            <w:vMerge w:val="restart"/>
            <w:tcBorders>
              <w:left w:val="single" w:color="000000" w:sz="4" w:space="0"/>
            </w:tcBorders>
            <w:noWrap w:val="0"/>
            <w:vAlign w:val="center"/>
          </w:tcPr>
          <w:p w14:paraId="6FA01C8C">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color w:val="auto"/>
                <w:sz w:val="21"/>
                <w:szCs w:val="21"/>
                <w:highlight w:val="none"/>
              </w:rPr>
              <w:t>机械曝气</w:t>
            </w:r>
            <w:r>
              <w:rPr>
                <w:rFonts w:hint="eastAsia"/>
                <w:color w:val="auto"/>
                <w:sz w:val="21"/>
                <w:szCs w:val="21"/>
                <w:highlight w:val="none"/>
                <w:lang w:eastAsia="zh-CN"/>
              </w:rPr>
              <w:t>、</w:t>
            </w:r>
            <w:r>
              <w:rPr>
                <w:rFonts w:hint="eastAsia"/>
                <w:color w:val="auto"/>
                <w:sz w:val="21"/>
                <w:szCs w:val="21"/>
                <w:highlight w:val="none"/>
              </w:rPr>
              <w:t>二级除铁除锰</w:t>
            </w:r>
            <w:r>
              <w:rPr>
                <w:rFonts w:hint="eastAsia"/>
                <w:color w:val="auto"/>
                <w:sz w:val="21"/>
                <w:szCs w:val="21"/>
                <w:highlight w:val="none"/>
                <w:lang w:eastAsia="zh-CN"/>
              </w:rPr>
              <w:t>、</w:t>
            </w:r>
            <w:r>
              <w:rPr>
                <w:rFonts w:hint="eastAsia"/>
                <w:color w:val="auto"/>
                <w:sz w:val="21"/>
                <w:szCs w:val="21"/>
                <w:highlight w:val="none"/>
              </w:rPr>
              <w:t>二氧化氯</w:t>
            </w:r>
            <w:r>
              <w:rPr>
                <w:rFonts w:hint="eastAsia"/>
                <w:color w:val="auto"/>
                <w:sz w:val="21"/>
                <w:szCs w:val="21"/>
                <w:highlight w:val="none"/>
                <w:lang w:eastAsia="zh-CN"/>
              </w:rPr>
              <w:t>消毒</w:t>
            </w:r>
          </w:p>
        </w:tc>
      </w:tr>
      <w:tr w14:paraId="123E33A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57" w:type="dxa"/>
            <w:bottom w:w="0" w:type="dxa"/>
            <w:right w:w="57" w:type="dxa"/>
          </w:tblCellMar>
        </w:tblPrEx>
        <w:trPr>
          <w:trHeight w:val="482" w:hRule="atLeast"/>
          <w:jc w:val="center"/>
        </w:trPr>
        <w:tc>
          <w:tcPr>
            <w:tcW w:w="291" w:type="pct"/>
            <w:vMerge w:val="continue"/>
            <w:tcBorders>
              <w:right w:val="single" w:color="000000" w:sz="4" w:space="0"/>
            </w:tcBorders>
            <w:noWrap w:val="0"/>
            <w:vAlign w:val="center"/>
          </w:tcPr>
          <w:p w14:paraId="7DCF3264">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rPr>
            </w:pPr>
          </w:p>
        </w:tc>
        <w:tc>
          <w:tcPr>
            <w:tcW w:w="256" w:type="pct"/>
            <w:tcBorders>
              <w:left w:val="single" w:color="000000" w:sz="4" w:space="0"/>
              <w:right w:val="single" w:color="000000" w:sz="4" w:space="0"/>
            </w:tcBorders>
            <w:shd w:val="clear" w:color="auto" w:fill="auto"/>
            <w:noWrap w:val="0"/>
            <w:vAlign w:val="center"/>
          </w:tcPr>
          <w:p w14:paraId="4466E44D">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rPr>
              <w:t>2#</w:t>
            </w:r>
          </w:p>
        </w:tc>
        <w:tc>
          <w:tcPr>
            <w:tcW w:w="564" w:type="pct"/>
            <w:tcBorders>
              <w:left w:val="single" w:color="000000" w:sz="4" w:space="0"/>
              <w:right w:val="single" w:color="000000" w:sz="4" w:space="0"/>
            </w:tcBorders>
            <w:noWrap w:val="0"/>
            <w:vAlign w:val="center"/>
          </w:tcPr>
          <w:p w14:paraId="4E2B4C84">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127°39'30.1433"</w:t>
            </w:r>
          </w:p>
        </w:tc>
        <w:tc>
          <w:tcPr>
            <w:tcW w:w="526" w:type="pct"/>
            <w:tcBorders>
              <w:left w:val="single" w:color="000000" w:sz="4" w:space="0"/>
              <w:right w:val="single" w:color="000000" w:sz="4" w:space="0"/>
            </w:tcBorders>
            <w:noWrap w:val="0"/>
            <w:vAlign w:val="center"/>
          </w:tcPr>
          <w:p w14:paraId="579F48A7">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46°56'29.5097"</w:t>
            </w:r>
          </w:p>
        </w:tc>
        <w:tc>
          <w:tcPr>
            <w:tcW w:w="198" w:type="pct"/>
            <w:tcBorders>
              <w:left w:val="single" w:color="000000" w:sz="4" w:space="0"/>
              <w:right w:val="single" w:color="000000" w:sz="4" w:space="0"/>
            </w:tcBorders>
            <w:noWrap w:val="0"/>
            <w:vAlign w:val="center"/>
          </w:tcPr>
          <w:p w14:paraId="6358F173">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2022年</w:t>
            </w:r>
          </w:p>
        </w:tc>
        <w:tc>
          <w:tcPr>
            <w:tcW w:w="223" w:type="pct"/>
            <w:tcBorders>
              <w:left w:val="single" w:color="000000" w:sz="4" w:space="0"/>
              <w:right w:val="single" w:color="000000" w:sz="4" w:space="0"/>
            </w:tcBorders>
            <w:noWrap w:val="0"/>
            <w:vAlign w:val="center"/>
          </w:tcPr>
          <w:p w14:paraId="28CA33AB">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cs="Times New Roman"/>
                <w:color w:val="auto"/>
                <w:kern w:val="0"/>
                <w:sz w:val="21"/>
                <w:szCs w:val="21"/>
                <w:highlight w:val="none"/>
                <w:lang w:val="en-US" w:eastAsia="zh-CN"/>
              </w:rPr>
              <w:t>2023年</w:t>
            </w:r>
          </w:p>
        </w:tc>
        <w:tc>
          <w:tcPr>
            <w:tcW w:w="334" w:type="pct"/>
            <w:vMerge w:val="continue"/>
            <w:tcBorders>
              <w:left w:val="single" w:color="000000" w:sz="4" w:space="0"/>
              <w:right w:val="single" w:color="000000" w:sz="4" w:space="0"/>
            </w:tcBorders>
            <w:noWrap w:val="0"/>
            <w:vAlign w:val="center"/>
          </w:tcPr>
          <w:p w14:paraId="1FA1451C">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p>
        </w:tc>
        <w:tc>
          <w:tcPr>
            <w:tcW w:w="240" w:type="pct"/>
            <w:vMerge w:val="continue"/>
            <w:tcBorders>
              <w:left w:val="single" w:color="000000" w:sz="4" w:space="0"/>
              <w:right w:val="single" w:color="000000" w:sz="4" w:space="0"/>
            </w:tcBorders>
            <w:noWrap w:val="0"/>
            <w:vAlign w:val="center"/>
          </w:tcPr>
          <w:p w14:paraId="00A30293">
            <w:pPr>
              <w:widowControl/>
              <w:snapToGrid w:val="0"/>
              <w:spacing w:line="240" w:lineRule="auto"/>
              <w:ind w:firstLine="0" w:firstLineChars="0"/>
              <w:jc w:val="center"/>
              <w:rPr>
                <w:rFonts w:hint="default" w:cs="Times New Roman"/>
                <w:color w:val="auto"/>
                <w:kern w:val="0"/>
                <w:sz w:val="21"/>
                <w:szCs w:val="21"/>
                <w:highlight w:val="none"/>
                <w:lang w:val="en-US" w:eastAsia="zh-CN"/>
              </w:rPr>
            </w:pPr>
          </w:p>
        </w:tc>
        <w:tc>
          <w:tcPr>
            <w:tcW w:w="259" w:type="pct"/>
            <w:tcBorders>
              <w:left w:val="single" w:color="000000" w:sz="4" w:space="0"/>
            </w:tcBorders>
            <w:noWrap w:val="0"/>
            <w:vAlign w:val="center"/>
          </w:tcPr>
          <w:p w14:paraId="6A3CD5D0">
            <w:pPr>
              <w:widowControl/>
              <w:snapToGrid w:val="0"/>
              <w:spacing w:line="240" w:lineRule="auto"/>
              <w:ind w:firstLine="0" w:firstLineChars="0"/>
              <w:jc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11</w:t>
            </w:r>
          </w:p>
        </w:tc>
        <w:tc>
          <w:tcPr>
            <w:tcW w:w="259" w:type="pct"/>
            <w:tcBorders>
              <w:left w:val="single" w:color="000000" w:sz="4" w:space="0"/>
            </w:tcBorders>
            <w:noWrap w:val="0"/>
            <w:vAlign w:val="center"/>
          </w:tcPr>
          <w:p w14:paraId="7F9E0493">
            <w:pPr>
              <w:widowControl/>
              <w:snapToGrid w:val="0"/>
              <w:spacing w:line="240" w:lineRule="auto"/>
              <w:ind w:firstLine="0" w:firstLineChars="0"/>
              <w:jc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26</w:t>
            </w:r>
          </w:p>
        </w:tc>
        <w:tc>
          <w:tcPr>
            <w:tcW w:w="252" w:type="pct"/>
            <w:tcBorders>
              <w:left w:val="single" w:color="000000" w:sz="4" w:space="0"/>
            </w:tcBorders>
            <w:noWrap w:val="0"/>
            <w:vAlign w:val="center"/>
          </w:tcPr>
          <w:p w14:paraId="035155EF">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ascii="Times New Roman" w:hAnsi="Times New Roman" w:eastAsia="宋体" w:cs="Times New Roman"/>
                <w:color w:val="auto"/>
                <w:kern w:val="0"/>
                <w:sz w:val="21"/>
                <w:szCs w:val="21"/>
                <w:highlight w:val="none"/>
              </w:rPr>
              <w:t>承压水</w:t>
            </w:r>
          </w:p>
        </w:tc>
        <w:tc>
          <w:tcPr>
            <w:tcW w:w="302" w:type="pct"/>
            <w:tcBorders>
              <w:left w:val="single" w:color="000000" w:sz="4" w:space="0"/>
            </w:tcBorders>
            <w:noWrap w:val="0"/>
            <w:vAlign w:val="center"/>
          </w:tcPr>
          <w:p w14:paraId="579C8A30">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ascii="Times New Roman" w:hAnsi="Times New Roman" w:cs="Times New Roman"/>
                <w:color w:val="auto"/>
                <w:sz w:val="21"/>
                <w:szCs w:val="21"/>
                <w:highlight w:val="none"/>
                <w:lang w:eastAsia="zh-CN"/>
              </w:rPr>
              <w:t>孔隙水、孔隙—裂隙</w:t>
            </w:r>
            <w:r>
              <w:rPr>
                <w:rFonts w:hint="eastAsia" w:ascii="Times New Roman" w:hAnsi="Times New Roman" w:eastAsia="宋体" w:cs="Times New Roman"/>
                <w:color w:val="auto"/>
                <w:kern w:val="0"/>
                <w:sz w:val="21"/>
                <w:szCs w:val="21"/>
                <w:highlight w:val="none"/>
              </w:rPr>
              <w:t>水</w:t>
            </w:r>
          </w:p>
        </w:tc>
        <w:tc>
          <w:tcPr>
            <w:tcW w:w="275" w:type="pct"/>
            <w:tcBorders>
              <w:left w:val="single" w:color="000000" w:sz="4" w:space="0"/>
            </w:tcBorders>
            <w:noWrap w:val="0"/>
            <w:vAlign w:val="center"/>
          </w:tcPr>
          <w:p w14:paraId="165FAAEE">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60</w:t>
            </w:r>
          </w:p>
        </w:tc>
        <w:tc>
          <w:tcPr>
            <w:tcW w:w="275" w:type="pct"/>
            <w:vMerge w:val="continue"/>
            <w:tcBorders>
              <w:left w:val="single" w:color="000000" w:sz="4" w:space="0"/>
            </w:tcBorders>
            <w:noWrap w:val="0"/>
            <w:vAlign w:val="center"/>
          </w:tcPr>
          <w:p w14:paraId="36EB3A09">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p>
        </w:tc>
        <w:tc>
          <w:tcPr>
            <w:tcW w:w="357" w:type="pct"/>
            <w:vMerge w:val="continue"/>
            <w:tcBorders>
              <w:left w:val="single" w:color="000000" w:sz="4" w:space="0"/>
            </w:tcBorders>
            <w:noWrap w:val="0"/>
            <w:vAlign w:val="center"/>
          </w:tcPr>
          <w:p w14:paraId="04E64FC2">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p>
        </w:tc>
        <w:tc>
          <w:tcPr>
            <w:tcW w:w="177" w:type="pct"/>
            <w:vMerge w:val="continue"/>
            <w:tcBorders>
              <w:left w:val="single" w:color="000000" w:sz="4" w:space="0"/>
            </w:tcBorders>
            <w:noWrap w:val="0"/>
            <w:vAlign w:val="center"/>
          </w:tcPr>
          <w:p w14:paraId="0512567D">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p>
        </w:tc>
        <w:tc>
          <w:tcPr>
            <w:tcW w:w="204" w:type="pct"/>
            <w:vMerge w:val="continue"/>
            <w:tcBorders>
              <w:left w:val="single" w:color="000000" w:sz="4" w:space="0"/>
            </w:tcBorders>
            <w:noWrap w:val="0"/>
            <w:vAlign w:val="center"/>
          </w:tcPr>
          <w:p w14:paraId="0D1597C1">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p>
        </w:tc>
      </w:tr>
    </w:tbl>
    <w:p w14:paraId="0858D2A6">
      <w:pPr>
        <w:ind w:firstLine="470"/>
        <w:rPr>
          <w:color w:val="auto"/>
          <w:highlight w:val="none"/>
        </w:rPr>
        <w:sectPr>
          <w:pgSz w:w="16838" w:h="11905" w:orient="landscape"/>
          <w:pgMar w:top="1474" w:right="1474" w:bottom="1474" w:left="1474" w:header="964" w:footer="992" w:gutter="0"/>
          <w:pgBorders>
            <w:top w:val="none" w:sz="0" w:space="0"/>
            <w:left w:val="none" w:sz="0" w:space="0"/>
            <w:bottom w:val="none" w:sz="0" w:space="0"/>
            <w:right w:val="none" w:sz="0" w:space="0"/>
          </w:pgBorders>
          <w:pgNumType w:fmt="decimal"/>
          <w:cols w:space="720" w:num="1"/>
          <w:docGrid w:type="linesAndChars" w:linePitch="347" w:charSpace="-1024"/>
        </w:sectPr>
      </w:pPr>
    </w:p>
    <w:p w14:paraId="791086D0">
      <w:pPr>
        <w:pStyle w:val="5"/>
        <w:bidi w:val="0"/>
        <w:ind w:firstLine="472" w:firstLineChars="200"/>
        <w:rPr>
          <w:rFonts w:hint="eastAsia" w:ascii="Times New Roman" w:hAnsi="Times New Roman" w:eastAsia="宋体" w:cs="Times New Roman"/>
          <w:color w:val="auto"/>
          <w:kern w:val="2"/>
          <w:sz w:val="24"/>
          <w:szCs w:val="24"/>
          <w:highlight w:val="none"/>
          <w:lang w:val="en-US" w:eastAsia="zh-CN" w:bidi="ar-SA"/>
        </w:rPr>
      </w:pPr>
      <w:bookmarkStart w:id="58" w:name="_Toc19189"/>
      <w:r>
        <w:rPr>
          <w:rFonts w:hint="eastAsia" w:ascii="Times New Roman" w:hAnsi="Times New Roman" w:eastAsia="宋体" w:cs="Times New Roman"/>
          <w:color w:val="auto"/>
          <w:kern w:val="2"/>
          <w:sz w:val="24"/>
          <w:szCs w:val="24"/>
          <w:highlight w:val="none"/>
          <w:lang w:val="en-US" w:eastAsia="zh-CN" w:bidi="ar-SA"/>
        </w:rPr>
        <w:t>（2）管理制度及应急响应能力</w:t>
      </w:r>
    </w:p>
    <w:p w14:paraId="316854FD">
      <w:pPr>
        <w:spacing w:line="360" w:lineRule="auto"/>
        <w:ind w:firstLine="472" w:firstLineChars="200"/>
        <w:rPr>
          <w:rFonts w:hint="eastAsia"/>
          <w:color w:val="auto"/>
          <w:sz w:val="24"/>
          <w:szCs w:val="24"/>
          <w:highlight w:val="none"/>
        </w:rPr>
      </w:pPr>
      <w:r>
        <w:rPr>
          <w:rFonts w:hint="eastAsia"/>
          <w:color w:val="auto"/>
          <w:sz w:val="24"/>
          <w:szCs w:val="24"/>
          <w:highlight w:val="none"/>
          <w:lang w:val="en-US" w:eastAsia="zh-CN"/>
        </w:rPr>
        <w:t>1</w:t>
      </w:r>
      <w:r>
        <w:rPr>
          <w:rFonts w:hint="eastAsia"/>
          <w:color w:val="auto"/>
          <w:sz w:val="24"/>
          <w:szCs w:val="24"/>
          <w:highlight w:val="none"/>
          <w:lang w:eastAsia="zh-CN"/>
        </w:rPr>
        <w:t>）</w:t>
      </w:r>
      <w:r>
        <w:rPr>
          <w:rFonts w:hint="eastAsia" w:ascii="Times New Roman" w:hAnsi="Times New Roman" w:eastAsia="宋体" w:cs="Times New Roman"/>
          <w:color w:val="auto"/>
          <w:kern w:val="0"/>
          <w:sz w:val="24"/>
          <w:szCs w:val="24"/>
          <w:highlight w:val="none"/>
          <w:lang w:val="en-US" w:eastAsia="zh-CN" w:bidi="ar"/>
        </w:rPr>
        <w:t>绥化市庆安县发展乡</w:t>
      </w:r>
      <w:r>
        <w:rPr>
          <w:rFonts w:ascii="Times New Roman" w:hAnsi="Times New Roman" w:eastAsia="宋体" w:cs="Times New Roman"/>
          <w:color w:val="auto"/>
          <w:kern w:val="0"/>
          <w:sz w:val="24"/>
          <w:szCs w:val="24"/>
          <w:highlight w:val="none"/>
          <w:lang w:bidi="ar"/>
        </w:rPr>
        <w:t>饮用水水源地</w:t>
      </w:r>
      <w:r>
        <w:rPr>
          <w:rFonts w:hint="eastAsia"/>
          <w:color w:val="auto"/>
          <w:sz w:val="24"/>
          <w:szCs w:val="24"/>
          <w:highlight w:val="none"/>
        </w:rPr>
        <w:t>：管理部门为</w:t>
      </w:r>
      <w:r>
        <w:rPr>
          <w:rFonts w:hint="eastAsia" w:ascii="Times New Roman" w:hAnsi="Times New Roman" w:eastAsia="宋体" w:cs="Times New Roman"/>
          <w:color w:val="auto"/>
          <w:kern w:val="0"/>
          <w:sz w:val="24"/>
          <w:szCs w:val="24"/>
          <w:highlight w:val="none"/>
          <w:lang w:val="en-US" w:eastAsia="zh-CN" w:bidi="ar"/>
        </w:rPr>
        <w:t>发展乡乡</w:t>
      </w:r>
      <w:r>
        <w:rPr>
          <w:rFonts w:hint="eastAsia" w:eastAsia="宋体"/>
          <w:color w:val="auto"/>
          <w:sz w:val="24"/>
          <w:szCs w:val="24"/>
          <w:highlight w:val="none"/>
          <w:lang w:eastAsia="zh-CN"/>
        </w:rPr>
        <w:t>政府</w:t>
      </w:r>
      <w:r>
        <w:rPr>
          <w:rFonts w:hint="eastAsia"/>
          <w:color w:val="auto"/>
          <w:sz w:val="24"/>
          <w:szCs w:val="24"/>
          <w:highlight w:val="none"/>
        </w:rPr>
        <w:t>，已建立生活饮用水卫生管理制度，已明确管护人员及管理责任，尚未编制突发环境事件应急预案、未建立突发环境事件的应急响应机制。</w:t>
      </w:r>
    </w:p>
    <w:p w14:paraId="7E2A7D3D">
      <w:pPr>
        <w:spacing w:line="360" w:lineRule="auto"/>
        <w:ind w:firstLine="472" w:firstLineChars="200"/>
        <w:rPr>
          <w:rFonts w:hint="eastAsia"/>
          <w:color w:val="auto"/>
          <w:sz w:val="24"/>
          <w:szCs w:val="24"/>
          <w:highlight w:val="none"/>
        </w:rPr>
      </w:pPr>
      <w:r>
        <w:rPr>
          <w:rFonts w:hint="eastAsia"/>
          <w:color w:val="auto"/>
          <w:sz w:val="24"/>
          <w:szCs w:val="24"/>
          <w:highlight w:val="none"/>
          <w:lang w:val="en-US" w:eastAsia="zh-CN"/>
        </w:rPr>
        <w:t>2</w:t>
      </w:r>
      <w:r>
        <w:rPr>
          <w:rFonts w:hint="eastAsia"/>
          <w:color w:val="auto"/>
          <w:sz w:val="24"/>
          <w:szCs w:val="24"/>
          <w:highlight w:val="none"/>
          <w:lang w:eastAsia="zh-CN"/>
        </w:rPr>
        <w:t>）</w:t>
      </w:r>
      <w:r>
        <w:rPr>
          <w:rFonts w:hint="eastAsia" w:ascii="Times New Roman" w:hAnsi="Times New Roman" w:eastAsia="宋体" w:cs="Times New Roman"/>
          <w:color w:val="auto"/>
          <w:kern w:val="0"/>
          <w:sz w:val="24"/>
          <w:szCs w:val="24"/>
          <w:highlight w:val="none"/>
          <w:lang w:val="en-US" w:eastAsia="zh-CN" w:bidi="ar"/>
        </w:rPr>
        <w:t>绥化市庆安县建民乡</w:t>
      </w:r>
      <w:r>
        <w:rPr>
          <w:rFonts w:ascii="Times New Roman" w:hAnsi="Times New Roman" w:eastAsia="宋体" w:cs="Times New Roman"/>
          <w:color w:val="auto"/>
          <w:kern w:val="0"/>
          <w:sz w:val="24"/>
          <w:szCs w:val="24"/>
          <w:highlight w:val="none"/>
          <w:lang w:bidi="ar"/>
        </w:rPr>
        <w:t>饮用水水源地</w:t>
      </w:r>
      <w:r>
        <w:rPr>
          <w:rFonts w:hint="eastAsia"/>
          <w:color w:val="auto"/>
          <w:sz w:val="24"/>
          <w:szCs w:val="24"/>
          <w:highlight w:val="none"/>
        </w:rPr>
        <w:t>：管理部门为</w:t>
      </w:r>
      <w:r>
        <w:rPr>
          <w:rFonts w:hint="eastAsia" w:ascii="Times New Roman" w:hAnsi="Times New Roman" w:eastAsia="宋体" w:cs="Times New Roman"/>
          <w:color w:val="auto"/>
          <w:kern w:val="0"/>
          <w:sz w:val="24"/>
          <w:szCs w:val="24"/>
          <w:highlight w:val="none"/>
          <w:lang w:val="en-US" w:eastAsia="zh-CN" w:bidi="ar"/>
        </w:rPr>
        <w:t>建民乡乡</w:t>
      </w:r>
      <w:r>
        <w:rPr>
          <w:rFonts w:hint="eastAsia" w:eastAsia="宋体"/>
          <w:color w:val="auto"/>
          <w:sz w:val="24"/>
          <w:szCs w:val="24"/>
          <w:highlight w:val="none"/>
          <w:lang w:eastAsia="zh-CN"/>
        </w:rPr>
        <w:t>政府</w:t>
      </w:r>
      <w:r>
        <w:rPr>
          <w:rFonts w:hint="eastAsia"/>
          <w:color w:val="auto"/>
          <w:sz w:val="24"/>
          <w:szCs w:val="24"/>
          <w:highlight w:val="none"/>
        </w:rPr>
        <w:t>，已建立生活饮用水卫生管理制度，已明确管护人员及管理责任，尚未编制突发环境事件应急预案、未建立突发环境事件的应急响应机制。</w:t>
      </w:r>
    </w:p>
    <w:p w14:paraId="6867E383">
      <w:pPr>
        <w:spacing w:line="360" w:lineRule="auto"/>
        <w:ind w:firstLine="472" w:firstLineChars="200"/>
        <w:rPr>
          <w:rFonts w:hint="eastAsia"/>
          <w:color w:val="auto"/>
          <w:sz w:val="24"/>
          <w:szCs w:val="24"/>
          <w:highlight w:val="none"/>
        </w:rPr>
      </w:pPr>
      <w:r>
        <w:rPr>
          <w:rFonts w:hint="eastAsia"/>
          <w:color w:val="auto"/>
          <w:sz w:val="24"/>
          <w:szCs w:val="24"/>
          <w:highlight w:val="none"/>
          <w:lang w:val="en-US" w:eastAsia="zh-CN"/>
        </w:rPr>
        <w:t>3</w:t>
      </w:r>
      <w:r>
        <w:rPr>
          <w:rFonts w:hint="eastAsia"/>
          <w:color w:val="auto"/>
          <w:sz w:val="24"/>
          <w:szCs w:val="24"/>
          <w:highlight w:val="none"/>
          <w:lang w:eastAsia="zh-CN"/>
        </w:rPr>
        <w:t>）</w:t>
      </w:r>
      <w:r>
        <w:rPr>
          <w:rFonts w:hint="eastAsia" w:ascii="Times New Roman" w:hAnsi="Times New Roman" w:eastAsia="宋体" w:cs="Times New Roman"/>
          <w:color w:val="auto"/>
          <w:kern w:val="0"/>
          <w:sz w:val="24"/>
          <w:szCs w:val="24"/>
          <w:highlight w:val="none"/>
          <w:lang w:val="en-US" w:eastAsia="zh-CN" w:bidi="ar"/>
        </w:rPr>
        <w:t>绥化市庆安县同乐镇</w:t>
      </w:r>
      <w:r>
        <w:rPr>
          <w:rFonts w:ascii="Times New Roman" w:hAnsi="Times New Roman" w:eastAsia="宋体" w:cs="Times New Roman"/>
          <w:color w:val="auto"/>
          <w:kern w:val="0"/>
          <w:sz w:val="24"/>
          <w:szCs w:val="24"/>
          <w:highlight w:val="none"/>
          <w:lang w:bidi="ar"/>
        </w:rPr>
        <w:t>饮用水水源地</w:t>
      </w:r>
      <w:r>
        <w:rPr>
          <w:rFonts w:hint="eastAsia"/>
          <w:color w:val="auto"/>
          <w:sz w:val="24"/>
          <w:szCs w:val="24"/>
          <w:highlight w:val="none"/>
        </w:rPr>
        <w:t>：管理部门为</w:t>
      </w:r>
      <w:r>
        <w:rPr>
          <w:rFonts w:hint="eastAsia" w:ascii="Times New Roman" w:hAnsi="Times New Roman" w:eastAsia="宋体" w:cs="Times New Roman"/>
          <w:color w:val="auto"/>
          <w:kern w:val="0"/>
          <w:sz w:val="24"/>
          <w:szCs w:val="24"/>
          <w:highlight w:val="none"/>
          <w:lang w:val="en-US" w:eastAsia="zh-CN" w:bidi="ar"/>
        </w:rPr>
        <w:t>同乐镇镇</w:t>
      </w:r>
      <w:r>
        <w:rPr>
          <w:rFonts w:hint="eastAsia" w:eastAsia="宋体"/>
          <w:color w:val="auto"/>
          <w:sz w:val="24"/>
          <w:szCs w:val="24"/>
          <w:highlight w:val="none"/>
          <w:lang w:eastAsia="zh-CN"/>
        </w:rPr>
        <w:t>政府</w:t>
      </w:r>
      <w:r>
        <w:rPr>
          <w:rFonts w:hint="eastAsia"/>
          <w:color w:val="auto"/>
          <w:sz w:val="24"/>
          <w:szCs w:val="24"/>
          <w:highlight w:val="none"/>
        </w:rPr>
        <w:t>，已建立生活饮用水卫生管理制度，已明确管护人员及管理责任，尚未编制突发环境事件应急预案、未建立突发环境事件的应急响应机制。</w:t>
      </w:r>
    </w:p>
    <w:p w14:paraId="11FCF2CC">
      <w:pPr>
        <w:spacing w:line="360" w:lineRule="auto"/>
        <w:ind w:firstLine="472" w:firstLineChars="200"/>
        <w:rPr>
          <w:rFonts w:hint="eastAsia"/>
          <w:color w:val="auto"/>
          <w:sz w:val="24"/>
          <w:szCs w:val="24"/>
          <w:highlight w:val="none"/>
        </w:rPr>
      </w:pPr>
      <w:r>
        <w:rPr>
          <w:rFonts w:hint="eastAsia"/>
          <w:color w:val="auto"/>
          <w:sz w:val="24"/>
          <w:szCs w:val="24"/>
          <w:highlight w:val="none"/>
          <w:lang w:val="en-US" w:eastAsia="zh-CN"/>
        </w:rPr>
        <w:t>4</w:t>
      </w:r>
      <w:r>
        <w:rPr>
          <w:rFonts w:hint="eastAsia"/>
          <w:color w:val="auto"/>
          <w:sz w:val="24"/>
          <w:szCs w:val="24"/>
          <w:highlight w:val="none"/>
          <w:lang w:eastAsia="zh-CN"/>
        </w:rPr>
        <w:t>）</w:t>
      </w:r>
      <w:r>
        <w:rPr>
          <w:rFonts w:hint="eastAsia" w:ascii="Times New Roman" w:hAnsi="Times New Roman" w:eastAsia="宋体" w:cs="Times New Roman"/>
          <w:color w:val="auto"/>
          <w:kern w:val="0"/>
          <w:sz w:val="24"/>
          <w:szCs w:val="24"/>
          <w:highlight w:val="none"/>
          <w:lang w:val="en-US" w:eastAsia="zh-CN" w:bidi="ar"/>
        </w:rPr>
        <w:t>绥化市庆安县柳河镇饮用水水源地</w:t>
      </w:r>
      <w:r>
        <w:rPr>
          <w:rFonts w:hint="eastAsia"/>
          <w:color w:val="auto"/>
          <w:sz w:val="24"/>
          <w:szCs w:val="24"/>
          <w:highlight w:val="none"/>
        </w:rPr>
        <w:t>：管理部门为</w:t>
      </w:r>
      <w:r>
        <w:rPr>
          <w:rFonts w:hint="eastAsia" w:ascii="Times New Roman" w:hAnsi="Times New Roman" w:eastAsia="宋体" w:cs="Times New Roman"/>
          <w:color w:val="auto"/>
          <w:kern w:val="0"/>
          <w:sz w:val="24"/>
          <w:szCs w:val="24"/>
          <w:highlight w:val="none"/>
          <w:lang w:val="en-US" w:eastAsia="zh-CN" w:bidi="ar"/>
        </w:rPr>
        <w:t>柳河镇镇</w:t>
      </w:r>
      <w:r>
        <w:rPr>
          <w:rFonts w:hint="eastAsia" w:eastAsia="宋体"/>
          <w:color w:val="auto"/>
          <w:sz w:val="24"/>
          <w:szCs w:val="24"/>
          <w:highlight w:val="none"/>
          <w:lang w:eastAsia="zh-CN"/>
        </w:rPr>
        <w:t>政府</w:t>
      </w:r>
      <w:r>
        <w:rPr>
          <w:rFonts w:hint="eastAsia"/>
          <w:color w:val="auto"/>
          <w:sz w:val="24"/>
          <w:szCs w:val="24"/>
          <w:highlight w:val="none"/>
        </w:rPr>
        <w:t>，已建立生活饮用水卫生管理制度，已明确管护人员及管理责任，尚未编制突发环境事件应急预案、未建立突发环境事件的应急响应机制。</w:t>
      </w:r>
    </w:p>
    <w:p w14:paraId="52DEEC8A">
      <w:pPr>
        <w:spacing w:line="360" w:lineRule="auto"/>
        <w:ind w:firstLine="472" w:firstLineChars="200"/>
        <w:rPr>
          <w:color w:val="auto"/>
          <w:sz w:val="24"/>
          <w:szCs w:val="24"/>
          <w:highlight w:val="none"/>
        </w:rPr>
      </w:pPr>
      <w:r>
        <w:rPr>
          <w:rFonts w:hint="eastAsia"/>
          <w:color w:val="auto"/>
          <w:sz w:val="24"/>
          <w:szCs w:val="24"/>
          <w:highlight w:val="none"/>
          <w:lang w:val="en-US" w:eastAsia="zh-CN"/>
        </w:rPr>
        <w:t>5</w:t>
      </w:r>
      <w:r>
        <w:rPr>
          <w:rFonts w:hint="eastAsia"/>
          <w:color w:val="auto"/>
          <w:sz w:val="24"/>
          <w:szCs w:val="24"/>
          <w:highlight w:val="none"/>
          <w:lang w:eastAsia="zh-CN"/>
        </w:rPr>
        <w:t>）</w:t>
      </w:r>
      <w:r>
        <w:rPr>
          <w:rFonts w:hint="eastAsia" w:ascii="Times New Roman" w:hAnsi="Times New Roman" w:eastAsia="宋体" w:cs="Times New Roman"/>
          <w:color w:val="auto"/>
          <w:kern w:val="0"/>
          <w:sz w:val="24"/>
          <w:szCs w:val="24"/>
          <w:highlight w:val="none"/>
          <w:lang w:val="en-US" w:eastAsia="zh-CN" w:bidi="ar"/>
        </w:rPr>
        <w:t>绥化市庆安县柳河镇新强村饮用水水源地</w:t>
      </w:r>
      <w:r>
        <w:rPr>
          <w:rFonts w:hint="eastAsia"/>
          <w:color w:val="auto"/>
          <w:sz w:val="24"/>
          <w:szCs w:val="24"/>
          <w:highlight w:val="none"/>
        </w:rPr>
        <w:t>：管理部门为</w:t>
      </w:r>
      <w:r>
        <w:rPr>
          <w:rFonts w:hint="eastAsia" w:ascii="Times New Roman" w:hAnsi="Times New Roman" w:eastAsia="宋体" w:cs="Times New Roman"/>
          <w:color w:val="auto"/>
          <w:kern w:val="0"/>
          <w:sz w:val="24"/>
          <w:szCs w:val="24"/>
          <w:highlight w:val="none"/>
          <w:lang w:val="en-US" w:eastAsia="zh-CN" w:bidi="ar"/>
        </w:rPr>
        <w:t>柳河镇镇</w:t>
      </w:r>
      <w:r>
        <w:rPr>
          <w:rFonts w:hint="eastAsia" w:eastAsia="宋体"/>
          <w:color w:val="auto"/>
          <w:sz w:val="24"/>
          <w:szCs w:val="24"/>
          <w:highlight w:val="none"/>
          <w:lang w:eastAsia="zh-CN"/>
        </w:rPr>
        <w:t>政府</w:t>
      </w:r>
      <w:r>
        <w:rPr>
          <w:rFonts w:hint="eastAsia"/>
          <w:color w:val="auto"/>
          <w:sz w:val="24"/>
          <w:szCs w:val="24"/>
          <w:highlight w:val="none"/>
        </w:rPr>
        <w:t>，已建立生活饮用水卫生管理制度，已明确管护人员及管理责任，尚未编制突发环境事件应急预案、未建立突发环境事件的应急响应机制。</w:t>
      </w:r>
    </w:p>
    <w:p w14:paraId="76AE5B89">
      <w:pPr>
        <w:spacing w:line="360" w:lineRule="auto"/>
        <w:ind w:firstLine="472" w:firstLineChars="200"/>
        <w:rPr>
          <w:rFonts w:hint="eastAsia"/>
          <w:color w:val="auto"/>
          <w:sz w:val="24"/>
          <w:szCs w:val="24"/>
          <w:highlight w:val="none"/>
        </w:rPr>
      </w:pPr>
      <w:r>
        <w:rPr>
          <w:rFonts w:hint="eastAsia"/>
          <w:color w:val="auto"/>
          <w:sz w:val="24"/>
          <w:szCs w:val="24"/>
          <w:highlight w:val="none"/>
          <w:lang w:val="en-US" w:eastAsia="zh-CN"/>
        </w:rPr>
        <w:t>6</w:t>
      </w:r>
      <w:r>
        <w:rPr>
          <w:rFonts w:hint="eastAsia"/>
          <w:color w:val="auto"/>
          <w:sz w:val="24"/>
          <w:szCs w:val="24"/>
          <w:highlight w:val="none"/>
          <w:lang w:eastAsia="zh-CN"/>
        </w:rPr>
        <w:t>）</w:t>
      </w:r>
      <w:r>
        <w:rPr>
          <w:rFonts w:hint="eastAsia" w:ascii="Times New Roman" w:hAnsi="Times New Roman" w:eastAsia="宋体" w:cs="Times New Roman"/>
          <w:color w:val="auto"/>
          <w:kern w:val="0"/>
          <w:sz w:val="24"/>
          <w:szCs w:val="24"/>
          <w:highlight w:val="none"/>
          <w:lang w:val="en-US" w:eastAsia="zh-CN" w:bidi="ar"/>
        </w:rPr>
        <w:t>绥化市庆安县丰收乡饮用水水源地</w:t>
      </w:r>
      <w:r>
        <w:rPr>
          <w:rFonts w:hint="eastAsia"/>
          <w:color w:val="auto"/>
          <w:sz w:val="24"/>
          <w:szCs w:val="24"/>
          <w:highlight w:val="none"/>
        </w:rPr>
        <w:t>：管理部门为</w:t>
      </w:r>
      <w:r>
        <w:rPr>
          <w:rFonts w:hint="eastAsia" w:cs="Times New Roman"/>
          <w:color w:val="auto"/>
          <w:kern w:val="0"/>
          <w:sz w:val="24"/>
          <w:szCs w:val="24"/>
          <w:highlight w:val="none"/>
          <w:lang w:val="en-US" w:eastAsia="zh-CN" w:bidi="ar"/>
        </w:rPr>
        <w:t>丰收乡</w:t>
      </w:r>
      <w:r>
        <w:rPr>
          <w:rFonts w:hint="eastAsia" w:ascii="Times New Roman" w:hAnsi="Times New Roman" w:eastAsia="宋体" w:cs="Times New Roman"/>
          <w:color w:val="auto"/>
          <w:kern w:val="0"/>
          <w:sz w:val="24"/>
          <w:szCs w:val="24"/>
          <w:highlight w:val="none"/>
          <w:lang w:val="en-US" w:eastAsia="zh-CN" w:bidi="ar"/>
        </w:rPr>
        <w:t>乡</w:t>
      </w:r>
      <w:r>
        <w:rPr>
          <w:rFonts w:hint="eastAsia" w:eastAsia="宋体"/>
          <w:color w:val="auto"/>
          <w:sz w:val="24"/>
          <w:szCs w:val="24"/>
          <w:highlight w:val="none"/>
          <w:lang w:eastAsia="zh-CN"/>
        </w:rPr>
        <w:t>政府</w:t>
      </w:r>
      <w:r>
        <w:rPr>
          <w:rFonts w:hint="eastAsia"/>
          <w:color w:val="auto"/>
          <w:sz w:val="24"/>
          <w:szCs w:val="24"/>
          <w:highlight w:val="none"/>
        </w:rPr>
        <w:t>，已建立生活饮用水卫生管理制度，已明确管护人员及管理责任，尚未编制突发环境事件应急预案、未建立突发环境事件的应急响应机制。</w:t>
      </w:r>
    </w:p>
    <w:p w14:paraId="0FD9D155">
      <w:pPr>
        <w:spacing w:line="360" w:lineRule="auto"/>
        <w:ind w:firstLine="472" w:firstLineChars="200"/>
        <w:rPr>
          <w:rFonts w:hint="eastAsia"/>
          <w:color w:val="auto"/>
          <w:sz w:val="24"/>
          <w:szCs w:val="24"/>
          <w:highlight w:val="none"/>
        </w:rPr>
      </w:pPr>
      <w:r>
        <w:rPr>
          <w:rFonts w:hint="eastAsia"/>
          <w:color w:val="auto"/>
          <w:sz w:val="24"/>
          <w:szCs w:val="24"/>
          <w:highlight w:val="none"/>
          <w:lang w:val="en-US" w:eastAsia="zh-CN"/>
        </w:rPr>
        <w:t>7</w:t>
      </w:r>
      <w:r>
        <w:rPr>
          <w:rFonts w:hint="eastAsia"/>
          <w:color w:val="auto"/>
          <w:sz w:val="24"/>
          <w:szCs w:val="24"/>
          <w:highlight w:val="none"/>
          <w:lang w:eastAsia="zh-CN"/>
        </w:rPr>
        <w:t>）</w:t>
      </w:r>
      <w:r>
        <w:rPr>
          <w:rFonts w:hint="eastAsia" w:cs="Times New Roman"/>
          <w:color w:val="auto"/>
          <w:kern w:val="0"/>
          <w:sz w:val="24"/>
          <w:szCs w:val="24"/>
          <w:highlight w:val="none"/>
          <w:lang w:val="en-US" w:eastAsia="zh-CN" w:bidi="ar"/>
        </w:rPr>
        <w:t>绥化市庆安县</w:t>
      </w:r>
      <w:r>
        <w:rPr>
          <w:rFonts w:hint="eastAsia" w:ascii="Times New Roman" w:hAnsi="Times New Roman" w:eastAsia="宋体" w:cs="Times New Roman"/>
          <w:color w:val="auto"/>
          <w:kern w:val="0"/>
          <w:sz w:val="24"/>
          <w:szCs w:val="24"/>
          <w:highlight w:val="none"/>
          <w:lang w:val="en-US" w:eastAsia="zh-CN" w:bidi="ar"/>
        </w:rPr>
        <w:t>平安镇饮用水水源地</w:t>
      </w:r>
      <w:r>
        <w:rPr>
          <w:rFonts w:hint="eastAsia"/>
          <w:color w:val="auto"/>
          <w:sz w:val="24"/>
          <w:szCs w:val="24"/>
          <w:highlight w:val="none"/>
        </w:rPr>
        <w:t>：管理部门为</w:t>
      </w:r>
      <w:r>
        <w:rPr>
          <w:rFonts w:hint="eastAsia" w:ascii="Times New Roman" w:hAnsi="Times New Roman" w:eastAsia="宋体" w:cs="Times New Roman"/>
          <w:color w:val="auto"/>
          <w:kern w:val="0"/>
          <w:sz w:val="24"/>
          <w:szCs w:val="24"/>
          <w:highlight w:val="none"/>
          <w:lang w:val="en-US" w:eastAsia="zh-CN" w:bidi="ar"/>
        </w:rPr>
        <w:t>平安镇镇</w:t>
      </w:r>
      <w:r>
        <w:rPr>
          <w:rFonts w:hint="eastAsia" w:eastAsia="宋体"/>
          <w:color w:val="auto"/>
          <w:sz w:val="24"/>
          <w:szCs w:val="24"/>
          <w:highlight w:val="none"/>
          <w:lang w:eastAsia="zh-CN"/>
        </w:rPr>
        <w:t>政府</w:t>
      </w:r>
      <w:r>
        <w:rPr>
          <w:rFonts w:hint="eastAsia"/>
          <w:color w:val="auto"/>
          <w:sz w:val="24"/>
          <w:szCs w:val="24"/>
          <w:highlight w:val="none"/>
        </w:rPr>
        <w:t>，已建立生活饮用水卫生管理制度，已明确管护人员及管理责任，尚未编制突发环境事件应急预案、未建立突发环境事件的应急响应机制。</w:t>
      </w:r>
    </w:p>
    <w:p w14:paraId="076F2099">
      <w:pPr>
        <w:pStyle w:val="5"/>
        <w:bidi w:val="0"/>
        <w:ind w:firstLine="472" w:firstLineChars="200"/>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（3）水源服务水厂概况</w:t>
      </w:r>
    </w:p>
    <w:p w14:paraId="0A25B1A1">
      <w:pPr>
        <w:pStyle w:val="6"/>
        <w:bidi w:val="0"/>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1）发展水厂</w:t>
      </w:r>
    </w:p>
    <w:p w14:paraId="663E4AC5">
      <w:pPr>
        <w:ind w:firstLine="470"/>
        <w:rPr>
          <w:rFonts w:hint="eastAsia"/>
          <w:color w:val="auto"/>
          <w:highlight w:val="none"/>
        </w:rPr>
      </w:pPr>
      <w:r>
        <w:rPr>
          <w:rFonts w:hint="eastAsia" w:ascii="Times New Roman" w:hAnsi="Times New Roman" w:eastAsia="宋体" w:cs="Times New Roman"/>
          <w:color w:val="auto"/>
          <w:sz w:val="24"/>
          <w:szCs w:val="24"/>
          <w:highlight w:val="none"/>
          <w:lang w:val="en-US" w:eastAsia="zh-CN"/>
        </w:rPr>
        <w:t>发展水厂</w:t>
      </w:r>
      <w:r>
        <w:rPr>
          <w:rFonts w:hint="eastAsia"/>
          <w:color w:val="auto"/>
          <w:highlight w:val="none"/>
        </w:rPr>
        <w:t>位于黑龙江省</w:t>
      </w:r>
      <w:r>
        <w:rPr>
          <w:rFonts w:hint="eastAsia"/>
          <w:color w:val="auto"/>
          <w:highlight w:val="none"/>
          <w:lang w:eastAsia="zh-CN"/>
        </w:rPr>
        <w:t>绥化市庆安县</w:t>
      </w:r>
      <w:r>
        <w:rPr>
          <w:rFonts w:hint="eastAsia"/>
          <w:color w:val="auto"/>
          <w:sz w:val="24"/>
          <w:highlight w:val="none"/>
        </w:rPr>
        <w:t>发展乡发祥村八部屯</w:t>
      </w:r>
      <w:r>
        <w:rPr>
          <w:rFonts w:hint="eastAsia"/>
          <w:color w:val="auto"/>
          <w:highlight w:val="none"/>
        </w:rPr>
        <w:t>，</w:t>
      </w:r>
      <w:r>
        <w:rPr>
          <w:rFonts w:hint="eastAsia"/>
          <w:color w:val="auto"/>
          <w:szCs w:val="21"/>
          <w:highlight w:val="none"/>
        </w:rPr>
        <w:t>净水厂占地面积2444m</w:t>
      </w:r>
      <w:r>
        <w:rPr>
          <w:rFonts w:hint="eastAsia"/>
          <w:color w:val="auto"/>
          <w:szCs w:val="21"/>
          <w:highlight w:val="none"/>
          <w:vertAlign w:val="superscript"/>
        </w:rPr>
        <w:t>2</w:t>
      </w:r>
      <w:r>
        <w:rPr>
          <w:rFonts w:hint="eastAsia"/>
          <w:color w:val="auto"/>
          <w:szCs w:val="21"/>
          <w:highlight w:val="none"/>
        </w:rPr>
        <w:t>，设置1栋厂房</w:t>
      </w:r>
      <w:r>
        <w:rPr>
          <w:rFonts w:hint="eastAsia"/>
          <w:color w:val="auto"/>
          <w:szCs w:val="21"/>
          <w:highlight w:val="none"/>
          <w:lang w:eastAsia="zh-CN"/>
        </w:rPr>
        <w:t>（</w:t>
      </w:r>
      <w:r>
        <w:rPr>
          <w:rFonts w:hint="eastAsia"/>
          <w:color w:val="auto"/>
          <w:szCs w:val="21"/>
          <w:highlight w:val="none"/>
        </w:rPr>
        <w:t>1层</w:t>
      </w:r>
      <w:r>
        <w:rPr>
          <w:rFonts w:hint="eastAsia"/>
          <w:color w:val="auto"/>
          <w:szCs w:val="21"/>
          <w:highlight w:val="none"/>
          <w:lang w:eastAsia="zh-CN"/>
        </w:rPr>
        <w:t>，</w:t>
      </w:r>
      <w:r>
        <w:rPr>
          <w:rFonts w:hint="eastAsia"/>
          <w:color w:val="auto"/>
          <w:szCs w:val="21"/>
          <w:highlight w:val="none"/>
        </w:rPr>
        <w:t>局部2层</w:t>
      </w:r>
      <w:r>
        <w:rPr>
          <w:rFonts w:hint="eastAsia"/>
          <w:color w:val="auto"/>
          <w:szCs w:val="21"/>
          <w:highlight w:val="none"/>
          <w:lang w:eastAsia="zh-CN"/>
        </w:rPr>
        <w:t>）</w:t>
      </w:r>
      <w:r>
        <w:rPr>
          <w:rFonts w:hint="eastAsia"/>
          <w:color w:val="auto"/>
          <w:szCs w:val="21"/>
          <w:highlight w:val="none"/>
        </w:rPr>
        <w:t>，建筑面积839.62</w:t>
      </w:r>
      <w:r>
        <w:rPr>
          <w:color w:val="auto"/>
          <w:szCs w:val="21"/>
          <w:highlight w:val="none"/>
        </w:rPr>
        <w:t>m</w:t>
      </w:r>
      <w:r>
        <w:rPr>
          <w:color w:val="auto"/>
          <w:szCs w:val="21"/>
          <w:highlight w:val="none"/>
          <w:vertAlign w:val="superscript"/>
        </w:rPr>
        <w:t>2</w:t>
      </w:r>
      <w:r>
        <w:rPr>
          <w:rFonts w:hint="eastAsia"/>
          <w:color w:val="auto"/>
          <w:szCs w:val="21"/>
          <w:highlight w:val="none"/>
        </w:rPr>
        <w:t>，主要用于放置净水设备。净水工艺为：机械曝气→锰砂过滤→次氯酸钠消毒，</w:t>
      </w:r>
      <w:r>
        <w:rPr>
          <w:rFonts w:hint="eastAsia"/>
          <w:color w:val="auto"/>
          <w:szCs w:val="21"/>
          <w:highlight w:val="none"/>
          <w:lang w:eastAsia="zh-CN"/>
        </w:rPr>
        <w:t>净水厂</w:t>
      </w:r>
      <w:r>
        <w:rPr>
          <w:rFonts w:hint="eastAsia"/>
          <w:color w:val="auto"/>
          <w:szCs w:val="21"/>
          <w:highlight w:val="none"/>
        </w:rPr>
        <w:t>供水规模为</w:t>
      </w:r>
      <w:r>
        <w:rPr>
          <w:color w:val="auto"/>
          <w:szCs w:val="21"/>
          <w:highlight w:val="none"/>
        </w:rPr>
        <w:t>2154.15</w:t>
      </w:r>
      <w:r>
        <w:rPr>
          <w:rFonts w:hint="eastAsia"/>
          <w:color w:val="auto"/>
          <w:szCs w:val="21"/>
          <w:highlight w:val="none"/>
        </w:rPr>
        <w:t>m</w:t>
      </w:r>
      <w:r>
        <w:rPr>
          <w:rFonts w:hint="eastAsia"/>
          <w:color w:val="auto"/>
          <w:szCs w:val="21"/>
          <w:highlight w:val="none"/>
          <w:vertAlign w:val="superscript"/>
        </w:rPr>
        <w:t>3</w:t>
      </w:r>
      <w:r>
        <w:rPr>
          <w:rFonts w:hint="eastAsia"/>
          <w:color w:val="auto"/>
          <w:szCs w:val="21"/>
          <w:highlight w:val="none"/>
        </w:rPr>
        <w:t>/d</w:t>
      </w:r>
      <w:r>
        <w:rPr>
          <w:rFonts w:hint="eastAsia"/>
          <w:color w:val="auto"/>
          <w:szCs w:val="21"/>
          <w:highlight w:val="none"/>
          <w:lang w:eastAsia="zh-CN"/>
        </w:rPr>
        <w:t>。</w:t>
      </w:r>
      <w:r>
        <w:rPr>
          <w:rFonts w:hint="eastAsia"/>
          <w:color w:val="auto"/>
          <w:highlight w:val="none"/>
        </w:rPr>
        <w:t>净水厂位置及与取水井位置关系见图2-</w:t>
      </w:r>
      <w:r>
        <w:rPr>
          <w:rFonts w:hint="eastAsia"/>
          <w:color w:val="auto"/>
          <w:highlight w:val="none"/>
          <w:lang w:val="en-US" w:eastAsia="zh-CN"/>
        </w:rPr>
        <w:t>9</w:t>
      </w:r>
      <w:r>
        <w:rPr>
          <w:rFonts w:hint="eastAsia"/>
          <w:color w:val="auto"/>
          <w:highlight w:val="none"/>
        </w:rPr>
        <w:t>。</w:t>
      </w:r>
    </w:p>
    <w:p w14:paraId="0851949C">
      <w:pPr>
        <w:ind w:left="0" w:leftChars="0" w:firstLine="0" w:firstLineChars="0"/>
        <w:jc w:val="center"/>
        <w:rPr>
          <w:rFonts w:hint="eastAsia" w:eastAsia="黑体"/>
          <w:color w:val="auto"/>
          <w:highlight w:val="none"/>
        </w:rPr>
      </w:pPr>
      <w:r>
        <w:rPr>
          <w:color w:val="auto"/>
          <w:highlight w:val="none"/>
        </w:rPr>
        <w:drawing>
          <wp:inline distT="0" distB="0" distL="114300" distR="114300">
            <wp:extent cx="5402580" cy="3844925"/>
            <wp:effectExtent l="9525" t="9525" r="17145" b="12700"/>
            <wp:docPr id="12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7"/>
                    <pic:cNvPicPr>
                      <a:picLocks noChangeAspect="1"/>
                    </pic:cNvPicPr>
                  </pic:nvPicPr>
                  <pic:blipFill>
                    <a:blip r:embed="rId56"/>
                    <a:stretch>
                      <a:fillRect/>
                    </a:stretch>
                  </pic:blipFill>
                  <pic:spPr>
                    <a:xfrm>
                      <a:off x="0" y="0"/>
                      <a:ext cx="5402580" cy="3844925"/>
                    </a:xfrm>
                    <a:prstGeom prst="rect">
                      <a:avLst/>
                    </a:prstGeom>
                    <a:noFill/>
                    <a:ln>
                      <a:solidFill>
                        <a:schemeClr val="tx1"/>
                      </a:solidFill>
                    </a:ln>
                  </pic:spPr>
                </pic:pic>
              </a:graphicData>
            </a:graphic>
          </wp:inline>
        </w:drawing>
      </w:r>
    </w:p>
    <w:p w14:paraId="5CBF51C1">
      <w:pPr>
        <w:ind w:left="0" w:leftChars="0" w:firstLine="0" w:firstLineChars="0"/>
        <w:jc w:val="center"/>
        <w:rPr>
          <w:rFonts w:hint="eastAsia" w:ascii="Times New Roman" w:hAnsi="Times New Roman" w:eastAsia="黑体" w:cs="Times New Roman"/>
          <w:color w:val="auto"/>
          <w:highlight w:val="none"/>
        </w:rPr>
      </w:pPr>
      <w:r>
        <w:rPr>
          <w:rFonts w:hint="eastAsia" w:ascii="Times New Roman" w:hAnsi="Times New Roman" w:eastAsia="黑体" w:cs="Times New Roman"/>
          <w:color w:val="auto"/>
          <w:highlight w:val="none"/>
          <w:lang w:val="en-US" w:eastAsia="zh-CN"/>
        </w:rPr>
        <w:t>图2-</w:t>
      </w:r>
      <w:r>
        <w:rPr>
          <w:rFonts w:hint="eastAsia" w:eastAsia="黑体" w:cs="Times New Roman"/>
          <w:color w:val="auto"/>
          <w:highlight w:val="none"/>
          <w:lang w:val="en-US" w:eastAsia="zh-CN"/>
        </w:rPr>
        <w:t>9</w:t>
      </w:r>
      <w:r>
        <w:rPr>
          <w:rFonts w:hint="eastAsia" w:ascii="Times New Roman" w:hAnsi="Times New Roman" w:eastAsia="黑体" w:cs="Times New Roman"/>
          <w:color w:val="auto"/>
          <w:highlight w:val="none"/>
          <w:lang w:val="en-US" w:eastAsia="zh-CN"/>
        </w:rPr>
        <w:t xml:space="preserve"> 发展乡取水井及净水厂位置关系图</w:t>
      </w:r>
    </w:p>
    <w:p w14:paraId="15DC89F8">
      <w:pPr>
        <w:pStyle w:val="6"/>
        <w:bidi w:val="0"/>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kern w:val="2"/>
          <w:sz w:val="24"/>
          <w:szCs w:val="24"/>
          <w:highlight w:val="none"/>
          <w:lang w:val="en-US" w:eastAsia="zh-CN" w:bidi="ar-SA"/>
        </w:rPr>
        <w:t>2）</w:t>
      </w:r>
      <w:r>
        <w:rPr>
          <w:rFonts w:hint="eastAsia" w:ascii="Times New Roman" w:hAnsi="Times New Roman" w:eastAsia="宋体" w:cs="Times New Roman"/>
          <w:color w:val="auto"/>
          <w:sz w:val="24"/>
          <w:szCs w:val="24"/>
          <w:highlight w:val="none"/>
          <w:lang w:val="en-US" w:eastAsia="zh-CN"/>
        </w:rPr>
        <w:t>建民水厂</w:t>
      </w:r>
    </w:p>
    <w:p w14:paraId="478812DE">
      <w:pPr>
        <w:widowControl w:val="0"/>
        <w:numPr>
          <w:ilvl w:val="0"/>
          <w:numId w:val="0"/>
        </w:numPr>
        <w:spacing w:line="360" w:lineRule="auto"/>
        <w:ind w:firstLine="472" w:firstLineChars="200"/>
        <w:jc w:val="both"/>
        <w:rPr>
          <w:rFonts w:hint="eastAsia"/>
          <w:color w:val="auto"/>
          <w:highlight w:val="none"/>
        </w:rPr>
      </w:pPr>
      <w:r>
        <w:rPr>
          <w:rFonts w:hint="eastAsia" w:ascii="Times New Roman" w:hAnsi="Times New Roman" w:eastAsia="宋体" w:cs="Times New Roman"/>
          <w:color w:val="auto"/>
          <w:sz w:val="24"/>
          <w:szCs w:val="24"/>
          <w:highlight w:val="none"/>
          <w:lang w:val="en-US" w:eastAsia="zh-CN"/>
        </w:rPr>
        <w:t>建民水厂</w:t>
      </w:r>
      <w:r>
        <w:rPr>
          <w:rFonts w:hint="eastAsia"/>
          <w:color w:val="auto"/>
          <w:highlight w:val="none"/>
        </w:rPr>
        <w:t>位于黑龙江省</w:t>
      </w:r>
      <w:r>
        <w:rPr>
          <w:rFonts w:hint="eastAsia"/>
          <w:color w:val="auto"/>
          <w:highlight w:val="none"/>
          <w:lang w:eastAsia="zh-CN"/>
        </w:rPr>
        <w:t>绥化市庆安县</w:t>
      </w:r>
      <w:r>
        <w:rPr>
          <w:rFonts w:hint="eastAsia" w:ascii="Times New Roman" w:hAnsi="Times New Roman" w:eastAsia="宋体" w:cs="Times New Roman"/>
          <w:color w:val="auto"/>
          <w:sz w:val="24"/>
          <w:szCs w:val="24"/>
          <w:highlight w:val="none"/>
          <w:lang w:val="en-US" w:eastAsia="zh-CN"/>
        </w:rPr>
        <w:t>建民乡</w:t>
      </w:r>
      <w:r>
        <w:rPr>
          <w:rFonts w:hint="eastAsia"/>
          <w:color w:val="auto"/>
          <w:sz w:val="24"/>
          <w:highlight w:val="none"/>
        </w:rPr>
        <w:t>建功村村委会</w:t>
      </w:r>
      <w:r>
        <w:rPr>
          <w:rFonts w:hint="eastAsia"/>
          <w:color w:val="auto"/>
          <w:highlight w:val="none"/>
        </w:rPr>
        <w:t>，</w:t>
      </w:r>
      <w:r>
        <w:rPr>
          <w:rFonts w:hint="eastAsia"/>
          <w:color w:val="auto"/>
          <w:szCs w:val="21"/>
          <w:highlight w:val="none"/>
        </w:rPr>
        <w:t>净水厂占地面积1100m</w:t>
      </w:r>
      <w:r>
        <w:rPr>
          <w:rFonts w:hint="eastAsia"/>
          <w:color w:val="auto"/>
          <w:szCs w:val="21"/>
          <w:highlight w:val="none"/>
          <w:vertAlign w:val="superscript"/>
        </w:rPr>
        <w:t>2</w:t>
      </w:r>
      <w:r>
        <w:rPr>
          <w:rFonts w:hint="eastAsia"/>
          <w:color w:val="auto"/>
          <w:szCs w:val="21"/>
          <w:highlight w:val="none"/>
        </w:rPr>
        <w:t>，设置1栋厂房</w:t>
      </w:r>
      <w:r>
        <w:rPr>
          <w:rFonts w:hint="eastAsia"/>
          <w:color w:val="auto"/>
          <w:szCs w:val="21"/>
          <w:highlight w:val="none"/>
          <w:lang w:eastAsia="zh-CN"/>
        </w:rPr>
        <w:t>（</w:t>
      </w:r>
      <w:r>
        <w:rPr>
          <w:rFonts w:hint="eastAsia"/>
          <w:color w:val="auto"/>
          <w:szCs w:val="21"/>
          <w:highlight w:val="none"/>
        </w:rPr>
        <w:t>1层</w:t>
      </w:r>
      <w:r>
        <w:rPr>
          <w:rFonts w:hint="eastAsia"/>
          <w:color w:val="auto"/>
          <w:szCs w:val="21"/>
          <w:highlight w:val="none"/>
          <w:lang w:eastAsia="zh-CN"/>
        </w:rPr>
        <w:t>，</w:t>
      </w:r>
      <w:r>
        <w:rPr>
          <w:rFonts w:hint="eastAsia"/>
          <w:color w:val="auto"/>
          <w:szCs w:val="21"/>
          <w:highlight w:val="none"/>
        </w:rPr>
        <w:t>局部2层</w:t>
      </w:r>
      <w:r>
        <w:rPr>
          <w:rFonts w:hint="eastAsia"/>
          <w:color w:val="auto"/>
          <w:szCs w:val="21"/>
          <w:highlight w:val="none"/>
          <w:lang w:eastAsia="zh-CN"/>
        </w:rPr>
        <w:t>）</w:t>
      </w:r>
      <w:r>
        <w:rPr>
          <w:rFonts w:hint="eastAsia"/>
          <w:color w:val="auto"/>
          <w:szCs w:val="21"/>
          <w:highlight w:val="none"/>
        </w:rPr>
        <w:t>，建筑面积839.62</w:t>
      </w:r>
      <w:r>
        <w:rPr>
          <w:color w:val="auto"/>
          <w:szCs w:val="21"/>
          <w:highlight w:val="none"/>
        </w:rPr>
        <w:t>m</w:t>
      </w:r>
      <w:r>
        <w:rPr>
          <w:color w:val="auto"/>
          <w:szCs w:val="21"/>
          <w:highlight w:val="none"/>
          <w:vertAlign w:val="superscript"/>
        </w:rPr>
        <w:t>2</w:t>
      </w:r>
      <w:r>
        <w:rPr>
          <w:rFonts w:hint="eastAsia"/>
          <w:color w:val="auto"/>
          <w:szCs w:val="21"/>
          <w:highlight w:val="none"/>
        </w:rPr>
        <w:t>，主要用于放置净水设备。净水工艺为：机械曝气→锰砂过滤→次氯酸钠消毒，</w:t>
      </w:r>
      <w:r>
        <w:rPr>
          <w:rFonts w:hint="eastAsia"/>
          <w:color w:val="auto"/>
          <w:szCs w:val="21"/>
          <w:highlight w:val="none"/>
          <w:lang w:eastAsia="zh-CN"/>
        </w:rPr>
        <w:t>净水厂</w:t>
      </w:r>
      <w:r>
        <w:rPr>
          <w:rFonts w:hint="eastAsia"/>
          <w:color w:val="auto"/>
          <w:szCs w:val="21"/>
          <w:highlight w:val="none"/>
        </w:rPr>
        <w:t>供水规模为</w:t>
      </w:r>
      <w:r>
        <w:rPr>
          <w:color w:val="auto"/>
          <w:szCs w:val="21"/>
          <w:highlight w:val="none"/>
        </w:rPr>
        <w:t>1414.79</w:t>
      </w:r>
      <w:r>
        <w:rPr>
          <w:rFonts w:hint="eastAsia"/>
          <w:color w:val="auto"/>
          <w:szCs w:val="21"/>
          <w:highlight w:val="none"/>
        </w:rPr>
        <w:t>m</w:t>
      </w:r>
      <w:r>
        <w:rPr>
          <w:rFonts w:hint="eastAsia"/>
          <w:color w:val="auto"/>
          <w:szCs w:val="21"/>
          <w:highlight w:val="none"/>
          <w:vertAlign w:val="superscript"/>
        </w:rPr>
        <w:t>3</w:t>
      </w:r>
      <w:r>
        <w:rPr>
          <w:rFonts w:hint="eastAsia"/>
          <w:color w:val="auto"/>
          <w:szCs w:val="21"/>
          <w:highlight w:val="none"/>
        </w:rPr>
        <w:t>/d</w:t>
      </w:r>
      <w:r>
        <w:rPr>
          <w:rFonts w:hint="eastAsia"/>
          <w:color w:val="auto"/>
          <w:szCs w:val="21"/>
          <w:highlight w:val="none"/>
          <w:lang w:eastAsia="zh-CN"/>
        </w:rPr>
        <w:t>。</w:t>
      </w:r>
      <w:r>
        <w:rPr>
          <w:rFonts w:hint="eastAsia"/>
          <w:color w:val="auto"/>
          <w:highlight w:val="none"/>
        </w:rPr>
        <w:t>净水厂位置及与取水井位置关系见图2-1</w:t>
      </w:r>
      <w:r>
        <w:rPr>
          <w:rFonts w:hint="eastAsia"/>
          <w:color w:val="auto"/>
          <w:highlight w:val="none"/>
          <w:lang w:val="en-US" w:eastAsia="zh-CN"/>
        </w:rPr>
        <w:t>0</w:t>
      </w:r>
      <w:r>
        <w:rPr>
          <w:rFonts w:hint="eastAsia"/>
          <w:color w:val="auto"/>
          <w:highlight w:val="none"/>
        </w:rPr>
        <w:t>。</w:t>
      </w:r>
    </w:p>
    <w:p w14:paraId="026EEC5F">
      <w:pPr>
        <w:ind w:left="0" w:leftChars="0" w:firstLine="0" w:firstLineChars="0"/>
        <w:jc w:val="center"/>
        <w:rPr>
          <w:rFonts w:hint="eastAsia" w:eastAsia="黑体"/>
          <w:color w:val="auto"/>
          <w:highlight w:val="none"/>
        </w:rPr>
      </w:pPr>
      <w:r>
        <w:rPr>
          <w:color w:val="auto"/>
          <w:highlight w:val="none"/>
        </w:rPr>
        <w:drawing>
          <wp:inline distT="0" distB="0" distL="114300" distR="114300">
            <wp:extent cx="4763135" cy="4455160"/>
            <wp:effectExtent l="9525" t="9525" r="27940" b="12065"/>
            <wp:docPr id="2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
                    <pic:cNvPicPr>
                      <a:picLocks noChangeAspect="1"/>
                    </pic:cNvPicPr>
                  </pic:nvPicPr>
                  <pic:blipFill>
                    <a:blip r:embed="rId57"/>
                    <a:stretch>
                      <a:fillRect/>
                    </a:stretch>
                  </pic:blipFill>
                  <pic:spPr>
                    <a:xfrm>
                      <a:off x="0" y="0"/>
                      <a:ext cx="4763135" cy="4455160"/>
                    </a:xfrm>
                    <a:prstGeom prst="rect">
                      <a:avLst/>
                    </a:prstGeom>
                    <a:noFill/>
                    <a:ln>
                      <a:solidFill>
                        <a:schemeClr val="tx1"/>
                      </a:solidFill>
                    </a:ln>
                  </pic:spPr>
                </pic:pic>
              </a:graphicData>
            </a:graphic>
          </wp:inline>
        </w:drawing>
      </w:r>
    </w:p>
    <w:p w14:paraId="3A7F5559">
      <w:pPr>
        <w:ind w:left="0" w:leftChars="0" w:firstLine="0" w:firstLineChars="0"/>
        <w:jc w:val="center"/>
        <w:rPr>
          <w:rFonts w:hint="eastAsia" w:ascii="Times New Roman" w:hAnsi="Times New Roman" w:eastAsia="黑体" w:cs="Times New Roman"/>
          <w:color w:val="auto"/>
          <w:highlight w:val="none"/>
          <w:lang w:val="en-US" w:eastAsia="zh-CN"/>
        </w:rPr>
      </w:pPr>
      <w:r>
        <w:rPr>
          <w:rFonts w:hint="eastAsia" w:ascii="Times New Roman" w:hAnsi="Times New Roman" w:eastAsia="黑体" w:cs="Times New Roman"/>
          <w:color w:val="auto"/>
          <w:highlight w:val="none"/>
          <w:lang w:val="en-US" w:eastAsia="zh-CN"/>
        </w:rPr>
        <w:t>图2-</w:t>
      </w:r>
      <w:r>
        <w:rPr>
          <w:rFonts w:hint="eastAsia" w:eastAsia="黑体" w:cs="Times New Roman"/>
          <w:color w:val="auto"/>
          <w:highlight w:val="none"/>
          <w:lang w:val="en-US" w:eastAsia="zh-CN"/>
        </w:rPr>
        <w:t>10</w:t>
      </w:r>
      <w:r>
        <w:rPr>
          <w:rFonts w:hint="eastAsia" w:ascii="Times New Roman" w:hAnsi="Times New Roman" w:eastAsia="黑体" w:cs="Times New Roman"/>
          <w:color w:val="auto"/>
          <w:highlight w:val="none"/>
          <w:lang w:val="en-US" w:eastAsia="zh-CN"/>
        </w:rPr>
        <w:t xml:space="preserve"> 建民乡取水井及净水厂位置关系图</w:t>
      </w:r>
    </w:p>
    <w:p w14:paraId="6C151D7D">
      <w:pPr>
        <w:pStyle w:val="6"/>
        <w:bidi w:val="0"/>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kern w:val="2"/>
          <w:sz w:val="24"/>
          <w:szCs w:val="24"/>
          <w:highlight w:val="none"/>
          <w:lang w:val="en-US" w:eastAsia="zh-CN" w:bidi="ar-SA"/>
        </w:rPr>
        <w:t>3）</w:t>
      </w:r>
      <w:r>
        <w:rPr>
          <w:rFonts w:hint="eastAsia" w:ascii="Times New Roman" w:hAnsi="Times New Roman" w:eastAsia="宋体" w:cs="Times New Roman"/>
          <w:color w:val="auto"/>
          <w:sz w:val="24"/>
          <w:szCs w:val="24"/>
          <w:highlight w:val="none"/>
          <w:lang w:val="en-US" w:eastAsia="zh-CN"/>
        </w:rPr>
        <w:t>同乐水厂</w:t>
      </w:r>
    </w:p>
    <w:p w14:paraId="05C31D35">
      <w:pPr>
        <w:widowControl w:val="0"/>
        <w:numPr>
          <w:ilvl w:val="0"/>
          <w:numId w:val="0"/>
        </w:numPr>
        <w:spacing w:line="360" w:lineRule="auto"/>
        <w:ind w:firstLine="472" w:firstLineChars="200"/>
        <w:jc w:val="both"/>
        <w:rPr>
          <w:rFonts w:hint="eastAsia"/>
          <w:color w:val="auto"/>
          <w:highlight w:val="none"/>
        </w:rPr>
      </w:pPr>
      <w:r>
        <w:rPr>
          <w:rFonts w:hint="eastAsia" w:ascii="Times New Roman" w:hAnsi="Times New Roman" w:eastAsia="宋体" w:cs="Times New Roman"/>
          <w:color w:val="auto"/>
          <w:sz w:val="24"/>
          <w:szCs w:val="24"/>
          <w:highlight w:val="none"/>
          <w:lang w:val="en-US" w:eastAsia="zh-CN"/>
        </w:rPr>
        <w:t>同乐水厂</w:t>
      </w:r>
      <w:r>
        <w:rPr>
          <w:rFonts w:hint="eastAsia"/>
          <w:color w:val="auto"/>
          <w:highlight w:val="none"/>
        </w:rPr>
        <w:t>位于黑龙江省</w:t>
      </w:r>
      <w:r>
        <w:rPr>
          <w:rFonts w:hint="eastAsia"/>
          <w:color w:val="auto"/>
          <w:highlight w:val="none"/>
          <w:lang w:eastAsia="zh-CN"/>
        </w:rPr>
        <w:t>绥化市庆安县</w:t>
      </w:r>
      <w:r>
        <w:rPr>
          <w:rFonts w:hint="eastAsia"/>
          <w:color w:val="auto"/>
          <w:sz w:val="24"/>
          <w:highlight w:val="none"/>
        </w:rPr>
        <w:t>同乐镇同庆村东升河</w:t>
      </w:r>
      <w:r>
        <w:rPr>
          <w:rFonts w:hint="eastAsia"/>
          <w:color w:val="auto"/>
          <w:highlight w:val="none"/>
          <w:lang w:eastAsia="zh-CN"/>
        </w:rPr>
        <w:t>屯</w:t>
      </w:r>
      <w:r>
        <w:rPr>
          <w:rFonts w:hint="eastAsia"/>
          <w:color w:val="auto"/>
          <w:sz w:val="24"/>
          <w:highlight w:val="none"/>
          <w:lang w:eastAsia="zh-CN"/>
        </w:rPr>
        <w:t>，</w:t>
      </w:r>
      <w:r>
        <w:rPr>
          <w:rFonts w:hint="eastAsia"/>
          <w:color w:val="auto"/>
          <w:szCs w:val="21"/>
          <w:highlight w:val="none"/>
        </w:rPr>
        <w:t>净水厂占地面积2444m</w:t>
      </w:r>
      <w:r>
        <w:rPr>
          <w:rFonts w:hint="eastAsia"/>
          <w:color w:val="auto"/>
          <w:szCs w:val="21"/>
          <w:highlight w:val="none"/>
          <w:vertAlign w:val="superscript"/>
        </w:rPr>
        <w:t>2</w:t>
      </w:r>
      <w:r>
        <w:rPr>
          <w:rFonts w:hint="eastAsia"/>
          <w:color w:val="auto"/>
          <w:szCs w:val="21"/>
          <w:highlight w:val="none"/>
        </w:rPr>
        <w:t>，设置1栋厂房</w:t>
      </w:r>
      <w:r>
        <w:rPr>
          <w:rFonts w:hint="eastAsia"/>
          <w:color w:val="auto"/>
          <w:szCs w:val="21"/>
          <w:highlight w:val="none"/>
          <w:lang w:eastAsia="zh-CN"/>
        </w:rPr>
        <w:t>（</w:t>
      </w:r>
      <w:r>
        <w:rPr>
          <w:rFonts w:hint="eastAsia"/>
          <w:color w:val="auto"/>
          <w:szCs w:val="21"/>
          <w:highlight w:val="none"/>
        </w:rPr>
        <w:t>1层</w:t>
      </w:r>
      <w:r>
        <w:rPr>
          <w:rFonts w:hint="eastAsia"/>
          <w:color w:val="auto"/>
          <w:szCs w:val="21"/>
          <w:highlight w:val="none"/>
          <w:lang w:eastAsia="zh-CN"/>
        </w:rPr>
        <w:t>，</w:t>
      </w:r>
      <w:r>
        <w:rPr>
          <w:rFonts w:hint="eastAsia"/>
          <w:color w:val="auto"/>
          <w:szCs w:val="21"/>
          <w:highlight w:val="none"/>
        </w:rPr>
        <w:t>局部2层</w:t>
      </w:r>
      <w:r>
        <w:rPr>
          <w:rFonts w:hint="eastAsia"/>
          <w:color w:val="auto"/>
          <w:szCs w:val="21"/>
          <w:highlight w:val="none"/>
          <w:lang w:eastAsia="zh-CN"/>
        </w:rPr>
        <w:t>）</w:t>
      </w:r>
      <w:r>
        <w:rPr>
          <w:rFonts w:hint="eastAsia"/>
          <w:color w:val="auto"/>
          <w:szCs w:val="21"/>
          <w:highlight w:val="none"/>
        </w:rPr>
        <w:t>，建筑面积839.62</w:t>
      </w:r>
      <w:r>
        <w:rPr>
          <w:color w:val="auto"/>
          <w:szCs w:val="21"/>
          <w:highlight w:val="none"/>
        </w:rPr>
        <w:t>m</w:t>
      </w:r>
      <w:r>
        <w:rPr>
          <w:color w:val="auto"/>
          <w:szCs w:val="21"/>
          <w:highlight w:val="none"/>
          <w:vertAlign w:val="superscript"/>
        </w:rPr>
        <w:t>2</w:t>
      </w:r>
      <w:r>
        <w:rPr>
          <w:rFonts w:hint="eastAsia"/>
          <w:color w:val="auto"/>
          <w:szCs w:val="21"/>
          <w:highlight w:val="none"/>
        </w:rPr>
        <w:t>，主要用于放置净水设备。净水工艺为：机械曝气→锰砂过滤→次氯酸钠消毒，</w:t>
      </w:r>
      <w:r>
        <w:rPr>
          <w:rFonts w:hint="eastAsia"/>
          <w:color w:val="auto"/>
          <w:szCs w:val="21"/>
          <w:highlight w:val="none"/>
          <w:lang w:eastAsia="zh-CN"/>
        </w:rPr>
        <w:t>净水厂</w:t>
      </w:r>
      <w:r>
        <w:rPr>
          <w:rFonts w:hint="eastAsia"/>
          <w:color w:val="auto"/>
          <w:szCs w:val="21"/>
          <w:highlight w:val="none"/>
        </w:rPr>
        <w:t>供水规模为</w:t>
      </w:r>
      <w:r>
        <w:rPr>
          <w:color w:val="auto"/>
          <w:szCs w:val="21"/>
          <w:highlight w:val="none"/>
        </w:rPr>
        <w:t>1768.53</w:t>
      </w:r>
      <w:r>
        <w:rPr>
          <w:rFonts w:hint="eastAsia"/>
          <w:color w:val="auto"/>
          <w:szCs w:val="21"/>
          <w:highlight w:val="none"/>
        </w:rPr>
        <w:t>m</w:t>
      </w:r>
      <w:r>
        <w:rPr>
          <w:rFonts w:hint="eastAsia"/>
          <w:color w:val="auto"/>
          <w:szCs w:val="21"/>
          <w:highlight w:val="none"/>
          <w:vertAlign w:val="superscript"/>
        </w:rPr>
        <w:t>3</w:t>
      </w:r>
      <w:r>
        <w:rPr>
          <w:rFonts w:hint="eastAsia"/>
          <w:color w:val="auto"/>
          <w:szCs w:val="21"/>
          <w:highlight w:val="none"/>
        </w:rPr>
        <w:t>/d</w:t>
      </w:r>
      <w:r>
        <w:rPr>
          <w:rFonts w:hint="eastAsia"/>
          <w:color w:val="auto"/>
          <w:szCs w:val="21"/>
          <w:highlight w:val="none"/>
          <w:lang w:eastAsia="zh-CN"/>
        </w:rPr>
        <w:t>。</w:t>
      </w:r>
      <w:r>
        <w:rPr>
          <w:rFonts w:hint="eastAsia"/>
          <w:color w:val="auto"/>
          <w:highlight w:val="none"/>
        </w:rPr>
        <w:t>净水厂位置及与取水井位置关系见图2-</w:t>
      </w:r>
      <w:r>
        <w:rPr>
          <w:rFonts w:hint="eastAsia"/>
          <w:color w:val="auto"/>
          <w:highlight w:val="none"/>
          <w:lang w:val="en-US" w:eastAsia="zh-CN"/>
        </w:rPr>
        <w:t>11</w:t>
      </w:r>
      <w:r>
        <w:rPr>
          <w:rFonts w:hint="eastAsia"/>
          <w:color w:val="auto"/>
          <w:highlight w:val="none"/>
        </w:rPr>
        <w:t>。</w:t>
      </w:r>
    </w:p>
    <w:p w14:paraId="6D28D421">
      <w:pPr>
        <w:ind w:left="0" w:leftChars="0" w:firstLine="0" w:firstLineChars="0"/>
        <w:jc w:val="center"/>
        <w:rPr>
          <w:rFonts w:hint="eastAsia" w:eastAsia="黑体"/>
          <w:color w:val="auto"/>
          <w:highlight w:val="none"/>
        </w:rPr>
      </w:pPr>
      <w:r>
        <w:rPr>
          <w:color w:val="auto"/>
          <w:highlight w:val="none"/>
        </w:rPr>
        <w:drawing>
          <wp:inline distT="0" distB="0" distL="114300" distR="114300">
            <wp:extent cx="4881880" cy="3907155"/>
            <wp:effectExtent l="9525" t="9525" r="23495" b="26670"/>
            <wp:docPr id="2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4"/>
                    <pic:cNvPicPr>
                      <a:picLocks noChangeAspect="1"/>
                    </pic:cNvPicPr>
                  </pic:nvPicPr>
                  <pic:blipFill>
                    <a:blip r:embed="rId58"/>
                    <a:stretch>
                      <a:fillRect/>
                    </a:stretch>
                  </pic:blipFill>
                  <pic:spPr>
                    <a:xfrm>
                      <a:off x="0" y="0"/>
                      <a:ext cx="4881880" cy="3907155"/>
                    </a:xfrm>
                    <a:prstGeom prst="rect">
                      <a:avLst/>
                    </a:prstGeom>
                    <a:noFill/>
                    <a:ln>
                      <a:solidFill>
                        <a:schemeClr val="tx1"/>
                      </a:solidFill>
                    </a:ln>
                  </pic:spPr>
                </pic:pic>
              </a:graphicData>
            </a:graphic>
          </wp:inline>
        </w:drawing>
      </w:r>
    </w:p>
    <w:p w14:paraId="2AA42C98">
      <w:pPr>
        <w:ind w:left="0" w:leftChars="0" w:firstLine="0" w:firstLineChars="0"/>
        <w:jc w:val="center"/>
        <w:rPr>
          <w:rFonts w:hint="eastAsia" w:ascii="Times New Roman" w:hAnsi="Times New Roman" w:eastAsia="黑体" w:cs="Times New Roman"/>
          <w:color w:val="auto"/>
          <w:highlight w:val="none"/>
          <w:lang w:val="en-US" w:eastAsia="zh-CN"/>
        </w:rPr>
      </w:pPr>
      <w:r>
        <w:rPr>
          <w:rFonts w:hint="eastAsia" w:ascii="Times New Roman" w:hAnsi="Times New Roman" w:eastAsia="黑体" w:cs="Times New Roman"/>
          <w:color w:val="auto"/>
          <w:highlight w:val="none"/>
          <w:lang w:val="en-US" w:eastAsia="zh-CN"/>
        </w:rPr>
        <w:t>图2-</w:t>
      </w:r>
      <w:r>
        <w:rPr>
          <w:rFonts w:hint="eastAsia" w:eastAsia="黑体" w:cs="Times New Roman"/>
          <w:color w:val="auto"/>
          <w:highlight w:val="none"/>
          <w:lang w:val="en-US" w:eastAsia="zh-CN"/>
        </w:rPr>
        <w:t>11</w:t>
      </w:r>
      <w:r>
        <w:rPr>
          <w:rFonts w:hint="eastAsia" w:ascii="Times New Roman" w:hAnsi="Times New Roman" w:eastAsia="黑体" w:cs="Times New Roman"/>
          <w:color w:val="auto"/>
          <w:highlight w:val="none"/>
          <w:lang w:val="en-US" w:eastAsia="zh-CN"/>
        </w:rPr>
        <w:t xml:space="preserve"> 同乐镇取水井及净水厂位置关系图</w:t>
      </w:r>
    </w:p>
    <w:p w14:paraId="40BDEB42">
      <w:pPr>
        <w:pStyle w:val="6"/>
        <w:bidi w:val="0"/>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4）新宏水厂</w:t>
      </w:r>
    </w:p>
    <w:p w14:paraId="792A0CE2">
      <w:pPr>
        <w:widowControl w:val="0"/>
        <w:numPr>
          <w:ilvl w:val="0"/>
          <w:numId w:val="0"/>
        </w:numPr>
        <w:spacing w:line="360" w:lineRule="auto"/>
        <w:ind w:firstLine="472" w:firstLineChars="200"/>
        <w:jc w:val="both"/>
        <w:rPr>
          <w:rFonts w:hint="eastAsia"/>
          <w:color w:val="auto"/>
          <w:highlight w:val="none"/>
        </w:rPr>
      </w:pPr>
      <w:r>
        <w:rPr>
          <w:rFonts w:hint="eastAsia" w:ascii="Times New Roman" w:hAnsi="Times New Roman" w:eastAsia="宋体" w:cs="Times New Roman"/>
          <w:color w:val="auto"/>
          <w:sz w:val="24"/>
          <w:szCs w:val="24"/>
          <w:highlight w:val="none"/>
          <w:lang w:val="en-US" w:eastAsia="zh-CN"/>
        </w:rPr>
        <w:t>新宏水厂</w:t>
      </w:r>
      <w:r>
        <w:rPr>
          <w:rFonts w:hint="eastAsia"/>
          <w:color w:val="auto"/>
          <w:highlight w:val="none"/>
        </w:rPr>
        <w:t>位于黑龙江省</w:t>
      </w:r>
      <w:r>
        <w:rPr>
          <w:rFonts w:hint="eastAsia"/>
          <w:color w:val="auto"/>
          <w:highlight w:val="none"/>
          <w:lang w:eastAsia="zh-CN"/>
        </w:rPr>
        <w:t>绥化市庆安县柳河镇新宏村</w:t>
      </w:r>
      <w:r>
        <w:rPr>
          <w:rFonts w:hint="eastAsia"/>
          <w:color w:val="auto"/>
          <w:sz w:val="24"/>
          <w:highlight w:val="none"/>
        </w:rPr>
        <w:t>史家店屯</w:t>
      </w:r>
      <w:r>
        <w:rPr>
          <w:rFonts w:hint="eastAsia"/>
          <w:color w:val="auto"/>
          <w:sz w:val="24"/>
          <w:highlight w:val="none"/>
          <w:lang w:eastAsia="zh-CN"/>
        </w:rPr>
        <w:t>，</w:t>
      </w:r>
      <w:r>
        <w:rPr>
          <w:rFonts w:hint="eastAsia"/>
          <w:color w:val="auto"/>
          <w:szCs w:val="21"/>
          <w:highlight w:val="none"/>
        </w:rPr>
        <w:t>净水厂占地面积2250m</w:t>
      </w:r>
      <w:r>
        <w:rPr>
          <w:rFonts w:hint="eastAsia"/>
          <w:color w:val="auto"/>
          <w:szCs w:val="21"/>
          <w:highlight w:val="none"/>
          <w:vertAlign w:val="superscript"/>
        </w:rPr>
        <w:t>2</w:t>
      </w:r>
      <w:r>
        <w:rPr>
          <w:rFonts w:hint="eastAsia"/>
          <w:color w:val="auto"/>
          <w:szCs w:val="21"/>
          <w:highlight w:val="none"/>
        </w:rPr>
        <w:t>，设置1栋厂房</w:t>
      </w:r>
      <w:r>
        <w:rPr>
          <w:rFonts w:hint="eastAsia"/>
          <w:color w:val="auto"/>
          <w:szCs w:val="21"/>
          <w:highlight w:val="none"/>
          <w:lang w:eastAsia="zh-CN"/>
        </w:rPr>
        <w:t>（</w:t>
      </w:r>
      <w:r>
        <w:rPr>
          <w:rFonts w:hint="eastAsia"/>
          <w:color w:val="auto"/>
          <w:szCs w:val="21"/>
          <w:highlight w:val="none"/>
        </w:rPr>
        <w:t>1层</w:t>
      </w:r>
      <w:r>
        <w:rPr>
          <w:rFonts w:hint="eastAsia"/>
          <w:color w:val="auto"/>
          <w:szCs w:val="21"/>
          <w:highlight w:val="none"/>
          <w:lang w:eastAsia="zh-CN"/>
        </w:rPr>
        <w:t>，</w:t>
      </w:r>
      <w:r>
        <w:rPr>
          <w:rFonts w:hint="eastAsia"/>
          <w:color w:val="auto"/>
          <w:szCs w:val="21"/>
          <w:highlight w:val="none"/>
        </w:rPr>
        <w:t>局部2层</w:t>
      </w:r>
      <w:r>
        <w:rPr>
          <w:rFonts w:hint="eastAsia"/>
          <w:color w:val="auto"/>
          <w:szCs w:val="21"/>
          <w:highlight w:val="none"/>
          <w:lang w:eastAsia="zh-CN"/>
        </w:rPr>
        <w:t>）</w:t>
      </w:r>
      <w:r>
        <w:rPr>
          <w:rFonts w:hint="eastAsia"/>
          <w:color w:val="auto"/>
          <w:szCs w:val="21"/>
          <w:highlight w:val="none"/>
        </w:rPr>
        <w:t>，建筑面积为839.62</w:t>
      </w:r>
      <w:r>
        <w:rPr>
          <w:color w:val="auto"/>
          <w:szCs w:val="21"/>
          <w:highlight w:val="none"/>
        </w:rPr>
        <w:t>m</w:t>
      </w:r>
      <w:r>
        <w:rPr>
          <w:color w:val="auto"/>
          <w:szCs w:val="21"/>
          <w:highlight w:val="none"/>
          <w:vertAlign w:val="superscript"/>
        </w:rPr>
        <w:t>2</w:t>
      </w:r>
      <w:r>
        <w:rPr>
          <w:rFonts w:hint="eastAsia"/>
          <w:color w:val="auto"/>
          <w:szCs w:val="21"/>
          <w:highlight w:val="none"/>
        </w:rPr>
        <w:t>，主要用于放置净水设备。净水工艺为：机械曝气→锰砂过滤→次氯酸钠消毒</w:t>
      </w:r>
      <w:r>
        <w:rPr>
          <w:rFonts w:hint="eastAsia"/>
          <w:color w:val="auto"/>
          <w:szCs w:val="21"/>
          <w:highlight w:val="none"/>
          <w:lang w:eastAsia="zh-CN"/>
        </w:rPr>
        <w:t>，净水厂</w:t>
      </w:r>
      <w:r>
        <w:rPr>
          <w:rFonts w:hint="eastAsia"/>
          <w:color w:val="auto"/>
          <w:szCs w:val="21"/>
          <w:highlight w:val="none"/>
        </w:rPr>
        <w:t>供水规模为17</w:t>
      </w:r>
      <w:r>
        <w:rPr>
          <w:color w:val="auto"/>
          <w:szCs w:val="21"/>
          <w:highlight w:val="none"/>
        </w:rPr>
        <w:t>68.53</w:t>
      </w:r>
      <w:r>
        <w:rPr>
          <w:rFonts w:hint="eastAsia"/>
          <w:color w:val="auto"/>
          <w:szCs w:val="21"/>
          <w:highlight w:val="none"/>
        </w:rPr>
        <w:t>m</w:t>
      </w:r>
      <w:r>
        <w:rPr>
          <w:rFonts w:hint="eastAsia"/>
          <w:color w:val="auto"/>
          <w:szCs w:val="21"/>
          <w:highlight w:val="none"/>
          <w:vertAlign w:val="superscript"/>
        </w:rPr>
        <w:t>3</w:t>
      </w:r>
      <w:r>
        <w:rPr>
          <w:rFonts w:hint="eastAsia"/>
          <w:color w:val="auto"/>
          <w:szCs w:val="21"/>
          <w:highlight w:val="none"/>
        </w:rPr>
        <w:t>/d</w:t>
      </w:r>
      <w:r>
        <w:rPr>
          <w:rFonts w:hint="eastAsia"/>
          <w:color w:val="auto"/>
          <w:szCs w:val="21"/>
          <w:highlight w:val="none"/>
          <w:lang w:eastAsia="zh-CN"/>
        </w:rPr>
        <w:t>。</w:t>
      </w:r>
      <w:r>
        <w:rPr>
          <w:rFonts w:hint="eastAsia"/>
          <w:color w:val="auto"/>
          <w:highlight w:val="none"/>
        </w:rPr>
        <w:t>净水厂位置及与取水井位置关系见图2-</w:t>
      </w:r>
      <w:r>
        <w:rPr>
          <w:rFonts w:hint="eastAsia"/>
          <w:color w:val="auto"/>
          <w:highlight w:val="none"/>
          <w:lang w:val="en-US" w:eastAsia="zh-CN"/>
        </w:rPr>
        <w:t>12</w:t>
      </w:r>
      <w:r>
        <w:rPr>
          <w:rFonts w:hint="eastAsia"/>
          <w:color w:val="auto"/>
          <w:highlight w:val="none"/>
        </w:rPr>
        <w:t>。</w:t>
      </w:r>
    </w:p>
    <w:p w14:paraId="1B806099">
      <w:pPr>
        <w:ind w:left="0" w:leftChars="0" w:firstLine="0" w:firstLineChars="0"/>
        <w:jc w:val="center"/>
        <w:rPr>
          <w:rFonts w:hint="eastAsia" w:ascii="Times New Roman" w:hAnsi="Times New Roman" w:eastAsia="黑体" w:cs="Times New Roman"/>
          <w:color w:val="auto"/>
          <w:highlight w:val="none"/>
          <w:lang w:val="en-US" w:eastAsia="zh-CN"/>
        </w:rPr>
      </w:pPr>
      <w:r>
        <w:rPr>
          <w:color w:val="auto"/>
          <w:highlight w:val="none"/>
        </w:rPr>
        <w:drawing>
          <wp:inline distT="0" distB="0" distL="114300" distR="114300">
            <wp:extent cx="4638675" cy="3252470"/>
            <wp:effectExtent l="9525" t="9525" r="19050" b="14605"/>
            <wp:docPr id="12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8"/>
                    <pic:cNvPicPr>
                      <a:picLocks noChangeAspect="1"/>
                    </pic:cNvPicPr>
                  </pic:nvPicPr>
                  <pic:blipFill>
                    <a:blip r:embed="rId59"/>
                    <a:stretch>
                      <a:fillRect/>
                    </a:stretch>
                  </pic:blipFill>
                  <pic:spPr>
                    <a:xfrm>
                      <a:off x="0" y="0"/>
                      <a:ext cx="4638675" cy="3252470"/>
                    </a:xfrm>
                    <a:prstGeom prst="rect">
                      <a:avLst/>
                    </a:prstGeom>
                    <a:noFill/>
                    <a:ln>
                      <a:solidFill>
                        <a:schemeClr val="tx1"/>
                      </a:solidFill>
                    </a:ln>
                  </pic:spPr>
                </pic:pic>
              </a:graphicData>
            </a:graphic>
          </wp:inline>
        </w:drawing>
      </w:r>
    </w:p>
    <w:p w14:paraId="5ABF4999">
      <w:pPr>
        <w:ind w:left="0" w:leftChars="0" w:firstLine="0" w:firstLineChars="0"/>
        <w:jc w:val="center"/>
        <w:rPr>
          <w:rFonts w:hint="eastAsia" w:ascii="Times New Roman" w:hAnsi="Times New Roman" w:eastAsia="黑体" w:cs="Times New Roman"/>
          <w:color w:val="auto"/>
          <w:highlight w:val="none"/>
          <w:lang w:val="en-US" w:eastAsia="zh-CN"/>
        </w:rPr>
      </w:pPr>
      <w:r>
        <w:rPr>
          <w:rFonts w:hint="eastAsia" w:ascii="Times New Roman" w:hAnsi="Times New Roman" w:eastAsia="黑体" w:cs="Times New Roman"/>
          <w:color w:val="auto"/>
          <w:highlight w:val="none"/>
          <w:lang w:val="en-US" w:eastAsia="zh-CN"/>
        </w:rPr>
        <w:t>图2-</w:t>
      </w:r>
      <w:r>
        <w:rPr>
          <w:rFonts w:hint="eastAsia" w:eastAsia="黑体" w:cs="Times New Roman"/>
          <w:color w:val="auto"/>
          <w:highlight w:val="none"/>
          <w:lang w:val="en-US" w:eastAsia="zh-CN"/>
        </w:rPr>
        <w:t>12</w:t>
      </w:r>
      <w:r>
        <w:rPr>
          <w:rFonts w:hint="eastAsia" w:ascii="Times New Roman" w:hAnsi="Times New Roman" w:eastAsia="黑体" w:cs="Times New Roman"/>
          <w:color w:val="auto"/>
          <w:highlight w:val="none"/>
          <w:lang w:val="en-US" w:eastAsia="zh-CN"/>
        </w:rPr>
        <w:t xml:space="preserve"> 柳河镇取水井及净水厂位置关系图</w:t>
      </w:r>
    </w:p>
    <w:p w14:paraId="148CBEDC">
      <w:pPr>
        <w:pStyle w:val="6"/>
        <w:bidi w:val="0"/>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kern w:val="2"/>
          <w:sz w:val="24"/>
          <w:szCs w:val="24"/>
          <w:highlight w:val="none"/>
          <w:lang w:val="en-US" w:eastAsia="zh-CN" w:bidi="ar-SA"/>
        </w:rPr>
        <w:t>5）</w:t>
      </w:r>
      <w:r>
        <w:rPr>
          <w:rFonts w:hint="eastAsia" w:ascii="Times New Roman" w:hAnsi="Times New Roman" w:eastAsia="宋体" w:cs="Times New Roman"/>
          <w:color w:val="auto"/>
          <w:sz w:val="24"/>
          <w:szCs w:val="24"/>
          <w:highlight w:val="none"/>
          <w:lang w:val="en-US" w:eastAsia="zh-CN"/>
        </w:rPr>
        <w:t>新强水厂</w:t>
      </w:r>
    </w:p>
    <w:p w14:paraId="61EA2F39">
      <w:pPr>
        <w:widowControl w:val="0"/>
        <w:numPr>
          <w:ilvl w:val="0"/>
          <w:numId w:val="0"/>
        </w:numPr>
        <w:spacing w:line="360" w:lineRule="auto"/>
        <w:ind w:firstLine="472" w:firstLineChars="200"/>
        <w:jc w:val="both"/>
        <w:rPr>
          <w:rFonts w:hint="eastAsia"/>
          <w:color w:val="auto"/>
          <w:highlight w:val="none"/>
        </w:rPr>
      </w:pPr>
      <w:r>
        <w:rPr>
          <w:rFonts w:hint="eastAsia" w:ascii="Times New Roman" w:hAnsi="Times New Roman" w:eastAsia="宋体" w:cs="Times New Roman"/>
          <w:color w:val="auto"/>
          <w:sz w:val="24"/>
          <w:szCs w:val="24"/>
          <w:highlight w:val="none"/>
          <w:lang w:val="en-US" w:eastAsia="zh-CN"/>
        </w:rPr>
        <w:t>新强水厂</w:t>
      </w:r>
      <w:r>
        <w:rPr>
          <w:rFonts w:hint="eastAsia"/>
          <w:color w:val="auto"/>
          <w:highlight w:val="none"/>
        </w:rPr>
        <w:t>位于黑龙江省</w:t>
      </w:r>
      <w:r>
        <w:rPr>
          <w:rFonts w:hint="eastAsia"/>
          <w:color w:val="auto"/>
          <w:highlight w:val="none"/>
          <w:lang w:eastAsia="zh-CN"/>
        </w:rPr>
        <w:t>绥化市庆安县柳河镇</w:t>
      </w:r>
      <w:r>
        <w:rPr>
          <w:rFonts w:hint="eastAsia"/>
          <w:color w:val="auto"/>
          <w:sz w:val="24"/>
          <w:highlight w:val="none"/>
        </w:rPr>
        <w:t>新强村梨树园子</w:t>
      </w:r>
      <w:r>
        <w:rPr>
          <w:rFonts w:hint="eastAsia"/>
          <w:color w:val="auto"/>
          <w:highlight w:val="none"/>
          <w:lang w:eastAsia="zh-CN"/>
        </w:rPr>
        <w:t>屯</w:t>
      </w:r>
      <w:r>
        <w:rPr>
          <w:rFonts w:hint="eastAsia"/>
          <w:color w:val="auto"/>
          <w:sz w:val="24"/>
          <w:highlight w:val="none"/>
          <w:lang w:eastAsia="zh-CN"/>
        </w:rPr>
        <w:t>，</w:t>
      </w:r>
      <w:r>
        <w:rPr>
          <w:rFonts w:hint="eastAsia"/>
          <w:color w:val="auto"/>
          <w:szCs w:val="21"/>
          <w:highlight w:val="none"/>
        </w:rPr>
        <w:t>净水</w:t>
      </w:r>
      <w:r>
        <w:rPr>
          <w:rFonts w:hint="eastAsia"/>
          <w:color w:val="auto"/>
          <w:szCs w:val="21"/>
          <w:highlight w:val="none"/>
          <w:lang w:eastAsia="zh-CN"/>
        </w:rPr>
        <w:t>厂</w:t>
      </w:r>
      <w:r>
        <w:rPr>
          <w:rFonts w:hint="eastAsia"/>
          <w:color w:val="auto"/>
          <w:szCs w:val="21"/>
          <w:highlight w:val="none"/>
        </w:rPr>
        <w:t>占地面积为1500m</w:t>
      </w:r>
      <w:r>
        <w:rPr>
          <w:rFonts w:hint="eastAsia"/>
          <w:color w:val="auto"/>
          <w:szCs w:val="21"/>
          <w:highlight w:val="none"/>
          <w:vertAlign w:val="superscript"/>
        </w:rPr>
        <w:t>2</w:t>
      </w:r>
      <w:r>
        <w:rPr>
          <w:rFonts w:hint="eastAsia"/>
          <w:color w:val="auto"/>
          <w:szCs w:val="21"/>
          <w:highlight w:val="none"/>
        </w:rPr>
        <w:t>，设置1栋厂房</w:t>
      </w:r>
      <w:r>
        <w:rPr>
          <w:rFonts w:hint="eastAsia"/>
          <w:color w:val="auto"/>
          <w:szCs w:val="21"/>
          <w:highlight w:val="none"/>
          <w:lang w:eastAsia="zh-CN"/>
        </w:rPr>
        <w:t>（</w:t>
      </w:r>
      <w:r>
        <w:rPr>
          <w:rFonts w:hint="eastAsia"/>
          <w:color w:val="auto"/>
          <w:szCs w:val="21"/>
          <w:highlight w:val="none"/>
        </w:rPr>
        <w:t>1层</w:t>
      </w:r>
      <w:r>
        <w:rPr>
          <w:rFonts w:hint="eastAsia"/>
          <w:color w:val="auto"/>
          <w:szCs w:val="21"/>
          <w:highlight w:val="none"/>
          <w:lang w:eastAsia="zh-CN"/>
        </w:rPr>
        <w:t>，</w:t>
      </w:r>
      <w:r>
        <w:rPr>
          <w:rFonts w:hint="eastAsia"/>
          <w:color w:val="auto"/>
          <w:szCs w:val="21"/>
          <w:highlight w:val="none"/>
        </w:rPr>
        <w:t>局部2层</w:t>
      </w:r>
      <w:r>
        <w:rPr>
          <w:rFonts w:hint="eastAsia"/>
          <w:color w:val="auto"/>
          <w:szCs w:val="21"/>
          <w:highlight w:val="none"/>
          <w:lang w:eastAsia="zh-CN"/>
        </w:rPr>
        <w:t>）</w:t>
      </w:r>
      <w:r>
        <w:rPr>
          <w:rFonts w:hint="eastAsia"/>
          <w:color w:val="auto"/>
          <w:szCs w:val="21"/>
          <w:highlight w:val="none"/>
        </w:rPr>
        <w:t>，建筑面积为839.62</w:t>
      </w:r>
      <w:r>
        <w:rPr>
          <w:color w:val="auto"/>
          <w:szCs w:val="21"/>
          <w:highlight w:val="none"/>
        </w:rPr>
        <w:t>m</w:t>
      </w:r>
      <w:r>
        <w:rPr>
          <w:color w:val="auto"/>
          <w:szCs w:val="21"/>
          <w:highlight w:val="none"/>
          <w:vertAlign w:val="superscript"/>
        </w:rPr>
        <w:t>2</w:t>
      </w:r>
      <w:r>
        <w:rPr>
          <w:rFonts w:hint="eastAsia"/>
          <w:color w:val="auto"/>
          <w:szCs w:val="21"/>
          <w:highlight w:val="none"/>
        </w:rPr>
        <w:t>，主要用于放置净水设备。净水工艺为：机械曝气→锰砂过滤→次氯酸钠消毒</w:t>
      </w:r>
      <w:r>
        <w:rPr>
          <w:rFonts w:hint="eastAsia"/>
          <w:color w:val="auto"/>
          <w:szCs w:val="21"/>
          <w:highlight w:val="none"/>
          <w:lang w:eastAsia="zh-CN"/>
        </w:rPr>
        <w:t>，净水厂</w:t>
      </w:r>
      <w:r>
        <w:rPr>
          <w:rFonts w:hint="eastAsia"/>
          <w:color w:val="auto"/>
          <w:szCs w:val="21"/>
          <w:highlight w:val="none"/>
        </w:rPr>
        <w:t>供水规模为17</w:t>
      </w:r>
      <w:r>
        <w:rPr>
          <w:color w:val="auto"/>
          <w:szCs w:val="21"/>
          <w:highlight w:val="none"/>
        </w:rPr>
        <w:t>68.53</w:t>
      </w:r>
      <w:r>
        <w:rPr>
          <w:rFonts w:hint="eastAsia"/>
          <w:color w:val="auto"/>
          <w:szCs w:val="21"/>
          <w:highlight w:val="none"/>
        </w:rPr>
        <w:t>m</w:t>
      </w:r>
      <w:r>
        <w:rPr>
          <w:rFonts w:hint="eastAsia"/>
          <w:color w:val="auto"/>
          <w:szCs w:val="21"/>
          <w:highlight w:val="none"/>
          <w:vertAlign w:val="superscript"/>
        </w:rPr>
        <w:t>3</w:t>
      </w:r>
      <w:r>
        <w:rPr>
          <w:rFonts w:hint="eastAsia"/>
          <w:color w:val="auto"/>
          <w:szCs w:val="21"/>
          <w:highlight w:val="none"/>
        </w:rPr>
        <w:t>/d</w:t>
      </w:r>
      <w:r>
        <w:rPr>
          <w:rFonts w:hint="eastAsia"/>
          <w:color w:val="auto"/>
          <w:szCs w:val="21"/>
          <w:highlight w:val="none"/>
          <w:lang w:eastAsia="zh-CN"/>
        </w:rPr>
        <w:t>。</w:t>
      </w:r>
      <w:r>
        <w:rPr>
          <w:rFonts w:hint="eastAsia"/>
          <w:color w:val="auto"/>
          <w:highlight w:val="none"/>
        </w:rPr>
        <w:t>净水厂位置及与取水井位置关系见图2-</w:t>
      </w:r>
      <w:r>
        <w:rPr>
          <w:rFonts w:hint="eastAsia"/>
          <w:color w:val="auto"/>
          <w:highlight w:val="none"/>
          <w:lang w:val="en-US" w:eastAsia="zh-CN"/>
        </w:rPr>
        <w:t>13</w:t>
      </w:r>
      <w:r>
        <w:rPr>
          <w:rFonts w:hint="eastAsia"/>
          <w:color w:val="auto"/>
          <w:highlight w:val="none"/>
        </w:rPr>
        <w:t>。</w:t>
      </w:r>
    </w:p>
    <w:p w14:paraId="73353DB4">
      <w:pPr>
        <w:ind w:left="0" w:leftChars="0" w:firstLine="0" w:firstLineChars="0"/>
        <w:jc w:val="center"/>
        <w:rPr>
          <w:rFonts w:hint="eastAsia" w:ascii="Times New Roman" w:hAnsi="Times New Roman" w:eastAsia="宋体" w:cs="Times New Roman"/>
          <w:color w:val="auto"/>
          <w:highlight w:val="none"/>
          <w:lang w:val="en-US" w:eastAsia="zh-CN"/>
        </w:rPr>
      </w:pPr>
      <w:r>
        <w:rPr>
          <w:color w:val="auto"/>
          <w:highlight w:val="none"/>
        </w:rPr>
        <w:drawing>
          <wp:inline distT="0" distB="0" distL="114300" distR="114300">
            <wp:extent cx="4805680" cy="3041015"/>
            <wp:effectExtent l="9525" t="9525" r="23495" b="16510"/>
            <wp:docPr id="11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4"/>
                    <pic:cNvPicPr>
                      <a:picLocks noChangeAspect="1"/>
                    </pic:cNvPicPr>
                  </pic:nvPicPr>
                  <pic:blipFill>
                    <a:blip r:embed="rId60"/>
                    <a:stretch>
                      <a:fillRect/>
                    </a:stretch>
                  </pic:blipFill>
                  <pic:spPr>
                    <a:xfrm>
                      <a:off x="0" y="0"/>
                      <a:ext cx="4805680" cy="3041015"/>
                    </a:xfrm>
                    <a:prstGeom prst="rect">
                      <a:avLst/>
                    </a:prstGeom>
                    <a:noFill/>
                    <a:ln>
                      <a:solidFill>
                        <a:schemeClr val="tx1"/>
                      </a:solidFill>
                    </a:ln>
                  </pic:spPr>
                </pic:pic>
              </a:graphicData>
            </a:graphic>
          </wp:inline>
        </w:drawing>
      </w:r>
    </w:p>
    <w:p w14:paraId="05E6F1F1">
      <w:pPr>
        <w:ind w:left="0" w:leftChars="0" w:firstLine="0" w:firstLineChars="0"/>
        <w:jc w:val="center"/>
        <w:rPr>
          <w:rFonts w:hint="eastAsia" w:ascii="Times New Roman" w:hAnsi="Times New Roman" w:eastAsia="黑体" w:cs="Times New Roman"/>
          <w:color w:val="auto"/>
          <w:highlight w:val="none"/>
          <w:lang w:val="en-US" w:eastAsia="zh-CN"/>
        </w:rPr>
      </w:pPr>
      <w:r>
        <w:rPr>
          <w:rFonts w:hint="eastAsia" w:ascii="Times New Roman" w:hAnsi="Times New Roman" w:eastAsia="黑体" w:cs="Times New Roman"/>
          <w:color w:val="auto"/>
          <w:highlight w:val="none"/>
          <w:lang w:val="en-US" w:eastAsia="zh-CN"/>
        </w:rPr>
        <w:t>图2-</w:t>
      </w:r>
      <w:r>
        <w:rPr>
          <w:rFonts w:hint="eastAsia" w:eastAsia="黑体" w:cs="Times New Roman"/>
          <w:color w:val="auto"/>
          <w:highlight w:val="none"/>
          <w:lang w:val="en-US" w:eastAsia="zh-CN"/>
        </w:rPr>
        <w:t>13</w:t>
      </w:r>
      <w:r>
        <w:rPr>
          <w:rFonts w:hint="eastAsia" w:ascii="Times New Roman" w:hAnsi="Times New Roman" w:eastAsia="黑体" w:cs="Times New Roman"/>
          <w:color w:val="auto"/>
          <w:highlight w:val="none"/>
          <w:lang w:val="en-US" w:eastAsia="zh-CN"/>
        </w:rPr>
        <w:t xml:space="preserve"> 柳河镇新强村取水井及净水厂位置关系图</w:t>
      </w:r>
    </w:p>
    <w:p w14:paraId="5806365E">
      <w:pPr>
        <w:pStyle w:val="6"/>
        <w:bidi w:val="0"/>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kern w:val="2"/>
          <w:sz w:val="24"/>
          <w:szCs w:val="24"/>
          <w:highlight w:val="none"/>
          <w:lang w:val="en-US" w:eastAsia="zh-CN" w:bidi="ar-SA"/>
        </w:rPr>
        <w:t>6）</w:t>
      </w:r>
      <w:r>
        <w:rPr>
          <w:rFonts w:hint="eastAsia" w:ascii="Times New Roman" w:hAnsi="Times New Roman" w:eastAsia="宋体" w:cs="Times New Roman"/>
          <w:color w:val="auto"/>
          <w:sz w:val="24"/>
          <w:szCs w:val="24"/>
          <w:highlight w:val="none"/>
          <w:lang w:val="en-US" w:eastAsia="zh-CN"/>
        </w:rPr>
        <w:t>丰满</w:t>
      </w:r>
      <w:r>
        <w:rPr>
          <w:rFonts w:hint="eastAsia"/>
          <w:color w:val="auto"/>
          <w:highlight w:val="none"/>
          <w:lang w:val="en-US" w:eastAsia="zh-CN"/>
        </w:rPr>
        <w:t>水厂</w:t>
      </w:r>
    </w:p>
    <w:p w14:paraId="69BA54B7">
      <w:pPr>
        <w:spacing w:line="360" w:lineRule="auto"/>
        <w:jc w:val="left"/>
        <w:rPr>
          <w:rFonts w:hint="eastAsia"/>
          <w:color w:val="auto"/>
          <w:highlight w:val="none"/>
        </w:rPr>
      </w:pPr>
      <w:r>
        <w:rPr>
          <w:rFonts w:hint="eastAsia" w:ascii="Times New Roman" w:hAnsi="Times New Roman" w:eastAsia="宋体" w:cs="Times New Roman"/>
          <w:color w:val="auto"/>
          <w:sz w:val="24"/>
          <w:szCs w:val="24"/>
          <w:highlight w:val="none"/>
          <w:lang w:val="en-US" w:eastAsia="zh-CN"/>
        </w:rPr>
        <w:t>丰满水厂</w:t>
      </w:r>
      <w:r>
        <w:rPr>
          <w:rFonts w:hint="eastAsia"/>
          <w:color w:val="auto"/>
          <w:highlight w:val="none"/>
        </w:rPr>
        <w:t>位于黑龙江省</w:t>
      </w:r>
      <w:r>
        <w:rPr>
          <w:rFonts w:hint="eastAsia"/>
          <w:color w:val="auto"/>
          <w:highlight w:val="none"/>
          <w:lang w:eastAsia="zh-CN"/>
        </w:rPr>
        <w:t>绥化市庆安县</w:t>
      </w:r>
      <w:r>
        <w:rPr>
          <w:rFonts w:hint="eastAsia"/>
          <w:color w:val="auto"/>
          <w:sz w:val="24"/>
          <w:highlight w:val="none"/>
        </w:rPr>
        <w:t>丰收乡丰满村张先屯</w:t>
      </w:r>
      <w:r>
        <w:rPr>
          <w:rFonts w:hint="eastAsia"/>
          <w:color w:val="auto"/>
          <w:sz w:val="24"/>
          <w:highlight w:val="none"/>
          <w:lang w:eastAsia="zh-CN"/>
        </w:rPr>
        <w:t>，</w:t>
      </w:r>
      <w:r>
        <w:rPr>
          <w:rFonts w:hint="eastAsia"/>
          <w:color w:val="auto"/>
          <w:szCs w:val="21"/>
          <w:highlight w:val="none"/>
        </w:rPr>
        <w:t>净水厂占地面积1862m</w:t>
      </w:r>
      <w:r>
        <w:rPr>
          <w:rFonts w:hint="eastAsia"/>
          <w:color w:val="auto"/>
          <w:szCs w:val="21"/>
          <w:highlight w:val="none"/>
          <w:vertAlign w:val="superscript"/>
        </w:rPr>
        <w:t>2</w:t>
      </w:r>
      <w:r>
        <w:rPr>
          <w:rFonts w:hint="eastAsia"/>
          <w:color w:val="auto"/>
          <w:szCs w:val="21"/>
          <w:highlight w:val="none"/>
        </w:rPr>
        <w:t>，设置1栋厂房</w:t>
      </w:r>
      <w:r>
        <w:rPr>
          <w:rFonts w:hint="eastAsia"/>
          <w:color w:val="auto"/>
          <w:szCs w:val="21"/>
          <w:highlight w:val="none"/>
          <w:lang w:eastAsia="zh-CN"/>
        </w:rPr>
        <w:t>（</w:t>
      </w:r>
      <w:r>
        <w:rPr>
          <w:rFonts w:hint="eastAsia"/>
          <w:color w:val="auto"/>
          <w:szCs w:val="21"/>
          <w:highlight w:val="none"/>
        </w:rPr>
        <w:t>1层</w:t>
      </w:r>
      <w:r>
        <w:rPr>
          <w:rFonts w:hint="eastAsia"/>
          <w:color w:val="auto"/>
          <w:szCs w:val="21"/>
          <w:highlight w:val="none"/>
          <w:lang w:eastAsia="zh-CN"/>
        </w:rPr>
        <w:t>）</w:t>
      </w:r>
      <w:r>
        <w:rPr>
          <w:rFonts w:hint="eastAsia"/>
          <w:color w:val="auto"/>
          <w:szCs w:val="21"/>
          <w:highlight w:val="none"/>
        </w:rPr>
        <w:t>，建筑面积300</w:t>
      </w:r>
      <w:r>
        <w:rPr>
          <w:color w:val="auto"/>
          <w:szCs w:val="21"/>
          <w:highlight w:val="none"/>
        </w:rPr>
        <w:t>m</w:t>
      </w:r>
      <w:r>
        <w:rPr>
          <w:color w:val="auto"/>
          <w:szCs w:val="21"/>
          <w:highlight w:val="none"/>
          <w:vertAlign w:val="superscript"/>
        </w:rPr>
        <w:t>2</w:t>
      </w:r>
      <w:r>
        <w:rPr>
          <w:rFonts w:hint="eastAsia"/>
          <w:color w:val="auto"/>
          <w:szCs w:val="21"/>
          <w:highlight w:val="none"/>
        </w:rPr>
        <w:t>，主要用于放置净水设备。净水工艺为：机械曝气→二级除铁除锰→二氧化氯消毒，</w:t>
      </w:r>
      <w:r>
        <w:rPr>
          <w:rFonts w:hint="eastAsia"/>
          <w:color w:val="auto"/>
          <w:szCs w:val="21"/>
          <w:highlight w:val="none"/>
          <w:lang w:eastAsia="zh-CN"/>
        </w:rPr>
        <w:t>净水厂</w:t>
      </w:r>
      <w:r>
        <w:rPr>
          <w:rFonts w:hint="eastAsia"/>
          <w:color w:val="auto"/>
          <w:szCs w:val="21"/>
          <w:highlight w:val="none"/>
        </w:rPr>
        <w:t>供水规模为</w:t>
      </w:r>
      <w:r>
        <w:rPr>
          <w:color w:val="auto"/>
          <w:szCs w:val="21"/>
          <w:highlight w:val="none"/>
        </w:rPr>
        <w:t>1</w:t>
      </w:r>
      <w:r>
        <w:rPr>
          <w:rFonts w:hint="eastAsia"/>
          <w:color w:val="auto"/>
          <w:szCs w:val="21"/>
          <w:highlight w:val="none"/>
        </w:rPr>
        <w:t>115.4m</w:t>
      </w:r>
      <w:r>
        <w:rPr>
          <w:rFonts w:hint="eastAsia"/>
          <w:color w:val="auto"/>
          <w:szCs w:val="21"/>
          <w:highlight w:val="none"/>
          <w:vertAlign w:val="superscript"/>
        </w:rPr>
        <w:t>3</w:t>
      </w:r>
      <w:r>
        <w:rPr>
          <w:rFonts w:hint="eastAsia"/>
          <w:color w:val="auto"/>
          <w:szCs w:val="21"/>
          <w:highlight w:val="none"/>
        </w:rPr>
        <w:t>/d</w:t>
      </w:r>
      <w:r>
        <w:rPr>
          <w:rFonts w:hint="eastAsia"/>
          <w:color w:val="auto"/>
          <w:szCs w:val="21"/>
          <w:highlight w:val="none"/>
          <w:lang w:eastAsia="zh-CN"/>
        </w:rPr>
        <w:t>。</w:t>
      </w:r>
      <w:r>
        <w:rPr>
          <w:rFonts w:hint="eastAsia"/>
          <w:color w:val="auto"/>
          <w:highlight w:val="none"/>
        </w:rPr>
        <w:t>净水厂位置及与取水井位置关系见图2-1</w:t>
      </w:r>
      <w:r>
        <w:rPr>
          <w:rFonts w:hint="eastAsia"/>
          <w:color w:val="auto"/>
          <w:highlight w:val="none"/>
          <w:lang w:val="en-US" w:eastAsia="zh-CN"/>
        </w:rPr>
        <w:t>4</w:t>
      </w:r>
      <w:r>
        <w:rPr>
          <w:rFonts w:hint="eastAsia"/>
          <w:color w:val="auto"/>
          <w:highlight w:val="none"/>
        </w:rPr>
        <w:t>。</w:t>
      </w:r>
    </w:p>
    <w:p w14:paraId="35647ADB">
      <w:pPr>
        <w:ind w:left="0" w:leftChars="0" w:firstLine="0" w:firstLineChars="0"/>
        <w:jc w:val="center"/>
        <w:rPr>
          <w:rFonts w:hint="eastAsia" w:ascii="Times New Roman" w:hAnsi="Times New Roman" w:eastAsia="黑体" w:cs="Times New Roman"/>
          <w:color w:val="auto"/>
          <w:highlight w:val="none"/>
          <w:lang w:val="en-US" w:eastAsia="zh-CN"/>
        </w:rPr>
      </w:pPr>
      <w:r>
        <w:rPr>
          <w:color w:val="auto"/>
          <w:highlight w:val="none"/>
        </w:rPr>
        <w:drawing>
          <wp:inline distT="0" distB="0" distL="114300" distR="114300">
            <wp:extent cx="5238750" cy="3648075"/>
            <wp:effectExtent l="9525" t="9525" r="9525" b="19050"/>
            <wp:docPr id="6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3"/>
                    <pic:cNvPicPr>
                      <a:picLocks noChangeAspect="1"/>
                    </pic:cNvPicPr>
                  </pic:nvPicPr>
                  <pic:blipFill>
                    <a:blip r:embed="rId61"/>
                    <a:stretch>
                      <a:fillRect/>
                    </a:stretch>
                  </pic:blipFill>
                  <pic:spPr>
                    <a:xfrm>
                      <a:off x="0" y="0"/>
                      <a:ext cx="5238750" cy="3648075"/>
                    </a:xfrm>
                    <a:prstGeom prst="rect">
                      <a:avLst/>
                    </a:prstGeom>
                    <a:noFill/>
                    <a:ln>
                      <a:solidFill>
                        <a:schemeClr val="tx1"/>
                      </a:solidFill>
                    </a:ln>
                  </pic:spPr>
                </pic:pic>
              </a:graphicData>
            </a:graphic>
          </wp:inline>
        </w:drawing>
      </w:r>
    </w:p>
    <w:p w14:paraId="1A7F9110">
      <w:pPr>
        <w:ind w:left="0" w:leftChars="0" w:firstLine="0" w:firstLineChars="0"/>
        <w:jc w:val="center"/>
        <w:rPr>
          <w:rFonts w:hint="eastAsia" w:ascii="Times New Roman" w:hAnsi="Times New Roman" w:eastAsia="黑体" w:cs="Times New Roman"/>
          <w:color w:val="auto"/>
          <w:highlight w:val="none"/>
          <w:lang w:val="en-US" w:eastAsia="zh-CN"/>
        </w:rPr>
      </w:pPr>
      <w:r>
        <w:rPr>
          <w:rFonts w:hint="eastAsia" w:ascii="Times New Roman" w:hAnsi="Times New Roman" w:eastAsia="黑体" w:cs="Times New Roman"/>
          <w:color w:val="auto"/>
          <w:highlight w:val="none"/>
          <w:lang w:val="en-US" w:eastAsia="zh-CN"/>
        </w:rPr>
        <w:t>图2-</w:t>
      </w:r>
      <w:r>
        <w:rPr>
          <w:rFonts w:hint="eastAsia" w:eastAsia="黑体" w:cs="Times New Roman"/>
          <w:color w:val="auto"/>
          <w:highlight w:val="none"/>
          <w:lang w:val="en-US" w:eastAsia="zh-CN"/>
        </w:rPr>
        <w:t>14</w:t>
      </w:r>
      <w:r>
        <w:rPr>
          <w:rFonts w:hint="eastAsia" w:ascii="Times New Roman" w:hAnsi="Times New Roman" w:eastAsia="黑体" w:cs="Times New Roman"/>
          <w:color w:val="auto"/>
          <w:highlight w:val="none"/>
          <w:lang w:val="en-US" w:eastAsia="zh-CN"/>
        </w:rPr>
        <w:t xml:space="preserve"> 丰收乡取水井及净水厂位置关系图</w:t>
      </w:r>
    </w:p>
    <w:p w14:paraId="3B440D0B">
      <w:pPr>
        <w:pStyle w:val="6"/>
        <w:bidi w:val="0"/>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kern w:val="2"/>
          <w:sz w:val="24"/>
          <w:szCs w:val="24"/>
          <w:highlight w:val="none"/>
          <w:lang w:val="en-US" w:eastAsia="zh-CN" w:bidi="ar-SA"/>
        </w:rPr>
        <w:t>7）</w:t>
      </w:r>
      <w:r>
        <w:rPr>
          <w:rFonts w:hint="eastAsia" w:ascii="Times New Roman" w:hAnsi="Times New Roman" w:eastAsia="宋体" w:cs="Times New Roman"/>
          <w:color w:val="auto"/>
          <w:sz w:val="24"/>
          <w:szCs w:val="24"/>
          <w:highlight w:val="none"/>
          <w:lang w:val="en-US" w:eastAsia="zh-CN"/>
        </w:rPr>
        <w:t>平安水厂</w:t>
      </w:r>
    </w:p>
    <w:p w14:paraId="322DE1E0">
      <w:pPr>
        <w:numPr>
          <w:ilvl w:val="0"/>
          <w:numId w:val="0"/>
        </w:numPr>
        <w:spacing w:line="360" w:lineRule="auto"/>
        <w:ind w:firstLine="472" w:firstLineChars="200"/>
        <w:rPr>
          <w:rFonts w:hint="eastAsia"/>
          <w:color w:val="auto"/>
          <w:highlight w:val="none"/>
        </w:rPr>
      </w:pPr>
      <w:r>
        <w:rPr>
          <w:rFonts w:hint="eastAsia" w:ascii="Times New Roman" w:hAnsi="Times New Roman" w:eastAsia="宋体" w:cs="Times New Roman"/>
          <w:color w:val="auto"/>
          <w:sz w:val="24"/>
          <w:szCs w:val="24"/>
          <w:highlight w:val="none"/>
          <w:lang w:val="en-US" w:eastAsia="zh-CN"/>
        </w:rPr>
        <w:t>平安水厂</w:t>
      </w:r>
      <w:r>
        <w:rPr>
          <w:rFonts w:hint="eastAsia"/>
          <w:color w:val="auto"/>
          <w:highlight w:val="none"/>
        </w:rPr>
        <w:t>位于黑龙江省</w:t>
      </w:r>
      <w:r>
        <w:rPr>
          <w:rFonts w:hint="eastAsia"/>
          <w:color w:val="auto"/>
          <w:highlight w:val="none"/>
          <w:lang w:eastAsia="zh-CN"/>
        </w:rPr>
        <w:t>绥化市庆安县</w:t>
      </w:r>
      <w:r>
        <w:rPr>
          <w:rFonts w:hint="eastAsia"/>
          <w:color w:val="auto"/>
          <w:sz w:val="24"/>
          <w:highlight w:val="none"/>
          <w:lang w:eastAsia="zh-CN"/>
        </w:rPr>
        <w:t>平安镇瓦盆窑屯，</w:t>
      </w:r>
      <w:r>
        <w:rPr>
          <w:rFonts w:hint="eastAsia"/>
          <w:color w:val="auto"/>
          <w:szCs w:val="21"/>
          <w:highlight w:val="none"/>
        </w:rPr>
        <w:t>净水厂占地面积</w:t>
      </w:r>
      <w:r>
        <w:rPr>
          <w:rFonts w:hint="eastAsia"/>
          <w:color w:val="auto"/>
          <w:szCs w:val="21"/>
          <w:highlight w:val="none"/>
          <w:lang w:val="en-US" w:eastAsia="zh-CN"/>
        </w:rPr>
        <w:t>570</w:t>
      </w:r>
      <w:r>
        <w:rPr>
          <w:rFonts w:hint="eastAsia"/>
          <w:color w:val="auto"/>
          <w:szCs w:val="21"/>
          <w:highlight w:val="none"/>
        </w:rPr>
        <w:t>m</w:t>
      </w:r>
      <w:r>
        <w:rPr>
          <w:rFonts w:hint="eastAsia"/>
          <w:color w:val="auto"/>
          <w:szCs w:val="21"/>
          <w:highlight w:val="none"/>
          <w:vertAlign w:val="superscript"/>
        </w:rPr>
        <w:t>2</w:t>
      </w:r>
      <w:r>
        <w:rPr>
          <w:rFonts w:hint="eastAsia"/>
          <w:color w:val="auto"/>
          <w:szCs w:val="21"/>
          <w:highlight w:val="none"/>
        </w:rPr>
        <w:t>，设置1栋厂房</w:t>
      </w:r>
      <w:r>
        <w:rPr>
          <w:rFonts w:hint="eastAsia"/>
          <w:color w:val="auto"/>
          <w:szCs w:val="21"/>
          <w:highlight w:val="none"/>
          <w:lang w:eastAsia="zh-CN"/>
        </w:rPr>
        <w:t>（</w:t>
      </w:r>
      <w:r>
        <w:rPr>
          <w:rFonts w:hint="eastAsia"/>
          <w:color w:val="auto"/>
          <w:szCs w:val="21"/>
          <w:highlight w:val="none"/>
        </w:rPr>
        <w:t>1层</w:t>
      </w:r>
      <w:r>
        <w:rPr>
          <w:rFonts w:hint="eastAsia"/>
          <w:color w:val="auto"/>
          <w:szCs w:val="21"/>
          <w:highlight w:val="none"/>
          <w:lang w:eastAsia="zh-CN"/>
        </w:rPr>
        <w:t>）</w:t>
      </w:r>
      <w:r>
        <w:rPr>
          <w:rFonts w:hint="eastAsia"/>
          <w:color w:val="auto"/>
          <w:szCs w:val="21"/>
          <w:highlight w:val="none"/>
        </w:rPr>
        <w:t>，建筑面积</w:t>
      </w:r>
      <w:r>
        <w:rPr>
          <w:rFonts w:hint="eastAsia"/>
          <w:color w:val="auto"/>
          <w:szCs w:val="21"/>
          <w:highlight w:val="none"/>
          <w:lang w:val="en-US" w:eastAsia="zh-CN"/>
        </w:rPr>
        <w:t>300</w:t>
      </w:r>
      <w:r>
        <w:rPr>
          <w:color w:val="auto"/>
          <w:szCs w:val="21"/>
          <w:highlight w:val="none"/>
        </w:rPr>
        <w:t>m</w:t>
      </w:r>
      <w:r>
        <w:rPr>
          <w:color w:val="auto"/>
          <w:szCs w:val="21"/>
          <w:highlight w:val="none"/>
          <w:vertAlign w:val="superscript"/>
        </w:rPr>
        <w:t>2</w:t>
      </w:r>
      <w:r>
        <w:rPr>
          <w:rFonts w:hint="eastAsia"/>
          <w:color w:val="auto"/>
          <w:szCs w:val="21"/>
          <w:highlight w:val="none"/>
        </w:rPr>
        <w:t>，主要用于放置净水设备。净水工艺为：机械曝气→二级除铁除锰→二氧化氯消毒，</w:t>
      </w:r>
      <w:r>
        <w:rPr>
          <w:rFonts w:hint="eastAsia"/>
          <w:color w:val="auto"/>
          <w:szCs w:val="21"/>
          <w:highlight w:val="none"/>
          <w:lang w:eastAsia="zh-CN"/>
        </w:rPr>
        <w:t>净水厂</w:t>
      </w:r>
      <w:r>
        <w:rPr>
          <w:rFonts w:hint="eastAsia"/>
          <w:color w:val="auto"/>
          <w:szCs w:val="21"/>
          <w:highlight w:val="none"/>
        </w:rPr>
        <w:t>供水规模为1582.35m</w:t>
      </w:r>
      <w:r>
        <w:rPr>
          <w:rFonts w:hint="eastAsia"/>
          <w:color w:val="auto"/>
          <w:szCs w:val="21"/>
          <w:highlight w:val="none"/>
          <w:vertAlign w:val="superscript"/>
        </w:rPr>
        <w:t>3</w:t>
      </w:r>
      <w:r>
        <w:rPr>
          <w:rFonts w:hint="eastAsia"/>
          <w:color w:val="auto"/>
          <w:szCs w:val="21"/>
          <w:highlight w:val="none"/>
        </w:rPr>
        <w:t>/d</w:t>
      </w:r>
      <w:r>
        <w:rPr>
          <w:rFonts w:hint="eastAsia"/>
          <w:color w:val="auto"/>
          <w:szCs w:val="21"/>
          <w:highlight w:val="none"/>
          <w:lang w:eastAsia="zh-CN"/>
        </w:rPr>
        <w:t>。</w:t>
      </w:r>
      <w:r>
        <w:rPr>
          <w:rFonts w:hint="eastAsia"/>
          <w:color w:val="auto"/>
          <w:highlight w:val="none"/>
        </w:rPr>
        <w:t>净水厂位置及与取水井位置关系见图2-1</w:t>
      </w:r>
      <w:r>
        <w:rPr>
          <w:rFonts w:hint="eastAsia"/>
          <w:color w:val="auto"/>
          <w:highlight w:val="none"/>
          <w:lang w:val="en-US" w:eastAsia="zh-CN"/>
        </w:rPr>
        <w:t>5</w:t>
      </w:r>
      <w:r>
        <w:rPr>
          <w:rFonts w:hint="eastAsia"/>
          <w:color w:val="auto"/>
          <w:highlight w:val="none"/>
        </w:rPr>
        <w:t>。</w:t>
      </w:r>
    </w:p>
    <w:p w14:paraId="54056E0C">
      <w:pPr>
        <w:ind w:left="0" w:leftChars="0" w:firstLine="0" w:firstLineChars="0"/>
        <w:jc w:val="center"/>
        <w:rPr>
          <w:rFonts w:hint="eastAsia" w:ascii="Times New Roman" w:hAnsi="Times New Roman" w:eastAsia="黑体" w:cs="Times New Roman"/>
          <w:color w:val="auto"/>
          <w:highlight w:val="none"/>
          <w:lang w:val="en-US" w:eastAsia="zh-CN"/>
        </w:rPr>
      </w:pPr>
      <w:r>
        <w:rPr>
          <w:color w:val="auto"/>
          <w:highlight w:val="none"/>
        </w:rPr>
        <w:drawing>
          <wp:inline distT="0" distB="0" distL="114300" distR="114300">
            <wp:extent cx="5219700" cy="3667125"/>
            <wp:effectExtent l="9525" t="9525" r="9525" b="19050"/>
            <wp:docPr id="12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6"/>
                    <pic:cNvPicPr>
                      <a:picLocks noChangeAspect="1"/>
                    </pic:cNvPicPr>
                  </pic:nvPicPr>
                  <pic:blipFill>
                    <a:blip r:embed="rId62"/>
                    <a:stretch>
                      <a:fillRect/>
                    </a:stretch>
                  </pic:blipFill>
                  <pic:spPr>
                    <a:xfrm>
                      <a:off x="0" y="0"/>
                      <a:ext cx="5219700" cy="3667125"/>
                    </a:xfrm>
                    <a:prstGeom prst="rect">
                      <a:avLst/>
                    </a:prstGeom>
                    <a:noFill/>
                    <a:ln>
                      <a:solidFill>
                        <a:schemeClr val="tx1"/>
                      </a:solidFill>
                    </a:ln>
                  </pic:spPr>
                </pic:pic>
              </a:graphicData>
            </a:graphic>
          </wp:inline>
        </w:drawing>
      </w:r>
    </w:p>
    <w:p w14:paraId="065278FA">
      <w:pPr>
        <w:ind w:left="0" w:leftChars="0" w:firstLine="0" w:firstLineChars="0"/>
        <w:jc w:val="center"/>
        <w:rPr>
          <w:rFonts w:hint="eastAsia" w:ascii="Times New Roman" w:hAnsi="Times New Roman" w:eastAsia="黑体" w:cs="Times New Roman"/>
          <w:color w:val="auto"/>
          <w:highlight w:val="none"/>
          <w:lang w:val="en-US" w:eastAsia="zh-CN"/>
        </w:rPr>
      </w:pPr>
      <w:r>
        <w:rPr>
          <w:rFonts w:hint="eastAsia" w:ascii="Times New Roman" w:hAnsi="Times New Roman" w:eastAsia="黑体" w:cs="Times New Roman"/>
          <w:color w:val="auto"/>
          <w:highlight w:val="none"/>
          <w:lang w:val="en-US" w:eastAsia="zh-CN"/>
        </w:rPr>
        <w:t>图2-</w:t>
      </w:r>
      <w:r>
        <w:rPr>
          <w:rFonts w:hint="eastAsia" w:eastAsia="黑体" w:cs="Times New Roman"/>
          <w:color w:val="auto"/>
          <w:highlight w:val="none"/>
          <w:lang w:val="en-US" w:eastAsia="zh-CN"/>
        </w:rPr>
        <w:t>15</w:t>
      </w:r>
      <w:r>
        <w:rPr>
          <w:rFonts w:hint="eastAsia" w:ascii="Times New Roman" w:hAnsi="Times New Roman" w:eastAsia="黑体" w:cs="Times New Roman"/>
          <w:color w:val="auto"/>
          <w:highlight w:val="none"/>
          <w:lang w:val="en-US" w:eastAsia="zh-CN"/>
        </w:rPr>
        <w:t xml:space="preserve"> 平安镇取水井及净水厂位置关系图</w:t>
      </w:r>
    </w:p>
    <w:tbl>
      <w:tblPr>
        <w:tblStyle w:val="2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09"/>
        <w:gridCol w:w="4764"/>
      </w:tblGrid>
      <w:tr w14:paraId="69ABD7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09" w:type="dxa"/>
            <w:vAlign w:val="center"/>
          </w:tcPr>
          <w:p w14:paraId="7C815CAB">
            <w:pPr>
              <w:widowControl w:val="0"/>
              <w:numPr>
                <w:ilvl w:val="0"/>
                <w:numId w:val="0"/>
              </w:numPr>
              <w:spacing w:line="240" w:lineRule="auto"/>
              <w:jc w:val="center"/>
              <w:rPr>
                <w:rFonts w:hint="eastAsia" w:ascii="Times New Roman" w:hAnsi="Times New Roman" w:eastAsia="宋体" w:cs="Times New Roman"/>
                <w:color w:val="auto"/>
                <w:sz w:val="21"/>
                <w:szCs w:val="21"/>
                <w:highlight w:val="none"/>
                <w:vertAlign w:val="baseline"/>
                <w:lang w:val="en-US" w:eastAsia="zh-CN"/>
              </w:rPr>
            </w:pPr>
            <w:r>
              <w:rPr>
                <w:color w:val="auto"/>
                <w:sz w:val="21"/>
                <w:szCs w:val="21"/>
                <w:highlight w:val="none"/>
              </w:rPr>
              <w:drawing>
                <wp:inline distT="0" distB="0" distL="114300" distR="114300">
                  <wp:extent cx="2569845" cy="1886585"/>
                  <wp:effectExtent l="0" t="0" r="1905" b="18415"/>
                  <wp:docPr id="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
                          <pic:cNvPicPr>
                            <a:picLocks noChangeAspect="1"/>
                          </pic:cNvPicPr>
                        </pic:nvPicPr>
                        <pic:blipFill>
                          <a:blip r:embed="rId63"/>
                          <a:stretch>
                            <a:fillRect/>
                          </a:stretch>
                        </pic:blipFill>
                        <pic:spPr>
                          <a:xfrm>
                            <a:off x="0" y="0"/>
                            <a:ext cx="2569845" cy="1886585"/>
                          </a:xfrm>
                          <a:prstGeom prst="rect">
                            <a:avLst/>
                          </a:prstGeom>
                          <a:noFill/>
                          <a:ln>
                            <a:noFill/>
                          </a:ln>
                        </pic:spPr>
                      </pic:pic>
                    </a:graphicData>
                  </a:graphic>
                </wp:inline>
              </w:drawing>
            </w:r>
          </w:p>
        </w:tc>
        <w:tc>
          <w:tcPr>
            <w:tcW w:w="4764" w:type="dxa"/>
            <w:vAlign w:val="center"/>
          </w:tcPr>
          <w:p w14:paraId="6D6A4CF1">
            <w:pPr>
              <w:widowControl w:val="0"/>
              <w:numPr>
                <w:ilvl w:val="0"/>
                <w:numId w:val="0"/>
              </w:numPr>
              <w:spacing w:line="240" w:lineRule="auto"/>
              <w:jc w:val="center"/>
              <w:rPr>
                <w:rFonts w:hint="eastAsia" w:ascii="Times New Roman" w:hAnsi="Times New Roman" w:eastAsia="宋体" w:cs="Times New Roman"/>
                <w:color w:val="auto"/>
                <w:sz w:val="21"/>
                <w:szCs w:val="21"/>
                <w:highlight w:val="none"/>
                <w:vertAlign w:val="baseline"/>
                <w:lang w:val="en-US" w:eastAsia="zh-CN"/>
              </w:rPr>
            </w:pPr>
            <w:r>
              <w:rPr>
                <w:color w:val="auto"/>
                <w:sz w:val="21"/>
                <w:szCs w:val="21"/>
                <w:highlight w:val="none"/>
              </w:rPr>
              <w:drawing>
                <wp:inline distT="0" distB="0" distL="114300" distR="114300">
                  <wp:extent cx="2806700" cy="1943735"/>
                  <wp:effectExtent l="0" t="0" r="12700" b="18415"/>
                  <wp:docPr id="6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3"/>
                          <pic:cNvPicPr>
                            <a:picLocks noChangeAspect="1"/>
                          </pic:cNvPicPr>
                        </pic:nvPicPr>
                        <pic:blipFill>
                          <a:blip r:embed="rId64"/>
                          <a:stretch>
                            <a:fillRect/>
                          </a:stretch>
                        </pic:blipFill>
                        <pic:spPr>
                          <a:xfrm>
                            <a:off x="0" y="0"/>
                            <a:ext cx="2806700" cy="1943735"/>
                          </a:xfrm>
                          <a:prstGeom prst="rect">
                            <a:avLst/>
                          </a:prstGeom>
                          <a:noFill/>
                          <a:ln>
                            <a:noFill/>
                          </a:ln>
                        </pic:spPr>
                      </pic:pic>
                    </a:graphicData>
                  </a:graphic>
                </wp:inline>
              </w:drawing>
            </w:r>
          </w:p>
        </w:tc>
      </w:tr>
      <w:tr w14:paraId="1694A4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09" w:type="dxa"/>
            <w:vAlign w:val="center"/>
          </w:tcPr>
          <w:p w14:paraId="28FFB4CB">
            <w:pPr>
              <w:widowControl w:val="0"/>
              <w:numPr>
                <w:ilvl w:val="0"/>
                <w:numId w:val="0"/>
              </w:numPr>
              <w:spacing w:line="240" w:lineRule="auto"/>
              <w:jc w:val="center"/>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lang w:val="en-US" w:eastAsia="zh-CN"/>
              </w:rPr>
              <w:t>发展水厂</w:t>
            </w:r>
          </w:p>
        </w:tc>
        <w:tc>
          <w:tcPr>
            <w:tcW w:w="4764" w:type="dxa"/>
            <w:vAlign w:val="center"/>
          </w:tcPr>
          <w:p w14:paraId="3A243C0D">
            <w:pPr>
              <w:widowControl w:val="0"/>
              <w:numPr>
                <w:ilvl w:val="0"/>
                <w:numId w:val="0"/>
              </w:numPr>
              <w:spacing w:line="240" w:lineRule="auto"/>
              <w:jc w:val="center"/>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lang w:val="en-US" w:eastAsia="zh-CN"/>
              </w:rPr>
              <w:t>建民水厂</w:t>
            </w:r>
          </w:p>
        </w:tc>
      </w:tr>
      <w:tr w14:paraId="43D005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09" w:type="dxa"/>
            <w:vAlign w:val="center"/>
          </w:tcPr>
          <w:p w14:paraId="0FC0AB3E">
            <w:pPr>
              <w:widowControl w:val="0"/>
              <w:numPr>
                <w:ilvl w:val="0"/>
                <w:numId w:val="0"/>
              </w:numPr>
              <w:spacing w:line="240" w:lineRule="auto"/>
              <w:jc w:val="center"/>
              <w:rPr>
                <w:rFonts w:hint="eastAsia" w:ascii="Times New Roman" w:hAnsi="Times New Roman" w:eastAsia="宋体" w:cs="Times New Roman"/>
                <w:color w:val="auto"/>
                <w:sz w:val="21"/>
                <w:szCs w:val="21"/>
                <w:highlight w:val="none"/>
                <w:vertAlign w:val="baseline"/>
                <w:lang w:val="en-US" w:eastAsia="zh-CN"/>
              </w:rPr>
            </w:pPr>
            <w:r>
              <w:rPr>
                <w:color w:val="auto"/>
                <w:sz w:val="21"/>
                <w:szCs w:val="21"/>
                <w:highlight w:val="none"/>
              </w:rPr>
              <w:drawing>
                <wp:inline distT="0" distB="0" distL="114300" distR="114300">
                  <wp:extent cx="2317750" cy="1977390"/>
                  <wp:effectExtent l="0" t="0" r="6350" b="3810"/>
                  <wp:docPr id="6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5"/>
                          <pic:cNvPicPr>
                            <a:picLocks noChangeAspect="1"/>
                          </pic:cNvPicPr>
                        </pic:nvPicPr>
                        <pic:blipFill>
                          <a:blip r:embed="rId65"/>
                          <a:stretch>
                            <a:fillRect/>
                          </a:stretch>
                        </pic:blipFill>
                        <pic:spPr>
                          <a:xfrm>
                            <a:off x="0" y="0"/>
                            <a:ext cx="2317750" cy="1977390"/>
                          </a:xfrm>
                          <a:prstGeom prst="rect">
                            <a:avLst/>
                          </a:prstGeom>
                          <a:noFill/>
                          <a:ln>
                            <a:noFill/>
                          </a:ln>
                        </pic:spPr>
                      </pic:pic>
                    </a:graphicData>
                  </a:graphic>
                </wp:inline>
              </w:drawing>
            </w:r>
          </w:p>
        </w:tc>
        <w:tc>
          <w:tcPr>
            <w:tcW w:w="4764" w:type="dxa"/>
            <w:vAlign w:val="center"/>
          </w:tcPr>
          <w:p w14:paraId="39A01C39">
            <w:pPr>
              <w:widowControl w:val="0"/>
              <w:numPr>
                <w:ilvl w:val="0"/>
                <w:numId w:val="0"/>
              </w:numPr>
              <w:spacing w:line="240" w:lineRule="auto"/>
              <w:jc w:val="center"/>
              <w:rPr>
                <w:rFonts w:hint="eastAsia" w:ascii="Times New Roman" w:hAnsi="Times New Roman" w:eastAsia="宋体" w:cs="Times New Roman"/>
                <w:color w:val="auto"/>
                <w:sz w:val="21"/>
                <w:szCs w:val="21"/>
                <w:highlight w:val="none"/>
                <w:vertAlign w:val="baseline"/>
                <w:lang w:val="en-US" w:eastAsia="zh-CN"/>
              </w:rPr>
            </w:pPr>
            <w:r>
              <w:rPr>
                <w:color w:val="auto"/>
                <w:sz w:val="21"/>
                <w:szCs w:val="21"/>
                <w:highlight w:val="none"/>
              </w:rPr>
              <w:drawing>
                <wp:inline distT="0" distB="0" distL="114300" distR="114300">
                  <wp:extent cx="2560320" cy="1964055"/>
                  <wp:effectExtent l="0" t="0" r="11430" b="17145"/>
                  <wp:docPr id="6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
                          <pic:cNvPicPr>
                            <a:picLocks noChangeAspect="1"/>
                          </pic:cNvPicPr>
                        </pic:nvPicPr>
                        <pic:blipFill>
                          <a:blip r:embed="rId66"/>
                          <a:stretch>
                            <a:fillRect/>
                          </a:stretch>
                        </pic:blipFill>
                        <pic:spPr>
                          <a:xfrm>
                            <a:off x="0" y="0"/>
                            <a:ext cx="2560320" cy="1964055"/>
                          </a:xfrm>
                          <a:prstGeom prst="rect">
                            <a:avLst/>
                          </a:prstGeom>
                          <a:noFill/>
                          <a:ln>
                            <a:noFill/>
                          </a:ln>
                        </pic:spPr>
                      </pic:pic>
                    </a:graphicData>
                  </a:graphic>
                </wp:inline>
              </w:drawing>
            </w:r>
          </w:p>
        </w:tc>
      </w:tr>
      <w:tr w14:paraId="6F6126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09" w:type="dxa"/>
            <w:vAlign w:val="center"/>
          </w:tcPr>
          <w:p w14:paraId="6F3C5643">
            <w:pPr>
              <w:numPr>
                <w:ilvl w:val="0"/>
                <w:numId w:val="0"/>
              </w:numPr>
              <w:spacing w:line="240" w:lineRule="auto"/>
              <w:ind w:firstLine="412" w:firstLineChars="200"/>
              <w:jc w:val="center"/>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lang w:val="en-US" w:eastAsia="zh-CN"/>
              </w:rPr>
              <w:t>同乐水厂</w:t>
            </w:r>
          </w:p>
        </w:tc>
        <w:tc>
          <w:tcPr>
            <w:tcW w:w="4764" w:type="dxa"/>
            <w:vAlign w:val="center"/>
          </w:tcPr>
          <w:p w14:paraId="68A1F886">
            <w:pPr>
              <w:widowControl w:val="0"/>
              <w:numPr>
                <w:ilvl w:val="0"/>
                <w:numId w:val="0"/>
              </w:numPr>
              <w:spacing w:line="240" w:lineRule="auto"/>
              <w:jc w:val="center"/>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lang w:val="en-US" w:eastAsia="zh-CN"/>
              </w:rPr>
              <w:t>新宏水厂</w:t>
            </w:r>
          </w:p>
        </w:tc>
      </w:tr>
      <w:tr w14:paraId="255A3E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09" w:type="dxa"/>
            <w:vAlign w:val="center"/>
          </w:tcPr>
          <w:p w14:paraId="17504157">
            <w:pPr>
              <w:widowControl w:val="0"/>
              <w:numPr>
                <w:ilvl w:val="0"/>
                <w:numId w:val="0"/>
              </w:numPr>
              <w:spacing w:line="240" w:lineRule="auto"/>
              <w:jc w:val="center"/>
              <w:rPr>
                <w:rFonts w:hint="eastAsia" w:ascii="Times New Roman" w:hAnsi="Times New Roman" w:eastAsia="宋体" w:cs="Times New Roman"/>
                <w:color w:val="auto"/>
                <w:sz w:val="21"/>
                <w:szCs w:val="21"/>
                <w:highlight w:val="none"/>
                <w:vertAlign w:val="baseline"/>
                <w:lang w:val="en-US" w:eastAsia="zh-CN"/>
              </w:rPr>
            </w:pPr>
            <w:r>
              <w:rPr>
                <w:color w:val="auto"/>
                <w:sz w:val="21"/>
                <w:szCs w:val="21"/>
                <w:highlight w:val="none"/>
              </w:rPr>
              <w:drawing>
                <wp:inline distT="0" distB="0" distL="114300" distR="114300">
                  <wp:extent cx="2358390" cy="1931035"/>
                  <wp:effectExtent l="0" t="0" r="3810" b="12065"/>
                  <wp:docPr id="6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7"/>
                          <pic:cNvPicPr>
                            <a:picLocks noChangeAspect="1"/>
                          </pic:cNvPicPr>
                        </pic:nvPicPr>
                        <pic:blipFill>
                          <a:blip r:embed="rId67"/>
                          <a:stretch>
                            <a:fillRect/>
                          </a:stretch>
                        </pic:blipFill>
                        <pic:spPr>
                          <a:xfrm>
                            <a:off x="0" y="0"/>
                            <a:ext cx="2358390" cy="1931035"/>
                          </a:xfrm>
                          <a:prstGeom prst="rect">
                            <a:avLst/>
                          </a:prstGeom>
                          <a:noFill/>
                          <a:ln>
                            <a:noFill/>
                          </a:ln>
                        </pic:spPr>
                      </pic:pic>
                    </a:graphicData>
                  </a:graphic>
                </wp:inline>
              </w:drawing>
            </w:r>
          </w:p>
        </w:tc>
        <w:tc>
          <w:tcPr>
            <w:tcW w:w="4764" w:type="dxa"/>
            <w:vAlign w:val="center"/>
          </w:tcPr>
          <w:p w14:paraId="4C57D3AC">
            <w:pPr>
              <w:widowControl w:val="0"/>
              <w:numPr>
                <w:ilvl w:val="0"/>
                <w:numId w:val="0"/>
              </w:numPr>
              <w:spacing w:line="240" w:lineRule="auto"/>
              <w:jc w:val="center"/>
              <w:rPr>
                <w:rFonts w:hint="eastAsia" w:ascii="Times New Roman" w:hAnsi="Times New Roman" w:eastAsia="宋体" w:cs="Times New Roman"/>
                <w:color w:val="auto"/>
                <w:sz w:val="21"/>
                <w:szCs w:val="21"/>
                <w:highlight w:val="none"/>
                <w:vertAlign w:val="baseline"/>
                <w:lang w:val="en-US" w:eastAsia="zh-CN"/>
              </w:rPr>
            </w:pPr>
            <w:r>
              <w:rPr>
                <w:color w:val="auto"/>
                <w:sz w:val="21"/>
                <w:szCs w:val="21"/>
                <w:highlight w:val="none"/>
              </w:rPr>
              <w:drawing>
                <wp:inline distT="0" distB="0" distL="114300" distR="114300">
                  <wp:extent cx="2582545" cy="1939925"/>
                  <wp:effectExtent l="0" t="0" r="8255" b="3175"/>
                  <wp:docPr id="5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2"/>
                          <pic:cNvPicPr>
                            <a:picLocks noChangeAspect="1"/>
                          </pic:cNvPicPr>
                        </pic:nvPicPr>
                        <pic:blipFill>
                          <a:blip r:embed="rId68"/>
                          <a:stretch>
                            <a:fillRect/>
                          </a:stretch>
                        </pic:blipFill>
                        <pic:spPr>
                          <a:xfrm>
                            <a:off x="0" y="0"/>
                            <a:ext cx="2582545" cy="1939925"/>
                          </a:xfrm>
                          <a:prstGeom prst="rect">
                            <a:avLst/>
                          </a:prstGeom>
                          <a:noFill/>
                          <a:ln>
                            <a:noFill/>
                          </a:ln>
                        </pic:spPr>
                      </pic:pic>
                    </a:graphicData>
                  </a:graphic>
                </wp:inline>
              </w:drawing>
            </w:r>
          </w:p>
        </w:tc>
      </w:tr>
      <w:tr w14:paraId="258DC2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09" w:type="dxa"/>
            <w:vAlign w:val="center"/>
          </w:tcPr>
          <w:p w14:paraId="491D2EB4">
            <w:pPr>
              <w:widowControl w:val="0"/>
              <w:numPr>
                <w:ilvl w:val="0"/>
                <w:numId w:val="0"/>
              </w:numPr>
              <w:spacing w:line="240" w:lineRule="auto"/>
              <w:jc w:val="center"/>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lang w:val="en-US" w:eastAsia="zh-CN"/>
              </w:rPr>
              <w:t>新强水厂</w:t>
            </w:r>
          </w:p>
        </w:tc>
        <w:tc>
          <w:tcPr>
            <w:tcW w:w="4764" w:type="dxa"/>
            <w:vAlign w:val="center"/>
          </w:tcPr>
          <w:p w14:paraId="3A50CC56">
            <w:pPr>
              <w:widowControl w:val="0"/>
              <w:numPr>
                <w:ilvl w:val="0"/>
                <w:numId w:val="0"/>
              </w:numPr>
              <w:spacing w:line="240" w:lineRule="auto"/>
              <w:jc w:val="center"/>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lang w:val="en-US" w:eastAsia="zh-CN"/>
              </w:rPr>
              <w:t>丰满水厂</w:t>
            </w:r>
          </w:p>
        </w:tc>
      </w:tr>
      <w:tr w14:paraId="793013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173" w:type="dxa"/>
            <w:gridSpan w:val="2"/>
            <w:vAlign w:val="center"/>
          </w:tcPr>
          <w:p w14:paraId="0CA97675">
            <w:pPr>
              <w:widowControl w:val="0"/>
              <w:numPr>
                <w:ilvl w:val="0"/>
                <w:numId w:val="0"/>
              </w:numPr>
              <w:spacing w:line="240" w:lineRule="auto"/>
              <w:jc w:val="center"/>
              <w:rPr>
                <w:rFonts w:hint="eastAsia" w:ascii="Times New Roman" w:hAnsi="Times New Roman" w:eastAsia="宋体" w:cs="Times New Roman"/>
                <w:color w:val="auto"/>
                <w:sz w:val="21"/>
                <w:szCs w:val="21"/>
                <w:highlight w:val="none"/>
                <w:vertAlign w:val="baseline"/>
                <w:lang w:val="en-US" w:eastAsia="zh-CN"/>
              </w:rPr>
            </w:pPr>
            <w:r>
              <w:rPr>
                <w:color w:val="auto"/>
                <w:sz w:val="21"/>
                <w:szCs w:val="21"/>
                <w:highlight w:val="none"/>
              </w:rPr>
              <w:drawing>
                <wp:inline distT="0" distB="0" distL="114300" distR="114300">
                  <wp:extent cx="2268220" cy="1827530"/>
                  <wp:effectExtent l="0" t="0" r="17780" b="1270"/>
                  <wp:docPr id="9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8"/>
                          <pic:cNvPicPr>
                            <a:picLocks noChangeAspect="1"/>
                          </pic:cNvPicPr>
                        </pic:nvPicPr>
                        <pic:blipFill>
                          <a:blip r:embed="rId69"/>
                          <a:stretch>
                            <a:fillRect/>
                          </a:stretch>
                        </pic:blipFill>
                        <pic:spPr>
                          <a:xfrm>
                            <a:off x="0" y="0"/>
                            <a:ext cx="2268220" cy="1827530"/>
                          </a:xfrm>
                          <a:prstGeom prst="rect">
                            <a:avLst/>
                          </a:prstGeom>
                          <a:noFill/>
                          <a:ln>
                            <a:noFill/>
                          </a:ln>
                        </pic:spPr>
                      </pic:pic>
                    </a:graphicData>
                  </a:graphic>
                </wp:inline>
              </w:drawing>
            </w:r>
          </w:p>
        </w:tc>
      </w:tr>
      <w:tr w14:paraId="5102FF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173" w:type="dxa"/>
            <w:gridSpan w:val="2"/>
            <w:vAlign w:val="center"/>
          </w:tcPr>
          <w:p w14:paraId="76C96D17">
            <w:pPr>
              <w:widowControl w:val="0"/>
              <w:numPr>
                <w:ilvl w:val="0"/>
                <w:numId w:val="0"/>
              </w:numPr>
              <w:spacing w:line="240" w:lineRule="auto"/>
              <w:jc w:val="center"/>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lang w:val="en-US" w:eastAsia="zh-CN"/>
              </w:rPr>
              <w:t>平安水厂</w:t>
            </w:r>
          </w:p>
        </w:tc>
      </w:tr>
      <w:tr w14:paraId="25D6C0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09" w:type="dxa"/>
            <w:vAlign w:val="center"/>
          </w:tcPr>
          <w:p w14:paraId="641ADB9D">
            <w:pPr>
              <w:widowControl w:val="0"/>
              <w:numPr>
                <w:ilvl w:val="0"/>
                <w:numId w:val="0"/>
              </w:numPr>
              <w:spacing w:line="240" w:lineRule="auto"/>
              <w:jc w:val="center"/>
              <w:rPr>
                <w:color w:val="auto"/>
                <w:sz w:val="21"/>
                <w:szCs w:val="21"/>
                <w:highlight w:val="none"/>
              </w:rPr>
            </w:pPr>
            <w:r>
              <w:rPr>
                <w:color w:val="auto"/>
                <w:sz w:val="21"/>
                <w:szCs w:val="21"/>
                <w:highlight w:val="none"/>
              </w:rPr>
              <w:drawing>
                <wp:inline distT="0" distB="0" distL="114300" distR="114300">
                  <wp:extent cx="2656205" cy="1887220"/>
                  <wp:effectExtent l="0" t="0" r="10795" b="17780"/>
                  <wp:docPr id="11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9"/>
                          <pic:cNvPicPr>
                            <a:picLocks noChangeAspect="1"/>
                          </pic:cNvPicPr>
                        </pic:nvPicPr>
                        <pic:blipFill>
                          <a:blip r:embed="rId70"/>
                          <a:stretch>
                            <a:fillRect/>
                          </a:stretch>
                        </pic:blipFill>
                        <pic:spPr>
                          <a:xfrm>
                            <a:off x="0" y="0"/>
                            <a:ext cx="2656205" cy="1887220"/>
                          </a:xfrm>
                          <a:prstGeom prst="rect">
                            <a:avLst/>
                          </a:prstGeom>
                          <a:noFill/>
                          <a:ln>
                            <a:noFill/>
                          </a:ln>
                        </pic:spPr>
                      </pic:pic>
                    </a:graphicData>
                  </a:graphic>
                </wp:inline>
              </w:drawing>
            </w:r>
          </w:p>
        </w:tc>
        <w:tc>
          <w:tcPr>
            <w:tcW w:w="4764" w:type="dxa"/>
            <w:vAlign w:val="center"/>
          </w:tcPr>
          <w:p w14:paraId="1D2967DB">
            <w:pPr>
              <w:widowControl w:val="0"/>
              <w:numPr>
                <w:ilvl w:val="0"/>
                <w:numId w:val="0"/>
              </w:numPr>
              <w:spacing w:line="240" w:lineRule="auto"/>
              <w:jc w:val="center"/>
              <w:rPr>
                <w:rFonts w:hint="eastAsia" w:ascii="Times New Roman" w:hAnsi="Times New Roman" w:eastAsia="宋体" w:cs="Times New Roman"/>
                <w:color w:val="auto"/>
                <w:sz w:val="21"/>
                <w:szCs w:val="21"/>
                <w:highlight w:val="none"/>
                <w:vertAlign w:val="baseline"/>
                <w:lang w:val="en-US" w:eastAsia="zh-CN"/>
              </w:rPr>
            </w:pPr>
            <w:r>
              <w:rPr>
                <w:color w:val="auto"/>
                <w:sz w:val="21"/>
                <w:szCs w:val="21"/>
                <w:highlight w:val="none"/>
              </w:rPr>
              <w:drawing>
                <wp:inline distT="0" distB="0" distL="114300" distR="114300">
                  <wp:extent cx="2886075" cy="1903730"/>
                  <wp:effectExtent l="0" t="0" r="9525" b="1270"/>
                  <wp:docPr id="11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0"/>
                          <pic:cNvPicPr>
                            <a:picLocks noChangeAspect="1"/>
                          </pic:cNvPicPr>
                        </pic:nvPicPr>
                        <pic:blipFill>
                          <a:blip r:embed="rId71"/>
                          <a:stretch>
                            <a:fillRect/>
                          </a:stretch>
                        </pic:blipFill>
                        <pic:spPr>
                          <a:xfrm>
                            <a:off x="0" y="0"/>
                            <a:ext cx="2886075" cy="1903730"/>
                          </a:xfrm>
                          <a:prstGeom prst="rect">
                            <a:avLst/>
                          </a:prstGeom>
                          <a:noFill/>
                          <a:ln>
                            <a:noFill/>
                          </a:ln>
                        </pic:spPr>
                      </pic:pic>
                    </a:graphicData>
                  </a:graphic>
                </wp:inline>
              </w:drawing>
            </w:r>
          </w:p>
        </w:tc>
      </w:tr>
      <w:tr w14:paraId="28603E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09" w:type="dxa"/>
            <w:vAlign w:val="center"/>
          </w:tcPr>
          <w:p w14:paraId="0B870F4A">
            <w:pPr>
              <w:widowControl w:val="0"/>
              <w:numPr>
                <w:ilvl w:val="0"/>
                <w:numId w:val="0"/>
              </w:numPr>
              <w:spacing w:line="240" w:lineRule="auto"/>
              <w:jc w:val="center"/>
              <w:rPr>
                <w:color w:val="auto"/>
                <w:sz w:val="21"/>
                <w:szCs w:val="21"/>
                <w:highlight w:val="none"/>
              </w:rPr>
            </w:pPr>
            <w:r>
              <w:rPr>
                <w:color w:val="auto"/>
                <w:sz w:val="21"/>
                <w:szCs w:val="21"/>
                <w:highlight w:val="none"/>
              </w:rPr>
              <w:drawing>
                <wp:inline distT="0" distB="0" distL="114300" distR="114300">
                  <wp:extent cx="2543175" cy="1732280"/>
                  <wp:effectExtent l="0" t="0" r="9525" b="1270"/>
                  <wp:docPr id="11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2"/>
                          <pic:cNvPicPr>
                            <a:picLocks noChangeAspect="1"/>
                          </pic:cNvPicPr>
                        </pic:nvPicPr>
                        <pic:blipFill>
                          <a:blip r:embed="rId72"/>
                          <a:stretch>
                            <a:fillRect/>
                          </a:stretch>
                        </pic:blipFill>
                        <pic:spPr>
                          <a:xfrm>
                            <a:off x="0" y="0"/>
                            <a:ext cx="2543175" cy="1732280"/>
                          </a:xfrm>
                          <a:prstGeom prst="rect">
                            <a:avLst/>
                          </a:prstGeom>
                          <a:noFill/>
                          <a:ln>
                            <a:noFill/>
                          </a:ln>
                        </pic:spPr>
                      </pic:pic>
                    </a:graphicData>
                  </a:graphic>
                </wp:inline>
              </w:drawing>
            </w:r>
          </w:p>
        </w:tc>
        <w:tc>
          <w:tcPr>
            <w:tcW w:w="4764" w:type="dxa"/>
            <w:vAlign w:val="center"/>
          </w:tcPr>
          <w:p w14:paraId="24BF8F6D">
            <w:pPr>
              <w:widowControl w:val="0"/>
              <w:numPr>
                <w:ilvl w:val="0"/>
                <w:numId w:val="0"/>
              </w:numPr>
              <w:spacing w:line="240" w:lineRule="auto"/>
              <w:jc w:val="center"/>
              <w:rPr>
                <w:rFonts w:hint="eastAsia" w:ascii="Times New Roman" w:hAnsi="Times New Roman" w:eastAsia="宋体" w:cs="Times New Roman"/>
                <w:color w:val="auto"/>
                <w:sz w:val="21"/>
                <w:szCs w:val="21"/>
                <w:highlight w:val="none"/>
                <w:vertAlign w:val="baseline"/>
                <w:lang w:val="en-US" w:eastAsia="zh-CN"/>
              </w:rPr>
            </w:pPr>
            <w:r>
              <w:rPr>
                <w:color w:val="auto"/>
                <w:sz w:val="21"/>
                <w:szCs w:val="21"/>
                <w:highlight w:val="none"/>
              </w:rPr>
              <w:drawing>
                <wp:inline distT="0" distB="0" distL="114300" distR="114300">
                  <wp:extent cx="2333625" cy="1678305"/>
                  <wp:effectExtent l="0" t="0" r="9525" b="17145"/>
                  <wp:docPr id="11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4"/>
                          <pic:cNvPicPr>
                            <a:picLocks noChangeAspect="1"/>
                          </pic:cNvPicPr>
                        </pic:nvPicPr>
                        <pic:blipFill>
                          <a:blip r:embed="rId73"/>
                          <a:stretch>
                            <a:fillRect/>
                          </a:stretch>
                        </pic:blipFill>
                        <pic:spPr>
                          <a:xfrm>
                            <a:off x="0" y="0"/>
                            <a:ext cx="2333625" cy="1678305"/>
                          </a:xfrm>
                          <a:prstGeom prst="rect">
                            <a:avLst/>
                          </a:prstGeom>
                          <a:noFill/>
                          <a:ln>
                            <a:noFill/>
                          </a:ln>
                        </pic:spPr>
                      </pic:pic>
                    </a:graphicData>
                  </a:graphic>
                </wp:inline>
              </w:drawing>
            </w:r>
          </w:p>
        </w:tc>
      </w:tr>
      <w:tr w14:paraId="13D1EE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09" w:type="dxa"/>
            <w:vAlign w:val="center"/>
          </w:tcPr>
          <w:p w14:paraId="37D87C86">
            <w:pPr>
              <w:widowControl w:val="0"/>
              <w:numPr>
                <w:ilvl w:val="0"/>
                <w:numId w:val="0"/>
              </w:numPr>
              <w:spacing w:line="240" w:lineRule="auto"/>
              <w:jc w:val="center"/>
              <w:rPr>
                <w:color w:val="auto"/>
                <w:sz w:val="21"/>
                <w:szCs w:val="21"/>
                <w:highlight w:val="none"/>
              </w:rPr>
            </w:pPr>
            <w:r>
              <w:rPr>
                <w:color w:val="auto"/>
                <w:sz w:val="21"/>
                <w:szCs w:val="21"/>
                <w:highlight w:val="none"/>
              </w:rPr>
              <w:drawing>
                <wp:inline distT="0" distB="0" distL="114300" distR="114300">
                  <wp:extent cx="2660650" cy="2025015"/>
                  <wp:effectExtent l="0" t="0" r="6350" b="13335"/>
                  <wp:docPr id="11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3"/>
                          <pic:cNvPicPr>
                            <a:picLocks noChangeAspect="1"/>
                          </pic:cNvPicPr>
                        </pic:nvPicPr>
                        <pic:blipFill>
                          <a:blip r:embed="rId74"/>
                          <a:stretch>
                            <a:fillRect/>
                          </a:stretch>
                        </pic:blipFill>
                        <pic:spPr>
                          <a:xfrm>
                            <a:off x="0" y="0"/>
                            <a:ext cx="2660650" cy="2025015"/>
                          </a:xfrm>
                          <a:prstGeom prst="rect">
                            <a:avLst/>
                          </a:prstGeom>
                          <a:noFill/>
                          <a:ln>
                            <a:noFill/>
                          </a:ln>
                        </pic:spPr>
                      </pic:pic>
                    </a:graphicData>
                  </a:graphic>
                </wp:inline>
              </w:drawing>
            </w:r>
          </w:p>
        </w:tc>
        <w:tc>
          <w:tcPr>
            <w:tcW w:w="4764" w:type="dxa"/>
            <w:vAlign w:val="center"/>
          </w:tcPr>
          <w:p w14:paraId="32A61C03">
            <w:pPr>
              <w:widowControl w:val="0"/>
              <w:numPr>
                <w:ilvl w:val="0"/>
                <w:numId w:val="0"/>
              </w:numPr>
              <w:spacing w:line="240" w:lineRule="auto"/>
              <w:jc w:val="center"/>
              <w:rPr>
                <w:color w:val="auto"/>
                <w:sz w:val="21"/>
                <w:szCs w:val="21"/>
                <w:highlight w:val="none"/>
              </w:rPr>
            </w:pPr>
            <w:r>
              <w:rPr>
                <w:color w:val="auto"/>
                <w:sz w:val="21"/>
                <w:szCs w:val="21"/>
                <w:highlight w:val="none"/>
              </w:rPr>
              <w:drawing>
                <wp:inline distT="0" distB="0" distL="114300" distR="114300">
                  <wp:extent cx="2828290" cy="1971675"/>
                  <wp:effectExtent l="0" t="0" r="10160" b="9525"/>
                  <wp:docPr id="11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
                          <pic:cNvPicPr>
                            <a:picLocks noChangeAspect="1"/>
                          </pic:cNvPicPr>
                        </pic:nvPicPr>
                        <pic:blipFill>
                          <a:blip r:embed="rId75"/>
                          <a:stretch>
                            <a:fillRect/>
                          </a:stretch>
                        </pic:blipFill>
                        <pic:spPr>
                          <a:xfrm>
                            <a:off x="0" y="0"/>
                            <a:ext cx="2828290" cy="1971675"/>
                          </a:xfrm>
                          <a:prstGeom prst="rect">
                            <a:avLst/>
                          </a:prstGeom>
                          <a:noFill/>
                          <a:ln>
                            <a:noFill/>
                          </a:ln>
                        </pic:spPr>
                      </pic:pic>
                    </a:graphicData>
                  </a:graphic>
                </wp:inline>
              </w:drawing>
            </w:r>
          </w:p>
        </w:tc>
      </w:tr>
      <w:tr w14:paraId="4BF431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173" w:type="dxa"/>
            <w:gridSpan w:val="2"/>
            <w:vAlign w:val="center"/>
          </w:tcPr>
          <w:p w14:paraId="4B2280E2">
            <w:pPr>
              <w:widowControl w:val="0"/>
              <w:numPr>
                <w:ilvl w:val="0"/>
                <w:numId w:val="0"/>
              </w:numPr>
              <w:spacing w:line="240" w:lineRule="auto"/>
              <w:jc w:val="center"/>
              <w:rPr>
                <w:rFonts w:hint="eastAsia" w:eastAsia="宋体"/>
                <w:color w:val="auto"/>
                <w:sz w:val="21"/>
                <w:szCs w:val="21"/>
                <w:highlight w:val="none"/>
                <w:lang w:eastAsia="zh-CN"/>
              </w:rPr>
            </w:pPr>
            <w:r>
              <w:rPr>
                <w:rFonts w:hint="eastAsia"/>
                <w:color w:val="auto"/>
                <w:sz w:val="21"/>
                <w:szCs w:val="21"/>
                <w:highlight w:val="none"/>
                <w:lang w:eastAsia="zh-CN"/>
              </w:rPr>
              <w:t>管理制度、发生器操作规程等</w:t>
            </w:r>
          </w:p>
        </w:tc>
      </w:tr>
    </w:tbl>
    <w:p w14:paraId="766C7211">
      <w:pPr>
        <w:ind w:left="0" w:leftChars="0" w:firstLine="0" w:firstLineChars="0"/>
        <w:jc w:val="center"/>
        <w:rPr>
          <w:rFonts w:hint="eastAsia" w:eastAsia="黑体"/>
          <w:color w:val="auto"/>
          <w:highlight w:val="none"/>
        </w:rPr>
      </w:pPr>
      <w:r>
        <w:rPr>
          <w:rFonts w:hint="eastAsia" w:eastAsia="黑体"/>
          <w:color w:val="auto"/>
          <w:highlight w:val="none"/>
        </w:rPr>
        <w:t>图</w:t>
      </w:r>
      <w:r>
        <w:rPr>
          <w:rFonts w:eastAsia="黑体"/>
          <w:color w:val="auto"/>
          <w:highlight w:val="none"/>
        </w:rPr>
        <w:t>2-</w:t>
      </w:r>
      <w:r>
        <w:rPr>
          <w:rFonts w:hint="eastAsia" w:eastAsia="黑体"/>
          <w:color w:val="auto"/>
          <w:highlight w:val="none"/>
          <w:lang w:val="en-US" w:eastAsia="zh-CN"/>
        </w:rPr>
        <w:t xml:space="preserve">16 </w:t>
      </w:r>
      <w:r>
        <w:rPr>
          <w:rFonts w:eastAsia="黑体"/>
          <w:color w:val="auto"/>
          <w:highlight w:val="none"/>
        </w:rPr>
        <w:t xml:space="preserve"> </w:t>
      </w:r>
      <w:r>
        <w:rPr>
          <w:rFonts w:hint="eastAsia" w:eastAsia="黑体"/>
          <w:color w:val="auto"/>
          <w:highlight w:val="none"/>
          <w:lang w:eastAsia="zh-CN"/>
        </w:rPr>
        <w:t>水厂及管理制度</w:t>
      </w:r>
      <w:r>
        <w:rPr>
          <w:rFonts w:hint="eastAsia" w:eastAsia="黑体"/>
          <w:color w:val="auto"/>
          <w:highlight w:val="none"/>
        </w:rPr>
        <w:t>照片</w:t>
      </w:r>
    </w:p>
    <w:p w14:paraId="4AE6F54F">
      <w:pPr>
        <w:pStyle w:val="4"/>
        <w:rPr>
          <w:color w:val="auto"/>
          <w:highlight w:val="none"/>
        </w:rPr>
      </w:pPr>
      <w:r>
        <w:rPr>
          <w:rFonts w:hint="eastAsia"/>
          <w:color w:val="auto"/>
          <w:highlight w:val="none"/>
        </w:rPr>
        <w:t>2.6.4饮用水水源地水文地质特征</w:t>
      </w:r>
      <w:bookmarkEnd w:id="58"/>
    </w:p>
    <w:p w14:paraId="5EE2F145">
      <w:pPr>
        <w:ind w:firstLine="472" w:firstLineChars="200"/>
        <w:rPr>
          <w:color w:val="auto"/>
          <w:sz w:val="24"/>
          <w:szCs w:val="24"/>
          <w:highlight w:val="none"/>
        </w:rPr>
      </w:pPr>
      <w:r>
        <w:rPr>
          <w:color w:val="auto"/>
          <w:sz w:val="24"/>
          <w:szCs w:val="24"/>
          <w:highlight w:val="none"/>
        </w:rPr>
        <w:t>根据</w:t>
      </w:r>
      <w:r>
        <w:rPr>
          <w:rFonts w:hint="eastAsia"/>
          <w:color w:val="auto"/>
          <w:sz w:val="24"/>
          <w:szCs w:val="24"/>
          <w:highlight w:val="none"/>
          <w:lang w:eastAsia="zh-CN"/>
        </w:rPr>
        <w:t>庆安县</w:t>
      </w:r>
      <w:r>
        <w:rPr>
          <w:color w:val="auto"/>
          <w:sz w:val="24"/>
          <w:szCs w:val="24"/>
          <w:highlight w:val="none"/>
        </w:rPr>
        <w:t>综合水文地质图</w:t>
      </w:r>
      <w:r>
        <w:rPr>
          <w:rFonts w:hint="eastAsia"/>
          <w:color w:val="auto"/>
          <w:sz w:val="24"/>
          <w:szCs w:val="24"/>
          <w:highlight w:val="none"/>
        </w:rPr>
        <w:t>（见附图</w:t>
      </w:r>
      <w:r>
        <w:rPr>
          <w:rFonts w:hint="eastAsia"/>
          <w:color w:val="auto"/>
          <w:sz w:val="24"/>
          <w:szCs w:val="24"/>
          <w:highlight w:val="none"/>
          <w:lang w:val="en-US" w:eastAsia="zh-CN"/>
        </w:rPr>
        <w:t>2</w:t>
      </w:r>
      <w:r>
        <w:rPr>
          <w:rFonts w:hint="eastAsia"/>
          <w:color w:val="auto"/>
          <w:sz w:val="24"/>
          <w:szCs w:val="24"/>
          <w:highlight w:val="none"/>
        </w:rPr>
        <w:t>）</w:t>
      </w:r>
      <w:r>
        <w:rPr>
          <w:color w:val="auto"/>
          <w:sz w:val="24"/>
          <w:szCs w:val="24"/>
          <w:highlight w:val="none"/>
        </w:rPr>
        <w:t>以及</w:t>
      </w:r>
      <w:r>
        <w:rPr>
          <w:rFonts w:hint="eastAsia"/>
          <w:color w:val="auto"/>
          <w:sz w:val="24"/>
          <w:szCs w:val="24"/>
          <w:highlight w:val="none"/>
          <w:lang w:eastAsia="zh-CN"/>
        </w:rPr>
        <w:t>庆安县</w:t>
      </w:r>
      <w:r>
        <w:rPr>
          <w:rFonts w:hint="eastAsia"/>
          <w:color w:val="auto"/>
          <w:sz w:val="24"/>
          <w:szCs w:val="24"/>
          <w:highlight w:val="none"/>
        </w:rPr>
        <w:t>水利</w:t>
      </w:r>
      <w:r>
        <w:rPr>
          <w:rFonts w:hint="eastAsia"/>
          <w:color w:val="auto"/>
          <w:highlight w:val="none"/>
          <w:lang w:eastAsia="zh-CN"/>
        </w:rPr>
        <w:t>钻井队</w:t>
      </w:r>
      <w:r>
        <w:rPr>
          <w:rFonts w:hint="eastAsia"/>
          <w:color w:val="auto"/>
          <w:sz w:val="24"/>
          <w:szCs w:val="24"/>
          <w:highlight w:val="none"/>
        </w:rPr>
        <w:t>出具的取水井</w:t>
      </w:r>
      <w:r>
        <w:rPr>
          <w:color w:val="auto"/>
          <w:sz w:val="24"/>
          <w:szCs w:val="24"/>
          <w:highlight w:val="none"/>
        </w:rPr>
        <w:t>成井</w:t>
      </w:r>
      <w:r>
        <w:rPr>
          <w:rFonts w:hint="eastAsia"/>
          <w:color w:val="auto"/>
          <w:sz w:val="24"/>
          <w:szCs w:val="24"/>
          <w:highlight w:val="none"/>
        </w:rPr>
        <w:t>柱状</w:t>
      </w:r>
      <w:r>
        <w:rPr>
          <w:color w:val="auto"/>
          <w:sz w:val="24"/>
          <w:szCs w:val="24"/>
          <w:highlight w:val="none"/>
        </w:rPr>
        <w:t>图</w:t>
      </w:r>
      <w:r>
        <w:rPr>
          <w:rFonts w:hint="eastAsia"/>
          <w:color w:val="auto"/>
          <w:sz w:val="24"/>
          <w:szCs w:val="24"/>
          <w:highlight w:val="none"/>
        </w:rPr>
        <w:t>（见</w:t>
      </w:r>
      <w:r>
        <w:rPr>
          <w:rFonts w:hint="eastAsia"/>
          <w:color w:val="auto"/>
          <w:sz w:val="24"/>
          <w:szCs w:val="24"/>
          <w:highlight w:val="none"/>
          <w:lang w:eastAsia="zh-CN"/>
        </w:rPr>
        <w:t>附</w:t>
      </w:r>
      <w:r>
        <w:rPr>
          <w:rFonts w:hint="eastAsia"/>
          <w:color w:val="auto"/>
          <w:sz w:val="24"/>
          <w:szCs w:val="24"/>
          <w:highlight w:val="none"/>
        </w:rPr>
        <w:t>图</w:t>
      </w:r>
      <w:r>
        <w:rPr>
          <w:rFonts w:hint="eastAsia"/>
          <w:color w:val="auto"/>
          <w:sz w:val="24"/>
          <w:szCs w:val="24"/>
          <w:highlight w:val="none"/>
          <w:lang w:val="en-US" w:eastAsia="zh-CN"/>
        </w:rPr>
        <w:t>3</w:t>
      </w:r>
      <w:r>
        <w:rPr>
          <w:rFonts w:hint="eastAsia"/>
          <w:color w:val="auto"/>
          <w:sz w:val="24"/>
          <w:szCs w:val="24"/>
          <w:highlight w:val="none"/>
        </w:rPr>
        <w:t>）</w:t>
      </w:r>
      <w:r>
        <w:rPr>
          <w:color w:val="auto"/>
          <w:sz w:val="24"/>
          <w:szCs w:val="24"/>
          <w:highlight w:val="none"/>
        </w:rPr>
        <w:t>，</w:t>
      </w:r>
      <w:r>
        <w:rPr>
          <w:rFonts w:hint="eastAsia"/>
          <w:color w:val="auto"/>
          <w:sz w:val="24"/>
          <w:szCs w:val="24"/>
          <w:highlight w:val="none"/>
        </w:rPr>
        <w:t>本次</w:t>
      </w:r>
      <w:r>
        <w:rPr>
          <w:rFonts w:hint="eastAsia"/>
          <w:color w:val="auto"/>
          <w:sz w:val="24"/>
          <w:szCs w:val="24"/>
          <w:highlight w:val="none"/>
          <w:lang w:eastAsia="zh-CN"/>
        </w:rPr>
        <w:t>新建</w:t>
      </w:r>
      <w:r>
        <w:rPr>
          <w:color w:val="auto"/>
          <w:sz w:val="24"/>
          <w:szCs w:val="24"/>
          <w:highlight w:val="none"/>
        </w:rPr>
        <w:t>水源地各</w:t>
      </w:r>
      <w:r>
        <w:rPr>
          <w:rFonts w:hint="eastAsia"/>
          <w:color w:val="auto"/>
          <w:sz w:val="24"/>
          <w:szCs w:val="24"/>
          <w:highlight w:val="none"/>
        </w:rPr>
        <w:t>水井</w:t>
      </w:r>
      <w:r>
        <w:rPr>
          <w:color w:val="auto"/>
          <w:sz w:val="24"/>
          <w:szCs w:val="24"/>
          <w:highlight w:val="none"/>
        </w:rPr>
        <w:t>水文地质基本情况如下：</w:t>
      </w:r>
    </w:p>
    <w:p w14:paraId="6DB38AA9">
      <w:pPr>
        <w:pStyle w:val="5"/>
        <w:bidi w:val="0"/>
        <w:rPr>
          <w:rFonts w:hint="default"/>
          <w:color w:val="auto"/>
          <w:highlight w:val="none"/>
          <w:lang w:val="en-US" w:eastAsia="zh-CN"/>
        </w:rPr>
      </w:pPr>
      <w:bookmarkStart w:id="59" w:name="_Toc28835"/>
      <w:r>
        <w:rPr>
          <w:rFonts w:hint="eastAsia"/>
          <w:color w:val="auto"/>
          <w:highlight w:val="none"/>
          <w:lang w:val="en-US" w:eastAsia="zh-CN"/>
        </w:rPr>
        <w:t>2.6.4.1乡镇级水源地</w:t>
      </w:r>
    </w:p>
    <w:p w14:paraId="41F3C535">
      <w:pPr>
        <w:pStyle w:val="5"/>
        <w:bidi w:val="0"/>
        <w:ind w:firstLine="472" w:firstLineChars="200"/>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（1）绥化市庆安县发展乡饮用水水源地（取水井8眼）</w:t>
      </w:r>
    </w:p>
    <w:p w14:paraId="0529A0DF">
      <w:pPr>
        <w:numPr>
          <w:ilvl w:val="0"/>
          <w:numId w:val="0"/>
        </w:numPr>
        <w:ind w:firstLine="472" w:firstLineChars="200"/>
        <w:rPr>
          <w:rFonts w:hint="eastAsia"/>
          <w:color w:val="auto"/>
          <w:sz w:val="24"/>
          <w:szCs w:val="24"/>
          <w:highlight w:val="none"/>
        </w:rPr>
      </w:pPr>
      <w:r>
        <w:rPr>
          <w:rFonts w:hint="eastAsia"/>
          <w:color w:val="auto"/>
          <w:sz w:val="24"/>
          <w:szCs w:val="24"/>
          <w:highlight w:val="none"/>
          <w:lang w:val="en-US" w:eastAsia="zh-CN"/>
        </w:rPr>
        <w:t>1#：</w:t>
      </w:r>
      <w:r>
        <w:rPr>
          <w:rFonts w:hint="eastAsia"/>
          <w:color w:val="auto"/>
          <w:highlight w:val="none"/>
          <w:lang w:eastAsia="zh-CN"/>
        </w:rPr>
        <w:t>取水目的层</w:t>
      </w:r>
      <w:r>
        <w:rPr>
          <w:rFonts w:hint="eastAsia"/>
          <w:color w:val="auto"/>
          <w:highlight w:val="none"/>
          <w:lang w:val="en-US" w:eastAsia="zh-CN"/>
        </w:rPr>
        <w:t>为</w:t>
      </w:r>
      <w:r>
        <w:rPr>
          <w:rFonts w:hint="eastAsia"/>
          <w:color w:val="auto"/>
          <w:kern w:val="0"/>
          <w:szCs w:val="28"/>
          <w:highlight w:val="none"/>
        </w:rPr>
        <w:t>裂隙承压水层</w:t>
      </w:r>
      <w:r>
        <w:rPr>
          <w:rFonts w:hint="eastAsia"/>
          <w:color w:val="auto"/>
          <w:sz w:val="24"/>
          <w:szCs w:val="24"/>
          <w:highlight w:val="none"/>
          <w:lang w:eastAsia="zh-CN"/>
        </w:rPr>
        <w:t>，</w:t>
      </w:r>
      <w:r>
        <w:rPr>
          <w:rFonts w:hint="eastAsia"/>
          <w:color w:val="auto"/>
          <w:sz w:val="24"/>
          <w:szCs w:val="24"/>
          <w:highlight w:val="none"/>
        </w:rPr>
        <w:t>取水井井深</w:t>
      </w:r>
      <w:r>
        <w:rPr>
          <w:rFonts w:hint="eastAsia"/>
          <w:color w:val="auto"/>
          <w:sz w:val="24"/>
          <w:szCs w:val="24"/>
          <w:highlight w:val="none"/>
          <w:lang w:val="en-US" w:eastAsia="zh-CN"/>
        </w:rPr>
        <w:t>130</w:t>
      </w:r>
      <w:r>
        <w:rPr>
          <w:color w:val="auto"/>
          <w:sz w:val="24"/>
          <w:szCs w:val="24"/>
          <w:highlight w:val="none"/>
        </w:rPr>
        <w:t>米</w:t>
      </w:r>
      <w:r>
        <w:rPr>
          <w:rFonts w:hint="eastAsia"/>
          <w:color w:val="auto"/>
          <w:sz w:val="24"/>
          <w:szCs w:val="24"/>
          <w:highlight w:val="none"/>
          <w:lang w:eastAsia="zh-CN"/>
        </w:rPr>
        <w:t>，</w:t>
      </w:r>
      <w:r>
        <w:rPr>
          <w:rFonts w:hint="eastAsia"/>
          <w:color w:val="auto"/>
          <w:sz w:val="24"/>
          <w:szCs w:val="24"/>
          <w:highlight w:val="none"/>
        </w:rPr>
        <w:t>取水目的层上部为</w:t>
      </w:r>
      <w:r>
        <w:rPr>
          <w:rFonts w:hint="eastAsia"/>
          <w:color w:val="auto"/>
          <w:sz w:val="24"/>
          <w:szCs w:val="24"/>
          <w:highlight w:val="none"/>
          <w:lang w:val="en-US" w:eastAsia="zh-CN"/>
        </w:rPr>
        <w:t>1米腐殖土、9</w:t>
      </w:r>
      <w:r>
        <w:rPr>
          <w:rFonts w:hint="eastAsia"/>
          <w:color w:val="auto"/>
          <w:sz w:val="24"/>
          <w:szCs w:val="24"/>
          <w:highlight w:val="none"/>
        </w:rPr>
        <w:t>米黄土、</w:t>
      </w:r>
      <w:r>
        <w:rPr>
          <w:rFonts w:hint="eastAsia"/>
          <w:color w:val="auto"/>
          <w:sz w:val="24"/>
          <w:szCs w:val="24"/>
          <w:highlight w:val="none"/>
          <w:lang w:val="en-US" w:eastAsia="zh-CN"/>
        </w:rPr>
        <w:t>30</w:t>
      </w:r>
      <w:r>
        <w:rPr>
          <w:rFonts w:hint="eastAsia"/>
          <w:color w:val="auto"/>
          <w:sz w:val="24"/>
          <w:szCs w:val="24"/>
          <w:highlight w:val="none"/>
        </w:rPr>
        <w:t>米</w:t>
      </w:r>
      <w:r>
        <w:rPr>
          <w:rFonts w:hint="eastAsia"/>
          <w:color w:val="auto"/>
          <w:sz w:val="24"/>
          <w:szCs w:val="24"/>
          <w:highlight w:val="none"/>
          <w:lang w:eastAsia="zh-CN"/>
        </w:rPr>
        <w:t>粉质粘土、</w:t>
      </w:r>
      <w:r>
        <w:rPr>
          <w:rFonts w:hint="eastAsia"/>
          <w:color w:val="auto"/>
          <w:sz w:val="24"/>
          <w:szCs w:val="24"/>
          <w:highlight w:val="none"/>
          <w:lang w:val="en-US" w:eastAsia="zh-CN"/>
        </w:rPr>
        <w:t>2米砂岩</w:t>
      </w:r>
      <w:r>
        <w:rPr>
          <w:rFonts w:hint="eastAsia"/>
          <w:color w:val="auto"/>
          <w:sz w:val="24"/>
          <w:szCs w:val="24"/>
          <w:highlight w:val="none"/>
        </w:rPr>
        <w:t>，构成稳定隔水顶板，取水层下部</w:t>
      </w:r>
      <w:r>
        <w:rPr>
          <w:rFonts w:hint="eastAsia"/>
          <w:color w:val="auto"/>
          <w:sz w:val="24"/>
          <w:szCs w:val="24"/>
          <w:highlight w:val="none"/>
          <w:lang w:eastAsia="zh-CN"/>
        </w:rPr>
        <w:t>为</w:t>
      </w:r>
      <w:r>
        <w:rPr>
          <w:rFonts w:hint="eastAsia"/>
          <w:color w:val="auto"/>
          <w:sz w:val="24"/>
          <w:szCs w:val="24"/>
          <w:highlight w:val="none"/>
          <w:lang w:val="en-US" w:eastAsia="zh-CN"/>
        </w:rPr>
        <w:t>73米</w:t>
      </w:r>
      <w:r>
        <w:rPr>
          <w:rFonts w:hint="eastAsia"/>
          <w:color w:val="auto"/>
          <w:sz w:val="24"/>
          <w:szCs w:val="24"/>
          <w:highlight w:val="none"/>
          <w:lang w:eastAsia="zh-CN"/>
        </w:rPr>
        <w:t>砂岩、</w:t>
      </w:r>
      <w:r>
        <w:rPr>
          <w:rFonts w:hint="eastAsia"/>
          <w:color w:val="auto"/>
          <w:sz w:val="24"/>
          <w:szCs w:val="24"/>
          <w:highlight w:val="none"/>
          <w:lang w:val="en-US" w:eastAsia="zh-CN"/>
        </w:rPr>
        <w:t>15米</w:t>
      </w:r>
      <w:r>
        <w:rPr>
          <w:rFonts w:hint="eastAsia"/>
          <w:color w:val="auto"/>
          <w:sz w:val="24"/>
          <w:szCs w:val="24"/>
          <w:highlight w:val="none"/>
          <w:lang w:eastAsia="zh-CN"/>
        </w:rPr>
        <w:t>泥岩</w:t>
      </w:r>
      <w:r>
        <w:rPr>
          <w:rFonts w:hint="eastAsia"/>
          <w:color w:val="auto"/>
          <w:sz w:val="24"/>
          <w:szCs w:val="24"/>
          <w:highlight w:val="none"/>
        </w:rPr>
        <w:t>，含水层厚度</w:t>
      </w:r>
      <w:r>
        <w:rPr>
          <w:rFonts w:hint="eastAsia"/>
          <w:color w:val="auto"/>
          <w:sz w:val="24"/>
          <w:szCs w:val="24"/>
          <w:highlight w:val="none"/>
          <w:lang w:val="en-US" w:eastAsia="zh-CN"/>
        </w:rPr>
        <w:t>83</w:t>
      </w:r>
      <w:r>
        <w:rPr>
          <w:color w:val="auto"/>
          <w:sz w:val="24"/>
          <w:szCs w:val="24"/>
          <w:highlight w:val="none"/>
        </w:rPr>
        <w:t>米</w:t>
      </w:r>
      <w:r>
        <w:rPr>
          <w:rFonts w:hint="eastAsia"/>
          <w:color w:val="auto"/>
          <w:sz w:val="24"/>
          <w:szCs w:val="24"/>
          <w:highlight w:val="none"/>
        </w:rPr>
        <w:t>，取水层埋深</w:t>
      </w:r>
      <w:r>
        <w:rPr>
          <w:rFonts w:hint="eastAsia"/>
          <w:color w:val="auto"/>
          <w:sz w:val="24"/>
          <w:szCs w:val="24"/>
          <w:highlight w:val="none"/>
          <w:lang w:val="en-US" w:eastAsia="zh-CN"/>
        </w:rPr>
        <w:t>42</w:t>
      </w:r>
      <w:r>
        <w:rPr>
          <w:rFonts w:hint="eastAsia"/>
          <w:color w:val="auto"/>
          <w:sz w:val="24"/>
          <w:szCs w:val="24"/>
          <w:highlight w:val="none"/>
        </w:rPr>
        <w:t>米。</w:t>
      </w:r>
      <w:r>
        <w:rPr>
          <w:color w:val="auto"/>
          <w:sz w:val="24"/>
          <w:szCs w:val="24"/>
          <w:highlight w:val="none"/>
        </w:rPr>
        <w:t>矿化度小于1克/升</w:t>
      </w:r>
      <w:r>
        <w:rPr>
          <w:rFonts w:hint="eastAsia"/>
          <w:color w:val="auto"/>
          <w:sz w:val="24"/>
          <w:szCs w:val="24"/>
          <w:highlight w:val="none"/>
          <w:lang w:eastAsia="zh-CN"/>
        </w:rPr>
        <w:t>，根据</w:t>
      </w:r>
      <w:r>
        <w:rPr>
          <w:rFonts w:hint="eastAsia" w:ascii="Times New Roman" w:hAnsi="Times New Roman"/>
          <w:color w:val="auto"/>
          <w:sz w:val="24"/>
          <w:szCs w:val="24"/>
          <w:highlight w:val="none"/>
          <w:lang w:val="zh-CN"/>
        </w:rPr>
        <w:t>区域水文地质图，</w:t>
      </w:r>
      <w:r>
        <w:rPr>
          <w:rFonts w:hint="eastAsia"/>
          <w:color w:val="auto"/>
          <w:sz w:val="24"/>
          <w:szCs w:val="24"/>
          <w:highlight w:val="none"/>
        </w:rPr>
        <w:t>地下水流向为自</w:t>
      </w:r>
      <w:r>
        <w:rPr>
          <w:rFonts w:hint="eastAsia"/>
          <w:color w:val="auto"/>
          <w:sz w:val="24"/>
          <w:szCs w:val="24"/>
          <w:highlight w:val="none"/>
          <w:lang w:eastAsia="zh-CN"/>
        </w:rPr>
        <w:t>东北</w:t>
      </w:r>
      <w:r>
        <w:rPr>
          <w:rFonts w:hint="eastAsia"/>
          <w:color w:val="auto"/>
          <w:sz w:val="24"/>
          <w:szCs w:val="24"/>
          <w:highlight w:val="none"/>
        </w:rPr>
        <w:t>向</w:t>
      </w:r>
      <w:r>
        <w:rPr>
          <w:rFonts w:hint="eastAsia"/>
          <w:color w:val="auto"/>
          <w:sz w:val="24"/>
          <w:szCs w:val="24"/>
          <w:highlight w:val="none"/>
          <w:lang w:eastAsia="zh-CN"/>
        </w:rPr>
        <w:t>西</w:t>
      </w:r>
      <w:r>
        <w:rPr>
          <w:rFonts w:hint="eastAsia"/>
          <w:color w:val="auto"/>
          <w:sz w:val="24"/>
          <w:szCs w:val="24"/>
          <w:highlight w:val="none"/>
        </w:rPr>
        <w:t>南。</w:t>
      </w:r>
    </w:p>
    <w:p w14:paraId="368B2329">
      <w:pPr>
        <w:numPr>
          <w:ilvl w:val="0"/>
          <w:numId w:val="0"/>
        </w:numPr>
        <w:ind w:firstLine="472" w:firstLineChars="200"/>
        <w:rPr>
          <w:rFonts w:hint="eastAsia"/>
          <w:color w:val="auto"/>
          <w:sz w:val="24"/>
          <w:szCs w:val="24"/>
          <w:highlight w:val="none"/>
        </w:rPr>
      </w:pPr>
      <w:r>
        <w:rPr>
          <w:rFonts w:hint="eastAsia"/>
          <w:color w:val="auto"/>
          <w:sz w:val="24"/>
          <w:szCs w:val="24"/>
          <w:highlight w:val="none"/>
          <w:lang w:val="en-US" w:eastAsia="zh-CN"/>
        </w:rPr>
        <w:t>2#：</w:t>
      </w:r>
      <w:r>
        <w:rPr>
          <w:rFonts w:hint="eastAsia"/>
          <w:color w:val="auto"/>
          <w:highlight w:val="none"/>
          <w:lang w:eastAsia="zh-CN"/>
        </w:rPr>
        <w:t>取水目的层</w:t>
      </w:r>
      <w:r>
        <w:rPr>
          <w:rFonts w:hint="eastAsia"/>
          <w:color w:val="auto"/>
          <w:highlight w:val="none"/>
          <w:lang w:val="en-US" w:eastAsia="zh-CN"/>
        </w:rPr>
        <w:t>为</w:t>
      </w:r>
      <w:r>
        <w:rPr>
          <w:rFonts w:hint="eastAsia"/>
          <w:color w:val="auto"/>
          <w:kern w:val="0"/>
          <w:szCs w:val="28"/>
          <w:highlight w:val="none"/>
        </w:rPr>
        <w:t>裂隙承压水层</w:t>
      </w:r>
      <w:r>
        <w:rPr>
          <w:rFonts w:hint="eastAsia"/>
          <w:color w:val="auto"/>
          <w:sz w:val="24"/>
          <w:szCs w:val="24"/>
          <w:highlight w:val="none"/>
          <w:lang w:eastAsia="zh-CN"/>
        </w:rPr>
        <w:t>，</w:t>
      </w:r>
      <w:r>
        <w:rPr>
          <w:rFonts w:hint="eastAsia"/>
          <w:color w:val="auto"/>
          <w:sz w:val="24"/>
          <w:szCs w:val="24"/>
          <w:highlight w:val="none"/>
        </w:rPr>
        <w:t>取水井井深</w:t>
      </w:r>
      <w:r>
        <w:rPr>
          <w:rFonts w:hint="eastAsia"/>
          <w:color w:val="auto"/>
          <w:sz w:val="24"/>
          <w:szCs w:val="24"/>
          <w:highlight w:val="none"/>
          <w:lang w:val="en-US" w:eastAsia="zh-CN"/>
        </w:rPr>
        <w:t>130</w:t>
      </w:r>
      <w:r>
        <w:rPr>
          <w:color w:val="auto"/>
          <w:sz w:val="24"/>
          <w:szCs w:val="24"/>
          <w:highlight w:val="none"/>
        </w:rPr>
        <w:t>米</w:t>
      </w:r>
      <w:r>
        <w:rPr>
          <w:rFonts w:hint="eastAsia"/>
          <w:color w:val="auto"/>
          <w:sz w:val="24"/>
          <w:szCs w:val="24"/>
          <w:highlight w:val="none"/>
          <w:lang w:eastAsia="zh-CN"/>
        </w:rPr>
        <w:t>，</w:t>
      </w:r>
      <w:r>
        <w:rPr>
          <w:rFonts w:hint="eastAsia"/>
          <w:color w:val="auto"/>
          <w:sz w:val="24"/>
          <w:szCs w:val="24"/>
          <w:highlight w:val="none"/>
        </w:rPr>
        <w:t>取水目的层上部为</w:t>
      </w:r>
      <w:r>
        <w:rPr>
          <w:rFonts w:hint="eastAsia"/>
          <w:color w:val="auto"/>
          <w:sz w:val="24"/>
          <w:szCs w:val="24"/>
          <w:highlight w:val="none"/>
          <w:lang w:val="en-US" w:eastAsia="zh-CN"/>
        </w:rPr>
        <w:t>1米腐殖土、8</w:t>
      </w:r>
      <w:r>
        <w:rPr>
          <w:rFonts w:hint="eastAsia"/>
          <w:color w:val="auto"/>
          <w:sz w:val="24"/>
          <w:szCs w:val="24"/>
          <w:highlight w:val="none"/>
        </w:rPr>
        <w:t>米黄土、</w:t>
      </w:r>
      <w:r>
        <w:rPr>
          <w:rFonts w:hint="eastAsia"/>
          <w:color w:val="auto"/>
          <w:sz w:val="24"/>
          <w:szCs w:val="24"/>
          <w:highlight w:val="none"/>
          <w:lang w:val="en-US" w:eastAsia="zh-CN"/>
        </w:rPr>
        <w:t>31</w:t>
      </w:r>
      <w:r>
        <w:rPr>
          <w:rFonts w:hint="eastAsia"/>
          <w:color w:val="auto"/>
          <w:sz w:val="24"/>
          <w:szCs w:val="24"/>
          <w:highlight w:val="none"/>
        </w:rPr>
        <w:t>米</w:t>
      </w:r>
      <w:r>
        <w:rPr>
          <w:rFonts w:hint="eastAsia"/>
          <w:color w:val="auto"/>
          <w:sz w:val="24"/>
          <w:szCs w:val="24"/>
          <w:highlight w:val="none"/>
          <w:lang w:eastAsia="zh-CN"/>
        </w:rPr>
        <w:t>粉质粘土、</w:t>
      </w:r>
      <w:r>
        <w:rPr>
          <w:rFonts w:hint="eastAsia"/>
          <w:color w:val="auto"/>
          <w:sz w:val="24"/>
          <w:szCs w:val="24"/>
          <w:highlight w:val="none"/>
          <w:lang w:val="en-US" w:eastAsia="zh-CN"/>
        </w:rPr>
        <w:t>2米砂岩</w:t>
      </w:r>
      <w:r>
        <w:rPr>
          <w:rFonts w:hint="eastAsia"/>
          <w:color w:val="auto"/>
          <w:sz w:val="24"/>
          <w:szCs w:val="24"/>
          <w:highlight w:val="none"/>
        </w:rPr>
        <w:t>，构成稳定隔水顶板，取水层下部</w:t>
      </w:r>
      <w:r>
        <w:rPr>
          <w:rFonts w:hint="eastAsia"/>
          <w:color w:val="auto"/>
          <w:sz w:val="24"/>
          <w:szCs w:val="24"/>
          <w:highlight w:val="none"/>
          <w:lang w:eastAsia="zh-CN"/>
        </w:rPr>
        <w:t>为</w:t>
      </w:r>
      <w:r>
        <w:rPr>
          <w:rFonts w:hint="eastAsia"/>
          <w:color w:val="auto"/>
          <w:sz w:val="24"/>
          <w:szCs w:val="24"/>
          <w:highlight w:val="none"/>
          <w:lang w:val="en-US" w:eastAsia="zh-CN"/>
        </w:rPr>
        <w:t>73米</w:t>
      </w:r>
      <w:r>
        <w:rPr>
          <w:rFonts w:hint="eastAsia"/>
          <w:color w:val="auto"/>
          <w:sz w:val="24"/>
          <w:szCs w:val="24"/>
          <w:highlight w:val="none"/>
          <w:lang w:eastAsia="zh-CN"/>
        </w:rPr>
        <w:t>砂岩、</w:t>
      </w:r>
      <w:r>
        <w:rPr>
          <w:rFonts w:hint="eastAsia"/>
          <w:color w:val="auto"/>
          <w:sz w:val="24"/>
          <w:szCs w:val="24"/>
          <w:highlight w:val="none"/>
          <w:lang w:val="en-US" w:eastAsia="zh-CN"/>
        </w:rPr>
        <w:t>15米</w:t>
      </w:r>
      <w:r>
        <w:rPr>
          <w:rFonts w:hint="eastAsia"/>
          <w:color w:val="auto"/>
          <w:sz w:val="24"/>
          <w:szCs w:val="24"/>
          <w:highlight w:val="none"/>
          <w:lang w:eastAsia="zh-CN"/>
        </w:rPr>
        <w:t>泥岩</w:t>
      </w:r>
      <w:r>
        <w:rPr>
          <w:rFonts w:hint="eastAsia"/>
          <w:color w:val="auto"/>
          <w:sz w:val="24"/>
          <w:szCs w:val="24"/>
          <w:highlight w:val="none"/>
        </w:rPr>
        <w:t>，含水层厚度</w:t>
      </w:r>
      <w:r>
        <w:rPr>
          <w:rFonts w:hint="eastAsia"/>
          <w:color w:val="auto"/>
          <w:sz w:val="24"/>
          <w:szCs w:val="24"/>
          <w:highlight w:val="none"/>
          <w:lang w:val="en-US" w:eastAsia="zh-CN"/>
        </w:rPr>
        <w:t>83</w:t>
      </w:r>
      <w:r>
        <w:rPr>
          <w:color w:val="auto"/>
          <w:sz w:val="24"/>
          <w:szCs w:val="24"/>
          <w:highlight w:val="none"/>
        </w:rPr>
        <w:t>米</w:t>
      </w:r>
      <w:r>
        <w:rPr>
          <w:rFonts w:hint="eastAsia"/>
          <w:color w:val="auto"/>
          <w:sz w:val="24"/>
          <w:szCs w:val="24"/>
          <w:highlight w:val="none"/>
        </w:rPr>
        <w:t>，取水层埋深</w:t>
      </w:r>
      <w:r>
        <w:rPr>
          <w:rFonts w:hint="eastAsia"/>
          <w:color w:val="auto"/>
          <w:sz w:val="24"/>
          <w:szCs w:val="24"/>
          <w:highlight w:val="none"/>
          <w:lang w:val="en-US" w:eastAsia="zh-CN"/>
        </w:rPr>
        <w:t>42</w:t>
      </w:r>
      <w:r>
        <w:rPr>
          <w:rFonts w:hint="eastAsia"/>
          <w:color w:val="auto"/>
          <w:sz w:val="24"/>
          <w:szCs w:val="24"/>
          <w:highlight w:val="none"/>
        </w:rPr>
        <w:t>米。</w:t>
      </w:r>
      <w:r>
        <w:rPr>
          <w:color w:val="auto"/>
          <w:sz w:val="24"/>
          <w:szCs w:val="24"/>
          <w:highlight w:val="none"/>
        </w:rPr>
        <w:t>矿化度小于1克/升</w:t>
      </w:r>
      <w:r>
        <w:rPr>
          <w:rFonts w:hint="eastAsia"/>
          <w:color w:val="auto"/>
          <w:sz w:val="24"/>
          <w:szCs w:val="24"/>
          <w:highlight w:val="none"/>
          <w:lang w:eastAsia="zh-CN"/>
        </w:rPr>
        <w:t>，根据</w:t>
      </w:r>
      <w:r>
        <w:rPr>
          <w:rFonts w:hint="eastAsia" w:ascii="Times New Roman" w:hAnsi="Times New Roman"/>
          <w:color w:val="auto"/>
          <w:sz w:val="24"/>
          <w:szCs w:val="24"/>
          <w:highlight w:val="none"/>
          <w:lang w:val="zh-CN"/>
        </w:rPr>
        <w:t>区域水文地质图，</w:t>
      </w:r>
      <w:r>
        <w:rPr>
          <w:rFonts w:hint="eastAsia"/>
          <w:color w:val="auto"/>
          <w:sz w:val="24"/>
          <w:szCs w:val="24"/>
          <w:highlight w:val="none"/>
        </w:rPr>
        <w:t>地下水流向为自</w:t>
      </w:r>
      <w:r>
        <w:rPr>
          <w:rFonts w:hint="eastAsia"/>
          <w:color w:val="auto"/>
          <w:sz w:val="24"/>
          <w:szCs w:val="24"/>
          <w:highlight w:val="none"/>
          <w:lang w:eastAsia="zh-CN"/>
        </w:rPr>
        <w:t>东北</w:t>
      </w:r>
      <w:r>
        <w:rPr>
          <w:rFonts w:hint="eastAsia"/>
          <w:color w:val="auto"/>
          <w:sz w:val="24"/>
          <w:szCs w:val="24"/>
          <w:highlight w:val="none"/>
        </w:rPr>
        <w:t>向</w:t>
      </w:r>
      <w:r>
        <w:rPr>
          <w:rFonts w:hint="eastAsia"/>
          <w:color w:val="auto"/>
          <w:sz w:val="24"/>
          <w:szCs w:val="24"/>
          <w:highlight w:val="none"/>
          <w:lang w:eastAsia="zh-CN"/>
        </w:rPr>
        <w:t>西</w:t>
      </w:r>
      <w:r>
        <w:rPr>
          <w:rFonts w:hint="eastAsia"/>
          <w:color w:val="auto"/>
          <w:sz w:val="24"/>
          <w:szCs w:val="24"/>
          <w:highlight w:val="none"/>
        </w:rPr>
        <w:t>南。</w:t>
      </w:r>
    </w:p>
    <w:p w14:paraId="3998A548">
      <w:pPr>
        <w:numPr>
          <w:ilvl w:val="0"/>
          <w:numId w:val="0"/>
        </w:numPr>
        <w:ind w:firstLine="472" w:firstLineChars="200"/>
        <w:rPr>
          <w:rFonts w:hint="eastAsia"/>
          <w:color w:val="auto"/>
          <w:sz w:val="24"/>
          <w:szCs w:val="24"/>
          <w:highlight w:val="none"/>
        </w:rPr>
      </w:pPr>
      <w:r>
        <w:rPr>
          <w:rFonts w:hint="eastAsia"/>
          <w:color w:val="auto"/>
          <w:sz w:val="24"/>
          <w:szCs w:val="24"/>
          <w:highlight w:val="none"/>
          <w:lang w:val="en-US" w:eastAsia="zh-CN"/>
        </w:rPr>
        <w:t>3#：</w:t>
      </w:r>
      <w:r>
        <w:rPr>
          <w:rFonts w:hint="eastAsia"/>
          <w:color w:val="auto"/>
          <w:highlight w:val="none"/>
          <w:lang w:eastAsia="zh-CN"/>
        </w:rPr>
        <w:t>取水目的层</w:t>
      </w:r>
      <w:r>
        <w:rPr>
          <w:rFonts w:hint="eastAsia"/>
          <w:color w:val="auto"/>
          <w:highlight w:val="none"/>
          <w:lang w:val="en-US" w:eastAsia="zh-CN"/>
        </w:rPr>
        <w:t>为</w:t>
      </w:r>
      <w:r>
        <w:rPr>
          <w:rFonts w:hint="eastAsia"/>
          <w:color w:val="auto"/>
          <w:kern w:val="0"/>
          <w:szCs w:val="28"/>
          <w:highlight w:val="none"/>
        </w:rPr>
        <w:t>裂隙承压水层</w:t>
      </w:r>
      <w:r>
        <w:rPr>
          <w:rFonts w:hint="eastAsia"/>
          <w:color w:val="auto"/>
          <w:sz w:val="24"/>
          <w:szCs w:val="24"/>
          <w:highlight w:val="none"/>
          <w:lang w:eastAsia="zh-CN"/>
        </w:rPr>
        <w:t>，</w:t>
      </w:r>
      <w:r>
        <w:rPr>
          <w:rFonts w:hint="eastAsia"/>
          <w:color w:val="auto"/>
          <w:sz w:val="24"/>
          <w:szCs w:val="24"/>
          <w:highlight w:val="none"/>
        </w:rPr>
        <w:t>取水井井深</w:t>
      </w:r>
      <w:r>
        <w:rPr>
          <w:rFonts w:hint="eastAsia"/>
          <w:color w:val="auto"/>
          <w:sz w:val="24"/>
          <w:szCs w:val="24"/>
          <w:highlight w:val="none"/>
          <w:lang w:val="en-US" w:eastAsia="zh-CN"/>
        </w:rPr>
        <w:t>130</w:t>
      </w:r>
      <w:r>
        <w:rPr>
          <w:color w:val="auto"/>
          <w:sz w:val="24"/>
          <w:szCs w:val="24"/>
          <w:highlight w:val="none"/>
        </w:rPr>
        <w:t>米</w:t>
      </w:r>
      <w:r>
        <w:rPr>
          <w:rFonts w:hint="eastAsia"/>
          <w:color w:val="auto"/>
          <w:sz w:val="24"/>
          <w:szCs w:val="24"/>
          <w:highlight w:val="none"/>
          <w:lang w:eastAsia="zh-CN"/>
        </w:rPr>
        <w:t>，</w:t>
      </w:r>
      <w:r>
        <w:rPr>
          <w:rFonts w:hint="eastAsia"/>
          <w:color w:val="auto"/>
          <w:sz w:val="24"/>
          <w:szCs w:val="24"/>
          <w:highlight w:val="none"/>
        </w:rPr>
        <w:t>取水目的层上部为</w:t>
      </w:r>
      <w:r>
        <w:rPr>
          <w:rFonts w:hint="eastAsia"/>
          <w:color w:val="auto"/>
          <w:sz w:val="24"/>
          <w:szCs w:val="24"/>
          <w:highlight w:val="none"/>
          <w:lang w:val="en-US" w:eastAsia="zh-CN"/>
        </w:rPr>
        <w:t>1米腐殖土、10</w:t>
      </w:r>
      <w:r>
        <w:rPr>
          <w:rFonts w:hint="eastAsia"/>
          <w:color w:val="auto"/>
          <w:sz w:val="24"/>
          <w:szCs w:val="24"/>
          <w:highlight w:val="none"/>
        </w:rPr>
        <w:t>米黄土、</w:t>
      </w:r>
      <w:r>
        <w:rPr>
          <w:rFonts w:hint="eastAsia"/>
          <w:color w:val="auto"/>
          <w:sz w:val="24"/>
          <w:szCs w:val="24"/>
          <w:highlight w:val="none"/>
          <w:lang w:val="en-US" w:eastAsia="zh-CN"/>
        </w:rPr>
        <w:t>28</w:t>
      </w:r>
      <w:r>
        <w:rPr>
          <w:rFonts w:hint="eastAsia"/>
          <w:color w:val="auto"/>
          <w:sz w:val="24"/>
          <w:szCs w:val="24"/>
          <w:highlight w:val="none"/>
        </w:rPr>
        <w:t>米</w:t>
      </w:r>
      <w:r>
        <w:rPr>
          <w:rFonts w:hint="eastAsia"/>
          <w:color w:val="auto"/>
          <w:sz w:val="24"/>
          <w:szCs w:val="24"/>
          <w:highlight w:val="none"/>
          <w:lang w:eastAsia="zh-CN"/>
        </w:rPr>
        <w:t>粉质粘土、</w:t>
      </w:r>
      <w:r>
        <w:rPr>
          <w:rFonts w:hint="eastAsia"/>
          <w:color w:val="auto"/>
          <w:sz w:val="24"/>
          <w:szCs w:val="24"/>
          <w:highlight w:val="none"/>
          <w:lang w:val="en-US" w:eastAsia="zh-CN"/>
        </w:rPr>
        <w:t>3米砂岩</w:t>
      </w:r>
      <w:r>
        <w:rPr>
          <w:rFonts w:hint="eastAsia"/>
          <w:color w:val="auto"/>
          <w:sz w:val="24"/>
          <w:szCs w:val="24"/>
          <w:highlight w:val="none"/>
        </w:rPr>
        <w:t>，构成稳定隔水顶板，</w:t>
      </w:r>
      <w:r>
        <w:rPr>
          <w:rFonts w:hint="eastAsia"/>
          <w:color w:val="auto"/>
          <w:sz w:val="24"/>
          <w:szCs w:val="24"/>
          <w:highlight w:val="none"/>
          <w:lang w:eastAsia="zh-CN"/>
        </w:rPr>
        <w:t>取水层</w:t>
      </w:r>
      <w:r>
        <w:rPr>
          <w:rFonts w:hint="eastAsia"/>
          <w:color w:val="auto"/>
          <w:sz w:val="24"/>
          <w:szCs w:val="24"/>
          <w:highlight w:val="none"/>
        </w:rPr>
        <w:t>下部</w:t>
      </w:r>
      <w:r>
        <w:rPr>
          <w:rFonts w:hint="eastAsia"/>
          <w:color w:val="auto"/>
          <w:sz w:val="24"/>
          <w:szCs w:val="24"/>
          <w:highlight w:val="none"/>
          <w:lang w:eastAsia="zh-CN"/>
        </w:rPr>
        <w:t>为</w:t>
      </w:r>
      <w:r>
        <w:rPr>
          <w:rFonts w:hint="eastAsia"/>
          <w:color w:val="auto"/>
          <w:sz w:val="24"/>
          <w:szCs w:val="24"/>
          <w:highlight w:val="none"/>
          <w:lang w:val="en-US" w:eastAsia="zh-CN"/>
        </w:rPr>
        <w:t>73米</w:t>
      </w:r>
      <w:r>
        <w:rPr>
          <w:rFonts w:hint="eastAsia"/>
          <w:color w:val="auto"/>
          <w:sz w:val="24"/>
          <w:szCs w:val="24"/>
          <w:highlight w:val="none"/>
          <w:lang w:eastAsia="zh-CN"/>
        </w:rPr>
        <w:t>砂岩、</w:t>
      </w:r>
      <w:r>
        <w:rPr>
          <w:rFonts w:hint="eastAsia"/>
          <w:color w:val="auto"/>
          <w:sz w:val="24"/>
          <w:szCs w:val="24"/>
          <w:highlight w:val="none"/>
          <w:lang w:val="en-US" w:eastAsia="zh-CN"/>
        </w:rPr>
        <w:t>15米</w:t>
      </w:r>
      <w:r>
        <w:rPr>
          <w:rFonts w:hint="eastAsia"/>
          <w:color w:val="auto"/>
          <w:sz w:val="24"/>
          <w:szCs w:val="24"/>
          <w:highlight w:val="none"/>
          <w:lang w:eastAsia="zh-CN"/>
        </w:rPr>
        <w:t>泥岩</w:t>
      </w:r>
      <w:r>
        <w:rPr>
          <w:rFonts w:hint="eastAsia"/>
          <w:color w:val="auto"/>
          <w:sz w:val="24"/>
          <w:szCs w:val="24"/>
          <w:highlight w:val="none"/>
        </w:rPr>
        <w:t>含水层，含水层厚度</w:t>
      </w:r>
      <w:r>
        <w:rPr>
          <w:rFonts w:hint="eastAsia"/>
          <w:color w:val="auto"/>
          <w:sz w:val="24"/>
          <w:szCs w:val="24"/>
          <w:highlight w:val="none"/>
          <w:lang w:val="en-US" w:eastAsia="zh-CN"/>
        </w:rPr>
        <w:t>83</w:t>
      </w:r>
      <w:r>
        <w:rPr>
          <w:color w:val="auto"/>
          <w:sz w:val="24"/>
          <w:szCs w:val="24"/>
          <w:highlight w:val="none"/>
        </w:rPr>
        <w:t>米</w:t>
      </w:r>
      <w:r>
        <w:rPr>
          <w:rFonts w:hint="eastAsia"/>
          <w:color w:val="auto"/>
          <w:sz w:val="24"/>
          <w:szCs w:val="24"/>
          <w:highlight w:val="none"/>
        </w:rPr>
        <w:t>，取水层埋深</w:t>
      </w:r>
      <w:r>
        <w:rPr>
          <w:rFonts w:hint="eastAsia"/>
          <w:color w:val="auto"/>
          <w:sz w:val="24"/>
          <w:szCs w:val="24"/>
          <w:highlight w:val="none"/>
          <w:lang w:val="en-US" w:eastAsia="zh-CN"/>
        </w:rPr>
        <w:t>42</w:t>
      </w:r>
      <w:r>
        <w:rPr>
          <w:rFonts w:hint="eastAsia"/>
          <w:color w:val="auto"/>
          <w:sz w:val="24"/>
          <w:szCs w:val="24"/>
          <w:highlight w:val="none"/>
        </w:rPr>
        <w:t>米。</w:t>
      </w:r>
      <w:r>
        <w:rPr>
          <w:color w:val="auto"/>
          <w:sz w:val="24"/>
          <w:szCs w:val="24"/>
          <w:highlight w:val="none"/>
        </w:rPr>
        <w:t>矿化度小于1克/升</w:t>
      </w:r>
      <w:r>
        <w:rPr>
          <w:rFonts w:hint="eastAsia"/>
          <w:color w:val="auto"/>
          <w:sz w:val="24"/>
          <w:szCs w:val="24"/>
          <w:highlight w:val="none"/>
          <w:lang w:eastAsia="zh-CN"/>
        </w:rPr>
        <w:t>，根据</w:t>
      </w:r>
      <w:r>
        <w:rPr>
          <w:rFonts w:hint="eastAsia" w:ascii="Times New Roman" w:hAnsi="Times New Roman"/>
          <w:color w:val="auto"/>
          <w:sz w:val="24"/>
          <w:szCs w:val="24"/>
          <w:highlight w:val="none"/>
          <w:lang w:val="zh-CN"/>
        </w:rPr>
        <w:t>区域水文地质图，</w:t>
      </w:r>
      <w:r>
        <w:rPr>
          <w:rFonts w:hint="eastAsia"/>
          <w:color w:val="auto"/>
          <w:sz w:val="24"/>
          <w:szCs w:val="24"/>
          <w:highlight w:val="none"/>
        </w:rPr>
        <w:t>地下水流向为自</w:t>
      </w:r>
      <w:r>
        <w:rPr>
          <w:rFonts w:hint="eastAsia"/>
          <w:color w:val="auto"/>
          <w:sz w:val="24"/>
          <w:szCs w:val="24"/>
          <w:highlight w:val="none"/>
          <w:lang w:eastAsia="zh-CN"/>
        </w:rPr>
        <w:t>东北</w:t>
      </w:r>
      <w:r>
        <w:rPr>
          <w:rFonts w:hint="eastAsia"/>
          <w:color w:val="auto"/>
          <w:sz w:val="24"/>
          <w:szCs w:val="24"/>
          <w:highlight w:val="none"/>
        </w:rPr>
        <w:t>向</w:t>
      </w:r>
      <w:r>
        <w:rPr>
          <w:rFonts w:hint="eastAsia"/>
          <w:color w:val="auto"/>
          <w:sz w:val="24"/>
          <w:szCs w:val="24"/>
          <w:highlight w:val="none"/>
          <w:lang w:eastAsia="zh-CN"/>
        </w:rPr>
        <w:t>西</w:t>
      </w:r>
      <w:r>
        <w:rPr>
          <w:rFonts w:hint="eastAsia"/>
          <w:color w:val="auto"/>
          <w:sz w:val="24"/>
          <w:szCs w:val="24"/>
          <w:highlight w:val="none"/>
        </w:rPr>
        <w:t>南。</w:t>
      </w:r>
    </w:p>
    <w:p w14:paraId="57363C89">
      <w:pPr>
        <w:numPr>
          <w:ilvl w:val="0"/>
          <w:numId w:val="0"/>
        </w:numPr>
        <w:ind w:firstLine="472" w:firstLineChars="200"/>
        <w:rPr>
          <w:rFonts w:hint="eastAsia"/>
          <w:color w:val="auto"/>
          <w:sz w:val="24"/>
          <w:szCs w:val="24"/>
          <w:highlight w:val="none"/>
        </w:rPr>
      </w:pPr>
      <w:r>
        <w:rPr>
          <w:rFonts w:hint="eastAsia"/>
          <w:color w:val="auto"/>
          <w:sz w:val="24"/>
          <w:szCs w:val="24"/>
          <w:highlight w:val="none"/>
          <w:lang w:val="en-US" w:eastAsia="zh-CN"/>
        </w:rPr>
        <w:t>4#：</w:t>
      </w:r>
      <w:r>
        <w:rPr>
          <w:rFonts w:hint="eastAsia"/>
          <w:color w:val="auto"/>
          <w:highlight w:val="none"/>
          <w:lang w:eastAsia="zh-CN"/>
        </w:rPr>
        <w:t>取水目的层</w:t>
      </w:r>
      <w:r>
        <w:rPr>
          <w:rFonts w:hint="eastAsia"/>
          <w:color w:val="auto"/>
          <w:highlight w:val="none"/>
          <w:lang w:val="en-US" w:eastAsia="zh-CN"/>
        </w:rPr>
        <w:t>为</w:t>
      </w:r>
      <w:r>
        <w:rPr>
          <w:rFonts w:hint="eastAsia"/>
          <w:color w:val="auto"/>
          <w:kern w:val="0"/>
          <w:szCs w:val="28"/>
          <w:highlight w:val="none"/>
        </w:rPr>
        <w:t>裂隙承压水层</w:t>
      </w:r>
      <w:r>
        <w:rPr>
          <w:rFonts w:hint="eastAsia"/>
          <w:color w:val="auto"/>
          <w:sz w:val="24"/>
          <w:szCs w:val="24"/>
          <w:highlight w:val="none"/>
          <w:lang w:eastAsia="zh-CN"/>
        </w:rPr>
        <w:t>，</w:t>
      </w:r>
      <w:r>
        <w:rPr>
          <w:rFonts w:hint="eastAsia"/>
          <w:color w:val="auto"/>
          <w:sz w:val="24"/>
          <w:szCs w:val="24"/>
          <w:highlight w:val="none"/>
        </w:rPr>
        <w:t>取水井井深</w:t>
      </w:r>
      <w:r>
        <w:rPr>
          <w:rFonts w:hint="eastAsia"/>
          <w:color w:val="auto"/>
          <w:sz w:val="24"/>
          <w:szCs w:val="24"/>
          <w:highlight w:val="none"/>
          <w:lang w:val="en-US" w:eastAsia="zh-CN"/>
        </w:rPr>
        <w:t>130</w:t>
      </w:r>
      <w:r>
        <w:rPr>
          <w:color w:val="auto"/>
          <w:sz w:val="24"/>
          <w:szCs w:val="24"/>
          <w:highlight w:val="none"/>
        </w:rPr>
        <w:t>米</w:t>
      </w:r>
      <w:r>
        <w:rPr>
          <w:rFonts w:hint="eastAsia"/>
          <w:color w:val="auto"/>
          <w:sz w:val="24"/>
          <w:szCs w:val="24"/>
          <w:highlight w:val="none"/>
          <w:lang w:eastAsia="zh-CN"/>
        </w:rPr>
        <w:t>，</w:t>
      </w:r>
      <w:r>
        <w:rPr>
          <w:rFonts w:hint="eastAsia"/>
          <w:color w:val="auto"/>
          <w:sz w:val="24"/>
          <w:szCs w:val="24"/>
          <w:highlight w:val="none"/>
        </w:rPr>
        <w:t>取水目的层上部为</w:t>
      </w:r>
      <w:r>
        <w:rPr>
          <w:rFonts w:hint="eastAsia"/>
          <w:color w:val="auto"/>
          <w:sz w:val="24"/>
          <w:szCs w:val="24"/>
          <w:highlight w:val="none"/>
          <w:lang w:val="en-US" w:eastAsia="zh-CN"/>
        </w:rPr>
        <w:t>1米腐殖土、8</w:t>
      </w:r>
      <w:r>
        <w:rPr>
          <w:rFonts w:hint="eastAsia"/>
          <w:color w:val="auto"/>
          <w:sz w:val="24"/>
          <w:szCs w:val="24"/>
          <w:highlight w:val="none"/>
        </w:rPr>
        <w:t>米黄土、</w:t>
      </w:r>
      <w:r>
        <w:rPr>
          <w:rFonts w:hint="eastAsia"/>
          <w:color w:val="auto"/>
          <w:sz w:val="24"/>
          <w:szCs w:val="24"/>
          <w:highlight w:val="none"/>
          <w:lang w:val="en-US" w:eastAsia="zh-CN"/>
        </w:rPr>
        <w:t>29</w:t>
      </w:r>
      <w:r>
        <w:rPr>
          <w:rFonts w:hint="eastAsia"/>
          <w:color w:val="auto"/>
          <w:sz w:val="24"/>
          <w:szCs w:val="24"/>
          <w:highlight w:val="none"/>
        </w:rPr>
        <w:t>米</w:t>
      </w:r>
      <w:r>
        <w:rPr>
          <w:rFonts w:hint="eastAsia"/>
          <w:color w:val="auto"/>
          <w:sz w:val="24"/>
          <w:szCs w:val="24"/>
          <w:highlight w:val="none"/>
          <w:lang w:eastAsia="zh-CN"/>
        </w:rPr>
        <w:t>粉质粘土、</w:t>
      </w:r>
      <w:r>
        <w:rPr>
          <w:rFonts w:hint="eastAsia"/>
          <w:color w:val="auto"/>
          <w:sz w:val="24"/>
          <w:szCs w:val="24"/>
          <w:highlight w:val="none"/>
          <w:lang w:val="en-US" w:eastAsia="zh-CN"/>
        </w:rPr>
        <w:t>4米砂岩</w:t>
      </w:r>
      <w:r>
        <w:rPr>
          <w:rFonts w:hint="eastAsia"/>
          <w:color w:val="auto"/>
          <w:sz w:val="24"/>
          <w:szCs w:val="24"/>
          <w:highlight w:val="none"/>
        </w:rPr>
        <w:t>，构成稳定隔水顶板，</w:t>
      </w:r>
      <w:r>
        <w:rPr>
          <w:rFonts w:hint="eastAsia"/>
          <w:color w:val="auto"/>
          <w:sz w:val="24"/>
          <w:szCs w:val="24"/>
          <w:highlight w:val="none"/>
          <w:lang w:eastAsia="zh-CN"/>
        </w:rPr>
        <w:t>取水层</w:t>
      </w:r>
      <w:r>
        <w:rPr>
          <w:rFonts w:hint="eastAsia"/>
          <w:color w:val="auto"/>
          <w:sz w:val="24"/>
          <w:szCs w:val="24"/>
          <w:highlight w:val="none"/>
        </w:rPr>
        <w:t>下部</w:t>
      </w:r>
      <w:r>
        <w:rPr>
          <w:rFonts w:hint="eastAsia"/>
          <w:color w:val="auto"/>
          <w:sz w:val="24"/>
          <w:szCs w:val="24"/>
          <w:highlight w:val="none"/>
          <w:lang w:eastAsia="zh-CN"/>
        </w:rPr>
        <w:t>为</w:t>
      </w:r>
      <w:r>
        <w:rPr>
          <w:rFonts w:hint="eastAsia"/>
          <w:color w:val="auto"/>
          <w:sz w:val="24"/>
          <w:szCs w:val="24"/>
          <w:highlight w:val="none"/>
          <w:lang w:val="en-US" w:eastAsia="zh-CN"/>
        </w:rPr>
        <w:t>73米</w:t>
      </w:r>
      <w:r>
        <w:rPr>
          <w:rFonts w:hint="eastAsia"/>
          <w:color w:val="auto"/>
          <w:sz w:val="24"/>
          <w:szCs w:val="24"/>
          <w:highlight w:val="none"/>
          <w:lang w:eastAsia="zh-CN"/>
        </w:rPr>
        <w:t>砂岩、</w:t>
      </w:r>
      <w:r>
        <w:rPr>
          <w:rFonts w:hint="eastAsia"/>
          <w:color w:val="auto"/>
          <w:sz w:val="24"/>
          <w:szCs w:val="24"/>
          <w:highlight w:val="none"/>
          <w:lang w:val="en-US" w:eastAsia="zh-CN"/>
        </w:rPr>
        <w:t>15米</w:t>
      </w:r>
      <w:r>
        <w:rPr>
          <w:rFonts w:hint="eastAsia"/>
          <w:color w:val="auto"/>
          <w:sz w:val="24"/>
          <w:szCs w:val="24"/>
          <w:highlight w:val="none"/>
          <w:lang w:eastAsia="zh-CN"/>
        </w:rPr>
        <w:t>泥岩</w:t>
      </w:r>
      <w:r>
        <w:rPr>
          <w:rFonts w:hint="eastAsia"/>
          <w:color w:val="auto"/>
          <w:sz w:val="24"/>
          <w:szCs w:val="24"/>
          <w:highlight w:val="none"/>
        </w:rPr>
        <w:t>，含水层厚度</w:t>
      </w:r>
      <w:r>
        <w:rPr>
          <w:rFonts w:hint="eastAsia"/>
          <w:color w:val="auto"/>
          <w:sz w:val="24"/>
          <w:szCs w:val="24"/>
          <w:highlight w:val="none"/>
          <w:lang w:val="en-US" w:eastAsia="zh-CN"/>
        </w:rPr>
        <w:t>83</w:t>
      </w:r>
      <w:r>
        <w:rPr>
          <w:color w:val="auto"/>
          <w:sz w:val="24"/>
          <w:szCs w:val="24"/>
          <w:highlight w:val="none"/>
        </w:rPr>
        <w:t>米</w:t>
      </w:r>
      <w:r>
        <w:rPr>
          <w:rFonts w:hint="eastAsia"/>
          <w:color w:val="auto"/>
          <w:sz w:val="24"/>
          <w:szCs w:val="24"/>
          <w:highlight w:val="none"/>
        </w:rPr>
        <w:t>，取水层埋深</w:t>
      </w:r>
      <w:r>
        <w:rPr>
          <w:rFonts w:hint="eastAsia"/>
          <w:color w:val="auto"/>
          <w:sz w:val="24"/>
          <w:szCs w:val="24"/>
          <w:highlight w:val="none"/>
          <w:lang w:val="en-US" w:eastAsia="zh-CN"/>
        </w:rPr>
        <w:t>42</w:t>
      </w:r>
      <w:r>
        <w:rPr>
          <w:rFonts w:hint="eastAsia"/>
          <w:color w:val="auto"/>
          <w:sz w:val="24"/>
          <w:szCs w:val="24"/>
          <w:highlight w:val="none"/>
        </w:rPr>
        <w:t>米。</w:t>
      </w:r>
      <w:r>
        <w:rPr>
          <w:color w:val="auto"/>
          <w:sz w:val="24"/>
          <w:szCs w:val="24"/>
          <w:highlight w:val="none"/>
        </w:rPr>
        <w:t>矿化度小于1克/升</w:t>
      </w:r>
      <w:r>
        <w:rPr>
          <w:rFonts w:hint="eastAsia"/>
          <w:color w:val="auto"/>
          <w:sz w:val="24"/>
          <w:szCs w:val="24"/>
          <w:highlight w:val="none"/>
          <w:lang w:eastAsia="zh-CN"/>
        </w:rPr>
        <w:t>，根据</w:t>
      </w:r>
      <w:r>
        <w:rPr>
          <w:rFonts w:hint="eastAsia" w:ascii="Times New Roman" w:hAnsi="Times New Roman"/>
          <w:color w:val="auto"/>
          <w:sz w:val="24"/>
          <w:szCs w:val="24"/>
          <w:highlight w:val="none"/>
          <w:lang w:val="zh-CN"/>
        </w:rPr>
        <w:t>区域水文地质图，</w:t>
      </w:r>
      <w:r>
        <w:rPr>
          <w:rFonts w:hint="eastAsia"/>
          <w:color w:val="auto"/>
          <w:sz w:val="24"/>
          <w:szCs w:val="24"/>
          <w:highlight w:val="none"/>
        </w:rPr>
        <w:t>地下水流向为自</w:t>
      </w:r>
      <w:r>
        <w:rPr>
          <w:rFonts w:hint="eastAsia"/>
          <w:color w:val="auto"/>
          <w:sz w:val="24"/>
          <w:szCs w:val="24"/>
          <w:highlight w:val="none"/>
          <w:lang w:eastAsia="zh-CN"/>
        </w:rPr>
        <w:t>东北</w:t>
      </w:r>
      <w:r>
        <w:rPr>
          <w:rFonts w:hint="eastAsia"/>
          <w:color w:val="auto"/>
          <w:sz w:val="24"/>
          <w:szCs w:val="24"/>
          <w:highlight w:val="none"/>
        </w:rPr>
        <w:t>向</w:t>
      </w:r>
      <w:r>
        <w:rPr>
          <w:rFonts w:hint="eastAsia"/>
          <w:color w:val="auto"/>
          <w:sz w:val="24"/>
          <w:szCs w:val="24"/>
          <w:highlight w:val="none"/>
          <w:lang w:eastAsia="zh-CN"/>
        </w:rPr>
        <w:t>西</w:t>
      </w:r>
      <w:r>
        <w:rPr>
          <w:rFonts w:hint="eastAsia"/>
          <w:color w:val="auto"/>
          <w:sz w:val="24"/>
          <w:szCs w:val="24"/>
          <w:highlight w:val="none"/>
        </w:rPr>
        <w:t>南。</w:t>
      </w:r>
    </w:p>
    <w:p w14:paraId="1E2BFD0E">
      <w:pPr>
        <w:numPr>
          <w:ilvl w:val="0"/>
          <w:numId w:val="0"/>
        </w:numPr>
        <w:ind w:firstLine="472" w:firstLineChars="200"/>
        <w:rPr>
          <w:rFonts w:hint="eastAsia"/>
          <w:color w:val="auto"/>
          <w:sz w:val="24"/>
          <w:szCs w:val="24"/>
          <w:highlight w:val="none"/>
        </w:rPr>
      </w:pPr>
      <w:r>
        <w:rPr>
          <w:rFonts w:hint="eastAsia"/>
          <w:color w:val="auto"/>
          <w:sz w:val="24"/>
          <w:szCs w:val="24"/>
          <w:highlight w:val="none"/>
          <w:lang w:val="en-US" w:eastAsia="zh-CN"/>
        </w:rPr>
        <w:t>5#：</w:t>
      </w:r>
      <w:r>
        <w:rPr>
          <w:rFonts w:hint="eastAsia"/>
          <w:color w:val="auto"/>
          <w:highlight w:val="none"/>
          <w:lang w:eastAsia="zh-CN"/>
        </w:rPr>
        <w:t>取水目的层</w:t>
      </w:r>
      <w:r>
        <w:rPr>
          <w:rFonts w:hint="eastAsia"/>
          <w:color w:val="auto"/>
          <w:highlight w:val="none"/>
          <w:lang w:val="en-US" w:eastAsia="zh-CN"/>
        </w:rPr>
        <w:t>为</w:t>
      </w:r>
      <w:r>
        <w:rPr>
          <w:rFonts w:hint="eastAsia"/>
          <w:color w:val="auto"/>
          <w:kern w:val="0"/>
          <w:szCs w:val="28"/>
          <w:highlight w:val="none"/>
        </w:rPr>
        <w:t>裂隙承压水层</w:t>
      </w:r>
      <w:r>
        <w:rPr>
          <w:rFonts w:hint="eastAsia"/>
          <w:color w:val="auto"/>
          <w:sz w:val="24"/>
          <w:szCs w:val="24"/>
          <w:highlight w:val="none"/>
          <w:lang w:eastAsia="zh-CN"/>
        </w:rPr>
        <w:t>，</w:t>
      </w:r>
      <w:r>
        <w:rPr>
          <w:rFonts w:hint="eastAsia"/>
          <w:color w:val="auto"/>
          <w:sz w:val="24"/>
          <w:szCs w:val="24"/>
          <w:highlight w:val="none"/>
        </w:rPr>
        <w:t>取水井井深</w:t>
      </w:r>
      <w:r>
        <w:rPr>
          <w:rFonts w:hint="eastAsia"/>
          <w:color w:val="auto"/>
          <w:sz w:val="24"/>
          <w:szCs w:val="24"/>
          <w:highlight w:val="none"/>
          <w:lang w:val="en-US" w:eastAsia="zh-CN"/>
        </w:rPr>
        <w:t>130</w:t>
      </w:r>
      <w:r>
        <w:rPr>
          <w:color w:val="auto"/>
          <w:sz w:val="24"/>
          <w:szCs w:val="24"/>
          <w:highlight w:val="none"/>
        </w:rPr>
        <w:t>米</w:t>
      </w:r>
      <w:r>
        <w:rPr>
          <w:rFonts w:hint="eastAsia"/>
          <w:color w:val="auto"/>
          <w:sz w:val="24"/>
          <w:szCs w:val="24"/>
          <w:highlight w:val="none"/>
          <w:lang w:eastAsia="zh-CN"/>
        </w:rPr>
        <w:t>，</w:t>
      </w:r>
      <w:r>
        <w:rPr>
          <w:rFonts w:hint="eastAsia"/>
          <w:color w:val="auto"/>
          <w:sz w:val="24"/>
          <w:szCs w:val="24"/>
          <w:highlight w:val="none"/>
        </w:rPr>
        <w:t>取水目的层上部为</w:t>
      </w:r>
      <w:r>
        <w:rPr>
          <w:rFonts w:hint="eastAsia"/>
          <w:color w:val="auto"/>
          <w:sz w:val="24"/>
          <w:szCs w:val="24"/>
          <w:highlight w:val="none"/>
          <w:lang w:val="en-US" w:eastAsia="zh-CN"/>
        </w:rPr>
        <w:t>1米腐殖土、11</w:t>
      </w:r>
      <w:r>
        <w:rPr>
          <w:rFonts w:hint="eastAsia"/>
          <w:color w:val="auto"/>
          <w:sz w:val="24"/>
          <w:szCs w:val="24"/>
          <w:highlight w:val="none"/>
        </w:rPr>
        <w:t>米黄土、</w:t>
      </w:r>
      <w:r>
        <w:rPr>
          <w:rFonts w:hint="eastAsia"/>
          <w:color w:val="auto"/>
          <w:sz w:val="24"/>
          <w:szCs w:val="24"/>
          <w:highlight w:val="none"/>
          <w:lang w:val="en-US" w:eastAsia="zh-CN"/>
        </w:rPr>
        <w:t>28</w:t>
      </w:r>
      <w:r>
        <w:rPr>
          <w:rFonts w:hint="eastAsia"/>
          <w:color w:val="auto"/>
          <w:sz w:val="24"/>
          <w:szCs w:val="24"/>
          <w:highlight w:val="none"/>
        </w:rPr>
        <w:t>米</w:t>
      </w:r>
      <w:r>
        <w:rPr>
          <w:rFonts w:hint="eastAsia"/>
          <w:color w:val="auto"/>
          <w:sz w:val="24"/>
          <w:szCs w:val="24"/>
          <w:highlight w:val="none"/>
          <w:lang w:eastAsia="zh-CN"/>
        </w:rPr>
        <w:t>粉质粘土</w:t>
      </w:r>
      <w:r>
        <w:rPr>
          <w:rFonts w:hint="eastAsia"/>
          <w:color w:val="auto"/>
          <w:sz w:val="24"/>
          <w:szCs w:val="24"/>
          <w:highlight w:val="none"/>
        </w:rPr>
        <w:t>，构成稳定隔水顶板，</w:t>
      </w:r>
      <w:r>
        <w:rPr>
          <w:rFonts w:hint="eastAsia"/>
          <w:color w:val="auto"/>
          <w:sz w:val="24"/>
          <w:szCs w:val="24"/>
          <w:highlight w:val="none"/>
          <w:lang w:eastAsia="zh-CN"/>
        </w:rPr>
        <w:t>取水层</w:t>
      </w:r>
      <w:r>
        <w:rPr>
          <w:rFonts w:hint="eastAsia"/>
          <w:color w:val="auto"/>
          <w:sz w:val="24"/>
          <w:szCs w:val="24"/>
          <w:highlight w:val="none"/>
        </w:rPr>
        <w:t>下部</w:t>
      </w:r>
      <w:r>
        <w:rPr>
          <w:rFonts w:hint="eastAsia"/>
          <w:color w:val="auto"/>
          <w:sz w:val="24"/>
          <w:szCs w:val="24"/>
          <w:highlight w:val="none"/>
          <w:lang w:eastAsia="zh-CN"/>
        </w:rPr>
        <w:t>为</w:t>
      </w:r>
      <w:r>
        <w:rPr>
          <w:rFonts w:hint="eastAsia"/>
          <w:color w:val="auto"/>
          <w:sz w:val="24"/>
          <w:szCs w:val="24"/>
          <w:highlight w:val="none"/>
          <w:lang w:val="en-US" w:eastAsia="zh-CN"/>
        </w:rPr>
        <w:t>75米</w:t>
      </w:r>
      <w:r>
        <w:rPr>
          <w:rFonts w:hint="eastAsia"/>
          <w:color w:val="auto"/>
          <w:sz w:val="24"/>
          <w:szCs w:val="24"/>
          <w:highlight w:val="none"/>
          <w:lang w:eastAsia="zh-CN"/>
        </w:rPr>
        <w:t>砂岩、</w:t>
      </w:r>
      <w:r>
        <w:rPr>
          <w:rFonts w:hint="eastAsia"/>
          <w:color w:val="auto"/>
          <w:sz w:val="24"/>
          <w:szCs w:val="24"/>
          <w:highlight w:val="none"/>
          <w:lang w:val="en-US" w:eastAsia="zh-CN"/>
        </w:rPr>
        <w:t>15米</w:t>
      </w:r>
      <w:r>
        <w:rPr>
          <w:rFonts w:hint="eastAsia"/>
          <w:color w:val="auto"/>
          <w:sz w:val="24"/>
          <w:szCs w:val="24"/>
          <w:highlight w:val="none"/>
          <w:lang w:eastAsia="zh-CN"/>
        </w:rPr>
        <w:t>泥岩</w:t>
      </w:r>
      <w:r>
        <w:rPr>
          <w:rFonts w:hint="eastAsia"/>
          <w:color w:val="auto"/>
          <w:sz w:val="24"/>
          <w:szCs w:val="24"/>
          <w:highlight w:val="none"/>
        </w:rPr>
        <w:t>，含水层厚度</w:t>
      </w:r>
      <w:r>
        <w:rPr>
          <w:rFonts w:hint="eastAsia"/>
          <w:color w:val="auto"/>
          <w:sz w:val="24"/>
          <w:szCs w:val="24"/>
          <w:highlight w:val="none"/>
          <w:lang w:val="en-US" w:eastAsia="zh-CN"/>
        </w:rPr>
        <w:t>83</w:t>
      </w:r>
      <w:r>
        <w:rPr>
          <w:color w:val="auto"/>
          <w:sz w:val="24"/>
          <w:szCs w:val="24"/>
          <w:highlight w:val="none"/>
        </w:rPr>
        <w:t>米</w:t>
      </w:r>
      <w:r>
        <w:rPr>
          <w:rFonts w:hint="eastAsia"/>
          <w:color w:val="auto"/>
          <w:sz w:val="24"/>
          <w:szCs w:val="24"/>
          <w:highlight w:val="none"/>
        </w:rPr>
        <w:t>，取水层埋深</w:t>
      </w:r>
      <w:r>
        <w:rPr>
          <w:rFonts w:hint="eastAsia"/>
          <w:color w:val="auto"/>
          <w:sz w:val="24"/>
          <w:szCs w:val="24"/>
          <w:highlight w:val="none"/>
          <w:lang w:val="en-US" w:eastAsia="zh-CN"/>
        </w:rPr>
        <w:t>42</w:t>
      </w:r>
      <w:r>
        <w:rPr>
          <w:rFonts w:hint="eastAsia"/>
          <w:color w:val="auto"/>
          <w:sz w:val="24"/>
          <w:szCs w:val="24"/>
          <w:highlight w:val="none"/>
        </w:rPr>
        <w:t>米。</w:t>
      </w:r>
      <w:r>
        <w:rPr>
          <w:color w:val="auto"/>
          <w:sz w:val="24"/>
          <w:szCs w:val="24"/>
          <w:highlight w:val="none"/>
        </w:rPr>
        <w:t>矿化度小于1克/升</w:t>
      </w:r>
      <w:r>
        <w:rPr>
          <w:rFonts w:hint="eastAsia"/>
          <w:color w:val="auto"/>
          <w:sz w:val="24"/>
          <w:szCs w:val="24"/>
          <w:highlight w:val="none"/>
          <w:lang w:eastAsia="zh-CN"/>
        </w:rPr>
        <w:t>，根据</w:t>
      </w:r>
      <w:r>
        <w:rPr>
          <w:rFonts w:hint="eastAsia" w:ascii="Times New Roman" w:hAnsi="Times New Roman"/>
          <w:color w:val="auto"/>
          <w:sz w:val="24"/>
          <w:szCs w:val="24"/>
          <w:highlight w:val="none"/>
          <w:lang w:val="zh-CN"/>
        </w:rPr>
        <w:t>区域水文地质图，</w:t>
      </w:r>
      <w:r>
        <w:rPr>
          <w:rFonts w:hint="eastAsia"/>
          <w:color w:val="auto"/>
          <w:sz w:val="24"/>
          <w:szCs w:val="24"/>
          <w:highlight w:val="none"/>
        </w:rPr>
        <w:t>地下水流向为自</w:t>
      </w:r>
      <w:r>
        <w:rPr>
          <w:rFonts w:hint="eastAsia"/>
          <w:color w:val="auto"/>
          <w:sz w:val="24"/>
          <w:szCs w:val="24"/>
          <w:highlight w:val="none"/>
          <w:lang w:eastAsia="zh-CN"/>
        </w:rPr>
        <w:t>东北</w:t>
      </w:r>
      <w:r>
        <w:rPr>
          <w:rFonts w:hint="eastAsia"/>
          <w:color w:val="auto"/>
          <w:sz w:val="24"/>
          <w:szCs w:val="24"/>
          <w:highlight w:val="none"/>
        </w:rPr>
        <w:t>向</w:t>
      </w:r>
      <w:r>
        <w:rPr>
          <w:rFonts w:hint="eastAsia"/>
          <w:color w:val="auto"/>
          <w:sz w:val="24"/>
          <w:szCs w:val="24"/>
          <w:highlight w:val="none"/>
          <w:lang w:eastAsia="zh-CN"/>
        </w:rPr>
        <w:t>西</w:t>
      </w:r>
      <w:r>
        <w:rPr>
          <w:rFonts w:hint="eastAsia"/>
          <w:color w:val="auto"/>
          <w:sz w:val="24"/>
          <w:szCs w:val="24"/>
          <w:highlight w:val="none"/>
        </w:rPr>
        <w:t>南。</w:t>
      </w:r>
    </w:p>
    <w:p w14:paraId="3D634BC8">
      <w:pPr>
        <w:numPr>
          <w:ilvl w:val="0"/>
          <w:numId w:val="0"/>
        </w:numPr>
        <w:ind w:firstLine="472" w:firstLineChars="200"/>
        <w:rPr>
          <w:rFonts w:hint="eastAsia"/>
          <w:color w:val="auto"/>
          <w:sz w:val="24"/>
          <w:szCs w:val="24"/>
          <w:highlight w:val="none"/>
        </w:rPr>
      </w:pPr>
      <w:r>
        <w:rPr>
          <w:rFonts w:hint="eastAsia"/>
          <w:color w:val="auto"/>
          <w:sz w:val="24"/>
          <w:szCs w:val="24"/>
          <w:highlight w:val="none"/>
          <w:lang w:val="en-US" w:eastAsia="zh-CN"/>
        </w:rPr>
        <w:t>6#：</w:t>
      </w:r>
      <w:r>
        <w:rPr>
          <w:rFonts w:hint="eastAsia"/>
          <w:color w:val="auto"/>
          <w:highlight w:val="none"/>
          <w:lang w:eastAsia="zh-CN"/>
        </w:rPr>
        <w:t>取水目的层</w:t>
      </w:r>
      <w:r>
        <w:rPr>
          <w:rFonts w:hint="eastAsia"/>
          <w:color w:val="auto"/>
          <w:highlight w:val="none"/>
          <w:lang w:val="en-US" w:eastAsia="zh-CN"/>
        </w:rPr>
        <w:t>为</w:t>
      </w:r>
      <w:r>
        <w:rPr>
          <w:rFonts w:hint="eastAsia"/>
          <w:color w:val="auto"/>
          <w:kern w:val="0"/>
          <w:szCs w:val="28"/>
          <w:highlight w:val="none"/>
        </w:rPr>
        <w:t>裂隙承压水层</w:t>
      </w:r>
      <w:r>
        <w:rPr>
          <w:rFonts w:hint="eastAsia"/>
          <w:color w:val="auto"/>
          <w:sz w:val="24"/>
          <w:szCs w:val="24"/>
          <w:highlight w:val="none"/>
          <w:lang w:eastAsia="zh-CN"/>
        </w:rPr>
        <w:t>，</w:t>
      </w:r>
      <w:r>
        <w:rPr>
          <w:rFonts w:hint="eastAsia"/>
          <w:color w:val="auto"/>
          <w:sz w:val="24"/>
          <w:szCs w:val="24"/>
          <w:highlight w:val="none"/>
        </w:rPr>
        <w:t>取水井井深</w:t>
      </w:r>
      <w:r>
        <w:rPr>
          <w:rFonts w:hint="eastAsia"/>
          <w:color w:val="auto"/>
          <w:sz w:val="24"/>
          <w:szCs w:val="24"/>
          <w:highlight w:val="none"/>
          <w:lang w:val="en-US" w:eastAsia="zh-CN"/>
        </w:rPr>
        <w:t>130</w:t>
      </w:r>
      <w:r>
        <w:rPr>
          <w:color w:val="auto"/>
          <w:sz w:val="24"/>
          <w:szCs w:val="24"/>
          <w:highlight w:val="none"/>
        </w:rPr>
        <w:t>米</w:t>
      </w:r>
      <w:r>
        <w:rPr>
          <w:rFonts w:hint="eastAsia"/>
          <w:color w:val="auto"/>
          <w:sz w:val="24"/>
          <w:szCs w:val="24"/>
          <w:highlight w:val="none"/>
          <w:lang w:eastAsia="zh-CN"/>
        </w:rPr>
        <w:t>，</w:t>
      </w:r>
      <w:r>
        <w:rPr>
          <w:rFonts w:hint="eastAsia"/>
          <w:color w:val="auto"/>
          <w:sz w:val="24"/>
          <w:szCs w:val="24"/>
          <w:highlight w:val="none"/>
        </w:rPr>
        <w:t>取水目的层上部为</w:t>
      </w:r>
      <w:r>
        <w:rPr>
          <w:rFonts w:hint="eastAsia"/>
          <w:color w:val="auto"/>
          <w:sz w:val="24"/>
          <w:szCs w:val="24"/>
          <w:highlight w:val="none"/>
          <w:lang w:val="en-US" w:eastAsia="zh-CN"/>
        </w:rPr>
        <w:t>1米腐殖土、10</w:t>
      </w:r>
      <w:r>
        <w:rPr>
          <w:rFonts w:hint="eastAsia"/>
          <w:color w:val="auto"/>
          <w:sz w:val="24"/>
          <w:szCs w:val="24"/>
          <w:highlight w:val="none"/>
        </w:rPr>
        <w:t>米黄土、</w:t>
      </w:r>
      <w:r>
        <w:rPr>
          <w:rFonts w:hint="eastAsia"/>
          <w:color w:val="auto"/>
          <w:sz w:val="24"/>
          <w:szCs w:val="24"/>
          <w:highlight w:val="none"/>
          <w:lang w:val="en-US" w:eastAsia="zh-CN"/>
        </w:rPr>
        <w:t>28</w:t>
      </w:r>
      <w:r>
        <w:rPr>
          <w:rFonts w:hint="eastAsia"/>
          <w:color w:val="auto"/>
          <w:sz w:val="24"/>
          <w:szCs w:val="24"/>
          <w:highlight w:val="none"/>
        </w:rPr>
        <w:t>米</w:t>
      </w:r>
      <w:r>
        <w:rPr>
          <w:rFonts w:hint="eastAsia"/>
          <w:color w:val="auto"/>
          <w:sz w:val="24"/>
          <w:szCs w:val="24"/>
          <w:highlight w:val="none"/>
          <w:lang w:eastAsia="zh-CN"/>
        </w:rPr>
        <w:t>粉质粘土、</w:t>
      </w:r>
      <w:r>
        <w:rPr>
          <w:rFonts w:hint="eastAsia"/>
          <w:color w:val="auto"/>
          <w:sz w:val="24"/>
          <w:szCs w:val="24"/>
          <w:highlight w:val="none"/>
          <w:lang w:val="en-US" w:eastAsia="zh-CN"/>
        </w:rPr>
        <w:t>3米砂岩</w:t>
      </w:r>
      <w:r>
        <w:rPr>
          <w:rFonts w:hint="eastAsia"/>
          <w:color w:val="auto"/>
          <w:sz w:val="24"/>
          <w:szCs w:val="24"/>
          <w:highlight w:val="none"/>
        </w:rPr>
        <w:t>，构成稳定隔水顶板，</w:t>
      </w:r>
      <w:r>
        <w:rPr>
          <w:rFonts w:hint="eastAsia"/>
          <w:color w:val="auto"/>
          <w:sz w:val="24"/>
          <w:szCs w:val="24"/>
          <w:highlight w:val="none"/>
          <w:lang w:eastAsia="zh-CN"/>
        </w:rPr>
        <w:t>取水层</w:t>
      </w:r>
      <w:r>
        <w:rPr>
          <w:rFonts w:hint="eastAsia"/>
          <w:color w:val="auto"/>
          <w:sz w:val="24"/>
          <w:szCs w:val="24"/>
          <w:highlight w:val="none"/>
        </w:rPr>
        <w:t>下部</w:t>
      </w:r>
      <w:r>
        <w:rPr>
          <w:rFonts w:hint="eastAsia"/>
          <w:color w:val="auto"/>
          <w:sz w:val="24"/>
          <w:szCs w:val="24"/>
          <w:highlight w:val="none"/>
          <w:lang w:eastAsia="zh-CN"/>
        </w:rPr>
        <w:t>为</w:t>
      </w:r>
      <w:r>
        <w:rPr>
          <w:rFonts w:hint="eastAsia"/>
          <w:color w:val="auto"/>
          <w:sz w:val="24"/>
          <w:szCs w:val="24"/>
          <w:highlight w:val="none"/>
          <w:lang w:val="en-US" w:eastAsia="zh-CN"/>
        </w:rPr>
        <w:t>65米</w:t>
      </w:r>
      <w:r>
        <w:rPr>
          <w:rFonts w:hint="eastAsia"/>
          <w:color w:val="auto"/>
          <w:sz w:val="24"/>
          <w:szCs w:val="24"/>
          <w:highlight w:val="none"/>
          <w:lang w:eastAsia="zh-CN"/>
        </w:rPr>
        <w:t>砂岩、</w:t>
      </w:r>
      <w:r>
        <w:rPr>
          <w:rFonts w:hint="eastAsia"/>
          <w:color w:val="auto"/>
          <w:sz w:val="24"/>
          <w:szCs w:val="24"/>
          <w:highlight w:val="none"/>
          <w:lang w:val="en-US" w:eastAsia="zh-CN"/>
        </w:rPr>
        <w:t>21米</w:t>
      </w:r>
      <w:r>
        <w:rPr>
          <w:rFonts w:hint="eastAsia"/>
          <w:color w:val="auto"/>
          <w:sz w:val="24"/>
          <w:szCs w:val="24"/>
          <w:highlight w:val="none"/>
          <w:lang w:eastAsia="zh-CN"/>
        </w:rPr>
        <w:t>泥岩</w:t>
      </w:r>
      <w:r>
        <w:rPr>
          <w:rFonts w:hint="eastAsia"/>
          <w:color w:val="auto"/>
          <w:sz w:val="24"/>
          <w:szCs w:val="24"/>
          <w:highlight w:val="none"/>
        </w:rPr>
        <w:t>，含水层厚度</w:t>
      </w:r>
      <w:r>
        <w:rPr>
          <w:rFonts w:hint="eastAsia"/>
          <w:color w:val="auto"/>
          <w:sz w:val="24"/>
          <w:szCs w:val="24"/>
          <w:highlight w:val="none"/>
          <w:lang w:val="en-US" w:eastAsia="zh-CN"/>
        </w:rPr>
        <w:t>83</w:t>
      </w:r>
      <w:r>
        <w:rPr>
          <w:color w:val="auto"/>
          <w:sz w:val="24"/>
          <w:szCs w:val="24"/>
          <w:highlight w:val="none"/>
        </w:rPr>
        <w:t>米</w:t>
      </w:r>
      <w:r>
        <w:rPr>
          <w:rFonts w:hint="eastAsia"/>
          <w:color w:val="auto"/>
          <w:sz w:val="24"/>
          <w:szCs w:val="24"/>
          <w:highlight w:val="none"/>
        </w:rPr>
        <w:t>，取水层埋深</w:t>
      </w:r>
      <w:r>
        <w:rPr>
          <w:rFonts w:hint="eastAsia"/>
          <w:color w:val="auto"/>
          <w:sz w:val="24"/>
          <w:szCs w:val="24"/>
          <w:highlight w:val="none"/>
          <w:lang w:val="en-US" w:eastAsia="zh-CN"/>
        </w:rPr>
        <w:t>42</w:t>
      </w:r>
      <w:r>
        <w:rPr>
          <w:rFonts w:hint="eastAsia"/>
          <w:color w:val="auto"/>
          <w:sz w:val="24"/>
          <w:szCs w:val="24"/>
          <w:highlight w:val="none"/>
        </w:rPr>
        <w:t>米。</w:t>
      </w:r>
      <w:r>
        <w:rPr>
          <w:color w:val="auto"/>
          <w:sz w:val="24"/>
          <w:szCs w:val="24"/>
          <w:highlight w:val="none"/>
        </w:rPr>
        <w:t>矿化度小于1克/升</w:t>
      </w:r>
      <w:r>
        <w:rPr>
          <w:rFonts w:hint="eastAsia"/>
          <w:color w:val="auto"/>
          <w:sz w:val="24"/>
          <w:szCs w:val="24"/>
          <w:highlight w:val="none"/>
          <w:lang w:eastAsia="zh-CN"/>
        </w:rPr>
        <w:t>，根据</w:t>
      </w:r>
      <w:r>
        <w:rPr>
          <w:rFonts w:hint="eastAsia" w:ascii="Times New Roman" w:hAnsi="Times New Roman"/>
          <w:color w:val="auto"/>
          <w:sz w:val="24"/>
          <w:szCs w:val="24"/>
          <w:highlight w:val="none"/>
          <w:lang w:val="zh-CN"/>
        </w:rPr>
        <w:t>区域水文地质图，</w:t>
      </w:r>
      <w:r>
        <w:rPr>
          <w:rFonts w:hint="eastAsia"/>
          <w:color w:val="auto"/>
          <w:sz w:val="24"/>
          <w:szCs w:val="24"/>
          <w:highlight w:val="none"/>
        </w:rPr>
        <w:t>地下水流向为自</w:t>
      </w:r>
      <w:r>
        <w:rPr>
          <w:rFonts w:hint="eastAsia"/>
          <w:color w:val="auto"/>
          <w:sz w:val="24"/>
          <w:szCs w:val="24"/>
          <w:highlight w:val="none"/>
          <w:lang w:eastAsia="zh-CN"/>
        </w:rPr>
        <w:t>东北</w:t>
      </w:r>
      <w:r>
        <w:rPr>
          <w:rFonts w:hint="eastAsia"/>
          <w:color w:val="auto"/>
          <w:sz w:val="24"/>
          <w:szCs w:val="24"/>
          <w:highlight w:val="none"/>
        </w:rPr>
        <w:t>向</w:t>
      </w:r>
      <w:r>
        <w:rPr>
          <w:rFonts w:hint="eastAsia"/>
          <w:color w:val="auto"/>
          <w:sz w:val="24"/>
          <w:szCs w:val="24"/>
          <w:highlight w:val="none"/>
          <w:lang w:eastAsia="zh-CN"/>
        </w:rPr>
        <w:t>西</w:t>
      </w:r>
      <w:r>
        <w:rPr>
          <w:rFonts w:hint="eastAsia"/>
          <w:color w:val="auto"/>
          <w:sz w:val="24"/>
          <w:szCs w:val="24"/>
          <w:highlight w:val="none"/>
        </w:rPr>
        <w:t>南。</w:t>
      </w:r>
    </w:p>
    <w:p w14:paraId="6432380F">
      <w:pPr>
        <w:numPr>
          <w:ilvl w:val="0"/>
          <w:numId w:val="0"/>
        </w:numPr>
        <w:ind w:firstLine="472" w:firstLineChars="200"/>
        <w:rPr>
          <w:rFonts w:hint="eastAsia"/>
          <w:color w:val="auto"/>
          <w:sz w:val="24"/>
          <w:szCs w:val="24"/>
          <w:highlight w:val="none"/>
        </w:rPr>
      </w:pPr>
      <w:r>
        <w:rPr>
          <w:rFonts w:hint="eastAsia"/>
          <w:color w:val="auto"/>
          <w:sz w:val="24"/>
          <w:szCs w:val="24"/>
          <w:highlight w:val="none"/>
          <w:lang w:val="en-US" w:eastAsia="zh-CN"/>
        </w:rPr>
        <w:t>7#：</w:t>
      </w:r>
      <w:r>
        <w:rPr>
          <w:rFonts w:hint="eastAsia"/>
          <w:color w:val="auto"/>
          <w:highlight w:val="none"/>
          <w:lang w:eastAsia="zh-CN"/>
        </w:rPr>
        <w:t>取水目的层</w:t>
      </w:r>
      <w:r>
        <w:rPr>
          <w:rFonts w:hint="eastAsia"/>
          <w:color w:val="auto"/>
          <w:highlight w:val="none"/>
          <w:lang w:val="en-US" w:eastAsia="zh-CN"/>
        </w:rPr>
        <w:t>为</w:t>
      </w:r>
      <w:r>
        <w:rPr>
          <w:rFonts w:hint="eastAsia"/>
          <w:color w:val="auto"/>
          <w:kern w:val="0"/>
          <w:szCs w:val="28"/>
          <w:highlight w:val="none"/>
        </w:rPr>
        <w:t>裂隙承压水层</w:t>
      </w:r>
      <w:r>
        <w:rPr>
          <w:rFonts w:hint="eastAsia"/>
          <w:color w:val="auto"/>
          <w:sz w:val="24"/>
          <w:szCs w:val="24"/>
          <w:highlight w:val="none"/>
          <w:lang w:eastAsia="zh-CN"/>
        </w:rPr>
        <w:t>，</w:t>
      </w:r>
      <w:r>
        <w:rPr>
          <w:rFonts w:hint="eastAsia"/>
          <w:color w:val="auto"/>
          <w:sz w:val="24"/>
          <w:szCs w:val="24"/>
          <w:highlight w:val="none"/>
        </w:rPr>
        <w:t>取水井井深</w:t>
      </w:r>
      <w:r>
        <w:rPr>
          <w:rFonts w:hint="eastAsia"/>
          <w:color w:val="auto"/>
          <w:sz w:val="24"/>
          <w:szCs w:val="24"/>
          <w:highlight w:val="none"/>
          <w:lang w:val="en-US" w:eastAsia="zh-CN"/>
        </w:rPr>
        <w:t>130</w:t>
      </w:r>
      <w:r>
        <w:rPr>
          <w:color w:val="auto"/>
          <w:sz w:val="24"/>
          <w:szCs w:val="24"/>
          <w:highlight w:val="none"/>
        </w:rPr>
        <w:t>米</w:t>
      </w:r>
      <w:r>
        <w:rPr>
          <w:rFonts w:hint="eastAsia"/>
          <w:color w:val="auto"/>
          <w:sz w:val="24"/>
          <w:szCs w:val="24"/>
          <w:highlight w:val="none"/>
          <w:lang w:eastAsia="zh-CN"/>
        </w:rPr>
        <w:t>，</w:t>
      </w:r>
      <w:r>
        <w:rPr>
          <w:rFonts w:hint="eastAsia"/>
          <w:color w:val="auto"/>
          <w:sz w:val="24"/>
          <w:szCs w:val="24"/>
          <w:highlight w:val="none"/>
        </w:rPr>
        <w:t>取水目的层上部为</w:t>
      </w:r>
      <w:r>
        <w:rPr>
          <w:rFonts w:hint="eastAsia"/>
          <w:color w:val="auto"/>
          <w:sz w:val="24"/>
          <w:szCs w:val="24"/>
          <w:highlight w:val="none"/>
          <w:lang w:val="en-US" w:eastAsia="zh-CN"/>
        </w:rPr>
        <w:t>1米腐殖土、8</w:t>
      </w:r>
      <w:r>
        <w:rPr>
          <w:rFonts w:hint="eastAsia"/>
          <w:color w:val="auto"/>
          <w:sz w:val="24"/>
          <w:szCs w:val="24"/>
          <w:highlight w:val="none"/>
        </w:rPr>
        <w:t>米黄土、</w:t>
      </w:r>
      <w:r>
        <w:rPr>
          <w:rFonts w:hint="eastAsia"/>
          <w:color w:val="auto"/>
          <w:sz w:val="24"/>
          <w:szCs w:val="24"/>
          <w:highlight w:val="none"/>
          <w:lang w:val="en-US" w:eastAsia="zh-CN"/>
        </w:rPr>
        <w:t>31</w:t>
      </w:r>
      <w:r>
        <w:rPr>
          <w:rFonts w:hint="eastAsia"/>
          <w:color w:val="auto"/>
          <w:sz w:val="24"/>
          <w:szCs w:val="24"/>
          <w:highlight w:val="none"/>
        </w:rPr>
        <w:t>米</w:t>
      </w:r>
      <w:r>
        <w:rPr>
          <w:rFonts w:hint="eastAsia"/>
          <w:color w:val="auto"/>
          <w:sz w:val="24"/>
          <w:szCs w:val="24"/>
          <w:highlight w:val="none"/>
          <w:lang w:eastAsia="zh-CN"/>
        </w:rPr>
        <w:t>粉质粘土、</w:t>
      </w:r>
      <w:r>
        <w:rPr>
          <w:rFonts w:hint="eastAsia"/>
          <w:color w:val="auto"/>
          <w:sz w:val="24"/>
          <w:szCs w:val="24"/>
          <w:highlight w:val="none"/>
          <w:lang w:val="en-US" w:eastAsia="zh-CN"/>
        </w:rPr>
        <w:t>2米砂岩</w:t>
      </w:r>
      <w:r>
        <w:rPr>
          <w:rFonts w:hint="eastAsia"/>
          <w:color w:val="auto"/>
          <w:sz w:val="24"/>
          <w:szCs w:val="24"/>
          <w:highlight w:val="none"/>
        </w:rPr>
        <w:t>，构成稳定隔水顶板，</w:t>
      </w:r>
      <w:r>
        <w:rPr>
          <w:rFonts w:hint="eastAsia"/>
          <w:color w:val="auto"/>
          <w:sz w:val="24"/>
          <w:szCs w:val="24"/>
          <w:highlight w:val="none"/>
          <w:lang w:eastAsia="zh-CN"/>
        </w:rPr>
        <w:t>取水层</w:t>
      </w:r>
      <w:r>
        <w:rPr>
          <w:rFonts w:hint="eastAsia"/>
          <w:color w:val="auto"/>
          <w:sz w:val="24"/>
          <w:szCs w:val="24"/>
          <w:highlight w:val="none"/>
        </w:rPr>
        <w:t>下部</w:t>
      </w:r>
      <w:r>
        <w:rPr>
          <w:rFonts w:hint="eastAsia"/>
          <w:color w:val="auto"/>
          <w:sz w:val="24"/>
          <w:szCs w:val="24"/>
          <w:highlight w:val="none"/>
          <w:lang w:eastAsia="zh-CN"/>
        </w:rPr>
        <w:t>为</w:t>
      </w:r>
      <w:r>
        <w:rPr>
          <w:rFonts w:hint="eastAsia"/>
          <w:color w:val="auto"/>
          <w:sz w:val="24"/>
          <w:szCs w:val="24"/>
          <w:highlight w:val="none"/>
          <w:lang w:val="en-US" w:eastAsia="zh-CN"/>
        </w:rPr>
        <w:t>66米</w:t>
      </w:r>
      <w:r>
        <w:rPr>
          <w:rFonts w:hint="eastAsia"/>
          <w:color w:val="auto"/>
          <w:sz w:val="24"/>
          <w:szCs w:val="24"/>
          <w:highlight w:val="none"/>
          <w:lang w:eastAsia="zh-CN"/>
        </w:rPr>
        <w:t>砂岩、</w:t>
      </w:r>
      <w:r>
        <w:rPr>
          <w:rFonts w:hint="eastAsia"/>
          <w:color w:val="auto"/>
          <w:sz w:val="24"/>
          <w:szCs w:val="24"/>
          <w:highlight w:val="none"/>
          <w:lang w:val="en-US" w:eastAsia="zh-CN"/>
        </w:rPr>
        <w:t>22米</w:t>
      </w:r>
      <w:r>
        <w:rPr>
          <w:rFonts w:hint="eastAsia"/>
          <w:color w:val="auto"/>
          <w:sz w:val="24"/>
          <w:szCs w:val="24"/>
          <w:highlight w:val="none"/>
          <w:lang w:eastAsia="zh-CN"/>
        </w:rPr>
        <w:t>泥岩</w:t>
      </w:r>
      <w:r>
        <w:rPr>
          <w:rFonts w:hint="eastAsia"/>
          <w:color w:val="auto"/>
          <w:sz w:val="24"/>
          <w:szCs w:val="24"/>
          <w:highlight w:val="none"/>
        </w:rPr>
        <w:t>，含水层厚度</w:t>
      </w:r>
      <w:r>
        <w:rPr>
          <w:rFonts w:hint="eastAsia"/>
          <w:color w:val="auto"/>
          <w:sz w:val="24"/>
          <w:szCs w:val="24"/>
          <w:highlight w:val="none"/>
          <w:lang w:val="en-US" w:eastAsia="zh-CN"/>
        </w:rPr>
        <w:t>83</w:t>
      </w:r>
      <w:r>
        <w:rPr>
          <w:color w:val="auto"/>
          <w:sz w:val="24"/>
          <w:szCs w:val="24"/>
          <w:highlight w:val="none"/>
        </w:rPr>
        <w:t>米</w:t>
      </w:r>
      <w:r>
        <w:rPr>
          <w:rFonts w:hint="eastAsia"/>
          <w:color w:val="auto"/>
          <w:sz w:val="24"/>
          <w:szCs w:val="24"/>
          <w:highlight w:val="none"/>
        </w:rPr>
        <w:t>，取水层埋深</w:t>
      </w:r>
      <w:r>
        <w:rPr>
          <w:rFonts w:hint="eastAsia"/>
          <w:color w:val="auto"/>
          <w:sz w:val="24"/>
          <w:szCs w:val="24"/>
          <w:highlight w:val="none"/>
          <w:lang w:val="en-US" w:eastAsia="zh-CN"/>
        </w:rPr>
        <w:t>42</w:t>
      </w:r>
      <w:r>
        <w:rPr>
          <w:rFonts w:hint="eastAsia"/>
          <w:color w:val="auto"/>
          <w:sz w:val="24"/>
          <w:szCs w:val="24"/>
          <w:highlight w:val="none"/>
        </w:rPr>
        <w:t>米。</w:t>
      </w:r>
      <w:r>
        <w:rPr>
          <w:color w:val="auto"/>
          <w:sz w:val="24"/>
          <w:szCs w:val="24"/>
          <w:highlight w:val="none"/>
        </w:rPr>
        <w:t>矿化度小于1克/升</w:t>
      </w:r>
      <w:r>
        <w:rPr>
          <w:rFonts w:hint="eastAsia"/>
          <w:color w:val="auto"/>
          <w:sz w:val="24"/>
          <w:szCs w:val="24"/>
          <w:highlight w:val="none"/>
          <w:lang w:eastAsia="zh-CN"/>
        </w:rPr>
        <w:t>，根据</w:t>
      </w:r>
      <w:r>
        <w:rPr>
          <w:rFonts w:hint="eastAsia" w:ascii="Times New Roman" w:hAnsi="Times New Roman"/>
          <w:color w:val="auto"/>
          <w:sz w:val="24"/>
          <w:szCs w:val="24"/>
          <w:highlight w:val="none"/>
          <w:lang w:val="zh-CN"/>
        </w:rPr>
        <w:t>区域水文地质图，</w:t>
      </w:r>
      <w:r>
        <w:rPr>
          <w:rFonts w:hint="eastAsia"/>
          <w:color w:val="auto"/>
          <w:sz w:val="24"/>
          <w:szCs w:val="24"/>
          <w:highlight w:val="none"/>
        </w:rPr>
        <w:t>地下水流向为自</w:t>
      </w:r>
      <w:r>
        <w:rPr>
          <w:rFonts w:hint="eastAsia"/>
          <w:color w:val="auto"/>
          <w:sz w:val="24"/>
          <w:szCs w:val="24"/>
          <w:highlight w:val="none"/>
          <w:lang w:eastAsia="zh-CN"/>
        </w:rPr>
        <w:t>东北</w:t>
      </w:r>
      <w:r>
        <w:rPr>
          <w:rFonts w:hint="eastAsia"/>
          <w:color w:val="auto"/>
          <w:sz w:val="24"/>
          <w:szCs w:val="24"/>
          <w:highlight w:val="none"/>
        </w:rPr>
        <w:t>向</w:t>
      </w:r>
      <w:r>
        <w:rPr>
          <w:rFonts w:hint="eastAsia"/>
          <w:color w:val="auto"/>
          <w:sz w:val="24"/>
          <w:szCs w:val="24"/>
          <w:highlight w:val="none"/>
          <w:lang w:eastAsia="zh-CN"/>
        </w:rPr>
        <w:t>西</w:t>
      </w:r>
      <w:r>
        <w:rPr>
          <w:rFonts w:hint="eastAsia"/>
          <w:color w:val="auto"/>
          <w:sz w:val="24"/>
          <w:szCs w:val="24"/>
          <w:highlight w:val="none"/>
        </w:rPr>
        <w:t>南。</w:t>
      </w:r>
    </w:p>
    <w:p w14:paraId="3B239F49">
      <w:pPr>
        <w:numPr>
          <w:ilvl w:val="0"/>
          <w:numId w:val="0"/>
        </w:numPr>
        <w:ind w:firstLine="472" w:firstLineChars="200"/>
        <w:rPr>
          <w:rFonts w:hint="eastAsia"/>
          <w:color w:val="auto"/>
          <w:sz w:val="24"/>
          <w:szCs w:val="24"/>
          <w:highlight w:val="none"/>
        </w:rPr>
      </w:pPr>
      <w:r>
        <w:rPr>
          <w:rFonts w:hint="eastAsia"/>
          <w:color w:val="auto"/>
          <w:sz w:val="24"/>
          <w:szCs w:val="24"/>
          <w:highlight w:val="none"/>
          <w:lang w:val="en-US" w:eastAsia="zh-CN"/>
        </w:rPr>
        <w:t>8#：</w:t>
      </w:r>
      <w:r>
        <w:rPr>
          <w:rFonts w:hint="eastAsia"/>
          <w:color w:val="auto"/>
          <w:highlight w:val="none"/>
          <w:lang w:eastAsia="zh-CN"/>
        </w:rPr>
        <w:t>取水目的层</w:t>
      </w:r>
      <w:r>
        <w:rPr>
          <w:rFonts w:hint="eastAsia"/>
          <w:color w:val="auto"/>
          <w:highlight w:val="none"/>
          <w:lang w:val="en-US" w:eastAsia="zh-CN"/>
        </w:rPr>
        <w:t>为</w:t>
      </w:r>
      <w:r>
        <w:rPr>
          <w:rFonts w:hint="eastAsia"/>
          <w:color w:val="auto"/>
          <w:kern w:val="0"/>
          <w:szCs w:val="28"/>
          <w:highlight w:val="none"/>
        </w:rPr>
        <w:t>裂隙承压水层</w:t>
      </w:r>
      <w:r>
        <w:rPr>
          <w:rFonts w:hint="eastAsia"/>
          <w:color w:val="auto"/>
          <w:sz w:val="24"/>
          <w:szCs w:val="24"/>
          <w:highlight w:val="none"/>
          <w:lang w:eastAsia="zh-CN"/>
        </w:rPr>
        <w:t>，</w:t>
      </w:r>
      <w:r>
        <w:rPr>
          <w:rFonts w:hint="eastAsia"/>
          <w:color w:val="auto"/>
          <w:sz w:val="24"/>
          <w:szCs w:val="24"/>
          <w:highlight w:val="none"/>
        </w:rPr>
        <w:t>取水井井深</w:t>
      </w:r>
      <w:r>
        <w:rPr>
          <w:rFonts w:hint="eastAsia"/>
          <w:color w:val="auto"/>
          <w:sz w:val="24"/>
          <w:szCs w:val="24"/>
          <w:highlight w:val="none"/>
          <w:lang w:val="en-US" w:eastAsia="zh-CN"/>
        </w:rPr>
        <w:t>130</w:t>
      </w:r>
      <w:r>
        <w:rPr>
          <w:color w:val="auto"/>
          <w:sz w:val="24"/>
          <w:szCs w:val="24"/>
          <w:highlight w:val="none"/>
        </w:rPr>
        <w:t>米</w:t>
      </w:r>
      <w:r>
        <w:rPr>
          <w:rFonts w:hint="eastAsia"/>
          <w:color w:val="auto"/>
          <w:sz w:val="24"/>
          <w:szCs w:val="24"/>
          <w:highlight w:val="none"/>
          <w:lang w:eastAsia="zh-CN"/>
        </w:rPr>
        <w:t>，</w:t>
      </w:r>
      <w:r>
        <w:rPr>
          <w:rFonts w:hint="eastAsia"/>
          <w:color w:val="auto"/>
          <w:sz w:val="24"/>
          <w:szCs w:val="24"/>
          <w:highlight w:val="none"/>
        </w:rPr>
        <w:t>取水目的层上部为</w:t>
      </w:r>
      <w:r>
        <w:rPr>
          <w:rFonts w:hint="eastAsia"/>
          <w:color w:val="auto"/>
          <w:sz w:val="24"/>
          <w:szCs w:val="24"/>
          <w:highlight w:val="none"/>
          <w:lang w:val="en-US" w:eastAsia="zh-CN"/>
        </w:rPr>
        <w:t>1米腐殖土、14</w:t>
      </w:r>
      <w:r>
        <w:rPr>
          <w:rFonts w:hint="eastAsia"/>
          <w:color w:val="auto"/>
          <w:sz w:val="24"/>
          <w:szCs w:val="24"/>
          <w:highlight w:val="none"/>
        </w:rPr>
        <w:t>米黄土、</w:t>
      </w:r>
      <w:r>
        <w:rPr>
          <w:rFonts w:hint="eastAsia"/>
          <w:color w:val="auto"/>
          <w:sz w:val="24"/>
          <w:szCs w:val="24"/>
          <w:highlight w:val="none"/>
          <w:lang w:val="en-US" w:eastAsia="zh-CN"/>
        </w:rPr>
        <w:t>40</w:t>
      </w:r>
      <w:r>
        <w:rPr>
          <w:rFonts w:hint="eastAsia"/>
          <w:color w:val="auto"/>
          <w:sz w:val="24"/>
          <w:szCs w:val="24"/>
          <w:highlight w:val="none"/>
        </w:rPr>
        <w:t>米</w:t>
      </w:r>
      <w:r>
        <w:rPr>
          <w:rFonts w:hint="eastAsia"/>
          <w:color w:val="auto"/>
          <w:sz w:val="24"/>
          <w:szCs w:val="24"/>
          <w:highlight w:val="none"/>
          <w:lang w:eastAsia="zh-CN"/>
        </w:rPr>
        <w:t>粉质粘土、</w:t>
      </w:r>
      <w:r>
        <w:rPr>
          <w:rFonts w:hint="eastAsia"/>
          <w:color w:val="auto"/>
          <w:sz w:val="24"/>
          <w:szCs w:val="24"/>
          <w:highlight w:val="none"/>
          <w:lang w:val="en-US" w:eastAsia="zh-CN"/>
        </w:rPr>
        <w:t>2米砂岩</w:t>
      </w:r>
      <w:r>
        <w:rPr>
          <w:rFonts w:hint="eastAsia"/>
          <w:color w:val="auto"/>
          <w:sz w:val="24"/>
          <w:szCs w:val="24"/>
          <w:highlight w:val="none"/>
        </w:rPr>
        <w:t>，构成稳定隔水顶板，</w:t>
      </w:r>
      <w:r>
        <w:rPr>
          <w:rFonts w:hint="eastAsia"/>
          <w:color w:val="auto"/>
          <w:sz w:val="24"/>
          <w:szCs w:val="24"/>
          <w:highlight w:val="none"/>
          <w:lang w:eastAsia="zh-CN"/>
        </w:rPr>
        <w:t>取水层</w:t>
      </w:r>
      <w:r>
        <w:rPr>
          <w:rFonts w:hint="eastAsia"/>
          <w:color w:val="auto"/>
          <w:sz w:val="24"/>
          <w:szCs w:val="24"/>
          <w:highlight w:val="none"/>
        </w:rPr>
        <w:t>下部</w:t>
      </w:r>
      <w:r>
        <w:rPr>
          <w:rFonts w:hint="eastAsia"/>
          <w:color w:val="auto"/>
          <w:sz w:val="24"/>
          <w:szCs w:val="24"/>
          <w:highlight w:val="none"/>
          <w:lang w:eastAsia="zh-CN"/>
        </w:rPr>
        <w:t>为</w:t>
      </w:r>
      <w:r>
        <w:rPr>
          <w:rFonts w:hint="eastAsia"/>
          <w:color w:val="auto"/>
          <w:sz w:val="24"/>
          <w:szCs w:val="24"/>
          <w:highlight w:val="none"/>
          <w:lang w:val="en-US" w:eastAsia="zh-CN"/>
        </w:rPr>
        <w:t>73米</w:t>
      </w:r>
      <w:r>
        <w:rPr>
          <w:rFonts w:hint="eastAsia"/>
          <w:color w:val="auto"/>
          <w:sz w:val="24"/>
          <w:szCs w:val="24"/>
          <w:highlight w:val="none"/>
          <w:lang w:eastAsia="zh-CN"/>
        </w:rPr>
        <w:t>砂岩、</w:t>
      </w:r>
      <w:r>
        <w:rPr>
          <w:rFonts w:hint="eastAsia"/>
          <w:color w:val="auto"/>
          <w:sz w:val="24"/>
          <w:szCs w:val="24"/>
          <w:highlight w:val="none"/>
          <w:lang w:val="en-US" w:eastAsia="zh-CN"/>
        </w:rPr>
        <w:t>15米</w:t>
      </w:r>
      <w:r>
        <w:rPr>
          <w:rFonts w:hint="eastAsia"/>
          <w:color w:val="auto"/>
          <w:sz w:val="24"/>
          <w:szCs w:val="24"/>
          <w:highlight w:val="none"/>
          <w:lang w:eastAsia="zh-CN"/>
        </w:rPr>
        <w:t>泥岩</w:t>
      </w:r>
      <w:r>
        <w:rPr>
          <w:rFonts w:hint="eastAsia"/>
          <w:color w:val="auto"/>
          <w:sz w:val="24"/>
          <w:szCs w:val="24"/>
          <w:highlight w:val="none"/>
        </w:rPr>
        <w:t>，含水层厚度</w:t>
      </w:r>
      <w:r>
        <w:rPr>
          <w:rFonts w:hint="eastAsia"/>
          <w:color w:val="auto"/>
          <w:sz w:val="24"/>
          <w:szCs w:val="24"/>
          <w:highlight w:val="none"/>
          <w:lang w:val="en-US" w:eastAsia="zh-CN"/>
        </w:rPr>
        <w:t>83</w:t>
      </w:r>
      <w:r>
        <w:rPr>
          <w:color w:val="auto"/>
          <w:sz w:val="24"/>
          <w:szCs w:val="24"/>
          <w:highlight w:val="none"/>
        </w:rPr>
        <w:t>米</w:t>
      </w:r>
      <w:r>
        <w:rPr>
          <w:rFonts w:hint="eastAsia"/>
          <w:color w:val="auto"/>
          <w:sz w:val="24"/>
          <w:szCs w:val="24"/>
          <w:highlight w:val="none"/>
        </w:rPr>
        <w:t>，取水层埋深</w:t>
      </w:r>
      <w:r>
        <w:rPr>
          <w:rFonts w:hint="eastAsia"/>
          <w:color w:val="auto"/>
          <w:sz w:val="24"/>
          <w:szCs w:val="24"/>
          <w:highlight w:val="none"/>
          <w:lang w:val="en-US" w:eastAsia="zh-CN"/>
        </w:rPr>
        <w:t>42</w:t>
      </w:r>
      <w:r>
        <w:rPr>
          <w:rFonts w:hint="eastAsia"/>
          <w:color w:val="auto"/>
          <w:sz w:val="24"/>
          <w:szCs w:val="24"/>
          <w:highlight w:val="none"/>
        </w:rPr>
        <w:t>米。</w:t>
      </w:r>
      <w:r>
        <w:rPr>
          <w:color w:val="auto"/>
          <w:sz w:val="24"/>
          <w:szCs w:val="24"/>
          <w:highlight w:val="none"/>
        </w:rPr>
        <w:t>矿化度小于1克/升</w:t>
      </w:r>
      <w:r>
        <w:rPr>
          <w:rFonts w:hint="eastAsia"/>
          <w:color w:val="auto"/>
          <w:sz w:val="24"/>
          <w:szCs w:val="24"/>
          <w:highlight w:val="none"/>
          <w:lang w:eastAsia="zh-CN"/>
        </w:rPr>
        <w:t>，根据</w:t>
      </w:r>
      <w:r>
        <w:rPr>
          <w:rFonts w:hint="eastAsia" w:ascii="Times New Roman" w:hAnsi="Times New Roman"/>
          <w:color w:val="auto"/>
          <w:sz w:val="24"/>
          <w:szCs w:val="24"/>
          <w:highlight w:val="none"/>
          <w:lang w:val="zh-CN"/>
        </w:rPr>
        <w:t>区域水文地质图，</w:t>
      </w:r>
      <w:r>
        <w:rPr>
          <w:rFonts w:hint="eastAsia"/>
          <w:color w:val="auto"/>
          <w:sz w:val="24"/>
          <w:szCs w:val="24"/>
          <w:highlight w:val="none"/>
        </w:rPr>
        <w:t>地下水流向为自</w:t>
      </w:r>
      <w:r>
        <w:rPr>
          <w:rFonts w:hint="eastAsia"/>
          <w:color w:val="auto"/>
          <w:sz w:val="24"/>
          <w:szCs w:val="24"/>
          <w:highlight w:val="none"/>
          <w:lang w:eastAsia="zh-CN"/>
        </w:rPr>
        <w:t>东北</w:t>
      </w:r>
      <w:r>
        <w:rPr>
          <w:rFonts w:hint="eastAsia"/>
          <w:color w:val="auto"/>
          <w:sz w:val="24"/>
          <w:szCs w:val="24"/>
          <w:highlight w:val="none"/>
        </w:rPr>
        <w:t>向</w:t>
      </w:r>
      <w:r>
        <w:rPr>
          <w:rFonts w:hint="eastAsia"/>
          <w:color w:val="auto"/>
          <w:sz w:val="24"/>
          <w:szCs w:val="24"/>
          <w:highlight w:val="none"/>
          <w:lang w:eastAsia="zh-CN"/>
        </w:rPr>
        <w:t>西</w:t>
      </w:r>
      <w:r>
        <w:rPr>
          <w:rFonts w:hint="eastAsia"/>
          <w:color w:val="auto"/>
          <w:sz w:val="24"/>
          <w:szCs w:val="24"/>
          <w:highlight w:val="none"/>
        </w:rPr>
        <w:t>南。</w:t>
      </w:r>
    </w:p>
    <w:p w14:paraId="583BEE7D">
      <w:pPr>
        <w:pStyle w:val="5"/>
        <w:bidi w:val="0"/>
        <w:ind w:firstLine="472" w:firstLineChars="200"/>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（2）绥化市庆安县建民乡饮用水水源地（取水井3眼）</w:t>
      </w:r>
    </w:p>
    <w:p w14:paraId="148D181D">
      <w:pPr>
        <w:numPr>
          <w:ilvl w:val="0"/>
          <w:numId w:val="0"/>
        </w:numPr>
        <w:ind w:left="0" w:leftChars="0" w:firstLine="472" w:firstLineChars="200"/>
        <w:rPr>
          <w:rFonts w:hint="eastAsia"/>
          <w:color w:val="auto"/>
          <w:sz w:val="24"/>
          <w:szCs w:val="24"/>
          <w:highlight w:val="none"/>
        </w:rPr>
      </w:pPr>
      <w:r>
        <w:rPr>
          <w:rFonts w:hint="eastAsia"/>
          <w:color w:val="auto"/>
          <w:sz w:val="24"/>
          <w:szCs w:val="24"/>
          <w:highlight w:val="none"/>
          <w:lang w:val="en-US" w:eastAsia="zh-CN"/>
        </w:rPr>
        <w:t>1#：</w:t>
      </w:r>
      <w:r>
        <w:rPr>
          <w:rFonts w:hint="eastAsia" w:ascii="Times New Roman" w:hAnsi="Times New Roman" w:cs="Times New Roman"/>
          <w:color w:val="auto"/>
          <w:highlight w:val="none"/>
          <w:lang w:val="en-US" w:eastAsia="zh-CN"/>
        </w:rPr>
        <w:t>取水目的层为</w:t>
      </w:r>
      <w:r>
        <w:rPr>
          <w:rFonts w:hint="eastAsia" w:ascii="Times New Roman" w:hAnsi="Times New Roman" w:cs="Times New Roman"/>
          <w:color w:val="auto"/>
          <w:highlight w:val="none"/>
          <w:lang w:eastAsia="zh-CN"/>
        </w:rPr>
        <w:t>孔隙—裂隙承压水层</w:t>
      </w:r>
      <w:r>
        <w:rPr>
          <w:rFonts w:hint="eastAsia" w:cs="Times New Roman"/>
          <w:color w:val="auto"/>
          <w:highlight w:val="none"/>
          <w:lang w:eastAsia="zh-CN"/>
        </w:rPr>
        <w:t>，</w:t>
      </w:r>
      <w:r>
        <w:rPr>
          <w:rFonts w:hint="eastAsia"/>
          <w:color w:val="auto"/>
          <w:sz w:val="24"/>
          <w:szCs w:val="24"/>
          <w:highlight w:val="none"/>
        </w:rPr>
        <w:t>取水井井深</w:t>
      </w:r>
      <w:r>
        <w:rPr>
          <w:rFonts w:hint="eastAsia"/>
          <w:color w:val="auto"/>
          <w:sz w:val="24"/>
          <w:szCs w:val="24"/>
          <w:highlight w:val="none"/>
          <w:lang w:val="en-US" w:eastAsia="zh-CN"/>
        </w:rPr>
        <w:t>90</w:t>
      </w:r>
      <w:r>
        <w:rPr>
          <w:color w:val="auto"/>
          <w:sz w:val="24"/>
          <w:szCs w:val="24"/>
          <w:highlight w:val="none"/>
        </w:rPr>
        <w:t>米</w:t>
      </w:r>
      <w:r>
        <w:rPr>
          <w:rFonts w:hint="eastAsia"/>
          <w:color w:val="auto"/>
          <w:sz w:val="24"/>
          <w:szCs w:val="24"/>
          <w:highlight w:val="none"/>
          <w:lang w:eastAsia="zh-CN"/>
        </w:rPr>
        <w:t>，</w:t>
      </w:r>
      <w:r>
        <w:rPr>
          <w:rFonts w:hint="eastAsia"/>
          <w:color w:val="auto"/>
          <w:sz w:val="24"/>
          <w:szCs w:val="24"/>
          <w:highlight w:val="none"/>
        </w:rPr>
        <w:t>取水目的层上部为</w:t>
      </w:r>
      <w:r>
        <w:rPr>
          <w:rFonts w:hint="eastAsia"/>
          <w:color w:val="auto"/>
          <w:sz w:val="24"/>
          <w:szCs w:val="24"/>
          <w:highlight w:val="none"/>
          <w:lang w:val="en-US" w:eastAsia="zh-CN"/>
        </w:rPr>
        <w:t>1米腐殖土、9</w:t>
      </w:r>
      <w:r>
        <w:rPr>
          <w:rFonts w:hint="eastAsia"/>
          <w:color w:val="auto"/>
          <w:sz w:val="24"/>
          <w:szCs w:val="24"/>
          <w:highlight w:val="none"/>
        </w:rPr>
        <w:t>米黄土、</w:t>
      </w:r>
      <w:r>
        <w:rPr>
          <w:rFonts w:hint="eastAsia"/>
          <w:color w:val="auto"/>
          <w:sz w:val="24"/>
          <w:szCs w:val="24"/>
          <w:highlight w:val="none"/>
          <w:lang w:val="en-US" w:eastAsia="zh-CN"/>
        </w:rPr>
        <w:t>24</w:t>
      </w:r>
      <w:r>
        <w:rPr>
          <w:rFonts w:hint="eastAsia"/>
          <w:color w:val="auto"/>
          <w:sz w:val="24"/>
          <w:szCs w:val="24"/>
          <w:highlight w:val="none"/>
        </w:rPr>
        <w:t>米</w:t>
      </w:r>
      <w:r>
        <w:rPr>
          <w:rFonts w:hint="eastAsia"/>
          <w:color w:val="auto"/>
          <w:sz w:val="24"/>
          <w:szCs w:val="24"/>
          <w:highlight w:val="none"/>
          <w:lang w:eastAsia="zh-CN"/>
        </w:rPr>
        <w:t>粉质粘土、</w:t>
      </w:r>
      <w:r>
        <w:rPr>
          <w:rFonts w:hint="eastAsia"/>
          <w:color w:val="auto"/>
          <w:sz w:val="24"/>
          <w:szCs w:val="24"/>
          <w:highlight w:val="none"/>
          <w:lang w:val="en-US" w:eastAsia="zh-CN"/>
        </w:rPr>
        <w:t>2米砂岩</w:t>
      </w:r>
      <w:r>
        <w:rPr>
          <w:rFonts w:hint="eastAsia"/>
          <w:color w:val="auto"/>
          <w:sz w:val="24"/>
          <w:szCs w:val="24"/>
          <w:highlight w:val="none"/>
        </w:rPr>
        <w:t>，构成稳定隔水顶板，</w:t>
      </w:r>
      <w:r>
        <w:rPr>
          <w:rFonts w:hint="eastAsia"/>
          <w:color w:val="auto"/>
          <w:sz w:val="24"/>
          <w:szCs w:val="24"/>
          <w:highlight w:val="none"/>
          <w:lang w:eastAsia="zh-CN"/>
        </w:rPr>
        <w:t>取水层</w:t>
      </w:r>
      <w:r>
        <w:rPr>
          <w:rFonts w:hint="eastAsia"/>
          <w:color w:val="auto"/>
          <w:sz w:val="24"/>
          <w:szCs w:val="24"/>
          <w:highlight w:val="none"/>
        </w:rPr>
        <w:t>下部</w:t>
      </w:r>
      <w:r>
        <w:rPr>
          <w:rFonts w:hint="eastAsia"/>
          <w:color w:val="auto"/>
          <w:sz w:val="24"/>
          <w:szCs w:val="24"/>
          <w:highlight w:val="none"/>
          <w:lang w:eastAsia="zh-CN"/>
        </w:rPr>
        <w:t>为</w:t>
      </w:r>
      <w:r>
        <w:rPr>
          <w:rFonts w:hint="eastAsia"/>
          <w:color w:val="auto"/>
          <w:sz w:val="24"/>
          <w:szCs w:val="24"/>
          <w:highlight w:val="none"/>
          <w:lang w:val="en-US" w:eastAsia="zh-CN"/>
        </w:rPr>
        <w:t>39米</w:t>
      </w:r>
      <w:r>
        <w:rPr>
          <w:rFonts w:hint="eastAsia"/>
          <w:color w:val="auto"/>
          <w:sz w:val="24"/>
          <w:szCs w:val="24"/>
          <w:highlight w:val="none"/>
          <w:lang w:eastAsia="zh-CN"/>
        </w:rPr>
        <w:t>砂岩、</w:t>
      </w:r>
      <w:r>
        <w:rPr>
          <w:rFonts w:hint="eastAsia"/>
          <w:color w:val="auto"/>
          <w:sz w:val="24"/>
          <w:szCs w:val="24"/>
          <w:highlight w:val="none"/>
          <w:lang w:val="en-US" w:eastAsia="zh-CN"/>
        </w:rPr>
        <w:t>15米</w:t>
      </w:r>
      <w:r>
        <w:rPr>
          <w:rFonts w:hint="eastAsia"/>
          <w:color w:val="auto"/>
          <w:sz w:val="24"/>
          <w:szCs w:val="24"/>
          <w:highlight w:val="none"/>
          <w:lang w:eastAsia="zh-CN"/>
        </w:rPr>
        <w:t>泥岩</w:t>
      </w:r>
      <w:r>
        <w:rPr>
          <w:rFonts w:hint="eastAsia"/>
          <w:color w:val="auto"/>
          <w:sz w:val="24"/>
          <w:szCs w:val="24"/>
          <w:highlight w:val="none"/>
        </w:rPr>
        <w:t>，含水层厚度</w:t>
      </w:r>
      <w:r>
        <w:rPr>
          <w:rFonts w:hint="eastAsia"/>
          <w:color w:val="auto"/>
          <w:sz w:val="24"/>
          <w:szCs w:val="24"/>
          <w:highlight w:val="none"/>
          <w:lang w:val="en-US" w:eastAsia="zh-CN"/>
        </w:rPr>
        <w:t>49</w:t>
      </w:r>
      <w:r>
        <w:rPr>
          <w:color w:val="auto"/>
          <w:sz w:val="24"/>
          <w:szCs w:val="24"/>
          <w:highlight w:val="none"/>
        </w:rPr>
        <w:t>米</w:t>
      </w:r>
      <w:r>
        <w:rPr>
          <w:rFonts w:hint="eastAsia"/>
          <w:color w:val="auto"/>
          <w:sz w:val="24"/>
          <w:szCs w:val="24"/>
          <w:highlight w:val="none"/>
        </w:rPr>
        <w:t>，取水层埋深</w:t>
      </w:r>
      <w:r>
        <w:rPr>
          <w:rFonts w:hint="eastAsia"/>
          <w:color w:val="auto"/>
          <w:sz w:val="24"/>
          <w:szCs w:val="24"/>
          <w:highlight w:val="none"/>
          <w:lang w:val="en-US" w:eastAsia="zh-CN"/>
        </w:rPr>
        <w:t>36</w:t>
      </w:r>
      <w:r>
        <w:rPr>
          <w:rFonts w:hint="eastAsia"/>
          <w:color w:val="auto"/>
          <w:sz w:val="24"/>
          <w:szCs w:val="24"/>
          <w:highlight w:val="none"/>
        </w:rPr>
        <w:t>米。</w:t>
      </w:r>
      <w:r>
        <w:rPr>
          <w:color w:val="auto"/>
          <w:sz w:val="24"/>
          <w:szCs w:val="24"/>
          <w:highlight w:val="none"/>
        </w:rPr>
        <w:t>矿化度小于1克/升</w:t>
      </w:r>
      <w:r>
        <w:rPr>
          <w:rFonts w:hint="eastAsia"/>
          <w:color w:val="auto"/>
          <w:sz w:val="24"/>
          <w:szCs w:val="24"/>
          <w:highlight w:val="none"/>
          <w:lang w:eastAsia="zh-CN"/>
        </w:rPr>
        <w:t>，根据</w:t>
      </w:r>
      <w:r>
        <w:rPr>
          <w:rFonts w:hint="eastAsia" w:ascii="Times New Roman" w:hAnsi="Times New Roman"/>
          <w:color w:val="auto"/>
          <w:sz w:val="24"/>
          <w:szCs w:val="24"/>
          <w:highlight w:val="none"/>
          <w:lang w:val="zh-CN"/>
        </w:rPr>
        <w:t>区域水文地质图，</w:t>
      </w:r>
      <w:r>
        <w:rPr>
          <w:rFonts w:hint="eastAsia"/>
          <w:color w:val="auto"/>
          <w:sz w:val="24"/>
          <w:szCs w:val="24"/>
          <w:highlight w:val="none"/>
        </w:rPr>
        <w:t>地下水流向为自</w:t>
      </w:r>
      <w:r>
        <w:rPr>
          <w:rFonts w:hint="eastAsia"/>
          <w:color w:val="auto"/>
          <w:sz w:val="24"/>
          <w:szCs w:val="24"/>
          <w:highlight w:val="none"/>
          <w:lang w:eastAsia="zh-CN"/>
        </w:rPr>
        <w:t>东南</w:t>
      </w:r>
      <w:r>
        <w:rPr>
          <w:rFonts w:hint="eastAsia"/>
          <w:color w:val="auto"/>
          <w:sz w:val="24"/>
          <w:szCs w:val="24"/>
          <w:highlight w:val="none"/>
        </w:rPr>
        <w:t>向</w:t>
      </w:r>
      <w:r>
        <w:rPr>
          <w:rFonts w:hint="eastAsia"/>
          <w:color w:val="auto"/>
          <w:sz w:val="24"/>
          <w:szCs w:val="24"/>
          <w:highlight w:val="none"/>
          <w:lang w:eastAsia="zh-CN"/>
        </w:rPr>
        <w:t>西北</w:t>
      </w:r>
      <w:r>
        <w:rPr>
          <w:rFonts w:hint="eastAsia"/>
          <w:color w:val="auto"/>
          <w:sz w:val="24"/>
          <w:szCs w:val="24"/>
          <w:highlight w:val="none"/>
        </w:rPr>
        <w:t>。</w:t>
      </w:r>
    </w:p>
    <w:p w14:paraId="7D2B0273">
      <w:pPr>
        <w:numPr>
          <w:ilvl w:val="0"/>
          <w:numId w:val="0"/>
        </w:numPr>
        <w:ind w:left="0" w:leftChars="0" w:firstLine="472" w:firstLineChars="200"/>
        <w:rPr>
          <w:rFonts w:hint="eastAsia"/>
          <w:color w:val="auto"/>
          <w:sz w:val="24"/>
          <w:szCs w:val="24"/>
          <w:highlight w:val="none"/>
        </w:rPr>
      </w:pPr>
      <w:r>
        <w:rPr>
          <w:rFonts w:hint="eastAsia"/>
          <w:color w:val="auto"/>
          <w:sz w:val="24"/>
          <w:szCs w:val="24"/>
          <w:highlight w:val="none"/>
          <w:lang w:val="en-US" w:eastAsia="zh-CN"/>
        </w:rPr>
        <w:t>2#：</w:t>
      </w:r>
      <w:r>
        <w:rPr>
          <w:rFonts w:hint="eastAsia" w:ascii="Times New Roman" w:hAnsi="Times New Roman" w:cs="Times New Roman"/>
          <w:color w:val="auto"/>
          <w:highlight w:val="none"/>
          <w:lang w:val="en-US" w:eastAsia="zh-CN"/>
        </w:rPr>
        <w:t>取水目的层为</w:t>
      </w:r>
      <w:r>
        <w:rPr>
          <w:rFonts w:hint="eastAsia" w:ascii="Times New Roman" w:hAnsi="Times New Roman" w:cs="Times New Roman"/>
          <w:color w:val="auto"/>
          <w:highlight w:val="none"/>
          <w:lang w:eastAsia="zh-CN"/>
        </w:rPr>
        <w:t>孔隙—裂隙承压水层</w:t>
      </w:r>
      <w:r>
        <w:rPr>
          <w:rFonts w:hint="eastAsia" w:cs="Times New Roman"/>
          <w:color w:val="auto"/>
          <w:highlight w:val="none"/>
          <w:lang w:eastAsia="zh-CN"/>
        </w:rPr>
        <w:t>，</w:t>
      </w:r>
      <w:r>
        <w:rPr>
          <w:rFonts w:hint="eastAsia"/>
          <w:color w:val="auto"/>
          <w:sz w:val="24"/>
          <w:szCs w:val="24"/>
          <w:highlight w:val="none"/>
        </w:rPr>
        <w:t>取水井井深</w:t>
      </w:r>
      <w:r>
        <w:rPr>
          <w:rFonts w:hint="eastAsia"/>
          <w:color w:val="auto"/>
          <w:sz w:val="24"/>
          <w:szCs w:val="24"/>
          <w:highlight w:val="none"/>
          <w:lang w:val="en-US" w:eastAsia="zh-CN"/>
        </w:rPr>
        <w:t>90</w:t>
      </w:r>
      <w:r>
        <w:rPr>
          <w:color w:val="auto"/>
          <w:sz w:val="24"/>
          <w:szCs w:val="24"/>
          <w:highlight w:val="none"/>
        </w:rPr>
        <w:t>米</w:t>
      </w:r>
      <w:r>
        <w:rPr>
          <w:rFonts w:hint="eastAsia"/>
          <w:color w:val="auto"/>
          <w:sz w:val="24"/>
          <w:szCs w:val="24"/>
          <w:highlight w:val="none"/>
          <w:lang w:eastAsia="zh-CN"/>
        </w:rPr>
        <w:t>，</w:t>
      </w:r>
      <w:r>
        <w:rPr>
          <w:rFonts w:hint="eastAsia"/>
          <w:color w:val="auto"/>
          <w:sz w:val="24"/>
          <w:szCs w:val="24"/>
          <w:highlight w:val="none"/>
        </w:rPr>
        <w:t>取水目的层上部为</w:t>
      </w:r>
      <w:r>
        <w:rPr>
          <w:rFonts w:hint="eastAsia"/>
          <w:color w:val="auto"/>
          <w:sz w:val="24"/>
          <w:szCs w:val="24"/>
          <w:highlight w:val="none"/>
          <w:lang w:val="en-US" w:eastAsia="zh-CN"/>
        </w:rPr>
        <w:t>1米腐殖土、7</w:t>
      </w:r>
      <w:r>
        <w:rPr>
          <w:rFonts w:hint="eastAsia"/>
          <w:color w:val="auto"/>
          <w:sz w:val="24"/>
          <w:szCs w:val="24"/>
          <w:highlight w:val="none"/>
        </w:rPr>
        <w:t>米黄土、</w:t>
      </w:r>
      <w:r>
        <w:rPr>
          <w:rFonts w:hint="eastAsia"/>
          <w:color w:val="auto"/>
          <w:sz w:val="24"/>
          <w:szCs w:val="24"/>
          <w:highlight w:val="none"/>
          <w:lang w:val="en-US" w:eastAsia="zh-CN"/>
        </w:rPr>
        <w:t>26</w:t>
      </w:r>
      <w:r>
        <w:rPr>
          <w:rFonts w:hint="eastAsia"/>
          <w:color w:val="auto"/>
          <w:sz w:val="24"/>
          <w:szCs w:val="24"/>
          <w:highlight w:val="none"/>
        </w:rPr>
        <w:t>米</w:t>
      </w:r>
      <w:r>
        <w:rPr>
          <w:rFonts w:hint="eastAsia"/>
          <w:color w:val="auto"/>
          <w:sz w:val="24"/>
          <w:szCs w:val="24"/>
          <w:highlight w:val="none"/>
          <w:lang w:eastAsia="zh-CN"/>
        </w:rPr>
        <w:t>粉质粘土、</w:t>
      </w:r>
      <w:r>
        <w:rPr>
          <w:rFonts w:hint="eastAsia"/>
          <w:color w:val="auto"/>
          <w:sz w:val="24"/>
          <w:szCs w:val="24"/>
          <w:highlight w:val="none"/>
          <w:lang w:val="en-US" w:eastAsia="zh-CN"/>
        </w:rPr>
        <w:t>2米砂岩</w:t>
      </w:r>
      <w:r>
        <w:rPr>
          <w:rFonts w:hint="eastAsia"/>
          <w:color w:val="auto"/>
          <w:sz w:val="24"/>
          <w:szCs w:val="24"/>
          <w:highlight w:val="none"/>
        </w:rPr>
        <w:t>，构成稳定隔水顶板，</w:t>
      </w:r>
      <w:r>
        <w:rPr>
          <w:rFonts w:hint="eastAsia"/>
          <w:color w:val="auto"/>
          <w:sz w:val="24"/>
          <w:szCs w:val="24"/>
          <w:highlight w:val="none"/>
          <w:lang w:eastAsia="zh-CN"/>
        </w:rPr>
        <w:t>取水层</w:t>
      </w:r>
      <w:r>
        <w:rPr>
          <w:rFonts w:hint="eastAsia"/>
          <w:color w:val="auto"/>
          <w:sz w:val="24"/>
          <w:szCs w:val="24"/>
          <w:highlight w:val="none"/>
        </w:rPr>
        <w:t>下部</w:t>
      </w:r>
      <w:r>
        <w:rPr>
          <w:rFonts w:hint="eastAsia"/>
          <w:color w:val="auto"/>
          <w:sz w:val="24"/>
          <w:szCs w:val="24"/>
          <w:highlight w:val="none"/>
          <w:lang w:eastAsia="zh-CN"/>
        </w:rPr>
        <w:t>为</w:t>
      </w:r>
      <w:r>
        <w:rPr>
          <w:rFonts w:hint="eastAsia"/>
          <w:color w:val="auto"/>
          <w:sz w:val="24"/>
          <w:szCs w:val="24"/>
          <w:highlight w:val="none"/>
          <w:lang w:val="en-US" w:eastAsia="zh-CN"/>
        </w:rPr>
        <w:t>39米</w:t>
      </w:r>
      <w:r>
        <w:rPr>
          <w:rFonts w:hint="eastAsia"/>
          <w:color w:val="auto"/>
          <w:sz w:val="24"/>
          <w:szCs w:val="24"/>
          <w:highlight w:val="none"/>
          <w:lang w:eastAsia="zh-CN"/>
        </w:rPr>
        <w:t>砂岩、</w:t>
      </w:r>
      <w:r>
        <w:rPr>
          <w:rFonts w:hint="eastAsia"/>
          <w:color w:val="auto"/>
          <w:sz w:val="24"/>
          <w:szCs w:val="24"/>
          <w:highlight w:val="none"/>
          <w:lang w:val="en-US" w:eastAsia="zh-CN"/>
        </w:rPr>
        <w:t>15米</w:t>
      </w:r>
      <w:r>
        <w:rPr>
          <w:rFonts w:hint="eastAsia"/>
          <w:color w:val="auto"/>
          <w:sz w:val="24"/>
          <w:szCs w:val="24"/>
          <w:highlight w:val="none"/>
          <w:lang w:eastAsia="zh-CN"/>
        </w:rPr>
        <w:t>泥岩</w:t>
      </w:r>
      <w:r>
        <w:rPr>
          <w:rFonts w:hint="eastAsia"/>
          <w:color w:val="auto"/>
          <w:sz w:val="24"/>
          <w:szCs w:val="24"/>
          <w:highlight w:val="none"/>
        </w:rPr>
        <w:t>，含水层厚度</w:t>
      </w:r>
      <w:r>
        <w:rPr>
          <w:rFonts w:hint="eastAsia"/>
          <w:color w:val="auto"/>
          <w:sz w:val="24"/>
          <w:szCs w:val="24"/>
          <w:highlight w:val="none"/>
          <w:lang w:val="en-US" w:eastAsia="zh-CN"/>
        </w:rPr>
        <w:t>49</w:t>
      </w:r>
      <w:r>
        <w:rPr>
          <w:color w:val="auto"/>
          <w:sz w:val="24"/>
          <w:szCs w:val="24"/>
          <w:highlight w:val="none"/>
        </w:rPr>
        <w:t>米</w:t>
      </w:r>
      <w:r>
        <w:rPr>
          <w:rFonts w:hint="eastAsia"/>
          <w:color w:val="auto"/>
          <w:sz w:val="24"/>
          <w:szCs w:val="24"/>
          <w:highlight w:val="none"/>
        </w:rPr>
        <w:t>，取水层埋深</w:t>
      </w:r>
      <w:r>
        <w:rPr>
          <w:rFonts w:hint="eastAsia"/>
          <w:color w:val="auto"/>
          <w:sz w:val="24"/>
          <w:szCs w:val="24"/>
          <w:highlight w:val="none"/>
          <w:lang w:val="en-US" w:eastAsia="zh-CN"/>
        </w:rPr>
        <w:t>36</w:t>
      </w:r>
      <w:r>
        <w:rPr>
          <w:rFonts w:hint="eastAsia"/>
          <w:color w:val="auto"/>
          <w:sz w:val="24"/>
          <w:szCs w:val="24"/>
          <w:highlight w:val="none"/>
        </w:rPr>
        <w:t>米。</w:t>
      </w:r>
      <w:r>
        <w:rPr>
          <w:color w:val="auto"/>
          <w:sz w:val="24"/>
          <w:szCs w:val="24"/>
          <w:highlight w:val="none"/>
        </w:rPr>
        <w:t>矿化度小于1克/升</w:t>
      </w:r>
      <w:r>
        <w:rPr>
          <w:rFonts w:hint="eastAsia"/>
          <w:color w:val="auto"/>
          <w:sz w:val="24"/>
          <w:szCs w:val="24"/>
          <w:highlight w:val="none"/>
          <w:lang w:eastAsia="zh-CN"/>
        </w:rPr>
        <w:t>，根据</w:t>
      </w:r>
      <w:r>
        <w:rPr>
          <w:rFonts w:hint="eastAsia" w:ascii="Times New Roman" w:hAnsi="Times New Roman"/>
          <w:color w:val="auto"/>
          <w:sz w:val="24"/>
          <w:szCs w:val="24"/>
          <w:highlight w:val="none"/>
          <w:lang w:val="zh-CN"/>
        </w:rPr>
        <w:t>区域水文地质图，</w:t>
      </w:r>
      <w:r>
        <w:rPr>
          <w:rFonts w:hint="eastAsia"/>
          <w:color w:val="auto"/>
          <w:sz w:val="24"/>
          <w:szCs w:val="24"/>
          <w:highlight w:val="none"/>
        </w:rPr>
        <w:t>地下水流向为自</w:t>
      </w:r>
      <w:r>
        <w:rPr>
          <w:rFonts w:hint="eastAsia"/>
          <w:color w:val="auto"/>
          <w:sz w:val="24"/>
          <w:szCs w:val="24"/>
          <w:highlight w:val="none"/>
          <w:lang w:eastAsia="zh-CN"/>
        </w:rPr>
        <w:t>东南</w:t>
      </w:r>
      <w:r>
        <w:rPr>
          <w:rFonts w:hint="eastAsia"/>
          <w:color w:val="auto"/>
          <w:sz w:val="24"/>
          <w:szCs w:val="24"/>
          <w:highlight w:val="none"/>
        </w:rPr>
        <w:t>向</w:t>
      </w:r>
      <w:r>
        <w:rPr>
          <w:rFonts w:hint="eastAsia"/>
          <w:color w:val="auto"/>
          <w:sz w:val="24"/>
          <w:szCs w:val="24"/>
          <w:highlight w:val="none"/>
          <w:lang w:eastAsia="zh-CN"/>
        </w:rPr>
        <w:t>西北</w:t>
      </w:r>
      <w:r>
        <w:rPr>
          <w:rFonts w:hint="eastAsia"/>
          <w:color w:val="auto"/>
          <w:sz w:val="24"/>
          <w:szCs w:val="24"/>
          <w:highlight w:val="none"/>
        </w:rPr>
        <w:t>。</w:t>
      </w:r>
    </w:p>
    <w:p w14:paraId="0BA1EF3E">
      <w:pPr>
        <w:numPr>
          <w:ilvl w:val="0"/>
          <w:numId w:val="0"/>
        </w:numPr>
        <w:ind w:left="0" w:leftChars="0" w:firstLine="472" w:firstLineChars="200"/>
        <w:rPr>
          <w:rFonts w:hint="eastAsia"/>
          <w:color w:val="auto"/>
          <w:sz w:val="24"/>
          <w:szCs w:val="24"/>
          <w:highlight w:val="none"/>
        </w:rPr>
      </w:pPr>
      <w:r>
        <w:rPr>
          <w:rFonts w:hint="eastAsia"/>
          <w:color w:val="auto"/>
          <w:sz w:val="24"/>
          <w:szCs w:val="24"/>
          <w:highlight w:val="none"/>
          <w:lang w:val="en-US" w:eastAsia="zh-CN"/>
        </w:rPr>
        <w:t>3#：</w:t>
      </w:r>
      <w:r>
        <w:rPr>
          <w:rFonts w:hint="eastAsia" w:ascii="Times New Roman" w:hAnsi="Times New Roman" w:cs="Times New Roman"/>
          <w:color w:val="auto"/>
          <w:highlight w:val="none"/>
          <w:lang w:val="en-US" w:eastAsia="zh-CN"/>
        </w:rPr>
        <w:t>取水目的层为</w:t>
      </w:r>
      <w:r>
        <w:rPr>
          <w:rFonts w:hint="eastAsia" w:ascii="Times New Roman" w:hAnsi="Times New Roman" w:cs="Times New Roman"/>
          <w:color w:val="auto"/>
          <w:highlight w:val="none"/>
          <w:lang w:eastAsia="zh-CN"/>
        </w:rPr>
        <w:t>孔隙—裂隙承压水层</w:t>
      </w:r>
      <w:r>
        <w:rPr>
          <w:rFonts w:hint="eastAsia" w:cs="Times New Roman"/>
          <w:color w:val="auto"/>
          <w:highlight w:val="none"/>
          <w:lang w:eastAsia="zh-CN"/>
        </w:rPr>
        <w:t>，</w:t>
      </w:r>
      <w:r>
        <w:rPr>
          <w:rFonts w:hint="eastAsia"/>
          <w:color w:val="auto"/>
          <w:sz w:val="24"/>
          <w:szCs w:val="24"/>
          <w:highlight w:val="none"/>
        </w:rPr>
        <w:t>取水井井深</w:t>
      </w:r>
      <w:r>
        <w:rPr>
          <w:rFonts w:hint="eastAsia"/>
          <w:color w:val="auto"/>
          <w:sz w:val="24"/>
          <w:szCs w:val="24"/>
          <w:highlight w:val="none"/>
          <w:lang w:val="en-US" w:eastAsia="zh-CN"/>
        </w:rPr>
        <w:t>90</w:t>
      </w:r>
      <w:r>
        <w:rPr>
          <w:color w:val="auto"/>
          <w:sz w:val="24"/>
          <w:szCs w:val="24"/>
          <w:highlight w:val="none"/>
        </w:rPr>
        <w:t>米</w:t>
      </w:r>
      <w:r>
        <w:rPr>
          <w:rFonts w:hint="eastAsia"/>
          <w:color w:val="auto"/>
          <w:sz w:val="24"/>
          <w:szCs w:val="24"/>
          <w:highlight w:val="none"/>
          <w:lang w:eastAsia="zh-CN"/>
        </w:rPr>
        <w:t>，</w:t>
      </w:r>
      <w:r>
        <w:rPr>
          <w:rFonts w:hint="eastAsia"/>
          <w:color w:val="auto"/>
          <w:sz w:val="24"/>
          <w:szCs w:val="24"/>
          <w:highlight w:val="none"/>
        </w:rPr>
        <w:t>取水目的层上部为</w:t>
      </w:r>
      <w:r>
        <w:rPr>
          <w:rFonts w:hint="eastAsia"/>
          <w:color w:val="auto"/>
          <w:sz w:val="24"/>
          <w:szCs w:val="24"/>
          <w:highlight w:val="none"/>
          <w:lang w:val="en-US" w:eastAsia="zh-CN"/>
        </w:rPr>
        <w:t>1米腐殖土、7</w:t>
      </w:r>
      <w:r>
        <w:rPr>
          <w:rFonts w:hint="eastAsia"/>
          <w:color w:val="auto"/>
          <w:sz w:val="24"/>
          <w:szCs w:val="24"/>
          <w:highlight w:val="none"/>
        </w:rPr>
        <w:t>米黄土、</w:t>
      </w:r>
      <w:r>
        <w:rPr>
          <w:rFonts w:hint="eastAsia"/>
          <w:color w:val="auto"/>
          <w:sz w:val="24"/>
          <w:szCs w:val="24"/>
          <w:highlight w:val="none"/>
          <w:lang w:val="en-US" w:eastAsia="zh-CN"/>
        </w:rPr>
        <w:t>24</w:t>
      </w:r>
      <w:r>
        <w:rPr>
          <w:rFonts w:hint="eastAsia"/>
          <w:color w:val="auto"/>
          <w:sz w:val="24"/>
          <w:szCs w:val="24"/>
          <w:highlight w:val="none"/>
        </w:rPr>
        <w:t>米</w:t>
      </w:r>
      <w:r>
        <w:rPr>
          <w:rFonts w:hint="eastAsia"/>
          <w:color w:val="auto"/>
          <w:sz w:val="24"/>
          <w:szCs w:val="24"/>
          <w:highlight w:val="none"/>
          <w:lang w:eastAsia="zh-CN"/>
        </w:rPr>
        <w:t>粉质粘土、</w:t>
      </w:r>
      <w:r>
        <w:rPr>
          <w:rFonts w:hint="eastAsia"/>
          <w:color w:val="auto"/>
          <w:sz w:val="24"/>
          <w:szCs w:val="24"/>
          <w:highlight w:val="none"/>
          <w:lang w:val="en-US" w:eastAsia="zh-CN"/>
        </w:rPr>
        <w:t>4米砂岩</w:t>
      </w:r>
      <w:r>
        <w:rPr>
          <w:rFonts w:hint="eastAsia"/>
          <w:color w:val="auto"/>
          <w:sz w:val="24"/>
          <w:szCs w:val="24"/>
          <w:highlight w:val="none"/>
        </w:rPr>
        <w:t>，构成稳定隔水顶板，</w:t>
      </w:r>
      <w:r>
        <w:rPr>
          <w:rFonts w:hint="eastAsia"/>
          <w:color w:val="auto"/>
          <w:sz w:val="24"/>
          <w:szCs w:val="24"/>
          <w:highlight w:val="none"/>
          <w:lang w:eastAsia="zh-CN"/>
        </w:rPr>
        <w:t>取水层</w:t>
      </w:r>
      <w:r>
        <w:rPr>
          <w:rFonts w:hint="eastAsia"/>
          <w:color w:val="auto"/>
          <w:sz w:val="24"/>
          <w:szCs w:val="24"/>
          <w:highlight w:val="none"/>
        </w:rPr>
        <w:t>下部</w:t>
      </w:r>
      <w:r>
        <w:rPr>
          <w:rFonts w:hint="eastAsia"/>
          <w:color w:val="auto"/>
          <w:sz w:val="24"/>
          <w:szCs w:val="24"/>
          <w:highlight w:val="none"/>
          <w:lang w:eastAsia="zh-CN"/>
        </w:rPr>
        <w:t>为</w:t>
      </w:r>
      <w:r>
        <w:rPr>
          <w:rFonts w:hint="eastAsia"/>
          <w:color w:val="auto"/>
          <w:sz w:val="24"/>
          <w:szCs w:val="24"/>
          <w:highlight w:val="none"/>
          <w:lang w:val="en-US" w:eastAsia="zh-CN"/>
        </w:rPr>
        <w:t>39米</w:t>
      </w:r>
      <w:r>
        <w:rPr>
          <w:rFonts w:hint="eastAsia"/>
          <w:color w:val="auto"/>
          <w:sz w:val="24"/>
          <w:szCs w:val="24"/>
          <w:highlight w:val="none"/>
          <w:lang w:eastAsia="zh-CN"/>
        </w:rPr>
        <w:t>砂岩、</w:t>
      </w:r>
      <w:r>
        <w:rPr>
          <w:rFonts w:hint="eastAsia"/>
          <w:color w:val="auto"/>
          <w:sz w:val="24"/>
          <w:szCs w:val="24"/>
          <w:highlight w:val="none"/>
          <w:lang w:val="en-US" w:eastAsia="zh-CN"/>
        </w:rPr>
        <w:t>15米</w:t>
      </w:r>
      <w:r>
        <w:rPr>
          <w:rFonts w:hint="eastAsia"/>
          <w:color w:val="auto"/>
          <w:sz w:val="24"/>
          <w:szCs w:val="24"/>
          <w:highlight w:val="none"/>
          <w:lang w:eastAsia="zh-CN"/>
        </w:rPr>
        <w:t>泥岩</w:t>
      </w:r>
      <w:r>
        <w:rPr>
          <w:rFonts w:hint="eastAsia"/>
          <w:color w:val="auto"/>
          <w:sz w:val="24"/>
          <w:szCs w:val="24"/>
          <w:highlight w:val="none"/>
        </w:rPr>
        <w:t>，含水层厚度</w:t>
      </w:r>
      <w:r>
        <w:rPr>
          <w:rFonts w:hint="eastAsia"/>
          <w:color w:val="auto"/>
          <w:sz w:val="24"/>
          <w:szCs w:val="24"/>
          <w:highlight w:val="none"/>
          <w:lang w:val="en-US" w:eastAsia="zh-CN"/>
        </w:rPr>
        <w:t>49</w:t>
      </w:r>
      <w:r>
        <w:rPr>
          <w:color w:val="auto"/>
          <w:sz w:val="24"/>
          <w:szCs w:val="24"/>
          <w:highlight w:val="none"/>
        </w:rPr>
        <w:t>米</w:t>
      </w:r>
      <w:r>
        <w:rPr>
          <w:rFonts w:hint="eastAsia"/>
          <w:color w:val="auto"/>
          <w:sz w:val="24"/>
          <w:szCs w:val="24"/>
          <w:highlight w:val="none"/>
        </w:rPr>
        <w:t>，取水层埋深</w:t>
      </w:r>
      <w:r>
        <w:rPr>
          <w:rFonts w:hint="eastAsia"/>
          <w:color w:val="auto"/>
          <w:sz w:val="24"/>
          <w:szCs w:val="24"/>
          <w:highlight w:val="none"/>
          <w:lang w:val="en-US" w:eastAsia="zh-CN"/>
        </w:rPr>
        <w:t>36</w:t>
      </w:r>
      <w:r>
        <w:rPr>
          <w:rFonts w:hint="eastAsia"/>
          <w:color w:val="auto"/>
          <w:sz w:val="24"/>
          <w:szCs w:val="24"/>
          <w:highlight w:val="none"/>
        </w:rPr>
        <w:t>米。</w:t>
      </w:r>
      <w:r>
        <w:rPr>
          <w:color w:val="auto"/>
          <w:sz w:val="24"/>
          <w:szCs w:val="24"/>
          <w:highlight w:val="none"/>
        </w:rPr>
        <w:t>矿化度小于1克/升</w:t>
      </w:r>
      <w:r>
        <w:rPr>
          <w:rFonts w:hint="eastAsia"/>
          <w:color w:val="auto"/>
          <w:sz w:val="24"/>
          <w:szCs w:val="24"/>
          <w:highlight w:val="none"/>
          <w:lang w:eastAsia="zh-CN"/>
        </w:rPr>
        <w:t>，根据</w:t>
      </w:r>
      <w:r>
        <w:rPr>
          <w:rFonts w:hint="eastAsia" w:ascii="Times New Roman" w:hAnsi="Times New Roman"/>
          <w:color w:val="auto"/>
          <w:sz w:val="24"/>
          <w:szCs w:val="24"/>
          <w:highlight w:val="none"/>
          <w:lang w:val="zh-CN"/>
        </w:rPr>
        <w:t>区域水文地质图，</w:t>
      </w:r>
      <w:r>
        <w:rPr>
          <w:rFonts w:hint="eastAsia"/>
          <w:color w:val="auto"/>
          <w:sz w:val="24"/>
          <w:szCs w:val="24"/>
          <w:highlight w:val="none"/>
        </w:rPr>
        <w:t>地下水流向为自</w:t>
      </w:r>
      <w:r>
        <w:rPr>
          <w:rFonts w:hint="eastAsia"/>
          <w:color w:val="auto"/>
          <w:sz w:val="24"/>
          <w:szCs w:val="24"/>
          <w:highlight w:val="none"/>
          <w:lang w:eastAsia="zh-CN"/>
        </w:rPr>
        <w:t>东南</w:t>
      </w:r>
      <w:r>
        <w:rPr>
          <w:rFonts w:hint="eastAsia"/>
          <w:color w:val="auto"/>
          <w:sz w:val="24"/>
          <w:szCs w:val="24"/>
          <w:highlight w:val="none"/>
        </w:rPr>
        <w:t>向</w:t>
      </w:r>
      <w:r>
        <w:rPr>
          <w:rFonts w:hint="eastAsia"/>
          <w:color w:val="auto"/>
          <w:sz w:val="24"/>
          <w:szCs w:val="24"/>
          <w:highlight w:val="none"/>
          <w:lang w:eastAsia="zh-CN"/>
        </w:rPr>
        <w:t>西北</w:t>
      </w:r>
      <w:r>
        <w:rPr>
          <w:rFonts w:hint="eastAsia"/>
          <w:color w:val="auto"/>
          <w:sz w:val="24"/>
          <w:szCs w:val="24"/>
          <w:highlight w:val="none"/>
        </w:rPr>
        <w:t>。</w:t>
      </w:r>
    </w:p>
    <w:p w14:paraId="5B1E6F0F">
      <w:pPr>
        <w:pStyle w:val="5"/>
        <w:bidi w:val="0"/>
        <w:ind w:firstLine="472" w:firstLineChars="200"/>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（3）绥化市庆安县同乐镇饮用水水源地（取水井3眼）</w:t>
      </w:r>
    </w:p>
    <w:p w14:paraId="01A9CFE9">
      <w:pPr>
        <w:numPr>
          <w:ilvl w:val="0"/>
          <w:numId w:val="0"/>
        </w:numPr>
        <w:ind w:firstLine="472" w:firstLineChars="200"/>
        <w:rPr>
          <w:rFonts w:hint="eastAsia"/>
          <w:color w:val="auto"/>
          <w:sz w:val="24"/>
          <w:szCs w:val="24"/>
          <w:highlight w:val="none"/>
        </w:rPr>
      </w:pPr>
      <w:r>
        <w:rPr>
          <w:rFonts w:hint="eastAsia"/>
          <w:color w:val="auto"/>
          <w:sz w:val="24"/>
          <w:szCs w:val="24"/>
          <w:highlight w:val="none"/>
          <w:lang w:val="en-US" w:eastAsia="zh-CN"/>
        </w:rPr>
        <w:t>1#：</w:t>
      </w:r>
      <w:r>
        <w:rPr>
          <w:rFonts w:hint="eastAsia" w:ascii="Times New Roman" w:hAnsi="Times New Roman" w:cs="Times New Roman"/>
          <w:color w:val="auto"/>
          <w:highlight w:val="none"/>
          <w:lang w:val="en-US" w:eastAsia="zh-CN"/>
        </w:rPr>
        <w:t>取水目的层为</w:t>
      </w:r>
      <w:r>
        <w:rPr>
          <w:rFonts w:hint="eastAsia" w:ascii="Times New Roman" w:hAnsi="Times New Roman" w:cs="Times New Roman"/>
          <w:color w:val="auto"/>
          <w:highlight w:val="none"/>
          <w:lang w:eastAsia="zh-CN"/>
        </w:rPr>
        <w:t>孔隙—裂隙承压水层</w:t>
      </w:r>
      <w:r>
        <w:rPr>
          <w:rFonts w:hint="eastAsia" w:cs="Times New Roman"/>
          <w:color w:val="auto"/>
          <w:highlight w:val="none"/>
          <w:lang w:eastAsia="zh-CN"/>
        </w:rPr>
        <w:t>，</w:t>
      </w:r>
      <w:r>
        <w:rPr>
          <w:rFonts w:hint="eastAsia"/>
          <w:color w:val="auto"/>
          <w:sz w:val="24"/>
          <w:szCs w:val="24"/>
          <w:highlight w:val="none"/>
        </w:rPr>
        <w:t>取水井井深</w:t>
      </w:r>
      <w:r>
        <w:rPr>
          <w:rFonts w:hint="eastAsia"/>
          <w:color w:val="auto"/>
          <w:sz w:val="24"/>
          <w:szCs w:val="24"/>
          <w:highlight w:val="none"/>
          <w:lang w:val="en-US" w:eastAsia="zh-CN"/>
        </w:rPr>
        <w:t>90</w:t>
      </w:r>
      <w:r>
        <w:rPr>
          <w:color w:val="auto"/>
          <w:sz w:val="24"/>
          <w:szCs w:val="24"/>
          <w:highlight w:val="none"/>
        </w:rPr>
        <w:t>米</w:t>
      </w:r>
      <w:r>
        <w:rPr>
          <w:rFonts w:hint="eastAsia"/>
          <w:color w:val="auto"/>
          <w:sz w:val="24"/>
          <w:szCs w:val="24"/>
          <w:highlight w:val="none"/>
          <w:lang w:eastAsia="zh-CN"/>
        </w:rPr>
        <w:t>，</w:t>
      </w:r>
      <w:r>
        <w:rPr>
          <w:rFonts w:hint="eastAsia"/>
          <w:color w:val="auto"/>
          <w:sz w:val="24"/>
          <w:szCs w:val="24"/>
          <w:highlight w:val="none"/>
        </w:rPr>
        <w:t>取水目的层上部为</w:t>
      </w:r>
      <w:r>
        <w:rPr>
          <w:rFonts w:hint="eastAsia"/>
          <w:color w:val="auto"/>
          <w:sz w:val="24"/>
          <w:szCs w:val="24"/>
          <w:highlight w:val="none"/>
          <w:lang w:val="en-US" w:eastAsia="zh-CN"/>
        </w:rPr>
        <w:t>1米腐殖土、8</w:t>
      </w:r>
      <w:r>
        <w:rPr>
          <w:rFonts w:hint="eastAsia"/>
          <w:color w:val="auto"/>
          <w:sz w:val="24"/>
          <w:szCs w:val="24"/>
          <w:highlight w:val="none"/>
        </w:rPr>
        <w:t>米黄土、</w:t>
      </w:r>
      <w:r>
        <w:rPr>
          <w:rFonts w:hint="eastAsia"/>
          <w:color w:val="auto"/>
          <w:sz w:val="24"/>
          <w:szCs w:val="24"/>
          <w:highlight w:val="none"/>
          <w:lang w:val="en-US" w:eastAsia="zh-CN"/>
        </w:rPr>
        <w:t>25</w:t>
      </w:r>
      <w:r>
        <w:rPr>
          <w:rFonts w:hint="eastAsia"/>
          <w:color w:val="auto"/>
          <w:sz w:val="24"/>
          <w:szCs w:val="24"/>
          <w:highlight w:val="none"/>
        </w:rPr>
        <w:t>米</w:t>
      </w:r>
      <w:r>
        <w:rPr>
          <w:rFonts w:hint="eastAsia"/>
          <w:color w:val="auto"/>
          <w:sz w:val="24"/>
          <w:szCs w:val="24"/>
          <w:highlight w:val="none"/>
          <w:lang w:eastAsia="zh-CN"/>
        </w:rPr>
        <w:t>粉质粘土、</w:t>
      </w:r>
      <w:r>
        <w:rPr>
          <w:rFonts w:hint="eastAsia"/>
          <w:color w:val="auto"/>
          <w:sz w:val="24"/>
          <w:szCs w:val="24"/>
          <w:highlight w:val="none"/>
          <w:lang w:val="en-US" w:eastAsia="zh-CN"/>
        </w:rPr>
        <w:t>2米砂岩</w:t>
      </w:r>
      <w:r>
        <w:rPr>
          <w:rFonts w:hint="eastAsia"/>
          <w:color w:val="auto"/>
          <w:sz w:val="24"/>
          <w:szCs w:val="24"/>
          <w:highlight w:val="none"/>
        </w:rPr>
        <w:t>，构成稳定隔水顶板，</w:t>
      </w:r>
      <w:r>
        <w:rPr>
          <w:rFonts w:hint="eastAsia"/>
          <w:color w:val="auto"/>
          <w:sz w:val="24"/>
          <w:szCs w:val="24"/>
          <w:highlight w:val="none"/>
          <w:lang w:eastAsia="zh-CN"/>
        </w:rPr>
        <w:t>取水层</w:t>
      </w:r>
      <w:r>
        <w:rPr>
          <w:rFonts w:hint="eastAsia"/>
          <w:color w:val="auto"/>
          <w:sz w:val="24"/>
          <w:szCs w:val="24"/>
          <w:highlight w:val="none"/>
        </w:rPr>
        <w:t>下部</w:t>
      </w:r>
      <w:r>
        <w:rPr>
          <w:rFonts w:hint="eastAsia"/>
          <w:color w:val="auto"/>
          <w:sz w:val="24"/>
          <w:szCs w:val="24"/>
          <w:highlight w:val="none"/>
          <w:lang w:eastAsia="zh-CN"/>
        </w:rPr>
        <w:t>为</w:t>
      </w:r>
      <w:r>
        <w:rPr>
          <w:rFonts w:hint="eastAsia"/>
          <w:color w:val="auto"/>
          <w:sz w:val="24"/>
          <w:szCs w:val="24"/>
          <w:highlight w:val="none"/>
          <w:lang w:val="en-US" w:eastAsia="zh-CN"/>
        </w:rPr>
        <w:t>39米</w:t>
      </w:r>
      <w:r>
        <w:rPr>
          <w:rFonts w:hint="eastAsia"/>
          <w:color w:val="auto"/>
          <w:sz w:val="24"/>
          <w:szCs w:val="24"/>
          <w:highlight w:val="none"/>
          <w:lang w:eastAsia="zh-CN"/>
        </w:rPr>
        <w:t>砂岩、</w:t>
      </w:r>
      <w:r>
        <w:rPr>
          <w:rFonts w:hint="eastAsia"/>
          <w:color w:val="auto"/>
          <w:sz w:val="24"/>
          <w:szCs w:val="24"/>
          <w:highlight w:val="none"/>
          <w:lang w:val="en-US" w:eastAsia="zh-CN"/>
        </w:rPr>
        <w:t>15米</w:t>
      </w:r>
      <w:r>
        <w:rPr>
          <w:rFonts w:hint="eastAsia"/>
          <w:color w:val="auto"/>
          <w:sz w:val="24"/>
          <w:szCs w:val="24"/>
          <w:highlight w:val="none"/>
          <w:lang w:eastAsia="zh-CN"/>
        </w:rPr>
        <w:t>泥岩</w:t>
      </w:r>
      <w:r>
        <w:rPr>
          <w:rFonts w:hint="eastAsia"/>
          <w:color w:val="auto"/>
          <w:sz w:val="24"/>
          <w:szCs w:val="24"/>
          <w:highlight w:val="none"/>
        </w:rPr>
        <w:t>，含水层厚度</w:t>
      </w:r>
      <w:r>
        <w:rPr>
          <w:rFonts w:hint="eastAsia"/>
          <w:color w:val="auto"/>
          <w:sz w:val="24"/>
          <w:szCs w:val="24"/>
          <w:highlight w:val="none"/>
          <w:lang w:val="en-US" w:eastAsia="zh-CN"/>
        </w:rPr>
        <w:t>49</w:t>
      </w:r>
      <w:r>
        <w:rPr>
          <w:color w:val="auto"/>
          <w:sz w:val="24"/>
          <w:szCs w:val="24"/>
          <w:highlight w:val="none"/>
        </w:rPr>
        <w:t>米</w:t>
      </w:r>
      <w:r>
        <w:rPr>
          <w:rFonts w:hint="eastAsia"/>
          <w:color w:val="auto"/>
          <w:sz w:val="24"/>
          <w:szCs w:val="24"/>
          <w:highlight w:val="none"/>
        </w:rPr>
        <w:t>，取水层埋深</w:t>
      </w:r>
      <w:r>
        <w:rPr>
          <w:rFonts w:hint="eastAsia"/>
          <w:color w:val="auto"/>
          <w:sz w:val="24"/>
          <w:szCs w:val="24"/>
          <w:highlight w:val="none"/>
          <w:lang w:val="en-US" w:eastAsia="zh-CN"/>
        </w:rPr>
        <w:t>36</w:t>
      </w:r>
      <w:r>
        <w:rPr>
          <w:rFonts w:hint="eastAsia"/>
          <w:color w:val="auto"/>
          <w:sz w:val="24"/>
          <w:szCs w:val="24"/>
          <w:highlight w:val="none"/>
        </w:rPr>
        <w:t>米。</w:t>
      </w:r>
      <w:r>
        <w:rPr>
          <w:color w:val="auto"/>
          <w:sz w:val="24"/>
          <w:szCs w:val="24"/>
          <w:highlight w:val="none"/>
        </w:rPr>
        <w:t>矿化度小于1克/升</w:t>
      </w:r>
      <w:r>
        <w:rPr>
          <w:rFonts w:hint="eastAsia"/>
          <w:color w:val="auto"/>
          <w:sz w:val="24"/>
          <w:szCs w:val="24"/>
          <w:highlight w:val="none"/>
          <w:lang w:eastAsia="zh-CN"/>
        </w:rPr>
        <w:t>，根据</w:t>
      </w:r>
      <w:r>
        <w:rPr>
          <w:rFonts w:hint="eastAsia" w:ascii="Times New Roman" w:hAnsi="Times New Roman"/>
          <w:color w:val="auto"/>
          <w:sz w:val="24"/>
          <w:szCs w:val="24"/>
          <w:highlight w:val="none"/>
          <w:lang w:val="zh-CN"/>
        </w:rPr>
        <w:t>区域水文地质图，</w:t>
      </w:r>
      <w:r>
        <w:rPr>
          <w:rFonts w:hint="eastAsia"/>
          <w:color w:val="auto"/>
          <w:sz w:val="24"/>
          <w:szCs w:val="24"/>
          <w:highlight w:val="none"/>
        </w:rPr>
        <w:t>地下水流向为自</w:t>
      </w:r>
      <w:r>
        <w:rPr>
          <w:rFonts w:hint="eastAsia"/>
          <w:color w:val="auto"/>
          <w:sz w:val="24"/>
          <w:szCs w:val="24"/>
          <w:highlight w:val="none"/>
          <w:lang w:eastAsia="zh-CN"/>
        </w:rPr>
        <w:t>东北</w:t>
      </w:r>
      <w:r>
        <w:rPr>
          <w:rFonts w:hint="eastAsia"/>
          <w:color w:val="auto"/>
          <w:sz w:val="24"/>
          <w:szCs w:val="24"/>
          <w:highlight w:val="none"/>
        </w:rPr>
        <w:t>向</w:t>
      </w:r>
      <w:r>
        <w:rPr>
          <w:rFonts w:hint="eastAsia"/>
          <w:color w:val="auto"/>
          <w:sz w:val="24"/>
          <w:szCs w:val="24"/>
          <w:highlight w:val="none"/>
          <w:lang w:eastAsia="zh-CN"/>
        </w:rPr>
        <w:t>西</w:t>
      </w:r>
      <w:r>
        <w:rPr>
          <w:rFonts w:hint="eastAsia"/>
          <w:color w:val="auto"/>
          <w:sz w:val="24"/>
          <w:szCs w:val="24"/>
          <w:highlight w:val="none"/>
        </w:rPr>
        <w:t>南。</w:t>
      </w:r>
    </w:p>
    <w:p w14:paraId="7241B931">
      <w:pPr>
        <w:numPr>
          <w:ilvl w:val="0"/>
          <w:numId w:val="0"/>
        </w:numPr>
        <w:ind w:firstLine="472" w:firstLineChars="200"/>
        <w:rPr>
          <w:rFonts w:hint="eastAsia"/>
          <w:color w:val="auto"/>
          <w:sz w:val="24"/>
          <w:szCs w:val="24"/>
          <w:highlight w:val="none"/>
        </w:rPr>
      </w:pPr>
      <w:r>
        <w:rPr>
          <w:rFonts w:hint="eastAsia"/>
          <w:color w:val="auto"/>
          <w:sz w:val="24"/>
          <w:szCs w:val="24"/>
          <w:highlight w:val="none"/>
          <w:lang w:val="en-US" w:eastAsia="zh-CN"/>
        </w:rPr>
        <w:t>2#：</w:t>
      </w:r>
      <w:r>
        <w:rPr>
          <w:rFonts w:hint="eastAsia" w:ascii="Times New Roman" w:hAnsi="Times New Roman" w:cs="Times New Roman"/>
          <w:color w:val="auto"/>
          <w:highlight w:val="none"/>
          <w:lang w:val="en-US" w:eastAsia="zh-CN"/>
        </w:rPr>
        <w:t>取水目的层为</w:t>
      </w:r>
      <w:r>
        <w:rPr>
          <w:rFonts w:hint="eastAsia" w:ascii="Times New Roman" w:hAnsi="Times New Roman" w:cs="Times New Roman"/>
          <w:color w:val="auto"/>
          <w:highlight w:val="none"/>
          <w:lang w:eastAsia="zh-CN"/>
        </w:rPr>
        <w:t>孔隙—裂隙承压水层</w:t>
      </w:r>
      <w:r>
        <w:rPr>
          <w:rFonts w:hint="eastAsia" w:cs="Times New Roman"/>
          <w:color w:val="auto"/>
          <w:highlight w:val="none"/>
          <w:lang w:eastAsia="zh-CN"/>
        </w:rPr>
        <w:t>，</w:t>
      </w:r>
      <w:r>
        <w:rPr>
          <w:rFonts w:hint="eastAsia"/>
          <w:color w:val="auto"/>
          <w:sz w:val="24"/>
          <w:szCs w:val="24"/>
          <w:highlight w:val="none"/>
        </w:rPr>
        <w:t>取水井井深</w:t>
      </w:r>
      <w:r>
        <w:rPr>
          <w:rFonts w:hint="eastAsia"/>
          <w:color w:val="auto"/>
          <w:sz w:val="24"/>
          <w:szCs w:val="24"/>
          <w:highlight w:val="none"/>
          <w:lang w:val="en-US" w:eastAsia="zh-CN"/>
        </w:rPr>
        <w:t>90</w:t>
      </w:r>
      <w:r>
        <w:rPr>
          <w:color w:val="auto"/>
          <w:sz w:val="24"/>
          <w:szCs w:val="24"/>
          <w:highlight w:val="none"/>
        </w:rPr>
        <w:t>米</w:t>
      </w:r>
      <w:r>
        <w:rPr>
          <w:rFonts w:hint="eastAsia"/>
          <w:color w:val="auto"/>
          <w:sz w:val="24"/>
          <w:szCs w:val="24"/>
          <w:highlight w:val="none"/>
          <w:lang w:eastAsia="zh-CN"/>
        </w:rPr>
        <w:t>，</w:t>
      </w:r>
      <w:r>
        <w:rPr>
          <w:rFonts w:hint="eastAsia"/>
          <w:color w:val="auto"/>
          <w:sz w:val="24"/>
          <w:szCs w:val="24"/>
          <w:highlight w:val="none"/>
        </w:rPr>
        <w:t>取水目的层上部为</w:t>
      </w:r>
      <w:r>
        <w:rPr>
          <w:rFonts w:hint="eastAsia"/>
          <w:color w:val="auto"/>
          <w:sz w:val="24"/>
          <w:szCs w:val="24"/>
          <w:highlight w:val="none"/>
          <w:lang w:val="en-US" w:eastAsia="zh-CN"/>
        </w:rPr>
        <w:t>1米腐殖土、5</w:t>
      </w:r>
      <w:r>
        <w:rPr>
          <w:rFonts w:hint="eastAsia"/>
          <w:color w:val="auto"/>
          <w:sz w:val="24"/>
          <w:szCs w:val="24"/>
          <w:highlight w:val="none"/>
        </w:rPr>
        <w:t>米黄土、</w:t>
      </w:r>
      <w:r>
        <w:rPr>
          <w:rFonts w:hint="eastAsia"/>
          <w:color w:val="auto"/>
          <w:sz w:val="24"/>
          <w:szCs w:val="24"/>
          <w:highlight w:val="none"/>
          <w:lang w:val="en-US" w:eastAsia="zh-CN"/>
        </w:rPr>
        <w:t>27</w:t>
      </w:r>
      <w:r>
        <w:rPr>
          <w:rFonts w:hint="eastAsia"/>
          <w:color w:val="auto"/>
          <w:sz w:val="24"/>
          <w:szCs w:val="24"/>
          <w:highlight w:val="none"/>
        </w:rPr>
        <w:t>米</w:t>
      </w:r>
      <w:r>
        <w:rPr>
          <w:rFonts w:hint="eastAsia"/>
          <w:color w:val="auto"/>
          <w:sz w:val="24"/>
          <w:szCs w:val="24"/>
          <w:highlight w:val="none"/>
          <w:lang w:eastAsia="zh-CN"/>
        </w:rPr>
        <w:t>粉质粘土、</w:t>
      </w:r>
      <w:r>
        <w:rPr>
          <w:rFonts w:hint="eastAsia"/>
          <w:color w:val="auto"/>
          <w:sz w:val="24"/>
          <w:szCs w:val="24"/>
          <w:highlight w:val="none"/>
          <w:lang w:val="en-US" w:eastAsia="zh-CN"/>
        </w:rPr>
        <w:t>3米砂岩</w:t>
      </w:r>
      <w:r>
        <w:rPr>
          <w:rFonts w:hint="eastAsia"/>
          <w:color w:val="auto"/>
          <w:sz w:val="24"/>
          <w:szCs w:val="24"/>
          <w:highlight w:val="none"/>
        </w:rPr>
        <w:t>，构成稳定隔水顶板，</w:t>
      </w:r>
      <w:r>
        <w:rPr>
          <w:rFonts w:hint="eastAsia"/>
          <w:color w:val="auto"/>
          <w:sz w:val="24"/>
          <w:szCs w:val="24"/>
          <w:highlight w:val="none"/>
          <w:lang w:eastAsia="zh-CN"/>
        </w:rPr>
        <w:t>取水层</w:t>
      </w:r>
      <w:r>
        <w:rPr>
          <w:rFonts w:hint="eastAsia"/>
          <w:color w:val="auto"/>
          <w:sz w:val="24"/>
          <w:szCs w:val="24"/>
          <w:highlight w:val="none"/>
        </w:rPr>
        <w:t>下部</w:t>
      </w:r>
      <w:r>
        <w:rPr>
          <w:rFonts w:hint="eastAsia"/>
          <w:color w:val="auto"/>
          <w:sz w:val="24"/>
          <w:szCs w:val="24"/>
          <w:highlight w:val="none"/>
          <w:lang w:eastAsia="zh-CN"/>
        </w:rPr>
        <w:t>为</w:t>
      </w:r>
      <w:r>
        <w:rPr>
          <w:rFonts w:hint="eastAsia"/>
          <w:color w:val="auto"/>
          <w:sz w:val="24"/>
          <w:szCs w:val="24"/>
          <w:highlight w:val="none"/>
          <w:lang w:val="en-US" w:eastAsia="zh-CN"/>
        </w:rPr>
        <w:t>39米</w:t>
      </w:r>
      <w:r>
        <w:rPr>
          <w:rFonts w:hint="eastAsia"/>
          <w:color w:val="auto"/>
          <w:sz w:val="24"/>
          <w:szCs w:val="24"/>
          <w:highlight w:val="none"/>
          <w:lang w:eastAsia="zh-CN"/>
        </w:rPr>
        <w:t>砂岩、</w:t>
      </w:r>
      <w:r>
        <w:rPr>
          <w:rFonts w:hint="eastAsia"/>
          <w:color w:val="auto"/>
          <w:sz w:val="24"/>
          <w:szCs w:val="24"/>
          <w:highlight w:val="none"/>
          <w:lang w:val="en-US" w:eastAsia="zh-CN"/>
        </w:rPr>
        <w:t>15米</w:t>
      </w:r>
      <w:r>
        <w:rPr>
          <w:rFonts w:hint="eastAsia"/>
          <w:color w:val="auto"/>
          <w:sz w:val="24"/>
          <w:szCs w:val="24"/>
          <w:highlight w:val="none"/>
          <w:lang w:eastAsia="zh-CN"/>
        </w:rPr>
        <w:t>泥岩</w:t>
      </w:r>
      <w:r>
        <w:rPr>
          <w:rFonts w:hint="eastAsia"/>
          <w:color w:val="auto"/>
          <w:sz w:val="24"/>
          <w:szCs w:val="24"/>
          <w:highlight w:val="none"/>
        </w:rPr>
        <w:t>，含水层厚度</w:t>
      </w:r>
      <w:r>
        <w:rPr>
          <w:rFonts w:hint="eastAsia"/>
          <w:color w:val="auto"/>
          <w:sz w:val="24"/>
          <w:szCs w:val="24"/>
          <w:highlight w:val="none"/>
          <w:lang w:val="en-US" w:eastAsia="zh-CN"/>
        </w:rPr>
        <w:t>49</w:t>
      </w:r>
      <w:r>
        <w:rPr>
          <w:color w:val="auto"/>
          <w:sz w:val="24"/>
          <w:szCs w:val="24"/>
          <w:highlight w:val="none"/>
        </w:rPr>
        <w:t>米</w:t>
      </w:r>
      <w:r>
        <w:rPr>
          <w:rFonts w:hint="eastAsia"/>
          <w:color w:val="auto"/>
          <w:sz w:val="24"/>
          <w:szCs w:val="24"/>
          <w:highlight w:val="none"/>
        </w:rPr>
        <w:t>，取水层埋深</w:t>
      </w:r>
      <w:r>
        <w:rPr>
          <w:rFonts w:hint="eastAsia"/>
          <w:color w:val="auto"/>
          <w:sz w:val="24"/>
          <w:szCs w:val="24"/>
          <w:highlight w:val="none"/>
          <w:lang w:val="en-US" w:eastAsia="zh-CN"/>
        </w:rPr>
        <w:t>36</w:t>
      </w:r>
      <w:r>
        <w:rPr>
          <w:rFonts w:hint="eastAsia"/>
          <w:color w:val="auto"/>
          <w:sz w:val="24"/>
          <w:szCs w:val="24"/>
          <w:highlight w:val="none"/>
        </w:rPr>
        <w:t>米。</w:t>
      </w:r>
      <w:r>
        <w:rPr>
          <w:color w:val="auto"/>
          <w:sz w:val="24"/>
          <w:szCs w:val="24"/>
          <w:highlight w:val="none"/>
        </w:rPr>
        <w:t>矿化度小于1克/升</w:t>
      </w:r>
      <w:r>
        <w:rPr>
          <w:rFonts w:hint="eastAsia"/>
          <w:color w:val="auto"/>
          <w:sz w:val="24"/>
          <w:szCs w:val="24"/>
          <w:highlight w:val="none"/>
          <w:lang w:eastAsia="zh-CN"/>
        </w:rPr>
        <w:t>，根据</w:t>
      </w:r>
      <w:r>
        <w:rPr>
          <w:rFonts w:hint="eastAsia" w:ascii="Times New Roman" w:hAnsi="Times New Roman"/>
          <w:color w:val="auto"/>
          <w:sz w:val="24"/>
          <w:szCs w:val="24"/>
          <w:highlight w:val="none"/>
          <w:lang w:val="zh-CN"/>
        </w:rPr>
        <w:t>区域水文地质图，</w:t>
      </w:r>
      <w:r>
        <w:rPr>
          <w:rFonts w:hint="eastAsia"/>
          <w:color w:val="auto"/>
          <w:sz w:val="24"/>
          <w:szCs w:val="24"/>
          <w:highlight w:val="none"/>
        </w:rPr>
        <w:t>地下水流向为自</w:t>
      </w:r>
      <w:r>
        <w:rPr>
          <w:rFonts w:hint="eastAsia"/>
          <w:color w:val="auto"/>
          <w:sz w:val="24"/>
          <w:szCs w:val="24"/>
          <w:highlight w:val="none"/>
          <w:lang w:eastAsia="zh-CN"/>
        </w:rPr>
        <w:t>东北</w:t>
      </w:r>
      <w:r>
        <w:rPr>
          <w:rFonts w:hint="eastAsia"/>
          <w:color w:val="auto"/>
          <w:sz w:val="24"/>
          <w:szCs w:val="24"/>
          <w:highlight w:val="none"/>
        </w:rPr>
        <w:t>向</w:t>
      </w:r>
      <w:r>
        <w:rPr>
          <w:rFonts w:hint="eastAsia"/>
          <w:color w:val="auto"/>
          <w:sz w:val="24"/>
          <w:szCs w:val="24"/>
          <w:highlight w:val="none"/>
          <w:lang w:eastAsia="zh-CN"/>
        </w:rPr>
        <w:t>西</w:t>
      </w:r>
      <w:r>
        <w:rPr>
          <w:rFonts w:hint="eastAsia"/>
          <w:color w:val="auto"/>
          <w:sz w:val="24"/>
          <w:szCs w:val="24"/>
          <w:highlight w:val="none"/>
        </w:rPr>
        <w:t>南。</w:t>
      </w:r>
    </w:p>
    <w:p w14:paraId="5FC6277D">
      <w:pPr>
        <w:numPr>
          <w:ilvl w:val="0"/>
          <w:numId w:val="0"/>
        </w:numPr>
        <w:ind w:firstLine="472" w:firstLineChars="200"/>
        <w:rPr>
          <w:rFonts w:hint="eastAsia"/>
          <w:color w:val="auto"/>
          <w:sz w:val="24"/>
          <w:szCs w:val="24"/>
          <w:highlight w:val="none"/>
        </w:rPr>
      </w:pPr>
      <w:r>
        <w:rPr>
          <w:rFonts w:hint="eastAsia"/>
          <w:color w:val="auto"/>
          <w:sz w:val="24"/>
          <w:szCs w:val="24"/>
          <w:highlight w:val="none"/>
          <w:lang w:val="en-US" w:eastAsia="zh-CN"/>
        </w:rPr>
        <w:t>3#：</w:t>
      </w:r>
      <w:r>
        <w:rPr>
          <w:rFonts w:hint="eastAsia" w:ascii="Times New Roman" w:hAnsi="Times New Roman" w:cs="Times New Roman"/>
          <w:color w:val="auto"/>
          <w:highlight w:val="none"/>
          <w:lang w:val="en-US" w:eastAsia="zh-CN"/>
        </w:rPr>
        <w:t>取水目的层为</w:t>
      </w:r>
      <w:r>
        <w:rPr>
          <w:rFonts w:hint="eastAsia" w:ascii="Times New Roman" w:hAnsi="Times New Roman" w:cs="Times New Roman"/>
          <w:color w:val="auto"/>
          <w:highlight w:val="none"/>
          <w:lang w:eastAsia="zh-CN"/>
        </w:rPr>
        <w:t>孔隙—裂隙承压水层</w:t>
      </w:r>
      <w:r>
        <w:rPr>
          <w:rFonts w:hint="eastAsia" w:cs="Times New Roman"/>
          <w:color w:val="auto"/>
          <w:highlight w:val="none"/>
          <w:lang w:eastAsia="zh-CN"/>
        </w:rPr>
        <w:t>，</w:t>
      </w:r>
      <w:r>
        <w:rPr>
          <w:rFonts w:hint="eastAsia"/>
          <w:color w:val="auto"/>
          <w:sz w:val="24"/>
          <w:szCs w:val="24"/>
          <w:highlight w:val="none"/>
        </w:rPr>
        <w:t>取水井井深</w:t>
      </w:r>
      <w:r>
        <w:rPr>
          <w:rFonts w:hint="eastAsia"/>
          <w:color w:val="auto"/>
          <w:sz w:val="24"/>
          <w:szCs w:val="24"/>
          <w:highlight w:val="none"/>
          <w:lang w:val="en-US" w:eastAsia="zh-CN"/>
        </w:rPr>
        <w:t>90</w:t>
      </w:r>
      <w:r>
        <w:rPr>
          <w:color w:val="auto"/>
          <w:sz w:val="24"/>
          <w:szCs w:val="24"/>
          <w:highlight w:val="none"/>
        </w:rPr>
        <w:t>米</w:t>
      </w:r>
      <w:r>
        <w:rPr>
          <w:rFonts w:hint="eastAsia"/>
          <w:color w:val="auto"/>
          <w:sz w:val="24"/>
          <w:szCs w:val="24"/>
          <w:highlight w:val="none"/>
          <w:lang w:eastAsia="zh-CN"/>
        </w:rPr>
        <w:t>，</w:t>
      </w:r>
      <w:r>
        <w:rPr>
          <w:rFonts w:hint="eastAsia"/>
          <w:color w:val="auto"/>
          <w:sz w:val="24"/>
          <w:szCs w:val="24"/>
          <w:highlight w:val="none"/>
        </w:rPr>
        <w:t>取水目的层上部为</w:t>
      </w:r>
      <w:r>
        <w:rPr>
          <w:rFonts w:hint="eastAsia"/>
          <w:color w:val="auto"/>
          <w:sz w:val="24"/>
          <w:szCs w:val="24"/>
          <w:highlight w:val="none"/>
          <w:lang w:val="en-US" w:eastAsia="zh-CN"/>
        </w:rPr>
        <w:t>1米腐殖土、5</w:t>
      </w:r>
      <w:r>
        <w:rPr>
          <w:rFonts w:hint="eastAsia"/>
          <w:color w:val="auto"/>
          <w:sz w:val="24"/>
          <w:szCs w:val="24"/>
          <w:highlight w:val="none"/>
        </w:rPr>
        <w:t>米黄土、</w:t>
      </w:r>
      <w:r>
        <w:rPr>
          <w:rFonts w:hint="eastAsia"/>
          <w:color w:val="auto"/>
          <w:sz w:val="24"/>
          <w:szCs w:val="24"/>
          <w:highlight w:val="none"/>
          <w:lang w:val="en-US" w:eastAsia="zh-CN"/>
        </w:rPr>
        <w:t>29</w:t>
      </w:r>
      <w:r>
        <w:rPr>
          <w:rFonts w:hint="eastAsia"/>
          <w:color w:val="auto"/>
          <w:sz w:val="24"/>
          <w:szCs w:val="24"/>
          <w:highlight w:val="none"/>
        </w:rPr>
        <w:t>米</w:t>
      </w:r>
      <w:r>
        <w:rPr>
          <w:rFonts w:hint="eastAsia"/>
          <w:color w:val="auto"/>
          <w:sz w:val="24"/>
          <w:szCs w:val="24"/>
          <w:highlight w:val="none"/>
          <w:lang w:eastAsia="zh-CN"/>
        </w:rPr>
        <w:t>粉质粘土、</w:t>
      </w:r>
      <w:r>
        <w:rPr>
          <w:rFonts w:hint="eastAsia"/>
          <w:color w:val="auto"/>
          <w:sz w:val="24"/>
          <w:szCs w:val="24"/>
          <w:highlight w:val="none"/>
          <w:lang w:val="en-US" w:eastAsia="zh-CN"/>
        </w:rPr>
        <w:t>1米砂岩</w:t>
      </w:r>
      <w:r>
        <w:rPr>
          <w:rFonts w:hint="eastAsia"/>
          <w:color w:val="auto"/>
          <w:sz w:val="24"/>
          <w:szCs w:val="24"/>
          <w:highlight w:val="none"/>
        </w:rPr>
        <w:t>，构成稳定隔水顶板，</w:t>
      </w:r>
      <w:r>
        <w:rPr>
          <w:rFonts w:hint="eastAsia"/>
          <w:color w:val="auto"/>
          <w:sz w:val="24"/>
          <w:szCs w:val="24"/>
          <w:highlight w:val="none"/>
          <w:lang w:eastAsia="zh-CN"/>
        </w:rPr>
        <w:t>取水层</w:t>
      </w:r>
      <w:r>
        <w:rPr>
          <w:rFonts w:hint="eastAsia"/>
          <w:color w:val="auto"/>
          <w:sz w:val="24"/>
          <w:szCs w:val="24"/>
          <w:highlight w:val="none"/>
        </w:rPr>
        <w:t>下部</w:t>
      </w:r>
      <w:r>
        <w:rPr>
          <w:rFonts w:hint="eastAsia"/>
          <w:color w:val="auto"/>
          <w:sz w:val="24"/>
          <w:szCs w:val="24"/>
          <w:highlight w:val="none"/>
          <w:lang w:eastAsia="zh-CN"/>
        </w:rPr>
        <w:t>为</w:t>
      </w:r>
      <w:r>
        <w:rPr>
          <w:rFonts w:hint="eastAsia"/>
          <w:color w:val="auto"/>
          <w:sz w:val="24"/>
          <w:szCs w:val="24"/>
          <w:highlight w:val="none"/>
          <w:lang w:val="en-US" w:eastAsia="zh-CN"/>
        </w:rPr>
        <w:t>39米</w:t>
      </w:r>
      <w:r>
        <w:rPr>
          <w:rFonts w:hint="eastAsia"/>
          <w:color w:val="auto"/>
          <w:sz w:val="24"/>
          <w:szCs w:val="24"/>
          <w:highlight w:val="none"/>
          <w:lang w:eastAsia="zh-CN"/>
        </w:rPr>
        <w:t>砂岩、</w:t>
      </w:r>
      <w:r>
        <w:rPr>
          <w:rFonts w:hint="eastAsia"/>
          <w:color w:val="auto"/>
          <w:sz w:val="24"/>
          <w:szCs w:val="24"/>
          <w:highlight w:val="none"/>
          <w:lang w:val="en-US" w:eastAsia="zh-CN"/>
        </w:rPr>
        <w:t>15米</w:t>
      </w:r>
      <w:r>
        <w:rPr>
          <w:rFonts w:hint="eastAsia"/>
          <w:color w:val="auto"/>
          <w:sz w:val="24"/>
          <w:szCs w:val="24"/>
          <w:highlight w:val="none"/>
          <w:lang w:eastAsia="zh-CN"/>
        </w:rPr>
        <w:t>泥岩</w:t>
      </w:r>
      <w:r>
        <w:rPr>
          <w:rFonts w:hint="eastAsia"/>
          <w:color w:val="auto"/>
          <w:sz w:val="24"/>
          <w:szCs w:val="24"/>
          <w:highlight w:val="none"/>
        </w:rPr>
        <w:t>，含水层厚度</w:t>
      </w:r>
      <w:r>
        <w:rPr>
          <w:rFonts w:hint="eastAsia"/>
          <w:color w:val="auto"/>
          <w:sz w:val="24"/>
          <w:szCs w:val="24"/>
          <w:highlight w:val="none"/>
          <w:lang w:val="en-US" w:eastAsia="zh-CN"/>
        </w:rPr>
        <w:t>49</w:t>
      </w:r>
      <w:r>
        <w:rPr>
          <w:color w:val="auto"/>
          <w:sz w:val="24"/>
          <w:szCs w:val="24"/>
          <w:highlight w:val="none"/>
        </w:rPr>
        <w:t>米</w:t>
      </w:r>
      <w:r>
        <w:rPr>
          <w:rFonts w:hint="eastAsia"/>
          <w:color w:val="auto"/>
          <w:sz w:val="24"/>
          <w:szCs w:val="24"/>
          <w:highlight w:val="none"/>
        </w:rPr>
        <w:t>，取水层埋深</w:t>
      </w:r>
      <w:r>
        <w:rPr>
          <w:rFonts w:hint="eastAsia"/>
          <w:color w:val="auto"/>
          <w:sz w:val="24"/>
          <w:szCs w:val="24"/>
          <w:highlight w:val="none"/>
          <w:lang w:val="en-US" w:eastAsia="zh-CN"/>
        </w:rPr>
        <w:t>36</w:t>
      </w:r>
      <w:r>
        <w:rPr>
          <w:rFonts w:hint="eastAsia"/>
          <w:color w:val="auto"/>
          <w:sz w:val="24"/>
          <w:szCs w:val="24"/>
          <w:highlight w:val="none"/>
        </w:rPr>
        <w:t>米。</w:t>
      </w:r>
      <w:r>
        <w:rPr>
          <w:color w:val="auto"/>
          <w:sz w:val="24"/>
          <w:szCs w:val="24"/>
          <w:highlight w:val="none"/>
        </w:rPr>
        <w:t>矿化度小于1克/升</w:t>
      </w:r>
      <w:r>
        <w:rPr>
          <w:rFonts w:hint="eastAsia"/>
          <w:color w:val="auto"/>
          <w:sz w:val="24"/>
          <w:szCs w:val="24"/>
          <w:highlight w:val="none"/>
          <w:lang w:eastAsia="zh-CN"/>
        </w:rPr>
        <w:t>，根据</w:t>
      </w:r>
      <w:r>
        <w:rPr>
          <w:rFonts w:hint="eastAsia" w:ascii="Times New Roman" w:hAnsi="Times New Roman"/>
          <w:color w:val="auto"/>
          <w:sz w:val="24"/>
          <w:szCs w:val="24"/>
          <w:highlight w:val="none"/>
          <w:lang w:val="zh-CN"/>
        </w:rPr>
        <w:t>区域水文地质图，</w:t>
      </w:r>
      <w:r>
        <w:rPr>
          <w:rFonts w:hint="eastAsia"/>
          <w:color w:val="auto"/>
          <w:sz w:val="24"/>
          <w:szCs w:val="24"/>
          <w:highlight w:val="none"/>
        </w:rPr>
        <w:t>地下水流向为自</w:t>
      </w:r>
      <w:r>
        <w:rPr>
          <w:rFonts w:hint="eastAsia"/>
          <w:color w:val="auto"/>
          <w:sz w:val="24"/>
          <w:szCs w:val="24"/>
          <w:highlight w:val="none"/>
          <w:lang w:eastAsia="zh-CN"/>
        </w:rPr>
        <w:t>东北</w:t>
      </w:r>
      <w:r>
        <w:rPr>
          <w:rFonts w:hint="eastAsia"/>
          <w:color w:val="auto"/>
          <w:sz w:val="24"/>
          <w:szCs w:val="24"/>
          <w:highlight w:val="none"/>
        </w:rPr>
        <w:t>向</w:t>
      </w:r>
      <w:r>
        <w:rPr>
          <w:rFonts w:hint="eastAsia"/>
          <w:color w:val="auto"/>
          <w:sz w:val="24"/>
          <w:szCs w:val="24"/>
          <w:highlight w:val="none"/>
          <w:lang w:eastAsia="zh-CN"/>
        </w:rPr>
        <w:t>西</w:t>
      </w:r>
      <w:r>
        <w:rPr>
          <w:rFonts w:hint="eastAsia"/>
          <w:color w:val="auto"/>
          <w:sz w:val="24"/>
          <w:szCs w:val="24"/>
          <w:highlight w:val="none"/>
        </w:rPr>
        <w:t>南。</w:t>
      </w:r>
    </w:p>
    <w:p w14:paraId="695D09DD">
      <w:pPr>
        <w:pStyle w:val="5"/>
        <w:bidi w:val="0"/>
        <w:ind w:firstLine="472" w:firstLineChars="200"/>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（4）绥化市庆安县柳河镇饮用水水源地（取水井5眼）</w:t>
      </w:r>
    </w:p>
    <w:p w14:paraId="299E1A68">
      <w:pPr>
        <w:numPr>
          <w:ilvl w:val="0"/>
          <w:numId w:val="0"/>
        </w:numPr>
        <w:ind w:firstLine="472" w:firstLineChars="200"/>
        <w:rPr>
          <w:rFonts w:hint="eastAsia"/>
          <w:color w:val="auto"/>
          <w:sz w:val="24"/>
          <w:szCs w:val="24"/>
          <w:highlight w:val="none"/>
        </w:rPr>
      </w:pPr>
      <w:r>
        <w:rPr>
          <w:rFonts w:hint="eastAsia"/>
          <w:color w:val="auto"/>
          <w:sz w:val="24"/>
          <w:szCs w:val="24"/>
          <w:highlight w:val="none"/>
          <w:lang w:val="en-US" w:eastAsia="zh-CN"/>
        </w:rPr>
        <w:t>1#：</w:t>
      </w:r>
      <w:r>
        <w:rPr>
          <w:rFonts w:hint="eastAsia" w:ascii="Times New Roman" w:hAnsi="Times New Roman" w:eastAsia="宋体" w:cs="Times New Roman"/>
          <w:color w:val="auto"/>
          <w:kern w:val="0"/>
          <w:sz w:val="24"/>
          <w:szCs w:val="24"/>
          <w:highlight w:val="none"/>
          <w:lang w:val="en-US" w:eastAsia="zh-CN" w:bidi="ar"/>
        </w:rPr>
        <w:t>取水目的</w:t>
      </w:r>
      <w:r>
        <w:rPr>
          <w:rFonts w:hint="eastAsia" w:ascii="Times New Roman" w:hAnsi="Times New Roman" w:cs="Times New Roman"/>
          <w:color w:val="auto"/>
          <w:highlight w:val="none"/>
          <w:lang w:val="en-US" w:eastAsia="zh-CN"/>
        </w:rPr>
        <w:t>层为</w:t>
      </w:r>
      <w:r>
        <w:rPr>
          <w:rFonts w:hint="eastAsia" w:ascii="Times New Roman" w:hAnsi="Times New Roman" w:cs="Times New Roman"/>
          <w:color w:val="auto"/>
          <w:highlight w:val="none"/>
          <w:lang w:eastAsia="zh-CN"/>
        </w:rPr>
        <w:t>孔隙—裂隙承压水层</w:t>
      </w:r>
      <w:r>
        <w:rPr>
          <w:rFonts w:hint="eastAsia"/>
          <w:color w:val="auto"/>
          <w:sz w:val="24"/>
          <w:szCs w:val="24"/>
          <w:highlight w:val="none"/>
          <w:lang w:eastAsia="zh-CN"/>
        </w:rPr>
        <w:t>，</w:t>
      </w:r>
      <w:r>
        <w:rPr>
          <w:rFonts w:hint="eastAsia"/>
          <w:color w:val="auto"/>
          <w:sz w:val="24"/>
          <w:szCs w:val="24"/>
          <w:highlight w:val="none"/>
        </w:rPr>
        <w:t>取水井井深</w:t>
      </w:r>
      <w:r>
        <w:rPr>
          <w:rFonts w:hint="eastAsia"/>
          <w:color w:val="auto"/>
          <w:sz w:val="24"/>
          <w:szCs w:val="24"/>
          <w:highlight w:val="none"/>
          <w:lang w:val="en-US" w:eastAsia="zh-CN"/>
        </w:rPr>
        <w:t>90</w:t>
      </w:r>
      <w:r>
        <w:rPr>
          <w:color w:val="auto"/>
          <w:sz w:val="24"/>
          <w:szCs w:val="24"/>
          <w:highlight w:val="none"/>
        </w:rPr>
        <w:t>米</w:t>
      </w:r>
      <w:r>
        <w:rPr>
          <w:rFonts w:hint="eastAsia"/>
          <w:color w:val="auto"/>
          <w:sz w:val="24"/>
          <w:szCs w:val="24"/>
          <w:highlight w:val="none"/>
          <w:lang w:eastAsia="zh-CN"/>
        </w:rPr>
        <w:t>，</w:t>
      </w:r>
      <w:r>
        <w:rPr>
          <w:rFonts w:hint="eastAsia"/>
          <w:color w:val="auto"/>
          <w:sz w:val="24"/>
          <w:szCs w:val="24"/>
          <w:highlight w:val="none"/>
        </w:rPr>
        <w:t>取水目的层上部为</w:t>
      </w:r>
      <w:r>
        <w:rPr>
          <w:rFonts w:hint="eastAsia"/>
          <w:color w:val="auto"/>
          <w:sz w:val="24"/>
          <w:szCs w:val="24"/>
          <w:highlight w:val="none"/>
          <w:lang w:val="en-US" w:eastAsia="zh-CN"/>
        </w:rPr>
        <w:t>1米腐殖土、7</w:t>
      </w:r>
      <w:r>
        <w:rPr>
          <w:rFonts w:hint="eastAsia"/>
          <w:color w:val="auto"/>
          <w:sz w:val="24"/>
          <w:szCs w:val="24"/>
          <w:highlight w:val="none"/>
        </w:rPr>
        <w:t>米黄土、</w:t>
      </w:r>
      <w:r>
        <w:rPr>
          <w:rFonts w:hint="eastAsia"/>
          <w:color w:val="auto"/>
          <w:sz w:val="24"/>
          <w:szCs w:val="24"/>
          <w:highlight w:val="none"/>
          <w:lang w:val="en-US" w:eastAsia="zh-CN"/>
        </w:rPr>
        <w:t>26</w:t>
      </w:r>
      <w:r>
        <w:rPr>
          <w:rFonts w:hint="eastAsia"/>
          <w:color w:val="auto"/>
          <w:sz w:val="24"/>
          <w:szCs w:val="24"/>
          <w:highlight w:val="none"/>
        </w:rPr>
        <w:t>米</w:t>
      </w:r>
      <w:r>
        <w:rPr>
          <w:rFonts w:hint="eastAsia"/>
          <w:color w:val="auto"/>
          <w:sz w:val="24"/>
          <w:szCs w:val="24"/>
          <w:highlight w:val="none"/>
          <w:lang w:eastAsia="zh-CN"/>
        </w:rPr>
        <w:t>粉质粘土、</w:t>
      </w:r>
      <w:r>
        <w:rPr>
          <w:rFonts w:hint="eastAsia"/>
          <w:color w:val="auto"/>
          <w:sz w:val="24"/>
          <w:szCs w:val="24"/>
          <w:highlight w:val="none"/>
          <w:lang w:val="en-US" w:eastAsia="zh-CN"/>
        </w:rPr>
        <w:t>2米砂岩</w:t>
      </w:r>
      <w:r>
        <w:rPr>
          <w:rFonts w:hint="eastAsia"/>
          <w:color w:val="auto"/>
          <w:sz w:val="24"/>
          <w:szCs w:val="24"/>
          <w:highlight w:val="none"/>
        </w:rPr>
        <w:t>，构成稳定隔水顶板，</w:t>
      </w:r>
      <w:r>
        <w:rPr>
          <w:rFonts w:hint="eastAsia"/>
          <w:color w:val="auto"/>
          <w:sz w:val="24"/>
          <w:szCs w:val="24"/>
          <w:highlight w:val="none"/>
          <w:lang w:eastAsia="zh-CN"/>
        </w:rPr>
        <w:t>取水层</w:t>
      </w:r>
      <w:r>
        <w:rPr>
          <w:rFonts w:hint="eastAsia"/>
          <w:color w:val="auto"/>
          <w:sz w:val="24"/>
          <w:szCs w:val="24"/>
          <w:highlight w:val="none"/>
        </w:rPr>
        <w:t>下部</w:t>
      </w:r>
      <w:r>
        <w:rPr>
          <w:rFonts w:hint="eastAsia"/>
          <w:color w:val="auto"/>
          <w:sz w:val="24"/>
          <w:szCs w:val="24"/>
          <w:highlight w:val="none"/>
          <w:lang w:eastAsia="zh-CN"/>
        </w:rPr>
        <w:t>为</w:t>
      </w:r>
      <w:r>
        <w:rPr>
          <w:rFonts w:hint="eastAsia"/>
          <w:color w:val="auto"/>
          <w:sz w:val="24"/>
          <w:szCs w:val="24"/>
          <w:highlight w:val="none"/>
          <w:lang w:val="en-US" w:eastAsia="zh-CN"/>
        </w:rPr>
        <w:t>39米</w:t>
      </w:r>
      <w:r>
        <w:rPr>
          <w:rFonts w:hint="eastAsia"/>
          <w:color w:val="auto"/>
          <w:sz w:val="24"/>
          <w:szCs w:val="24"/>
          <w:highlight w:val="none"/>
          <w:lang w:eastAsia="zh-CN"/>
        </w:rPr>
        <w:t>砂岩、</w:t>
      </w:r>
      <w:r>
        <w:rPr>
          <w:rFonts w:hint="eastAsia"/>
          <w:color w:val="auto"/>
          <w:sz w:val="24"/>
          <w:szCs w:val="24"/>
          <w:highlight w:val="none"/>
          <w:lang w:val="en-US" w:eastAsia="zh-CN"/>
        </w:rPr>
        <w:t>15米</w:t>
      </w:r>
      <w:r>
        <w:rPr>
          <w:rFonts w:hint="eastAsia"/>
          <w:color w:val="auto"/>
          <w:sz w:val="24"/>
          <w:szCs w:val="24"/>
          <w:highlight w:val="none"/>
          <w:lang w:eastAsia="zh-CN"/>
        </w:rPr>
        <w:t>泥岩</w:t>
      </w:r>
      <w:r>
        <w:rPr>
          <w:rFonts w:hint="eastAsia"/>
          <w:color w:val="auto"/>
          <w:sz w:val="24"/>
          <w:szCs w:val="24"/>
          <w:highlight w:val="none"/>
        </w:rPr>
        <w:t>，含水层厚度</w:t>
      </w:r>
      <w:r>
        <w:rPr>
          <w:rFonts w:hint="eastAsia"/>
          <w:color w:val="auto"/>
          <w:sz w:val="24"/>
          <w:szCs w:val="24"/>
          <w:highlight w:val="none"/>
          <w:lang w:val="en-US" w:eastAsia="zh-CN"/>
        </w:rPr>
        <w:t>49</w:t>
      </w:r>
      <w:r>
        <w:rPr>
          <w:color w:val="auto"/>
          <w:sz w:val="24"/>
          <w:szCs w:val="24"/>
          <w:highlight w:val="none"/>
        </w:rPr>
        <w:t>米</w:t>
      </w:r>
      <w:r>
        <w:rPr>
          <w:rFonts w:hint="eastAsia"/>
          <w:color w:val="auto"/>
          <w:sz w:val="24"/>
          <w:szCs w:val="24"/>
          <w:highlight w:val="none"/>
        </w:rPr>
        <w:t>，取水层埋深</w:t>
      </w:r>
      <w:r>
        <w:rPr>
          <w:rFonts w:hint="eastAsia"/>
          <w:color w:val="auto"/>
          <w:sz w:val="24"/>
          <w:szCs w:val="24"/>
          <w:highlight w:val="none"/>
          <w:lang w:val="en-US" w:eastAsia="zh-CN"/>
        </w:rPr>
        <w:t>36</w:t>
      </w:r>
      <w:r>
        <w:rPr>
          <w:rFonts w:hint="eastAsia"/>
          <w:color w:val="auto"/>
          <w:sz w:val="24"/>
          <w:szCs w:val="24"/>
          <w:highlight w:val="none"/>
        </w:rPr>
        <w:t>米。</w:t>
      </w:r>
      <w:r>
        <w:rPr>
          <w:color w:val="auto"/>
          <w:sz w:val="24"/>
          <w:szCs w:val="24"/>
          <w:highlight w:val="none"/>
        </w:rPr>
        <w:t>矿化度小于1克/升</w:t>
      </w:r>
      <w:r>
        <w:rPr>
          <w:rFonts w:hint="eastAsia"/>
          <w:color w:val="auto"/>
          <w:sz w:val="24"/>
          <w:szCs w:val="24"/>
          <w:highlight w:val="none"/>
          <w:lang w:eastAsia="zh-CN"/>
        </w:rPr>
        <w:t>，根据</w:t>
      </w:r>
      <w:r>
        <w:rPr>
          <w:rFonts w:hint="eastAsia" w:ascii="Times New Roman" w:hAnsi="Times New Roman"/>
          <w:color w:val="auto"/>
          <w:sz w:val="24"/>
          <w:szCs w:val="24"/>
          <w:highlight w:val="none"/>
          <w:lang w:val="zh-CN"/>
        </w:rPr>
        <w:t>区域水文地质图，</w:t>
      </w:r>
      <w:r>
        <w:rPr>
          <w:rFonts w:hint="eastAsia"/>
          <w:color w:val="auto"/>
          <w:sz w:val="24"/>
          <w:szCs w:val="24"/>
          <w:highlight w:val="none"/>
        </w:rPr>
        <w:t>地下水流向为自</w:t>
      </w:r>
      <w:r>
        <w:rPr>
          <w:rFonts w:hint="eastAsia"/>
          <w:color w:val="auto"/>
          <w:sz w:val="24"/>
          <w:szCs w:val="24"/>
          <w:highlight w:val="none"/>
          <w:lang w:eastAsia="zh-CN"/>
        </w:rPr>
        <w:t>东南</w:t>
      </w:r>
      <w:r>
        <w:rPr>
          <w:rFonts w:hint="eastAsia"/>
          <w:color w:val="auto"/>
          <w:sz w:val="24"/>
          <w:szCs w:val="24"/>
          <w:highlight w:val="none"/>
        </w:rPr>
        <w:t>向</w:t>
      </w:r>
      <w:r>
        <w:rPr>
          <w:rFonts w:hint="eastAsia"/>
          <w:color w:val="auto"/>
          <w:sz w:val="24"/>
          <w:szCs w:val="24"/>
          <w:highlight w:val="none"/>
          <w:lang w:eastAsia="zh-CN"/>
        </w:rPr>
        <w:t>西北</w:t>
      </w:r>
      <w:r>
        <w:rPr>
          <w:rFonts w:hint="eastAsia"/>
          <w:color w:val="auto"/>
          <w:sz w:val="24"/>
          <w:szCs w:val="24"/>
          <w:highlight w:val="none"/>
        </w:rPr>
        <w:t>。</w:t>
      </w:r>
    </w:p>
    <w:p w14:paraId="7A0BA121">
      <w:pPr>
        <w:numPr>
          <w:ilvl w:val="0"/>
          <w:numId w:val="0"/>
        </w:numPr>
        <w:ind w:firstLine="472" w:firstLineChars="200"/>
        <w:rPr>
          <w:rFonts w:hint="eastAsia"/>
          <w:color w:val="auto"/>
          <w:sz w:val="24"/>
          <w:szCs w:val="24"/>
          <w:highlight w:val="none"/>
        </w:rPr>
      </w:pPr>
      <w:r>
        <w:rPr>
          <w:rFonts w:hint="eastAsia"/>
          <w:color w:val="auto"/>
          <w:sz w:val="24"/>
          <w:szCs w:val="24"/>
          <w:highlight w:val="none"/>
          <w:lang w:val="en-US" w:eastAsia="zh-CN"/>
        </w:rPr>
        <w:t>2#：</w:t>
      </w:r>
      <w:r>
        <w:rPr>
          <w:rFonts w:hint="eastAsia" w:ascii="Times New Roman" w:hAnsi="Times New Roman" w:eastAsia="宋体" w:cs="Times New Roman"/>
          <w:color w:val="auto"/>
          <w:kern w:val="0"/>
          <w:sz w:val="24"/>
          <w:szCs w:val="24"/>
          <w:highlight w:val="none"/>
          <w:lang w:val="en-US" w:eastAsia="zh-CN" w:bidi="ar"/>
        </w:rPr>
        <w:t>取水目的</w:t>
      </w:r>
      <w:r>
        <w:rPr>
          <w:rFonts w:hint="eastAsia" w:ascii="Times New Roman" w:hAnsi="Times New Roman" w:cs="Times New Roman"/>
          <w:color w:val="auto"/>
          <w:highlight w:val="none"/>
          <w:lang w:val="en-US" w:eastAsia="zh-CN"/>
        </w:rPr>
        <w:t>层为</w:t>
      </w:r>
      <w:r>
        <w:rPr>
          <w:rFonts w:hint="eastAsia" w:ascii="Times New Roman" w:hAnsi="Times New Roman" w:cs="Times New Roman"/>
          <w:color w:val="auto"/>
          <w:highlight w:val="none"/>
          <w:lang w:eastAsia="zh-CN"/>
        </w:rPr>
        <w:t>孔隙—裂隙承压水层</w:t>
      </w:r>
      <w:r>
        <w:rPr>
          <w:rFonts w:hint="eastAsia"/>
          <w:color w:val="auto"/>
          <w:sz w:val="24"/>
          <w:szCs w:val="24"/>
          <w:highlight w:val="none"/>
          <w:lang w:eastAsia="zh-CN"/>
        </w:rPr>
        <w:t>，</w:t>
      </w:r>
      <w:r>
        <w:rPr>
          <w:rFonts w:hint="eastAsia"/>
          <w:color w:val="auto"/>
          <w:sz w:val="24"/>
          <w:szCs w:val="24"/>
          <w:highlight w:val="none"/>
        </w:rPr>
        <w:t>取水井井深</w:t>
      </w:r>
      <w:r>
        <w:rPr>
          <w:rFonts w:hint="eastAsia"/>
          <w:color w:val="auto"/>
          <w:sz w:val="24"/>
          <w:szCs w:val="24"/>
          <w:highlight w:val="none"/>
          <w:lang w:val="en-US" w:eastAsia="zh-CN"/>
        </w:rPr>
        <w:t>90</w:t>
      </w:r>
      <w:r>
        <w:rPr>
          <w:color w:val="auto"/>
          <w:sz w:val="24"/>
          <w:szCs w:val="24"/>
          <w:highlight w:val="none"/>
        </w:rPr>
        <w:t>米</w:t>
      </w:r>
      <w:r>
        <w:rPr>
          <w:rFonts w:hint="eastAsia"/>
          <w:color w:val="auto"/>
          <w:sz w:val="24"/>
          <w:szCs w:val="24"/>
          <w:highlight w:val="none"/>
          <w:lang w:eastAsia="zh-CN"/>
        </w:rPr>
        <w:t>，</w:t>
      </w:r>
      <w:r>
        <w:rPr>
          <w:rFonts w:hint="eastAsia"/>
          <w:color w:val="auto"/>
          <w:sz w:val="24"/>
          <w:szCs w:val="24"/>
          <w:highlight w:val="none"/>
        </w:rPr>
        <w:t>取水目的层上部为</w:t>
      </w:r>
      <w:r>
        <w:rPr>
          <w:rFonts w:hint="eastAsia"/>
          <w:color w:val="auto"/>
          <w:sz w:val="24"/>
          <w:szCs w:val="24"/>
          <w:highlight w:val="none"/>
          <w:lang w:val="en-US" w:eastAsia="zh-CN"/>
        </w:rPr>
        <w:t>1米腐殖土、9</w:t>
      </w:r>
      <w:r>
        <w:rPr>
          <w:rFonts w:hint="eastAsia"/>
          <w:color w:val="auto"/>
          <w:sz w:val="24"/>
          <w:szCs w:val="24"/>
          <w:highlight w:val="none"/>
        </w:rPr>
        <w:t>米黄土、</w:t>
      </w:r>
      <w:r>
        <w:rPr>
          <w:rFonts w:hint="eastAsia"/>
          <w:color w:val="auto"/>
          <w:sz w:val="24"/>
          <w:szCs w:val="24"/>
          <w:highlight w:val="none"/>
          <w:lang w:val="en-US" w:eastAsia="zh-CN"/>
        </w:rPr>
        <w:t>24</w:t>
      </w:r>
      <w:r>
        <w:rPr>
          <w:rFonts w:hint="eastAsia"/>
          <w:color w:val="auto"/>
          <w:sz w:val="24"/>
          <w:szCs w:val="24"/>
          <w:highlight w:val="none"/>
        </w:rPr>
        <w:t>米</w:t>
      </w:r>
      <w:r>
        <w:rPr>
          <w:rFonts w:hint="eastAsia"/>
          <w:color w:val="auto"/>
          <w:sz w:val="24"/>
          <w:szCs w:val="24"/>
          <w:highlight w:val="none"/>
          <w:lang w:eastAsia="zh-CN"/>
        </w:rPr>
        <w:t>粉质粘土、</w:t>
      </w:r>
      <w:r>
        <w:rPr>
          <w:rFonts w:hint="eastAsia"/>
          <w:color w:val="auto"/>
          <w:sz w:val="24"/>
          <w:szCs w:val="24"/>
          <w:highlight w:val="none"/>
          <w:lang w:val="en-US" w:eastAsia="zh-CN"/>
        </w:rPr>
        <w:t>2米砂岩</w:t>
      </w:r>
      <w:r>
        <w:rPr>
          <w:rFonts w:hint="eastAsia"/>
          <w:color w:val="auto"/>
          <w:sz w:val="24"/>
          <w:szCs w:val="24"/>
          <w:highlight w:val="none"/>
        </w:rPr>
        <w:t>，构成稳定隔水顶板，</w:t>
      </w:r>
      <w:r>
        <w:rPr>
          <w:rFonts w:hint="eastAsia"/>
          <w:color w:val="auto"/>
          <w:sz w:val="24"/>
          <w:szCs w:val="24"/>
          <w:highlight w:val="none"/>
          <w:lang w:eastAsia="zh-CN"/>
        </w:rPr>
        <w:t>取水层</w:t>
      </w:r>
      <w:r>
        <w:rPr>
          <w:rFonts w:hint="eastAsia"/>
          <w:color w:val="auto"/>
          <w:sz w:val="24"/>
          <w:szCs w:val="24"/>
          <w:highlight w:val="none"/>
        </w:rPr>
        <w:t>下部</w:t>
      </w:r>
      <w:r>
        <w:rPr>
          <w:rFonts w:hint="eastAsia"/>
          <w:color w:val="auto"/>
          <w:sz w:val="24"/>
          <w:szCs w:val="24"/>
          <w:highlight w:val="none"/>
          <w:lang w:eastAsia="zh-CN"/>
        </w:rPr>
        <w:t>为</w:t>
      </w:r>
      <w:r>
        <w:rPr>
          <w:rFonts w:hint="eastAsia"/>
          <w:color w:val="auto"/>
          <w:sz w:val="24"/>
          <w:szCs w:val="24"/>
          <w:highlight w:val="none"/>
          <w:lang w:val="en-US" w:eastAsia="zh-CN"/>
        </w:rPr>
        <w:t>39米</w:t>
      </w:r>
      <w:r>
        <w:rPr>
          <w:rFonts w:hint="eastAsia"/>
          <w:color w:val="auto"/>
          <w:sz w:val="24"/>
          <w:szCs w:val="24"/>
          <w:highlight w:val="none"/>
          <w:lang w:eastAsia="zh-CN"/>
        </w:rPr>
        <w:t>砂岩、</w:t>
      </w:r>
      <w:r>
        <w:rPr>
          <w:rFonts w:hint="eastAsia"/>
          <w:color w:val="auto"/>
          <w:sz w:val="24"/>
          <w:szCs w:val="24"/>
          <w:highlight w:val="none"/>
          <w:lang w:val="en-US" w:eastAsia="zh-CN"/>
        </w:rPr>
        <w:t>15米</w:t>
      </w:r>
      <w:r>
        <w:rPr>
          <w:rFonts w:hint="eastAsia"/>
          <w:color w:val="auto"/>
          <w:sz w:val="24"/>
          <w:szCs w:val="24"/>
          <w:highlight w:val="none"/>
          <w:lang w:eastAsia="zh-CN"/>
        </w:rPr>
        <w:t>泥岩</w:t>
      </w:r>
      <w:r>
        <w:rPr>
          <w:rFonts w:hint="eastAsia"/>
          <w:color w:val="auto"/>
          <w:sz w:val="24"/>
          <w:szCs w:val="24"/>
          <w:highlight w:val="none"/>
        </w:rPr>
        <w:t>，含水层厚度</w:t>
      </w:r>
      <w:r>
        <w:rPr>
          <w:rFonts w:hint="eastAsia"/>
          <w:color w:val="auto"/>
          <w:sz w:val="24"/>
          <w:szCs w:val="24"/>
          <w:highlight w:val="none"/>
          <w:lang w:val="en-US" w:eastAsia="zh-CN"/>
        </w:rPr>
        <w:t>49</w:t>
      </w:r>
      <w:r>
        <w:rPr>
          <w:color w:val="auto"/>
          <w:sz w:val="24"/>
          <w:szCs w:val="24"/>
          <w:highlight w:val="none"/>
        </w:rPr>
        <w:t>米</w:t>
      </w:r>
      <w:r>
        <w:rPr>
          <w:rFonts w:hint="eastAsia"/>
          <w:color w:val="auto"/>
          <w:sz w:val="24"/>
          <w:szCs w:val="24"/>
          <w:highlight w:val="none"/>
        </w:rPr>
        <w:t>，取水层埋深</w:t>
      </w:r>
      <w:r>
        <w:rPr>
          <w:rFonts w:hint="eastAsia"/>
          <w:color w:val="auto"/>
          <w:sz w:val="24"/>
          <w:szCs w:val="24"/>
          <w:highlight w:val="none"/>
          <w:lang w:val="en-US" w:eastAsia="zh-CN"/>
        </w:rPr>
        <w:t>36</w:t>
      </w:r>
      <w:r>
        <w:rPr>
          <w:rFonts w:hint="eastAsia"/>
          <w:color w:val="auto"/>
          <w:sz w:val="24"/>
          <w:szCs w:val="24"/>
          <w:highlight w:val="none"/>
        </w:rPr>
        <w:t>米。</w:t>
      </w:r>
      <w:r>
        <w:rPr>
          <w:color w:val="auto"/>
          <w:sz w:val="24"/>
          <w:szCs w:val="24"/>
          <w:highlight w:val="none"/>
        </w:rPr>
        <w:t>矿化度小于1克/升</w:t>
      </w:r>
      <w:r>
        <w:rPr>
          <w:rFonts w:hint="eastAsia"/>
          <w:color w:val="auto"/>
          <w:sz w:val="24"/>
          <w:szCs w:val="24"/>
          <w:highlight w:val="none"/>
          <w:lang w:eastAsia="zh-CN"/>
        </w:rPr>
        <w:t>，根据</w:t>
      </w:r>
      <w:r>
        <w:rPr>
          <w:rFonts w:hint="eastAsia" w:ascii="Times New Roman" w:hAnsi="Times New Roman"/>
          <w:color w:val="auto"/>
          <w:sz w:val="24"/>
          <w:szCs w:val="24"/>
          <w:highlight w:val="none"/>
          <w:lang w:val="zh-CN"/>
        </w:rPr>
        <w:t>区域水文地质图，</w:t>
      </w:r>
      <w:r>
        <w:rPr>
          <w:rFonts w:hint="eastAsia"/>
          <w:color w:val="auto"/>
          <w:sz w:val="24"/>
          <w:szCs w:val="24"/>
          <w:highlight w:val="none"/>
        </w:rPr>
        <w:t>地下水流向为自</w:t>
      </w:r>
      <w:r>
        <w:rPr>
          <w:rFonts w:hint="eastAsia"/>
          <w:color w:val="auto"/>
          <w:sz w:val="24"/>
          <w:szCs w:val="24"/>
          <w:highlight w:val="none"/>
          <w:lang w:eastAsia="zh-CN"/>
        </w:rPr>
        <w:t>东南</w:t>
      </w:r>
      <w:r>
        <w:rPr>
          <w:rFonts w:hint="eastAsia"/>
          <w:color w:val="auto"/>
          <w:sz w:val="24"/>
          <w:szCs w:val="24"/>
          <w:highlight w:val="none"/>
        </w:rPr>
        <w:t>向</w:t>
      </w:r>
      <w:r>
        <w:rPr>
          <w:rFonts w:hint="eastAsia"/>
          <w:color w:val="auto"/>
          <w:sz w:val="24"/>
          <w:szCs w:val="24"/>
          <w:highlight w:val="none"/>
          <w:lang w:eastAsia="zh-CN"/>
        </w:rPr>
        <w:t>西北</w:t>
      </w:r>
      <w:r>
        <w:rPr>
          <w:rFonts w:hint="eastAsia"/>
          <w:color w:val="auto"/>
          <w:sz w:val="24"/>
          <w:szCs w:val="24"/>
          <w:highlight w:val="none"/>
        </w:rPr>
        <w:t>。</w:t>
      </w:r>
    </w:p>
    <w:p w14:paraId="22D925A7">
      <w:pPr>
        <w:numPr>
          <w:ilvl w:val="0"/>
          <w:numId w:val="0"/>
        </w:numPr>
        <w:ind w:firstLine="472" w:firstLineChars="200"/>
        <w:rPr>
          <w:rFonts w:hint="eastAsia"/>
          <w:color w:val="auto"/>
          <w:sz w:val="24"/>
          <w:szCs w:val="24"/>
          <w:highlight w:val="none"/>
        </w:rPr>
      </w:pPr>
      <w:r>
        <w:rPr>
          <w:rFonts w:hint="eastAsia"/>
          <w:color w:val="auto"/>
          <w:sz w:val="24"/>
          <w:szCs w:val="24"/>
          <w:highlight w:val="none"/>
          <w:lang w:val="en-US" w:eastAsia="zh-CN"/>
        </w:rPr>
        <w:t>3#：</w:t>
      </w:r>
      <w:r>
        <w:rPr>
          <w:rFonts w:hint="eastAsia" w:ascii="Times New Roman" w:hAnsi="Times New Roman" w:eastAsia="宋体" w:cs="Times New Roman"/>
          <w:color w:val="auto"/>
          <w:kern w:val="0"/>
          <w:sz w:val="24"/>
          <w:szCs w:val="24"/>
          <w:highlight w:val="none"/>
          <w:lang w:val="en-US" w:eastAsia="zh-CN" w:bidi="ar"/>
        </w:rPr>
        <w:t>取水目的</w:t>
      </w:r>
      <w:r>
        <w:rPr>
          <w:rFonts w:hint="eastAsia" w:ascii="Times New Roman" w:hAnsi="Times New Roman" w:cs="Times New Roman"/>
          <w:color w:val="auto"/>
          <w:highlight w:val="none"/>
          <w:lang w:val="en-US" w:eastAsia="zh-CN"/>
        </w:rPr>
        <w:t>层为</w:t>
      </w:r>
      <w:r>
        <w:rPr>
          <w:rFonts w:hint="eastAsia" w:ascii="Times New Roman" w:hAnsi="Times New Roman" w:cs="Times New Roman"/>
          <w:color w:val="auto"/>
          <w:highlight w:val="none"/>
          <w:lang w:eastAsia="zh-CN"/>
        </w:rPr>
        <w:t>孔隙—裂隙承压水层</w:t>
      </w:r>
      <w:r>
        <w:rPr>
          <w:rFonts w:hint="eastAsia"/>
          <w:color w:val="auto"/>
          <w:sz w:val="24"/>
          <w:szCs w:val="24"/>
          <w:highlight w:val="none"/>
          <w:lang w:eastAsia="zh-CN"/>
        </w:rPr>
        <w:t>，</w:t>
      </w:r>
      <w:r>
        <w:rPr>
          <w:rFonts w:hint="eastAsia"/>
          <w:color w:val="auto"/>
          <w:sz w:val="24"/>
          <w:szCs w:val="24"/>
          <w:highlight w:val="none"/>
        </w:rPr>
        <w:t>取水井井深</w:t>
      </w:r>
      <w:r>
        <w:rPr>
          <w:rFonts w:hint="eastAsia"/>
          <w:color w:val="auto"/>
          <w:sz w:val="24"/>
          <w:szCs w:val="24"/>
          <w:highlight w:val="none"/>
          <w:lang w:val="en-US" w:eastAsia="zh-CN"/>
        </w:rPr>
        <w:t>90</w:t>
      </w:r>
      <w:r>
        <w:rPr>
          <w:color w:val="auto"/>
          <w:sz w:val="24"/>
          <w:szCs w:val="24"/>
          <w:highlight w:val="none"/>
        </w:rPr>
        <w:t>米</w:t>
      </w:r>
      <w:r>
        <w:rPr>
          <w:rFonts w:hint="eastAsia"/>
          <w:color w:val="auto"/>
          <w:sz w:val="24"/>
          <w:szCs w:val="24"/>
          <w:highlight w:val="none"/>
          <w:lang w:eastAsia="zh-CN"/>
        </w:rPr>
        <w:t>，</w:t>
      </w:r>
      <w:r>
        <w:rPr>
          <w:rFonts w:hint="eastAsia"/>
          <w:color w:val="auto"/>
          <w:sz w:val="24"/>
          <w:szCs w:val="24"/>
          <w:highlight w:val="none"/>
        </w:rPr>
        <w:t>取水目的层上部为</w:t>
      </w:r>
      <w:r>
        <w:rPr>
          <w:rFonts w:hint="eastAsia"/>
          <w:color w:val="auto"/>
          <w:sz w:val="24"/>
          <w:szCs w:val="24"/>
          <w:highlight w:val="none"/>
          <w:lang w:val="en-US" w:eastAsia="zh-CN"/>
        </w:rPr>
        <w:t>1米腐殖土、7</w:t>
      </w:r>
      <w:r>
        <w:rPr>
          <w:rFonts w:hint="eastAsia"/>
          <w:color w:val="auto"/>
          <w:sz w:val="24"/>
          <w:szCs w:val="24"/>
          <w:highlight w:val="none"/>
        </w:rPr>
        <w:t>米黄土、</w:t>
      </w:r>
      <w:r>
        <w:rPr>
          <w:rFonts w:hint="eastAsia"/>
          <w:color w:val="auto"/>
          <w:sz w:val="24"/>
          <w:szCs w:val="24"/>
          <w:highlight w:val="none"/>
          <w:lang w:val="en-US" w:eastAsia="zh-CN"/>
        </w:rPr>
        <w:t>27</w:t>
      </w:r>
      <w:r>
        <w:rPr>
          <w:rFonts w:hint="eastAsia"/>
          <w:color w:val="auto"/>
          <w:sz w:val="24"/>
          <w:szCs w:val="24"/>
          <w:highlight w:val="none"/>
        </w:rPr>
        <w:t>米</w:t>
      </w:r>
      <w:r>
        <w:rPr>
          <w:rFonts w:hint="eastAsia"/>
          <w:color w:val="auto"/>
          <w:sz w:val="24"/>
          <w:szCs w:val="24"/>
          <w:highlight w:val="none"/>
          <w:lang w:eastAsia="zh-CN"/>
        </w:rPr>
        <w:t>粉质粘土、</w:t>
      </w:r>
      <w:r>
        <w:rPr>
          <w:rFonts w:hint="eastAsia"/>
          <w:color w:val="auto"/>
          <w:sz w:val="24"/>
          <w:szCs w:val="24"/>
          <w:highlight w:val="none"/>
          <w:lang w:val="en-US" w:eastAsia="zh-CN"/>
        </w:rPr>
        <w:t>1米砂岩</w:t>
      </w:r>
      <w:r>
        <w:rPr>
          <w:rFonts w:hint="eastAsia"/>
          <w:color w:val="auto"/>
          <w:sz w:val="24"/>
          <w:szCs w:val="24"/>
          <w:highlight w:val="none"/>
        </w:rPr>
        <w:t>，构成稳定隔水顶板，</w:t>
      </w:r>
      <w:r>
        <w:rPr>
          <w:rFonts w:hint="eastAsia"/>
          <w:color w:val="auto"/>
          <w:sz w:val="24"/>
          <w:szCs w:val="24"/>
          <w:highlight w:val="none"/>
          <w:lang w:eastAsia="zh-CN"/>
        </w:rPr>
        <w:t>取水层</w:t>
      </w:r>
      <w:r>
        <w:rPr>
          <w:rFonts w:hint="eastAsia"/>
          <w:color w:val="auto"/>
          <w:sz w:val="24"/>
          <w:szCs w:val="24"/>
          <w:highlight w:val="none"/>
        </w:rPr>
        <w:t>下部</w:t>
      </w:r>
      <w:r>
        <w:rPr>
          <w:rFonts w:hint="eastAsia"/>
          <w:color w:val="auto"/>
          <w:sz w:val="24"/>
          <w:szCs w:val="24"/>
          <w:highlight w:val="none"/>
          <w:lang w:eastAsia="zh-CN"/>
        </w:rPr>
        <w:t>为</w:t>
      </w:r>
      <w:r>
        <w:rPr>
          <w:rFonts w:hint="eastAsia"/>
          <w:color w:val="auto"/>
          <w:sz w:val="24"/>
          <w:szCs w:val="24"/>
          <w:highlight w:val="none"/>
          <w:lang w:val="en-US" w:eastAsia="zh-CN"/>
        </w:rPr>
        <w:t>39米</w:t>
      </w:r>
      <w:r>
        <w:rPr>
          <w:rFonts w:hint="eastAsia"/>
          <w:color w:val="auto"/>
          <w:sz w:val="24"/>
          <w:szCs w:val="24"/>
          <w:highlight w:val="none"/>
          <w:lang w:eastAsia="zh-CN"/>
        </w:rPr>
        <w:t>砂岩、</w:t>
      </w:r>
      <w:r>
        <w:rPr>
          <w:rFonts w:hint="eastAsia"/>
          <w:color w:val="auto"/>
          <w:sz w:val="24"/>
          <w:szCs w:val="24"/>
          <w:highlight w:val="none"/>
          <w:lang w:val="en-US" w:eastAsia="zh-CN"/>
        </w:rPr>
        <w:t>15米</w:t>
      </w:r>
      <w:r>
        <w:rPr>
          <w:rFonts w:hint="eastAsia"/>
          <w:color w:val="auto"/>
          <w:sz w:val="24"/>
          <w:szCs w:val="24"/>
          <w:highlight w:val="none"/>
          <w:lang w:eastAsia="zh-CN"/>
        </w:rPr>
        <w:t>泥岩</w:t>
      </w:r>
      <w:r>
        <w:rPr>
          <w:rFonts w:hint="eastAsia"/>
          <w:color w:val="auto"/>
          <w:sz w:val="24"/>
          <w:szCs w:val="24"/>
          <w:highlight w:val="none"/>
        </w:rPr>
        <w:t>，含水层厚度</w:t>
      </w:r>
      <w:r>
        <w:rPr>
          <w:rFonts w:hint="eastAsia"/>
          <w:color w:val="auto"/>
          <w:sz w:val="24"/>
          <w:szCs w:val="24"/>
          <w:highlight w:val="none"/>
          <w:lang w:val="en-US" w:eastAsia="zh-CN"/>
        </w:rPr>
        <w:t>49</w:t>
      </w:r>
      <w:r>
        <w:rPr>
          <w:color w:val="auto"/>
          <w:sz w:val="24"/>
          <w:szCs w:val="24"/>
          <w:highlight w:val="none"/>
        </w:rPr>
        <w:t>米</w:t>
      </w:r>
      <w:r>
        <w:rPr>
          <w:rFonts w:hint="eastAsia"/>
          <w:color w:val="auto"/>
          <w:sz w:val="24"/>
          <w:szCs w:val="24"/>
          <w:highlight w:val="none"/>
        </w:rPr>
        <w:t>，取水层埋深</w:t>
      </w:r>
      <w:r>
        <w:rPr>
          <w:rFonts w:hint="eastAsia"/>
          <w:color w:val="auto"/>
          <w:sz w:val="24"/>
          <w:szCs w:val="24"/>
          <w:highlight w:val="none"/>
          <w:lang w:val="en-US" w:eastAsia="zh-CN"/>
        </w:rPr>
        <w:t>36</w:t>
      </w:r>
      <w:r>
        <w:rPr>
          <w:rFonts w:hint="eastAsia"/>
          <w:color w:val="auto"/>
          <w:sz w:val="24"/>
          <w:szCs w:val="24"/>
          <w:highlight w:val="none"/>
        </w:rPr>
        <w:t>米。</w:t>
      </w:r>
      <w:r>
        <w:rPr>
          <w:color w:val="auto"/>
          <w:sz w:val="24"/>
          <w:szCs w:val="24"/>
          <w:highlight w:val="none"/>
        </w:rPr>
        <w:t>矿化度小于1克/升</w:t>
      </w:r>
      <w:r>
        <w:rPr>
          <w:rFonts w:hint="eastAsia"/>
          <w:color w:val="auto"/>
          <w:sz w:val="24"/>
          <w:szCs w:val="24"/>
          <w:highlight w:val="none"/>
          <w:lang w:eastAsia="zh-CN"/>
        </w:rPr>
        <w:t>，根据</w:t>
      </w:r>
      <w:r>
        <w:rPr>
          <w:rFonts w:hint="eastAsia" w:ascii="Times New Roman" w:hAnsi="Times New Roman"/>
          <w:color w:val="auto"/>
          <w:sz w:val="24"/>
          <w:szCs w:val="24"/>
          <w:highlight w:val="none"/>
          <w:lang w:val="zh-CN"/>
        </w:rPr>
        <w:t>区域水文地质图，</w:t>
      </w:r>
      <w:r>
        <w:rPr>
          <w:rFonts w:hint="eastAsia"/>
          <w:color w:val="auto"/>
          <w:sz w:val="24"/>
          <w:szCs w:val="24"/>
          <w:highlight w:val="none"/>
        </w:rPr>
        <w:t>地下水流向为自</w:t>
      </w:r>
      <w:r>
        <w:rPr>
          <w:rFonts w:hint="eastAsia"/>
          <w:color w:val="auto"/>
          <w:sz w:val="24"/>
          <w:szCs w:val="24"/>
          <w:highlight w:val="none"/>
          <w:lang w:eastAsia="zh-CN"/>
        </w:rPr>
        <w:t>东南</w:t>
      </w:r>
      <w:r>
        <w:rPr>
          <w:rFonts w:hint="eastAsia"/>
          <w:color w:val="auto"/>
          <w:sz w:val="24"/>
          <w:szCs w:val="24"/>
          <w:highlight w:val="none"/>
        </w:rPr>
        <w:t>向</w:t>
      </w:r>
      <w:r>
        <w:rPr>
          <w:rFonts w:hint="eastAsia"/>
          <w:color w:val="auto"/>
          <w:sz w:val="24"/>
          <w:szCs w:val="24"/>
          <w:highlight w:val="none"/>
          <w:lang w:eastAsia="zh-CN"/>
        </w:rPr>
        <w:t>西北</w:t>
      </w:r>
      <w:r>
        <w:rPr>
          <w:rFonts w:hint="eastAsia"/>
          <w:color w:val="auto"/>
          <w:sz w:val="24"/>
          <w:szCs w:val="24"/>
          <w:highlight w:val="none"/>
        </w:rPr>
        <w:t>。</w:t>
      </w:r>
    </w:p>
    <w:p w14:paraId="6FA86CA9">
      <w:pPr>
        <w:numPr>
          <w:ilvl w:val="0"/>
          <w:numId w:val="0"/>
        </w:numPr>
        <w:ind w:firstLine="472" w:firstLineChars="200"/>
        <w:rPr>
          <w:rFonts w:hint="eastAsia"/>
          <w:color w:val="auto"/>
          <w:sz w:val="24"/>
          <w:szCs w:val="24"/>
          <w:highlight w:val="none"/>
        </w:rPr>
      </w:pPr>
      <w:r>
        <w:rPr>
          <w:rFonts w:hint="eastAsia"/>
          <w:color w:val="auto"/>
          <w:sz w:val="24"/>
          <w:szCs w:val="24"/>
          <w:highlight w:val="none"/>
          <w:lang w:val="en-US" w:eastAsia="zh-CN"/>
        </w:rPr>
        <w:t>4#：</w:t>
      </w:r>
      <w:r>
        <w:rPr>
          <w:rFonts w:hint="eastAsia" w:ascii="Times New Roman" w:hAnsi="Times New Roman" w:eastAsia="宋体" w:cs="Times New Roman"/>
          <w:color w:val="auto"/>
          <w:kern w:val="0"/>
          <w:sz w:val="24"/>
          <w:szCs w:val="24"/>
          <w:highlight w:val="none"/>
          <w:lang w:val="en-US" w:eastAsia="zh-CN" w:bidi="ar"/>
        </w:rPr>
        <w:t>取水目的</w:t>
      </w:r>
      <w:r>
        <w:rPr>
          <w:rFonts w:hint="eastAsia" w:ascii="Times New Roman" w:hAnsi="Times New Roman" w:cs="Times New Roman"/>
          <w:color w:val="auto"/>
          <w:highlight w:val="none"/>
          <w:lang w:val="en-US" w:eastAsia="zh-CN"/>
        </w:rPr>
        <w:t>层为</w:t>
      </w:r>
      <w:r>
        <w:rPr>
          <w:rFonts w:hint="eastAsia" w:ascii="Times New Roman" w:hAnsi="Times New Roman" w:cs="Times New Roman"/>
          <w:color w:val="auto"/>
          <w:highlight w:val="none"/>
          <w:lang w:eastAsia="zh-CN"/>
        </w:rPr>
        <w:t>孔隙—裂隙承压水层</w:t>
      </w:r>
      <w:r>
        <w:rPr>
          <w:rFonts w:hint="eastAsia"/>
          <w:color w:val="auto"/>
          <w:sz w:val="24"/>
          <w:szCs w:val="24"/>
          <w:highlight w:val="none"/>
          <w:lang w:eastAsia="zh-CN"/>
        </w:rPr>
        <w:t>，</w:t>
      </w:r>
      <w:r>
        <w:rPr>
          <w:rFonts w:hint="eastAsia"/>
          <w:color w:val="auto"/>
          <w:sz w:val="24"/>
          <w:szCs w:val="24"/>
          <w:highlight w:val="none"/>
        </w:rPr>
        <w:t>取水井井深</w:t>
      </w:r>
      <w:r>
        <w:rPr>
          <w:rFonts w:hint="eastAsia"/>
          <w:color w:val="auto"/>
          <w:sz w:val="24"/>
          <w:szCs w:val="24"/>
          <w:highlight w:val="none"/>
          <w:lang w:val="en-US" w:eastAsia="zh-CN"/>
        </w:rPr>
        <w:t>90</w:t>
      </w:r>
      <w:r>
        <w:rPr>
          <w:color w:val="auto"/>
          <w:sz w:val="24"/>
          <w:szCs w:val="24"/>
          <w:highlight w:val="none"/>
        </w:rPr>
        <w:t>米</w:t>
      </w:r>
      <w:r>
        <w:rPr>
          <w:rFonts w:hint="eastAsia"/>
          <w:color w:val="auto"/>
          <w:sz w:val="24"/>
          <w:szCs w:val="24"/>
          <w:highlight w:val="none"/>
          <w:lang w:eastAsia="zh-CN"/>
        </w:rPr>
        <w:t>，</w:t>
      </w:r>
      <w:r>
        <w:rPr>
          <w:rFonts w:hint="eastAsia"/>
          <w:color w:val="auto"/>
          <w:sz w:val="24"/>
          <w:szCs w:val="24"/>
          <w:highlight w:val="none"/>
        </w:rPr>
        <w:t>取水目的层上部为</w:t>
      </w:r>
      <w:r>
        <w:rPr>
          <w:rFonts w:hint="eastAsia"/>
          <w:color w:val="auto"/>
          <w:sz w:val="24"/>
          <w:szCs w:val="24"/>
          <w:highlight w:val="none"/>
          <w:lang w:val="en-US" w:eastAsia="zh-CN"/>
        </w:rPr>
        <w:t>1米腐殖土、10</w:t>
      </w:r>
      <w:r>
        <w:rPr>
          <w:rFonts w:hint="eastAsia"/>
          <w:color w:val="auto"/>
          <w:sz w:val="24"/>
          <w:szCs w:val="24"/>
          <w:highlight w:val="none"/>
        </w:rPr>
        <w:t>米黄土、</w:t>
      </w:r>
      <w:r>
        <w:rPr>
          <w:rFonts w:hint="eastAsia"/>
          <w:color w:val="auto"/>
          <w:sz w:val="24"/>
          <w:szCs w:val="24"/>
          <w:highlight w:val="none"/>
          <w:lang w:val="en-US" w:eastAsia="zh-CN"/>
        </w:rPr>
        <w:t>23</w:t>
      </w:r>
      <w:r>
        <w:rPr>
          <w:rFonts w:hint="eastAsia"/>
          <w:color w:val="auto"/>
          <w:sz w:val="24"/>
          <w:szCs w:val="24"/>
          <w:highlight w:val="none"/>
        </w:rPr>
        <w:t>米</w:t>
      </w:r>
      <w:r>
        <w:rPr>
          <w:rFonts w:hint="eastAsia"/>
          <w:color w:val="auto"/>
          <w:sz w:val="24"/>
          <w:szCs w:val="24"/>
          <w:highlight w:val="none"/>
          <w:lang w:eastAsia="zh-CN"/>
        </w:rPr>
        <w:t>粉质粘土、</w:t>
      </w:r>
      <w:r>
        <w:rPr>
          <w:rFonts w:hint="eastAsia"/>
          <w:color w:val="auto"/>
          <w:sz w:val="24"/>
          <w:szCs w:val="24"/>
          <w:highlight w:val="none"/>
          <w:lang w:val="en-US" w:eastAsia="zh-CN"/>
        </w:rPr>
        <w:t>2米砂岩</w:t>
      </w:r>
      <w:r>
        <w:rPr>
          <w:rFonts w:hint="eastAsia"/>
          <w:color w:val="auto"/>
          <w:sz w:val="24"/>
          <w:szCs w:val="24"/>
          <w:highlight w:val="none"/>
        </w:rPr>
        <w:t>，构成稳定隔水顶板，</w:t>
      </w:r>
      <w:r>
        <w:rPr>
          <w:rFonts w:hint="eastAsia"/>
          <w:color w:val="auto"/>
          <w:sz w:val="24"/>
          <w:szCs w:val="24"/>
          <w:highlight w:val="none"/>
          <w:lang w:eastAsia="zh-CN"/>
        </w:rPr>
        <w:t>取水层</w:t>
      </w:r>
      <w:r>
        <w:rPr>
          <w:rFonts w:hint="eastAsia"/>
          <w:color w:val="auto"/>
          <w:sz w:val="24"/>
          <w:szCs w:val="24"/>
          <w:highlight w:val="none"/>
        </w:rPr>
        <w:t>下部</w:t>
      </w:r>
      <w:r>
        <w:rPr>
          <w:rFonts w:hint="eastAsia"/>
          <w:color w:val="auto"/>
          <w:sz w:val="24"/>
          <w:szCs w:val="24"/>
          <w:highlight w:val="none"/>
          <w:lang w:eastAsia="zh-CN"/>
        </w:rPr>
        <w:t>为</w:t>
      </w:r>
      <w:r>
        <w:rPr>
          <w:rFonts w:hint="eastAsia"/>
          <w:color w:val="auto"/>
          <w:sz w:val="24"/>
          <w:szCs w:val="24"/>
          <w:highlight w:val="none"/>
          <w:lang w:val="en-US" w:eastAsia="zh-CN"/>
        </w:rPr>
        <w:t>39米</w:t>
      </w:r>
      <w:r>
        <w:rPr>
          <w:rFonts w:hint="eastAsia"/>
          <w:color w:val="auto"/>
          <w:sz w:val="24"/>
          <w:szCs w:val="24"/>
          <w:highlight w:val="none"/>
          <w:lang w:eastAsia="zh-CN"/>
        </w:rPr>
        <w:t>砂岩、</w:t>
      </w:r>
      <w:r>
        <w:rPr>
          <w:rFonts w:hint="eastAsia"/>
          <w:color w:val="auto"/>
          <w:sz w:val="24"/>
          <w:szCs w:val="24"/>
          <w:highlight w:val="none"/>
          <w:lang w:val="en-US" w:eastAsia="zh-CN"/>
        </w:rPr>
        <w:t>15米</w:t>
      </w:r>
      <w:r>
        <w:rPr>
          <w:rFonts w:hint="eastAsia"/>
          <w:color w:val="auto"/>
          <w:sz w:val="24"/>
          <w:szCs w:val="24"/>
          <w:highlight w:val="none"/>
          <w:lang w:eastAsia="zh-CN"/>
        </w:rPr>
        <w:t>泥岩</w:t>
      </w:r>
      <w:r>
        <w:rPr>
          <w:rFonts w:hint="eastAsia"/>
          <w:color w:val="auto"/>
          <w:sz w:val="24"/>
          <w:szCs w:val="24"/>
          <w:highlight w:val="none"/>
        </w:rPr>
        <w:t>，含水层厚度</w:t>
      </w:r>
      <w:r>
        <w:rPr>
          <w:rFonts w:hint="eastAsia"/>
          <w:color w:val="auto"/>
          <w:sz w:val="24"/>
          <w:szCs w:val="24"/>
          <w:highlight w:val="none"/>
          <w:lang w:val="en-US" w:eastAsia="zh-CN"/>
        </w:rPr>
        <w:t>49</w:t>
      </w:r>
      <w:r>
        <w:rPr>
          <w:color w:val="auto"/>
          <w:sz w:val="24"/>
          <w:szCs w:val="24"/>
          <w:highlight w:val="none"/>
        </w:rPr>
        <w:t>米</w:t>
      </w:r>
      <w:r>
        <w:rPr>
          <w:rFonts w:hint="eastAsia"/>
          <w:color w:val="auto"/>
          <w:sz w:val="24"/>
          <w:szCs w:val="24"/>
          <w:highlight w:val="none"/>
        </w:rPr>
        <w:t>，取水层埋深</w:t>
      </w:r>
      <w:r>
        <w:rPr>
          <w:rFonts w:hint="eastAsia"/>
          <w:color w:val="auto"/>
          <w:sz w:val="24"/>
          <w:szCs w:val="24"/>
          <w:highlight w:val="none"/>
          <w:lang w:val="en-US" w:eastAsia="zh-CN"/>
        </w:rPr>
        <w:t>36</w:t>
      </w:r>
      <w:r>
        <w:rPr>
          <w:rFonts w:hint="eastAsia"/>
          <w:color w:val="auto"/>
          <w:sz w:val="24"/>
          <w:szCs w:val="24"/>
          <w:highlight w:val="none"/>
        </w:rPr>
        <w:t>米。</w:t>
      </w:r>
      <w:r>
        <w:rPr>
          <w:color w:val="auto"/>
          <w:sz w:val="24"/>
          <w:szCs w:val="24"/>
          <w:highlight w:val="none"/>
        </w:rPr>
        <w:t>矿化度小于1克/升</w:t>
      </w:r>
      <w:r>
        <w:rPr>
          <w:rFonts w:hint="eastAsia"/>
          <w:color w:val="auto"/>
          <w:sz w:val="24"/>
          <w:szCs w:val="24"/>
          <w:highlight w:val="none"/>
          <w:lang w:eastAsia="zh-CN"/>
        </w:rPr>
        <w:t>，根据</w:t>
      </w:r>
      <w:r>
        <w:rPr>
          <w:rFonts w:hint="eastAsia" w:ascii="Times New Roman" w:hAnsi="Times New Roman"/>
          <w:color w:val="auto"/>
          <w:sz w:val="24"/>
          <w:szCs w:val="24"/>
          <w:highlight w:val="none"/>
          <w:lang w:val="zh-CN"/>
        </w:rPr>
        <w:t>区域水文地质图，</w:t>
      </w:r>
      <w:r>
        <w:rPr>
          <w:rFonts w:hint="eastAsia"/>
          <w:color w:val="auto"/>
          <w:sz w:val="24"/>
          <w:szCs w:val="24"/>
          <w:highlight w:val="none"/>
        </w:rPr>
        <w:t>地下水流向为自</w:t>
      </w:r>
      <w:r>
        <w:rPr>
          <w:rFonts w:hint="eastAsia"/>
          <w:color w:val="auto"/>
          <w:sz w:val="24"/>
          <w:szCs w:val="24"/>
          <w:highlight w:val="none"/>
          <w:lang w:eastAsia="zh-CN"/>
        </w:rPr>
        <w:t>东南</w:t>
      </w:r>
      <w:r>
        <w:rPr>
          <w:rFonts w:hint="eastAsia"/>
          <w:color w:val="auto"/>
          <w:sz w:val="24"/>
          <w:szCs w:val="24"/>
          <w:highlight w:val="none"/>
        </w:rPr>
        <w:t>向</w:t>
      </w:r>
      <w:r>
        <w:rPr>
          <w:rFonts w:hint="eastAsia"/>
          <w:color w:val="auto"/>
          <w:sz w:val="24"/>
          <w:szCs w:val="24"/>
          <w:highlight w:val="none"/>
          <w:lang w:eastAsia="zh-CN"/>
        </w:rPr>
        <w:t>西北</w:t>
      </w:r>
      <w:r>
        <w:rPr>
          <w:rFonts w:hint="eastAsia"/>
          <w:color w:val="auto"/>
          <w:sz w:val="24"/>
          <w:szCs w:val="24"/>
          <w:highlight w:val="none"/>
        </w:rPr>
        <w:t>。</w:t>
      </w:r>
    </w:p>
    <w:p w14:paraId="45575D9C">
      <w:pPr>
        <w:numPr>
          <w:ilvl w:val="0"/>
          <w:numId w:val="0"/>
        </w:numPr>
        <w:ind w:firstLine="472" w:firstLineChars="200"/>
        <w:rPr>
          <w:rFonts w:hint="eastAsia"/>
          <w:color w:val="auto"/>
          <w:sz w:val="24"/>
          <w:szCs w:val="24"/>
          <w:highlight w:val="none"/>
        </w:rPr>
      </w:pPr>
      <w:r>
        <w:rPr>
          <w:rFonts w:hint="eastAsia"/>
          <w:color w:val="auto"/>
          <w:sz w:val="24"/>
          <w:szCs w:val="24"/>
          <w:highlight w:val="none"/>
          <w:lang w:val="en-US" w:eastAsia="zh-CN"/>
        </w:rPr>
        <w:t>5#：</w:t>
      </w:r>
      <w:r>
        <w:rPr>
          <w:rFonts w:hint="eastAsia" w:ascii="Times New Roman" w:hAnsi="Times New Roman" w:eastAsia="宋体" w:cs="Times New Roman"/>
          <w:color w:val="auto"/>
          <w:kern w:val="0"/>
          <w:sz w:val="24"/>
          <w:szCs w:val="24"/>
          <w:highlight w:val="none"/>
          <w:lang w:val="en-US" w:eastAsia="zh-CN" w:bidi="ar"/>
        </w:rPr>
        <w:t>取水目的</w:t>
      </w:r>
      <w:r>
        <w:rPr>
          <w:rFonts w:hint="eastAsia" w:ascii="Times New Roman" w:hAnsi="Times New Roman" w:cs="Times New Roman"/>
          <w:color w:val="auto"/>
          <w:highlight w:val="none"/>
          <w:lang w:val="en-US" w:eastAsia="zh-CN"/>
        </w:rPr>
        <w:t>层为</w:t>
      </w:r>
      <w:r>
        <w:rPr>
          <w:rFonts w:hint="eastAsia" w:ascii="Times New Roman" w:hAnsi="Times New Roman" w:cs="Times New Roman"/>
          <w:color w:val="auto"/>
          <w:highlight w:val="none"/>
          <w:lang w:eastAsia="zh-CN"/>
        </w:rPr>
        <w:t>孔隙—裂隙承压水层</w:t>
      </w:r>
      <w:r>
        <w:rPr>
          <w:rFonts w:hint="eastAsia"/>
          <w:color w:val="auto"/>
          <w:sz w:val="24"/>
          <w:szCs w:val="24"/>
          <w:highlight w:val="none"/>
          <w:lang w:eastAsia="zh-CN"/>
        </w:rPr>
        <w:t>，</w:t>
      </w:r>
      <w:r>
        <w:rPr>
          <w:rFonts w:hint="eastAsia"/>
          <w:color w:val="auto"/>
          <w:sz w:val="24"/>
          <w:szCs w:val="24"/>
          <w:highlight w:val="none"/>
        </w:rPr>
        <w:t>取水井井深</w:t>
      </w:r>
      <w:r>
        <w:rPr>
          <w:rFonts w:hint="eastAsia"/>
          <w:color w:val="auto"/>
          <w:sz w:val="24"/>
          <w:szCs w:val="24"/>
          <w:highlight w:val="none"/>
          <w:lang w:val="en-US" w:eastAsia="zh-CN"/>
        </w:rPr>
        <w:t>90</w:t>
      </w:r>
      <w:r>
        <w:rPr>
          <w:color w:val="auto"/>
          <w:sz w:val="24"/>
          <w:szCs w:val="24"/>
          <w:highlight w:val="none"/>
        </w:rPr>
        <w:t>米</w:t>
      </w:r>
      <w:r>
        <w:rPr>
          <w:rFonts w:hint="eastAsia"/>
          <w:color w:val="auto"/>
          <w:sz w:val="24"/>
          <w:szCs w:val="24"/>
          <w:highlight w:val="none"/>
          <w:lang w:eastAsia="zh-CN"/>
        </w:rPr>
        <w:t>，</w:t>
      </w:r>
      <w:r>
        <w:rPr>
          <w:rFonts w:hint="eastAsia"/>
          <w:color w:val="auto"/>
          <w:sz w:val="24"/>
          <w:szCs w:val="24"/>
          <w:highlight w:val="none"/>
        </w:rPr>
        <w:t>取水目的层上部为</w:t>
      </w:r>
      <w:r>
        <w:rPr>
          <w:rFonts w:hint="eastAsia"/>
          <w:color w:val="auto"/>
          <w:sz w:val="24"/>
          <w:szCs w:val="24"/>
          <w:highlight w:val="none"/>
          <w:lang w:val="en-US" w:eastAsia="zh-CN"/>
        </w:rPr>
        <w:t>1米腐殖土、7</w:t>
      </w:r>
      <w:r>
        <w:rPr>
          <w:rFonts w:hint="eastAsia"/>
          <w:color w:val="auto"/>
          <w:sz w:val="24"/>
          <w:szCs w:val="24"/>
          <w:highlight w:val="none"/>
        </w:rPr>
        <w:t>米黄土、</w:t>
      </w:r>
      <w:r>
        <w:rPr>
          <w:rFonts w:hint="eastAsia"/>
          <w:color w:val="auto"/>
          <w:sz w:val="24"/>
          <w:szCs w:val="24"/>
          <w:highlight w:val="none"/>
          <w:lang w:val="en-US" w:eastAsia="zh-CN"/>
        </w:rPr>
        <w:t>26</w:t>
      </w:r>
      <w:r>
        <w:rPr>
          <w:rFonts w:hint="eastAsia"/>
          <w:color w:val="auto"/>
          <w:sz w:val="24"/>
          <w:szCs w:val="24"/>
          <w:highlight w:val="none"/>
        </w:rPr>
        <w:t>米</w:t>
      </w:r>
      <w:r>
        <w:rPr>
          <w:rFonts w:hint="eastAsia"/>
          <w:color w:val="auto"/>
          <w:sz w:val="24"/>
          <w:szCs w:val="24"/>
          <w:highlight w:val="none"/>
          <w:lang w:eastAsia="zh-CN"/>
        </w:rPr>
        <w:t>粉质粘土、</w:t>
      </w:r>
      <w:r>
        <w:rPr>
          <w:rFonts w:hint="eastAsia"/>
          <w:color w:val="auto"/>
          <w:sz w:val="24"/>
          <w:szCs w:val="24"/>
          <w:highlight w:val="none"/>
          <w:lang w:val="en-US" w:eastAsia="zh-CN"/>
        </w:rPr>
        <w:t>2米砂岩</w:t>
      </w:r>
      <w:r>
        <w:rPr>
          <w:rFonts w:hint="eastAsia"/>
          <w:color w:val="auto"/>
          <w:sz w:val="24"/>
          <w:szCs w:val="24"/>
          <w:highlight w:val="none"/>
        </w:rPr>
        <w:t>，构成稳定隔水顶板，</w:t>
      </w:r>
      <w:r>
        <w:rPr>
          <w:rFonts w:hint="eastAsia"/>
          <w:color w:val="auto"/>
          <w:sz w:val="24"/>
          <w:szCs w:val="24"/>
          <w:highlight w:val="none"/>
          <w:lang w:eastAsia="zh-CN"/>
        </w:rPr>
        <w:t>取水层</w:t>
      </w:r>
      <w:r>
        <w:rPr>
          <w:rFonts w:hint="eastAsia"/>
          <w:color w:val="auto"/>
          <w:sz w:val="24"/>
          <w:szCs w:val="24"/>
          <w:highlight w:val="none"/>
        </w:rPr>
        <w:t>下部</w:t>
      </w:r>
      <w:r>
        <w:rPr>
          <w:rFonts w:hint="eastAsia"/>
          <w:color w:val="auto"/>
          <w:sz w:val="24"/>
          <w:szCs w:val="24"/>
          <w:highlight w:val="none"/>
          <w:lang w:eastAsia="zh-CN"/>
        </w:rPr>
        <w:t>为</w:t>
      </w:r>
      <w:r>
        <w:rPr>
          <w:rFonts w:hint="eastAsia"/>
          <w:color w:val="auto"/>
          <w:sz w:val="24"/>
          <w:szCs w:val="24"/>
          <w:highlight w:val="none"/>
          <w:lang w:val="en-US" w:eastAsia="zh-CN"/>
        </w:rPr>
        <w:t>39米</w:t>
      </w:r>
      <w:r>
        <w:rPr>
          <w:rFonts w:hint="eastAsia"/>
          <w:color w:val="auto"/>
          <w:sz w:val="24"/>
          <w:szCs w:val="24"/>
          <w:highlight w:val="none"/>
          <w:lang w:eastAsia="zh-CN"/>
        </w:rPr>
        <w:t>砂岩、</w:t>
      </w:r>
      <w:r>
        <w:rPr>
          <w:rFonts w:hint="eastAsia"/>
          <w:color w:val="auto"/>
          <w:sz w:val="24"/>
          <w:szCs w:val="24"/>
          <w:highlight w:val="none"/>
          <w:lang w:val="en-US" w:eastAsia="zh-CN"/>
        </w:rPr>
        <w:t>15米</w:t>
      </w:r>
      <w:r>
        <w:rPr>
          <w:rFonts w:hint="eastAsia"/>
          <w:color w:val="auto"/>
          <w:sz w:val="24"/>
          <w:szCs w:val="24"/>
          <w:highlight w:val="none"/>
          <w:lang w:eastAsia="zh-CN"/>
        </w:rPr>
        <w:t>泥岩</w:t>
      </w:r>
      <w:r>
        <w:rPr>
          <w:rFonts w:hint="eastAsia"/>
          <w:color w:val="auto"/>
          <w:sz w:val="24"/>
          <w:szCs w:val="24"/>
          <w:highlight w:val="none"/>
        </w:rPr>
        <w:t>，含水层厚度</w:t>
      </w:r>
      <w:r>
        <w:rPr>
          <w:rFonts w:hint="eastAsia"/>
          <w:color w:val="auto"/>
          <w:sz w:val="24"/>
          <w:szCs w:val="24"/>
          <w:highlight w:val="none"/>
          <w:lang w:val="en-US" w:eastAsia="zh-CN"/>
        </w:rPr>
        <w:t>49</w:t>
      </w:r>
      <w:r>
        <w:rPr>
          <w:color w:val="auto"/>
          <w:sz w:val="24"/>
          <w:szCs w:val="24"/>
          <w:highlight w:val="none"/>
        </w:rPr>
        <w:t>米</w:t>
      </w:r>
      <w:r>
        <w:rPr>
          <w:rFonts w:hint="eastAsia"/>
          <w:color w:val="auto"/>
          <w:sz w:val="24"/>
          <w:szCs w:val="24"/>
          <w:highlight w:val="none"/>
        </w:rPr>
        <w:t>，取水层埋深</w:t>
      </w:r>
      <w:r>
        <w:rPr>
          <w:rFonts w:hint="eastAsia"/>
          <w:color w:val="auto"/>
          <w:sz w:val="24"/>
          <w:szCs w:val="24"/>
          <w:highlight w:val="none"/>
          <w:lang w:val="en-US" w:eastAsia="zh-CN"/>
        </w:rPr>
        <w:t>36</w:t>
      </w:r>
      <w:r>
        <w:rPr>
          <w:rFonts w:hint="eastAsia"/>
          <w:color w:val="auto"/>
          <w:sz w:val="24"/>
          <w:szCs w:val="24"/>
          <w:highlight w:val="none"/>
        </w:rPr>
        <w:t>米。</w:t>
      </w:r>
      <w:r>
        <w:rPr>
          <w:color w:val="auto"/>
          <w:sz w:val="24"/>
          <w:szCs w:val="24"/>
          <w:highlight w:val="none"/>
        </w:rPr>
        <w:t>矿化度小于1克/升</w:t>
      </w:r>
      <w:r>
        <w:rPr>
          <w:rFonts w:hint="eastAsia"/>
          <w:color w:val="auto"/>
          <w:sz w:val="24"/>
          <w:szCs w:val="24"/>
          <w:highlight w:val="none"/>
          <w:lang w:eastAsia="zh-CN"/>
        </w:rPr>
        <w:t>，根据</w:t>
      </w:r>
      <w:r>
        <w:rPr>
          <w:rFonts w:hint="eastAsia" w:ascii="Times New Roman" w:hAnsi="Times New Roman"/>
          <w:color w:val="auto"/>
          <w:sz w:val="24"/>
          <w:szCs w:val="24"/>
          <w:highlight w:val="none"/>
          <w:lang w:val="zh-CN"/>
        </w:rPr>
        <w:t>区域水文地质图，</w:t>
      </w:r>
      <w:r>
        <w:rPr>
          <w:rFonts w:hint="eastAsia"/>
          <w:color w:val="auto"/>
          <w:sz w:val="24"/>
          <w:szCs w:val="24"/>
          <w:highlight w:val="none"/>
        </w:rPr>
        <w:t>地下水流向为自</w:t>
      </w:r>
      <w:r>
        <w:rPr>
          <w:rFonts w:hint="eastAsia"/>
          <w:color w:val="auto"/>
          <w:sz w:val="24"/>
          <w:szCs w:val="24"/>
          <w:highlight w:val="none"/>
          <w:lang w:eastAsia="zh-CN"/>
        </w:rPr>
        <w:t>东南</w:t>
      </w:r>
      <w:r>
        <w:rPr>
          <w:rFonts w:hint="eastAsia"/>
          <w:color w:val="auto"/>
          <w:sz w:val="24"/>
          <w:szCs w:val="24"/>
          <w:highlight w:val="none"/>
        </w:rPr>
        <w:t>向</w:t>
      </w:r>
      <w:r>
        <w:rPr>
          <w:rFonts w:hint="eastAsia"/>
          <w:color w:val="auto"/>
          <w:sz w:val="24"/>
          <w:szCs w:val="24"/>
          <w:highlight w:val="none"/>
          <w:lang w:eastAsia="zh-CN"/>
        </w:rPr>
        <w:t>西北</w:t>
      </w:r>
      <w:r>
        <w:rPr>
          <w:rFonts w:hint="eastAsia"/>
          <w:color w:val="auto"/>
          <w:sz w:val="24"/>
          <w:szCs w:val="24"/>
          <w:highlight w:val="none"/>
        </w:rPr>
        <w:t>。</w:t>
      </w:r>
    </w:p>
    <w:p w14:paraId="2E60F751">
      <w:pPr>
        <w:pStyle w:val="5"/>
        <w:bidi w:val="0"/>
        <w:ind w:firstLine="472" w:firstLineChars="200"/>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（5）绥化市庆安县丰收乡饮用水水源地（取水井3眼）</w:t>
      </w:r>
    </w:p>
    <w:p w14:paraId="634C0365">
      <w:pPr>
        <w:numPr>
          <w:ilvl w:val="0"/>
          <w:numId w:val="0"/>
        </w:numPr>
        <w:ind w:firstLine="472" w:firstLineChars="200"/>
        <w:rPr>
          <w:rFonts w:hint="eastAsia"/>
          <w:color w:val="auto"/>
          <w:sz w:val="24"/>
          <w:szCs w:val="24"/>
          <w:highlight w:val="none"/>
        </w:rPr>
      </w:pPr>
      <w:r>
        <w:rPr>
          <w:rFonts w:hint="eastAsia" w:cs="Times New Roman"/>
          <w:color w:val="auto"/>
          <w:sz w:val="24"/>
          <w:szCs w:val="24"/>
          <w:highlight w:val="none"/>
          <w:lang w:val="en-US" w:eastAsia="zh-CN"/>
        </w:rPr>
        <w:t>1#：</w:t>
      </w:r>
      <w:r>
        <w:rPr>
          <w:rFonts w:hint="eastAsia" w:ascii="Times New Roman" w:hAnsi="Times New Roman" w:eastAsia="宋体" w:cs="Times New Roman"/>
          <w:color w:val="auto"/>
          <w:sz w:val="24"/>
          <w:szCs w:val="24"/>
          <w:highlight w:val="none"/>
          <w:lang w:val="en-US" w:eastAsia="zh-CN"/>
        </w:rPr>
        <w:t>取水目的层为</w:t>
      </w:r>
      <w:r>
        <w:rPr>
          <w:rFonts w:hint="eastAsia" w:ascii="Times New Roman" w:hAnsi="Times New Roman" w:eastAsia="宋体" w:cs="Times New Roman"/>
          <w:color w:val="auto"/>
          <w:sz w:val="24"/>
          <w:szCs w:val="24"/>
          <w:highlight w:val="none"/>
        </w:rPr>
        <w:t>孔隙—裂隙承压水层</w:t>
      </w:r>
      <w:r>
        <w:rPr>
          <w:rFonts w:hint="eastAsia"/>
          <w:color w:val="auto"/>
          <w:sz w:val="24"/>
          <w:szCs w:val="24"/>
          <w:highlight w:val="none"/>
        </w:rPr>
        <w:t>，取水井井深</w:t>
      </w:r>
      <w:r>
        <w:rPr>
          <w:rFonts w:hint="eastAsia"/>
          <w:color w:val="auto"/>
          <w:sz w:val="24"/>
          <w:szCs w:val="24"/>
          <w:highlight w:val="none"/>
          <w:lang w:val="en-US" w:eastAsia="zh-CN"/>
        </w:rPr>
        <w:t>90</w:t>
      </w:r>
      <w:r>
        <w:rPr>
          <w:color w:val="auto"/>
          <w:sz w:val="24"/>
          <w:szCs w:val="24"/>
          <w:highlight w:val="none"/>
        </w:rPr>
        <w:t>米</w:t>
      </w:r>
      <w:r>
        <w:rPr>
          <w:rFonts w:hint="eastAsia"/>
          <w:color w:val="auto"/>
          <w:sz w:val="24"/>
          <w:szCs w:val="24"/>
          <w:highlight w:val="none"/>
          <w:lang w:eastAsia="zh-CN"/>
        </w:rPr>
        <w:t>，</w:t>
      </w:r>
      <w:r>
        <w:rPr>
          <w:rFonts w:hint="eastAsia"/>
          <w:color w:val="auto"/>
          <w:sz w:val="24"/>
          <w:szCs w:val="24"/>
          <w:highlight w:val="none"/>
        </w:rPr>
        <w:t>取水目的层上部为</w:t>
      </w:r>
      <w:r>
        <w:rPr>
          <w:rFonts w:hint="eastAsia"/>
          <w:color w:val="auto"/>
          <w:sz w:val="24"/>
          <w:szCs w:val="24"/>
          <w:highlight w:val="none"/>
          <w:lang w:val="en-US" w:eastAsia="zh-CN"/>
        </w:rPr>
        <w:t>1米腐殖土、15</w:t>
      </w:r>
      <w:r>
        <w:rPr>
          <w:rFonts w:hint="eastAsia"/>
          <w:color w:val="auto"/>
          <w:sz w:val="24"/>
          <w:szCs w:val="24"/>
          <w:highlight w:val="none"/>
        </w:rPr>
        <w:t>米黄土、</w:t>
      </w:r>
      <w:r>
        <w:rPr>
          <w:rFonts w:hint="eastAsia"/>
          <w:color w:val="auto"/>
          <w:sz w:val="24"/>
          <w:szCs w:val="24"/>
          <w:highlight w:val="none"/>
          <w:lang w:val="en-US" w:eastAsia="zh-CN"/>
        </w:rPr>
        <w:t>17</w:t>
      </w:r>
      <w:r>
        <w:rPr>
          <w:rFonts w:hint="eastAsia"/>
          <w:color w:val="auto"/>
          <w:sz w:val="24"/>
          <w:szCs w:val="24"/>
          <w:highlight w:val="none"/>
        </w:rPr>
        <w:t>米</w:t>
      </w:r>
      <w:r>
        <w:rPr>
          <w:rFonts w:hint="eastAsia"/>
          <w:color w:val="auto"/>
          <w:sz w:val="24"/>
          <w:szCs w:val="24"/>
          <w:highlight w:val="none"/>
          <w:lang w:eastAsia="zh-CN"/>
        </w:rPr>
        <w:t>粉质粘土、</w:t>
      </w:r>
      <w:r>
        <w:rPr>
          <w:rFonts w:hint="eastAsia"/>
          <w:color w:val="auto"/>
          <w:sz w:val="24"/>
          <w:szCs w:val="24"/>
          <w:highlight w:val="none"/>
          <w:lang w:val="en-US" w:eastAsia="zh-CN"/>
        </w:rPr>
        <w:t>12米砂岩</w:t>
      </w:r>
      <w:r>
        <w:rPr>
          <w:rFonts w:hint="eastAsia"/>
          <w:color w:val="auto"/>
          <w:sz w:val="24"/>
          <w:szCs w:val="24"/>
          <w:highlight w:val="none"/>
        </w:rPr>
        <w:t>，构成稳定隔水顶板，</w:t>
      </w:r>
      <w:r>
        <w:rPr>
          <w:rFonts w:hint="eastAsia"/>
          <w:color w:val="auto"/>
          <w:sz w:val="24"/>
          <w:szCs w:val="24"/>
          <w:highlight w:val="none"/>
          <w:lang w:eastAsia="zh-CN"/>
        </w:rPr>
        <w:t>取水层</w:t>
      </w:r>
      <w:r>
        <w:rPr>
          <w:rFonts w:hint="eastAsia"/>
          <w:color w:val="auto"/>
          <w:sz w:val="24"/>
          <w:szCs w:val="24"/>
          <w:highlight w:val="none"/>
        </w:rPr>
        <w:t>下部</w:t>
      </w:r>
      <w:r>
        <w:rPr>
          <w:rFonts w:hint="eastAsia"/>
          <w:color w:val="auto"/>
          <w:sz w:val="24"/>
          <w:szCs w:val="24"/>
          <w:highlight w:val="none"/>
          <w:lang w:eastAsia="zh-CN"/>
        </w:rPr>
        <w:t>为</w:t>
      </w:r>
      <w:r>
        <w:rPr>
          <w:rFonts w:hint="eastAsia"/>
          <w:color w:val="auto"/>
          <w:sz w:val="24"/>
          <w:szCs w:val="24"/>
          <w:highlight w:val="none"/>
          <w:lang w:val="en-US" w:eastAsia="zh-CN"/>
        </w:rPr>
        <w:t>40米</w:t>
      </w:r>
      <w:r>
        <w:rPr>
          <w:rFonts w:hint="eastAsia"/>
          <w:color w:val="auto"/>
          <w:sz w:val="24"/>
          <w:szCs w:val="24"/>
          <w:highlight w:val="none"/>
          <w:lang w:eastAsia="zh-CN"/>
        </w:rPr>
        <w:t>砂岩、</w:t>
      </w:r>
      <w:r>
        <w:rPr>
          <w:rFonts w:hint="eastAsia"/>
          <w:color w:val="auto"/>
          <w:sz w:val="24"/>
          <w:szCs w:val="24"/>
          <w:highlight w:val="none"/>
          <w:lang w:val="en-US" w:eastAsia="zh-CN"/>
        </w:rPr>
        <w:t>5米</w:t>
      </w:r>
      <w:r>
        <w:rPr>
          <w:rFonts w:hint="eastAsia"/>
          <w:color w:val="auto"/>
          <w:sz w:val="24"/>
          <w:szCs w:val="24"/>
          <w:highlight w:val="none"/>
          <w:lang w:eastAsia="zh-CN"/>
        </w:rPr>
        <w:t>泥岩</w:t>
      </w:r>
      <w:r>
        <w:rPr>
          <w:rFonts w:hint="eastAsia"/>
          <w:color w:val="auto"/>
          <w:sz w:val="24"/>
          <w:szCs w:val="24"/>
          <w:highlight w:val="none"/>
        </w:rPr>
        <w:t>，含水层厚度</w:t>
      </w:r>
      <w:r>
        <w:rPr>
          <w:rFonts w:hint="eastAsia"/>
          <w:color w:val="auto"/>
          <w:sz w:val="24"/>
          <w:szCs w:val="24"/>
          <w:highlight w:val="none"/>
          <w:lang w:val="en-US" w:eastAsia="zh-CN"/>
        </w:rPr>
        <w:t>40</w:t>
      </w:r>
      <w:r>
        <w:rPr>
          <w:color w:val="auto"/>
          <w:sz w:val="24"/>
          <w:szCs w:val="24"/>
          <w:highlight w:val="none"/>
        </w:rPr>
        <w:t>米</w:t>
      </w:r>
      <w:r>
        <w:rPr>
          <w:rFonts w:hint="eastAsia"/>
          <w:color w:val="auto"/>
          <w:sz w:val="24"/>
          <w:szCs w:val="24"/>
          <w:highlight w:val="none"/>
        </w:rPr>
        <w:t>，取水层埋深</w:t>
      </w:r>
      <w:r>
        <w:rPr>
          <w:rFonts w:hint="eastAsia"/>
          <w:color w:val="auto"/>
          <w:sz w:val="24"/>
          <w:szCs w:val="24"/>
          <w:highlight w:val="none"/>
          <w:lang w:val="en-US" w:eastAsia="zh-CN"/>
        </w:rPr>
        <w:t>45</w:t>
      </w:r>
      <w:r>
        <w:rPr>
          <w:rFonts w:hint="eastAsia"/>
          <w:color w:val="auto"/>
          <w:sz w:val="24"/>
          <w:szCs w:val="24"/>
          <w:highlight w:val="none"/>
        </w:rPr>
        <w:t>米。</w:t>
      </w:r>
      <w:r>
        <w:rPr>
          <w:color w:val="auto"/>
          <w:sz w:val="24"/>
          <w:szCs w:val="24"/>
          <w:highlight w:val="none"/>
        </w:rPr>
        <w:t>矿化度小于1克/升</w:t>
      </w:r>
      <w:r>
        <w:rPr>
          <w:rFonts w:hint="eastAsia"/>
          <w:color w:val="auto"/>
          <w:sz w:val="24"/>
          <w:szCs w:val="24"/>
          <w:highlight w:val="none"/>
          <w:lang w:eastAsia="zh-CN"/>
        </w:rPr>
        <w:t>，根据</w:t>
      </w:r>
      <w:r>
        <w:rPr>
          <w:rFonts w:hint="eastAsia" w:ascii="Times New Roman" w:hAnsi="Times New Roman"/>
          <w:color w:val="auto"/>
          <w:sz w:val="24"/>
          <w:szCs w:val="24"/>
          <w:highlight w:val="none"/>
          <w:lang w:val="zh-CN"/>
        </w:rPr>
        <w:t>区域水文地质图，</w:t>
      </w:r>
      <w:r>
        <w:rPr>
          <w:rFonts w:hint="eastAsia"/>
          <w:color w:val="auto"/>
          <w:sz w:val="24"/>
          <w:szCs w:val="24"/>
          <w:highlight w:val="none"/>
        </w:rPr>
        <w:t>地下水流向为自</w:t>
      </w:r>
      <w:r>
        <w:rPr>
          <w:rFonts w:hint="eastAsia"/>
          <w:color w:val="auto"/>
          <w:sz w:val="24"/>
          <w:szCs w:val="24"/>
          <w:highlight w:val="none"/>
          <w:lang w:eastAsia="zh-CN"/>
        </w:rPr>
        <w:t>东南</w:t>
      </w:r>
      <w:r>
        <w:rPr>
          <w:rFonts w:hint="eastAsia"/>
          <w:color w:val="auto"/>
          <w:sz w:val="24"/>
          <w:szCs w:val="24"/>
          <w:highlight w:val="none"/>
        </w:rPr>
        <w:t>向</w:t>
      </w:r>
      <w:r>
        <w:rPr>
          <w:rFonts w:hint="eastAsia"/>
          <w:color w:val="auto"/>
          <w:sz w:val="24"/>
          <w:szCs w:val="24"/>
          <w:highlight w:val="none"/>
          <w:lang w:eastAsia="zh-CN"/>
        </w:rPr>
        <w:t>西北</w:t>
      </w:r>
      <w:r>
        <w:rPr>
          <w:rFonts w:hint="eastAsia"/>
          <w:color w:val="auto"/>
          <w:sz w:val="24"/>
          <w:szCs w:val="24"/>
          <w:highlight w:val="none"/>
        </w:rPr>
        <w:t>。</w:t>
      </w:r>
    </w:p>
    <w:p w14:paraId="293939AC">
      <w:pPr>
        <w:numPr>
          <w:ilvl w:val="0"/>
          <w:numId w:val="0"/>
        </w:numPr>
        <w:ind w:firstLine="472" w:firstLineChars="200"/>
        <w:rPr>
          <w:rFonts w:hint="eastAsia"/>
          <w:color w:val="auto"/>
          <w:sz w:val="24"/>
          <w:szCs w:val="24"/>
          <w:highlight w:val="none"/>
        </w:rPr>
      </w:pPr>
      <w:r>
        <w:rPr>
          <w:rFonts w:hint="eastAsia" w:cs="Times New Roman"/>
          <w:color w:val="auto"/>
          <w:sz w:val="24"/>
          <w:szCs w:val="24"/>
          <w:highlight w:val="none"/>
          <w:lang w:val="en-US" w:eastAsia="zh-CN"/>
        </w:rPr>
        <w:t>2#：</w:t>
      </w:r>
      <w:r>
        <w:rPr>
          <w:rFonts w:hint="eastAsia" w:ascii="Times New Roman" w:hAnsi="Times New Roman" w:eastAsia="宋体" w:cs="Times New Roman"/>
          <w:color w:val="auto"/>
          <w:sz w:val="24"/>
          <w:szCs w:val="24"/>
          <w:highlight w:val="none"/>
          <w:lang w:val="en-US" w:eastAsia="zh-CN"/>
        </w:rPr>
        <w:t>取水目的层为</w:t>
      </w:r>
      <w:r>
        <w:rPr>
          <w:rFonts w:hint="eastAsia" w:ascii="Times New Roman" w:hAnsi="Times New Roman" w:eastAsia="宋体" w:cs="Times New Roman"/>
          <w:color w:val="auto"/>
          <w:sz w:val="24"/>
          <w:szCs w:val="24"/>
          <w:highlight w:val="none"/>
        </w:rPr>
        <w:t>孔隙—裂隙承压水层</w:t>
      </w:r>
      <w:r>
        <w:rPr>
          <w:rFonts w:hint="eastAsia"/>
          <w:color w:val="auto"/>
          <w:sz w:val="24"/>
          <w:szCs w:val="24"/>
          <w:highlight w:val="none"/>
        </w:rPr>
        <w:t>，取水井井深</w:t>
      </w:r>
      <w:r>
        <w:rPr>
          <w:rFonts w:hint="eastAsia"/>
          <w:color w:val="auto"/>
          <w:sz w:val="24"/>
          <w:szCs w:val="24"/>
          <w:highlight w:val="none"/>
          <w:lang w:val="en-US" w:eastAsia="zh-CN"/>
        </w:rPr>
        <w:t>90</w:t>
      </w:r>
      <w:r>
        <w:rPr>
          <w:color w:val="auto"/>
          <w:sz w:val="24"/>
          <w:szCs w:val="24"/>
          <w:highlight w:val="none"/>
        </w:rPr>
        <w:t>米</w:t>
      </w:r>
      <w:r>
        <w:rPr>
          <w:rFonts w:hint="eastAsia"/>
          <w:color w:val="auto"/>
          <w:sz w:val="24"/>
          <w:szCs w:val="24"/>
          <w:highlight w:val="none"/>
          <w:lang w:eastAsia="zh-CN"/>
        </w:rPr>
        <w:t>，</w:t>
      </w:r>
      <w:r>
        <w:rPr>
          <w:rFonts w:hint="eastAsia"/>
          <w:color w:val="auto"/>
          <w:sz w:val="24"/>
          <w:szCs w:val="24"/>
          <w:highlight w:val="none"/>
        </w:rPr>
        <w:t>取水目的层上部为</w:t>
      </w:r>
      <w:r>
        <w:rPr>
          <w:rFonts w:hint="eastAsia"/>
          <w:color w:val="auto"/>
          <w:sz w:val="24"/>
          <w:szCs w:val="24"/>
          <w:highlight w:val="none"/>
          <w:lang w:val="en-US" w:eastAsia="zh-CN"/>
        </w:rPr>
        <w:t>1米腐殖土、13</w:t>
      </w:r>
      <w:r>
        <w:rPr>
          <w:rFonts w:hint="eastAsia"/>
          <w:color w:val="auto"/>
          <w:sz w:val="24"/>
          <w:szCs w:val="24"/>
          <w:highlight w:val="none"/>
        </w:rPr>
        <w:t>米黄土、</w:t>
      </w:r>
      <w:r>
        <w:rPr>
          <w:rFonts w:hint="eastAsia"/>
          <w:color w:val="auto"/>
          <w:sz w:val="24"/>
          <w:szCs w:val="24"/>
          <w:highlight w:val="none"/>
          <w:lang w:val="en-US" w:eastAsia="zh-CN"/>
        </w:rPr>
        <w:t>29</w:t>
      </w:r>
      <w:r>
        <w:rPr>
          <w:rFonts w:hint="eastAsia"/>
          <w:color w:val="auto"/>
          <w:sz w:val="24"/>
          <w:szCs w:val="24"/>
          <w:highlight w:val="none"/>
        </w:rPr>
        <w:t>米</w:t>
      </w:r>
      <w:r>
        <w:rPr>
          <w:rFonts w:hint="eastAsia"/>
          <w:color w:val="auto"/>
          <w:sz w:val="24"/>
          <w:szCs w:val="24"/>
          <w:highlight w:val="none"/>
          <w:lang w:eastAsia="zh-CN"/>
        </w:rPr>
        <w:t>粉质粘土、</w:t>
      </w:r>
      <w:r>
        <w:rPr>
          <w:rFonts w:hint="eastAsia"/>
          <w:color w:val="auto"/>
          <w:sz w:val="24"/>
          <w:szCs w:val="24"/>
          <w:highlight w:val="none"/>
          <w:lang w:val="en-US" w:eastAsia="zh-CN"/>
        </w:rPr>
        <w:t>2米砂岩</w:t>
      </w:r>
      <w:r>
        <w:rPr>
          <w:rFonts w:hint="eastAsia"/>
          <w:color w:val="auto"/>
          <w:sz w:val="24"/>
          <w:szCs w:val="24"/>
          <w:highlight w:val="none"/>
        </w:rPr>
        <w:t>，构成稳定隔水顶板，</w:t>
      </w:r>
      <w:r>
        <w:rPr>
          <w:rFonts w:hint="eastAsia"/>
          <w:color w:val="auto"/>
          <w:sz w:val="24"/>
          <w:szCs w:val="24"/>
          <w:highlight w:val="none"/>
          <w:lang w:eastAsia="zh-CN"/>
        </w:rPr>
        <w:t>取水层</w:t>
      </w:r>
      <w:r>
        <w:rPr>
          <w:rFonts w:hint="eastAsia"/>
          <w:color w:val="auto"/>
          <w:sz w:val="24"/>
          <w:szCs w:val="24"/>
          <w:highlight w:val="none"/>
        </w:rPr>
        <w:t>下部</w:t>
      </w:r>
      <w:r>
        <w:rPr>
          <w:rFonts w:hint="eastAsia"/>
          <w:color w:val="auto"/>
          <w:sz w:val="24"/>
          <w:szCs w:val="24"/>
          <w:highlight w:val="none"/>
          <w:lang w:eastAsia="zh-CN"/>
        </w:rPr>
        <w:t>为</w:t>
      </w:r>
      <w:r>
        <w:rPr>
          <w:rFonts w:hint="eastAsia"/>
          <w:color w:val="auto"/>
          <w:sz w:val="24"/>
          <w:szCs w:val="24"/>
          <w:highlight w:val="none"/>
          <w:lang w:val="en-US" w:eastAsia="zh-CN"/>
        </w:rPr>
        <w:t>40米</w:t>
      </w:r>
      <w:r>
        <w:rPr>
          <w:rFonts w:hint="eastAsia"/>
          <w:color w:val="auto"/>
          <w:sz w:val="24"/>
          <w:szCs w:val="24"/>
          <w:highlight w:val="none"/>
          <w:lang w:eastAsia="zh-CN"/>
        </w:rPr>
        <w:t>砂岩、</w:t>
      </w:r>
      <w:r>
        <w:rPr>
          <w:rFonts w:hint="eastAsia"/>
          <w:color w:val="auto"/>
          <w:sz w:val="24"/>
          <w:szCs w:val="24"/>
          <w:highlight w:val="none"/>
          <w:lang w:val="en-US" w:eastAsia="zh-CN"/>
        </w:rPr>
        <w:t>5米</w:t>
      </w:r>
      <w:r>
        <w:rPr>
          <w:rFonts w:hint="eastAsia"/>
          <w:color w:val="auto"/>
          <w:sz w:val="24"/>
          <w:szCs w:val="24"/>
          <w:highlight w:val="none"/>
          <w:lang w:eastAsia="zh-CN"/>
        </w:rPr>
        <w:t>泥岩</w:t>
      </w:r>
      <w:r>
        <w:rPr>
          <w:rFonts w:hint="eastAsia"/>
          <w:color w:val="auto"/>
          <w:sz w:val="24"/>
          <w:szCs w:val="24"/>
          <w:highlight w:val="none"/>
        </w:rPr>
        <w:t>，含水层厚度</w:t>
      </w:r>
      <w:r>
        <w:rPr>
          <w:rFonts w:hint="eastAsia"/>
          <w:color w:val="auto"/>
          <w:sz w:val="24"/>
          <w:szCs w:val="24"/>
          <w:highlight w:val="none"/>
          <w:lang w:val="en-US" w:eastAsia="zh-CN"/>
        </w:rPr>
        <w:t>40</w:t>
      </w:r>
      <w:r>
        <w:rPr>
          <w:color w:val="auto"/>
          <w:sz w:val="24"/>
          <w:szCs w:val="24"/>
          <w:highlight w:val="none"/>
        </w:rPr>
        <w:t>米</w:t>
      </w:r>
      <w:r>
        <w:rPr>
          <w:rFonts w:hint="eastAsia"/>
          <w:color w:val="auto"/>
          <w:sz w:val="24"/>
          <w:szCs w:val="24"/>
          <w:highlight w:val="none"/>
        </w:rPr>
        <w:t>，取水层埋深</w:t>
      </w:r>
      <w:r>
        <w:rPr>
          <w:rFonts w:hint="eastAsia"/>
          <w:color w:val="auto"/>
          <w:sz w:val="24"/>
          <w:szCs w:val="24"/>
          <w:highlight w:val="none"/>
          <w:lang w:val="en-US" w:eastAsia="zh-CN"/>
        </w:rPr>
        <w:t>45</w:t>
      </w:r>
      <w:r>
        <w:rPr>
          <w:rFonts w:hint="eastAsia"/>
          <w:color w:val="auto"/>
          <w:sz w:val="24"/>
          <w:szCs w:val="24"/>
          <w:highlight w:val="none"/>
        </w:rPr>
        <w:t>米。</w:t>
      </w:r>
      <w:r>
        <w:rPr>
          <w:color w:val="auto"/>
          <w:sz w:val="24"/>
          <w:szCs w:val="24"/>
          <w:highlight w:val="none"/>
        </w:rPr>
        <w:t>矿化度小于1克/升</w:t>
      </w:r>
      <w:r>
        <w:rPr>
          <w:rFonts w:hint="eastAsia"/>
          <w:color w:val="auto"/>
          <w:sz w:val="24"/>
          <w:szCs w:val="24"/>
          <w:highlight w:val="none"/>
          <w:lang w:eastAsia="zh-CN"/>
        </w:rPr>
        <w:t>，根据</w:t>
      </w:r>
      <w:r>
        <w:rPr>
          <w:rFonts w:hint="eastAsia" w:ascii="Times New Roman" w:hAnsi="Times New Roman"/>
          <w:color w:val="auto"/>
          <w:sz w:val="24"/>
          <w:szCs w:val="24"/>
          <w:highlight w:val="none"/>
          <w:lang w:val="zh-CN"/>
        </w:rPr>
        <w:t>区域水文地质图，</w:t>
      </w:r>
      <w:r>
        <w:rPr>
          <w:rFonts w:hint="eastAsia"/>
          <w:color w:val="auto"/>
          <w:sz w:val="24"/>
          <w:szCs w:val="24"/>
          <w:highlight w:val="none"/>
        </w:rPr>
        <w:t>地下水流向为自</w:t>
      </w:r>
      <w:r>
        <w:rPr>
          <w:rFonts w:hint="eastAsia"/>
          <w:color w:val="auto"/>
          <w:sz w:val="24"/>
          <w:szCs w:val="24"/>
          <w:highlight w:val="none"/>
          <w:lang w:eastAsia="zh-CN"/>
        </w:rPr>
        <w:t>东南</w:t>
      </w:r>
      <w:r>
        <w:rPr>
          <w:rFonts w:hint="eastAsia"/>
          <w:color w:val="auto"/>
          <w:sz w:val="24"/>
          <w:szCs w:val="24"/>
          <w:highlight w:val="none"/>
        </w:rPr>
        <w:t>向</w:t>
      </w:r>
      <w:r>
        <w:rPr>
          <w:rFonts w:hint="eastAsia"/>
          <w:color w:val="auto"/>
          <w:sz w:val="24"/>
          <w:szCs w:val="24"/>
          <w:highlight w:val="none"/>
          <w:lang w:eastAsia="zh-CN"/>
        </w:rPr>
        <w:t>西北</w:t>
      </w:r>
      <w:r>
        <w:rPr>
          <w:rFonts w:hint="eastAsia"/>
          <w:color w:val="auto"/>
          <w:sz w:val="24"/>
          <w:szCs w:val="24"/>
          <w:highlight w:val="none"/>
        </w:rPr>
        <w:t>。</w:t>
      </w:r>
    </w:p>
    <w:p w14:paraId="659AFFF4">
      <w:pPr>
        <w:numPr>
          <w:ilvl w:val="0"/>
          <w:numId w:val="0"/>
        </w:numPr>
        <w:ind w:firstLine="472" w:firstLineChars="200"/>
        <w:rPr>
          <w:rFonts w:hint="eastAsia"/>
          <w:color w:val="auto"/>
          <w:sz w:val="24"/>
          <w:szCs w:val="24"/>
          <w:highlight w:val="none"/>
        </w:rPr>
      </w:pPr>
      <w:r>
        <w:rPr>
          <w:rFonts w:hint="eastAsia" w:cs="Times New Roman"/>
          <w:color w:val="auto"/>
          <w:sz w:val="24"/>
          <w:szCs w:val="24"/>
          <w:highlight w:val="none"/>
          <w:lang w:val="en-US" w:eastAsia="zh-CN"/>
        </w:rPr>
        <w:t>3#：</w:t>
      </w:r>
      <w:r>
        <w:rPr>
          <w:rFonts w:hint="eastAsia" w:ascii="Times New Roman" w:hAnsi="Times New Roman" w:eastAsia="宋体" w:cs="Times New Roman"/>
          <w:color w:val="auto"/>
          <w:sz w:val="24"/>
          <w:szCs w:val="24"/>
          <w:highlight w:val="none"/>
          <w:lang w:val="en-US" w:eastAsia="zh-CN"/>
        </w:rPr>
        <w:t>取水目的层为</w:t>
      </w:r>
      <w:r>
        <w:rPr>
          <w:rFonts w:hint="eastAsia" w:ascii="Times New Roman" w:hAnsi="Times New Roman" w:eastAsia="宋体" w:cs="Times New Roman"/>
          <w:color w:val="auto"/>
          <w:sz w:val="24"/>
          <w:szCs w:val="24"/>
          <w:highlight w:val="none"/>
        </w:rPr>
        <w:t>孔隙—裂隙承压水层</w:t>
      </w:r>
      <w:r>
        <w:rPr>
          <w:rFonts w:hint="eastAsia"/>
          <w:color w:val="auto"/>
          <w:sz w:val="24"/>
          <w:szCs w:val="24"/>
          <w:highlight w:val="none"/>
        </w:rPr>
        <w:t>，取水井井深</w:t>
      </w:r>
      <w:r>
        <w:rPr>
          <w:rFonts w:hint="eastAsia"/>
          <w:color w:val="auto"/>
          <w:sz w:val="24"/>
          <w:szCs w:val="24"/>
          <w:highlight w:val="none"/>
          <w:lang w:val="en-US" w:eastAsia="zh-CN"/>
        </w:rPr>
        <w:t>90</w:t>
      </w:r>
      <w:r>
        <w:rPr>
          <w:color w:val="auto"/>
          <w:sz w:val="24"/>
          <w:szCs w:val="24"/>
          <w:highlight w:val="none"/>
        </w:rPr>
        <w:t>米</w:t>
      </w:r>
      <w:r>
        <w:rPr>
          <w:rFonts w:hint="eastAsia"/>
          <w:color w:val="auto"/>
          <w:sz w:val="24"/>
          <w:szCs w:val="24"/>
          <w:highlight w:val="none"/>
          <w:lang w:eastAsia="zh-CN"/>
        </w:rPr>
        <w:t>，</w:t>
      </w:r>
      <w:r>
        <w:rPr>
          <w:rFonts w:hint="eastAsia"/>
          <w:color w:val="auto"/>
          <w:sz w:val="24"/>
          <w:szCs w:val="24"/>
          <w:highlight w:val="none"/>
        </w:rPr>
        <w:t>取水目的层上部为</w:t>
      </w:r>
      <w:r>
        <w:rPr>
          <w:rFonts w:hint="eastAsia"/>
          <w:color w:val="auto"/>
          <w:sz w:val="24"/>
          <w:szCs w:val="24"/>
          <w:highlight w:val="none"/>
          <w:lang w:val="en-US" w:eastAsia="zh-CN"/>
        </w:rPr>
        <w:t>1米腐殖土、15</w:t>
      </w:r>
      <w:r>
        <w:rPr>
          <w:rFonts w:hint="eastAsia"/>
          <w:color w:val="auto"/>
          <w:sz w:val="24"/>
          <w:szCs w:val="24"/>
          <w:highlight w:val="none"/>
        </w:rPr>
        <w:t>米黄土、</w:t>
      </w:r>
      <w:r>
        <w:rPr>
          <w:rFonts w:hint="eastAsia"/>
          <w:color w:val="auto"/>
          <w:sz w:val="24"/>
          <w:szCs w:val="24"/>
          <w:highlight w:val="none"/>
          <w:lang w:val="en-US" w:eastAsia="zh-CN"/>
        </w:rPr>
        <w:t>28</w:t>
      </w:r>
      <w:r>
        <w:rPr>
          <w:rFonts w:hint="eastAsia"/>
          <w:color w:val="auto"/>
          <w:sz w:val="24"/>
          <w:szCs w:val="24"/>
          <w:highlight w:val="none"/>
        </w:rPr>
        <w:t>米</w:t>
      </w:r>
      <w:r>
        <w:rPr>
          <w:rFonts w:hint="eastAsia"/>
          <w:color w:val="auto"/>
          <w:sz w:val="24"/>
          <w:szCs w:val="24"/>
          <w:highlight w:val="none"/>
          <w:lang w:eastAsia="zh-CN"/>
        </w:rPr>
        <w:t>粉质粘土、</w:t>
      </w:r>
      <w:r>
        <w:rPr>
          <w:rFonts w:hint="eastAsia"/>
          <w:color w:val="auto"/>
          <w:sz w:val="24"/>
          <w:szCs w:val="24"/>
          <w:highlight w:val="none"/>
          <w:lang w:val="en-US" w:eastAsia="zh-CN"/>
        </w:rPr>
        <w:t>1米砂岩</w:t>
      </w:r>
      <w:r>
        <w:rPr>
          <w:rFonts w:hint="eastAsia"/>
          <w:color w:val="auto"/>
          <w:sz w:val="24"/>
          <w:szCs w:val="24"/>
          <w:highlight w:val="none"/>
        </w:rPr>
        <w:t>，构成稳定隔水顶板，</w:t>
      </w:r>
      <w:r>
        <w:rPr>
          <w:rFonts w:hint="eastAsia"/>
          <w:color w:val="auto"/>
          <w:sz w:val="24"/>
          <w:szCs w:val="24"/>
          <w:highlight w:val="none"/>
          <w:lang w:eastAsia="zh-CN"/>
        </w:rPr>
        <w:t>取水层</w:t>
      </w:r>
      <w:r>
        <w:rPr>
          <w:rFonts w:hint="eastAsia"/>
          <w:color w:val="auto"/>
          <w:sz w:val="24"/>
          <w:szCs w:val="24"/>
          <w:highlight w:val="none"/>
        </w:rPr>
        <w:t>下部</w:t>
      </w:r>
      <w:r>
        <w:rPr>
          <w:rFonts w:hint="eastAsia"/>
          <w:color w:val="auto"/>
          <w:sz w:val="24"/>
          <w:szCs w:val="24"/>
          <w:highlight w:val="none"/>
          <w:lang w:eastAsia="zh-CN"/>
        </w:rPr>
        <w:t>为</w:t>
      </w:r>
      <w:r>
        <w:rPr>
          <w:rFonts w:hint="eastAsia"/>
          <w:color w:val="auto"/>
          <w:sz w:val="24"/>
          <w:szCs w:val="24"/>
          <w:highlight w:val="none"/>
          <w:lang w:val="en-US" w:eastAsia="zh-CN"/>
        </w:rPr>
        <w:t>40米</w:t>
      </w:r>
      <w:r>
        <w:rPr>
          <w:rFonts w:hint="eastAsia"/>
          <w:color w:val="auto"/>
          <w:sz w:val="24"/>
          <w:szCs w:val="24"/>
          <w:highlight w:val="none"/>
          <w:lang w:eastAsia="zh-CN"/>
        </w:rPr>
        <w:t>砂岩、</w:t>
      </w:r>
      <w:r>
        <w:rPr>
          <w:rFonts w:hint="eastAsia"/>
          <w:color w:val="auto"/>
          <w:sz w:val="24"/>
          <w:szCs w:val="24"/>
          <w:highlight w:val="none"/>
          <w:lang w:val="en-US" w:eastAsia="zh-CN"/>
        </w:rPr>
        <w:t>5米</w:t>
      </w:r>
      <w:r>
        <w:rPr>
          <w:rFonts w:hint="eastAsia"/>
          <w:color w:val="auto"/>
          <w:sz w:val="24"/>
          <w:szCs w:val="24"/>
          <w:highlight w:val="none"/>
          <w:lang w:eastAsia="zh-CN"/>
        </w:rPr>
        <w:t>泥岩</w:t>
      </w:r>
      <w:r>
        <w:rPr>
          <w:rFonts w:hint="eastAsia"/>
          <w:color w:val="auto"/>
          <w:sz w:val="24"/>
          <w:szCs w:val="24"/>
          <w:highlight w:val="none"/>
        </w:rPr>
        <w:t>，含水层厚度</w:t>
      </w:r>
      <w:r>
        <w:rPr>
          <w:rFonts w:hint="eastAsia"/>
          <w:color w:val="auto"/>
          <w:sz w:val="24"/>
          <w:szCs w:val="24"/>
          <w:highlight w:val="none"/>
          <w:lang w:val="en-US" w:eastAsia="zh-CN"/>
        </w:rPr>
        <w:t>40</w:t>
      </w:r>
      <w:r>
        <w:rPr>
          <w:color w:val="auto"/>
          <w:sz w:val="24"/>
          <w:szCs w:val="24"/>
          <w:highlight w:val="none"/>
        </w:rPr>
        <w:t>米</w:t>
      </w:r>
      <w:r>
        <w:rPr>
          <w:rFonts w:hint="eastAsia"/>
          <w:color w:val="auto"/>
          <w:sz w:val="24"/>
          <w:szCs w:val="24"/>
          <w:highlight w:val="none"/>
        </w:rPr>
        <w:t>，取水层埋深</w:t>
      </w:r>
      <w:r>
        <w:rPr>
          <w:rFonts w:hint="eastAsia"/>
          <w:color w:val="auto"/>
          <w:sz w:val="24"/>
          <w:szCs w:val="24"/>
          <w:highlight w:val="none"/>
          <w:lang w:val="en-US" w:eastAsia="zh-CN"/>
        </w:rPr>
        <w:t>45</w:t>
      </w:r>
      <w:r>
        <w:rPr>
          <w:rFonts w:hint="eastAsia"/>
          <w:color w:val="auto"/>
          <w:sz w:val="24"/>
          <w:szCs w:val="24"/>
          <w:highlight w:val="none"/>
        </w:rPr>
        <w:t>米。</w:t>
      </w:r>
      <w:r>
        <w:rPr>
          <w:color w:val="auto"/>
          <w:sz w:val="24"/>
          <w:szCs w:val="24"/>
          <w:highlight w:val="none"/>
        </w:rPr>
        <w:t>矿化度小于1克/升</w:t>
      </w:r>
      <w:r>
        <w:rPr>
          <w:rFonts w:hint="eastAsia"/>
          <w:color w:val="auto"/>
          <w:sz w:val="24"/>
          <w:szCs w:val="24"/>
          <w:highlight w:val="none"/>
          <w:lang w:eastAsia="zh-CN"/>
        </w:rPr>
        <w:t>，根据</w:t>
      </w:r>
      <w:r>
        <w:rPr>
          <w:rFonts w:hint="eastAsia" w:ascii="Times New Roman" w:hAnsi="Times New Roman"/>
          <w:color w:val="auto"/>
          <w:sz w:val="24"/>
          <w:szCs w:val="24"/>
          <w:highlight w:val="none"/>
          <w:lang w:val="zh-CN"/>
        </w:rPr>
        <w:t>区域水文地质图，</w:t>
      </w:r>
      <w:r>
        <w:rPr>
          <w:rFonts w:hint="eastAsia"/>
          <w:color w:val="auto"/>
          <w:sz w:val="24"/>
          <w:szCs w:val="24"/>
          <w:highlight w:val="none"/>
        </w:rPr>
        <w:t>地下水流向为自</w:t>
      </w:r>
      <w:r>
        <w:rPr>
          <w:rFonts w:hint="eastAsia"/>
          <w:color w:val="auto"/>
          <w:sz w:val="24"/>
          <w:szCs w:val="24"/>
          <w:highlight w:val="none"/>
          <w:lang w:eastAsia="zh-CN"/>
        </w:rPr>
        <w:t>东南</w:t>
      </w:r>
      <w:r>
        <w:rPr>
          <w:rFonts w:hint="eastAsia"/>
          <w:color w:val="auto"/>
          <w:sz w:val="24"/>
          <w:szCs w:val="24"/>
          <w:highlight w:val="none"/>
        </w:rPr>
        <w:t>向</w:t>
      </w:r>
      <w:r>
        <w:rPr>
          <w:rFonts w:hint="eastAsia"/>
          <w:color w:val="auto"/>
          <w:sz w:val="24"/>
          <w:szCs w:val="24"/>
          <w:highlight w:val="none"/>
          <w:lang w:eastAsia="zh-CN"/>
        </w:rPr>
        <w:t>西北</w:t>
      </w:r>
      <w:r>
        <w:rPr>
          <w:rFonts w:hint="eastAsia"/>
          <w:color w:val="auto"/>
          <w:sz w:val="24"/>
          <w:szCs w:val="24"/>
          <w:highlight w:val="none"/>
        </w:rPr>
        <w:t>。</w:t>
      </w:r>
    </w:p>
    <w:p w14:paraId="4C8C7761">
      <w:pPr>
        <w:pStyle w:val="5"/>
        <w:bidi w:val="0"/>
        <w:ind w:firstLine="472" w:firstLineChars="200"/>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（6）绥化市庆安县平安镇饮用水水源地（取水井2眼）</w:t>
      </w:r>
    </w:p>
    <w:p w14:paraId="51A8A5DF">
      <w:pPr>
        <w:numPr>
          <w:ilvl w:val="0"/>
          <w:numId w:val="0"/>
        </w:numPr>
        <w:ind w:firstLine="472" w:firstLineChars="200"/>
        <w:rPr>
          <w:rFonts w:hint="eastAsia"/>
          <w:color w:val="auto"/>
          <w:sz w:val="24"/>
          <w:szCs w:val="24"/>
          <w:highlight w:val="none"/>
        </w:rPr>
      </w:pPr>
      <w:r>
        <w:rPr>
          <w:rFonts w:hint="eastAsia"/>
          <w:color w:val="auto"/>
          <w:sz w:val="24"/>
          <w:szCs w:val="24"/>
          <w:highlight w:val="none"/>
          <w:lang w:val="en-US" w:eastAsia="zh-CN"/>
        </w:rPr>
        <w:t>1#</w:t>
      </w:r>
      <w:r>
        <w:rPr>
          <w:rFonts w:hint="eastAsia"/>
          <w:color w:val="auto"/>
          <w:sz w:val="24"/>
          <w:szCs w:val="24"/>
          <w:highlight w:val="none"/>
          <w:lang w:eastAsia="zh-CN"/>
        </w:rPr>
        <w:t>：</w:t>
      </w:r>
      <w:r>
        <w:rPr>
          <w:rFonts w:hint="eastAsia" w:ascii="Times New Roman" w:hAnsi="Times New Roman" w:eastAsia="宋体" w:cs="Times New Roman"/>
          <w:color w:val="auto"/>
          <w:highlight w:val="none"/>
          <w:lang w:val="en-US" w:eastAsia="zh-CN"/>
        </w:rPr>
        <w:t>取水目的层为孔隙承压水层和孔隙—裂隙承压水层</w:t>
      </w:r>
      <w:r>
        <w:rPr>
          <w:rFonts w:hint="eastAsia"/>
          <w:color w:val="auto"/>
          <w:sz w:val="24"/>
          <w:szCs w:val="24"/>
          <w:highlight w:val="none"/>
          <w:lang w:eastAsia="zh-CN"/>
        </w:rPr>
        <w:t>，</w:t>
      </w:r>
      <w:r>
        <w:rPr>
          <w:rFonts w:hint="eastAsia"/>
          <w:color w:val="auto"/>
          <w:sz w:val="24"/>
          <w:szCs w:val="24"/>
          <w:highlight w:val="none"/>
        </w:rPr>
        <w:t>取水井井深</w:t>
      </w:r>
      <w:r>
        <w:rPr>
          <w:rFonts w:hint="eastAsia"/>
          <w:color w:val="auto"/>
          <w:sz w:val="24"/>
          <w:szCs w:val="24"/>
          <w:highlight w:val="none"/>
          <w:lang w:val="en-US" w:eastAsia="zh-CN"/>
        </w:rPr>
        <w:t>60</w:t>
      </w:r>
      <w:r>
        <w:rPr>
          <w:color w:val="auto"/>
          <w:sz w:val="24"/>
          <w:szCs w:val="24"/>
          <w:highlight w:val="none"/>
        </w:rPr>
        <w:t>米</w:t>
      </w:r>
      <w:r>
        <w:rPr>
          <w:rFonts w:hint="eastAsia"/>
          <w:color w:val="auto"/>
          <w:sz w:val="24"/>
          <w:szCs w:val="24"/>
          <w:highlight w:val="none"/>
          <w:lang w:eastAsia="zh-CN"/>
        </w:rPr>
        <w:t>，</w:t>
      </w:r>
      <w:r>
        <w:rPr>
          <w:rFonts w:hint="eastAsia"/>
          <w:color w:val="auto"/>
          <w:sz w:val="24"/>
          <w:szCs w:val="24"/>
          <w:highlight w:val="none"/>
        </w:rPr>
        <w:t>取水目的层上部为</w:t>
      </w:r>
      <w:r>
        <w:rPr>
          <w:rFonts w:hint="eastAsia"/>
          <w:color w:val="auto"/>
          <w:sz w:val="24"/>
          <w:szCs w:val="24"/>
          <w:highlight w:val="none"/>
          <w:lang w:val="en-US" w:eastAsia="zh-CN"/>
        </w:rPr>
        <w:t>1.5米腐殖土、6</w:t>
      </w:r>
      <w:r>
        <w:rPr>
          <w:rFonts w:hint="eastAsia"/>
          <w:color w:val="auto"/>
          <w:sz w:val="24"/>
          <w:szCs w:val="24"/>
          <w:highlight w:val="none"/>
        </w:rPr>
        <w:t>米黄土、</w:t>
      </w:r>
      <w:r>
        <w:rPr>
          <w:rFonts w:hint="eastAsia"/>
          <w:color w:val="auto"/>
          <w:sz w:val="24"/>
          <w:szCs w:val="24"/>
          <w:highlight w:val="none"/>
          <w:lang w:val="en-US" w:eastAsia="zh-CN"/>
        </w:rPr>
        <w:t>15</w:t>
      </w:r>
      <w:r>
        <w:rPr>
          <w:rFonts w:hint="eastAsia"/>
          <w:color w:val="auto"/>
          <w:sz w:val="24"/>
          <w:szCs w:val="24"/>
          <w:highlight w:val="none"/>
        </w:rPr>
        <w:t>米</w:t>
      </w:r>
      <w:r>
        <w:rPr>
          <w:rFonts w:hint="eastAsia"/>
          <w:color w:val="auto"/>
          <w:sz w:val="24"/>
          <w:szCs w:val="24"/>
          <w:highlight w:val="none"/>
          <w:lang w:eastAsia="zh-CN"/>
        </w:rPr>
        <w:t>粉质粘土、</w:t>
      </w:r>
      <w:r>
        <w:rPr>
          <w:rFonts w:hint="eastAsia"/>
          <w:color w:val="auto"/>
          <w:sz w:val="24"/>
          <w:szCs w:val="24"/>
          <w:highlight w:val="none"/>
          <w:lang w:val="en-US" w:eastAsia="zh-CN"/>
        </w:rPr>
        <w:t>13.5米砂岩</w:t>
      </w:r>
      <w:r>
        <w:rPr>
          <w:rFonts w:hint="eastAsia"/>
          <w:color w:val="auto"/>
          <w:sz w:val="24"/>
          <w:szCs w:val="24"/>
          <w:highlight w:val="none"/>
        </w:rPr>
        <w:t>，构成稳定隔水顶板，</w:t>
      </w:r>
      <w:r>
        <w:rPr>
          <w:rFonts w:hint="eastAsia"/>
          <w:color w:val="auto"/>
          <w:sz w:val="24"/>
          <w:szCs w:val="24"/>
          <w:highlight w:val="none"/>
          <w:lang w:eastAsia="zh-CN"/>
        </w:rPr>
        <w:t>取水层</w:t>
      </w:r>
      <w:r>
        <w:rPr>
          <w:rFonts w:hint="eastAsia"/>
          <w:color w:val="auto"/>
          <w:sz w:val="24"/>
          <w:szCs w:val="24"/>
          <w:highlight w:val="none"/>
        </w:rPr>
        <w:t>下部</w:t>
      </w:r>
      <w:r>
        <w:rPr>
          <w:rFonts w:hint="eastAsia"/>
          <w:color w:val="auto"/>
          <w:sz w:val="24"/>
          <w:szCs w:val="24"/>
          <w:highlight w:val="none"/>
          <w:lang w:eastAsia="zh-CN"/>
        </w:rPr>
        <w:t>为</w:t>
      </w:r>
      <w:r>
        <w:rPr>
          <w:rFonts w:hint="eastAsia"/>
          <w:color w:val="auto"/>
          <w:sz w:val="24"/>
          <w:szCs w:val="24"/>
          <w:highlight w:val="none"/>
          <w:lang w:val="en-US" w:eastAsia="zh-CN"/>
        </w:rPr>
        <w:t>19米</w:t>
      </w:r>
      <w:r>
        <w:rPr>
          <w:rFonts w:hint="eastAsia"/>
          <w:color w:val="auto"/>
          <w:sz w:val="24"/>
          <w:szCs w:val="24"/>
          <w:highlight w:val="none"/>
          <w:lang w:eastAsia="zh-CN"/>
        </w:rPr>
        <w:t>砂岩、</w:t>
      </w:r>
      <w:r>
        <w:rPr>
          <w:rFonts w:hint="eastAsia"/>
          <w:color w:val="auto"/>
          <w:sz w:val="24"/>
          <w:szCs w:val="24"/>
          <w:highlight w:val="none"/>
          <w:lang w:val="en-US" w:eastAsia="zh-CN"/>
        </w:rPr>
        <w:t>5米</w:t>
      </w:r>
      <w:r>
        <w:rPr>
          <w:rFonts w:hint="eastAsia"/>
          <w:color w:val="auto"/>
          <w:sz w:val="24"/>
          <w:szCs w:val="24"/>
          <w:highlight w:val="none"/>
          <w:lang w:eastAsia="zh-CN"/>
        </w:rPr>
        <w:t>泥岩</w:t>
      </w:r>
      <w:r>
        <w:rPr>
          <w:rFonts w:hint="eastAsia"/>
          <w:color w:val="auto"/>
          <w:sz w:val="24"/>
          <w:szCs w:val="24"/>
          <w:highlight w:val="none"/>
        </w:rPr>
        <w:t>，含水层厚度</w:t>
      </w:r>
      <w:r>
        <w:rPr>
          <w:rFonts w:hint="eastAsia"/>
          <w:color w:val="auto"/>
          <w:sz w:val="24"/>
          <w:szCs w:val="24"/>
          <w:highlight w:val="none"/>
          <w:lang w:val="en-US" w:eastAsia="zh-CN"/>
        </w:rPr>
        <w:t>19</w:t>
      </w:r>
      <w:r>
        <w:rPr>
          <w:color w:val="auto"/>
          <w:sz w:val="24"/>
          <w:szCs w:val="24"/>
          <w:highlight w:val="none"/>
        </w:rPr>
        <w:t>米</w:t>
      </w:r>
      <w:r>
        <w:rPr>
          <w:rFonts w:hint="eastAsia"/>
          <w:color w:val="auto"/>
          <w:sz w:val="24"/>
          <w:szCs w:val="24"/>
          <w:highlight w:val="none"/>
        </w:rPr>
        <w:t>，取水层埋深</w:t>
      </w:r>
      <w:r>
        <w:rPr>
          <w:rFonts w:hint="eastAsia"/>
          <w:color w:val="auto"/>
          <w:sz w:val="24"/>
          <w:szCs w:val="24"/>
          <w:highlight w:val="none"/>
          <w:lang w:val="en-US" w:eastAsia="zh-CN"/>
        </w:rPr>
        <w:t>36</w:t>
      </w:r>
      <w:r>
        <w:rPr>
          <w:rFonts w:hint="eastAsia"/>
          <w:color w:val="auto"/>
          <w:sz w:val="24"/>
          <w:szCs w:val="24"/>
          <w:highlight w:val="none"/>
        </w:rPr>
        <w:t>米。</w:t>
      </w:r>
      <w:r>
        <w:rPr>
          <w:color w:val="auto"/>
          <w:sz w:val="24"/>
          <w:szCs w:val="24"/>
          <w:highlight w:val="none"/>
        </w:rPr>
        <w:t>矿化度小于1克/升</w:t>
      </w:r>
      <w:r>
        <w:rPr>
          <w:rFonts w:hint="eastAsia"/>
          <w:color w:val="auto"/>
          <w:sz w:val="24"/>
          <w:szCs w:val="24"/>
          <w:highlight w:val="none"/>
          <w:lang w:eastAsia="zh-CN"/>
        </w:rPr>
        <w:t>，根据</w:t>
      </w:r>
      <w:r>
        <w:rPr>
          <w:rFonts w:hint="eastAsia" w:ascii="Times New Roman" w:hAnsi="Times New Roman"/>
          <w:color w:val="auto"/>
          <w:sz w:val="24"/>
          <w:szCs w:val="24"/>
          <w:highlight w:val="none"/>
          <w:lang w:val="zh-CN"/>
        </w:rPr>
        <w:t>区域水文地质图，</w:t>
      </w:r>
      <w:r>
        <w:rPr>
          <w:rFonts w:hint="eastAsia"/>
          <w:color w:val="auto"/>
          <w:sz w:val="24"/>
          <w:szCs w:val="24"/>
          <w:highlight w:val="none"/>
        </w:rPr>
        <w:t>地下水流向为自</w:t>
      </w:r>
      <w:r>
        <w:rPr>
          <w:rFonts w:hint="eastAsia"/>
          <w:color w:val="auto"/>
          <w:sz w:val="24"/>
          <w:szCs w:val="24"/>
          <w:highlight w:val="none"/>
          <w:lang w:eastAsia="zh-CN"/>
        </w:rPr>
        <w:t>东南</w:t>
      </w:r>
      <w:r>
        <w:rPr>
          <w:rFonts w:hint="eastAsia"/>
          <w:color w:val="auto"/>
          <w:sz w:val="24"/>
          <w:szCs w:val="24"/>
          <w:highlight w:val="none"/>
        </w:rPr>
        <w:t>向</w:t>
      </w:r>
      <w:r>
        <w:rPr>
          <w:rFonts w:hint="eastAsia"/>
          <w:color w:val="auto"/>
          <w:sz w:val="24"/>
          <w:szCs w:val="24"/>
          <w:highlight w:val="none"/>
          <w:lang w:eastAsia="zh-CN"/>
        </w:rPr>
        <w:t>西北</w:t>
      </w:r>
      <w:r>
        <w:rPr>
          <w:rFonts w:hint="eastAsia"/>
          <w:color w:val="auto"/>
          <w:sz w:val="24"/>
          <w:szCs w:val="24"/>
          <w:highlight w:val="none"/>
        </w:rPr>
        <w:t>。</w:t>
      </w:r>
    </w:p>
    <w:p w14:paraId="1CA662DF">
      <w:pPr>
        <w:numPr>
          <w:ilvl w:val="0"/>
          <w:numId w:val="0"/>
        </w:numPr>
        <w:ind w:firstLine="472" w:firstLineChars="200"/>
        <w:rPr>
          <w:rFonts w:hint="eastAsia"/>
          <w:color w:val="auto"/>
          <w:highlight w:val="none"/>
          <w:lang w:eastAsia="zh-CN"/>
        </w:rPr>
      </w:pPr>
      <w:r>
        <w:rPr>
          <w:rFonts w:hint="eastAsia"/>
          <w:color w:val="auto"/>
          <w:sz w:val="24"/>
          <w:szCs w:val="24"/>
          <w:highlight w:val="none"/>
          <w:lang w:val="en-US" w:eastAsia="zh-CN"/>
        </w:rPr>
        <w:t>2#</w:t>
      </w:r>
      <w:r>
        <w:rPr>
          <w:rFonts w:hint="eastAsia"/>
          <w:color w:val="auto"/>
          <w:sz w:val="24"/>
          <w:szCs w:val="24"/>
          <w:highlight w:val="none"/>
          <w:lang w:eastAsia="zh-CN"/>
        </w:rPr>
        <w:t>：</w:t>
      </w:r>
      <w:r>
        <w:rPr>
          <w:rFonts w:hint="eastAsia" w:ascii="Times New Roman" w:hAnsi="Times New Roman" w:eastAsia="宋体" w:cs="Times New Roman"/>
          <w:color w:val="auto"/>
          <w:highlight w:val="none"/>
          <w:lang w:val="en-US" w:eastAsia="zh-CN"/>
        </w:rPr>
        <w:t>取水目的层为孔隙承压水层和孔隙—裂隙承压水层</w:t>
      </w:r>
      <w:r>
        <w:rPr>
          <w:rFonts w:hint="eastAsia"/>
          <w:color w:val="auto"/>
          <w:sz w:val="24"/>
          <w:szCs w:val="24"/>
          <w:highlight w:val="none"/>
          <w:lang w:eastAsia="zh-CN"/>
        </w:rPr>
        <w:t>，</w:t>
      </w:r>
      <w:r>
        <w:rPr>
          <w:rFonts w:hint="eastAsia"/>
          <w:color w:val="auto"/>
          <w:sz w:val="24"/>
          <w:szCs w:val="24"/>
          <w:highlight w:val="none"/>
        </w:rPr>
        <w:t>取水井井深</w:t>
      </w:r>
      <w:r>
        <w:rPr>
          <w:rFonts w:hint="eastAsia"/>
          <w:color w:val="auto"/>
          <w:sz w:val="24"/>
          <w:szCs w:val="24"/>
          <w:highlight w:val="none"/>
          <w:lang w:val="en-US" w:eastAsia="zh-CN"/>
        </w:rPr>
        <w:t>60</w:t>
      </w:r>
      <w:r>
        <w:rPr>
          <w:color w:val="auto"/>
          <w:sz w:val="24"/>
          <w:szCs w:val="24"/>
          <w:highlight w:val="none"/>
        </w:rPr>
        <w:t>米</w:t>
      </w:r>
      <w:r>
        <w:rPr>
          <w:rFonts w:hint="eastAsia"/>
          <w:color w:val="auto"/>
          <w:sz w:val="24"/>
          <w:szCs w:val="24"/>
          <w:highlight w:val="none"/>
          <w:lang w:eastAsia="zh-CN"/>
        </w:rPr>
        <w:t>，</w:t>
      </w:r>
      <w:r>
        <w:rPr>
          <w:rFonts w:hint="eastAsia"/>
          <w:color w:val="auto"/>
          <w:sz w:val="24"/>
          <w:szCs w:val="24"/>
          <w:highlight w:val="none"/>
        </w:rPr>
        <w:t>取水目的层上部为</w:t>
      </w:r>
      <w:r>
        <w:rPr>
          <w:rFonts w:hint="eastAsia"/>
          <w:color w:val="auto"/>
          <w:sz w:val="24"/>
          <w:szCs w:val="24"/>
          <w:highlight w:val="none"/>
          <w:lang w:val="en-US" w:eastAsia="zh-CN"/>
        </w:rPr>
        <w:t>1米腐殖土、7</w:t>
      </w:r>
      <w:r>
        <w:rPr>
          <w:rFonts w:hint="eastAsia"/>
          <w:color w:val="auto"/>
          <w:sz w:val="24"/>
          <w:szCs w:val="24"/>
          <w:highlight w:val="none"/>
        </w:rPr>
        <w:t>米黄土、</w:t>
      </w:r>
      <w:r>
        <w:rPr>
          <w:rFonts w:hint="eastAsia"/>
          <w:color w:val="auto"/>
          <w:sz w:val="24"/>
          <w:szCs w:val="24"/>
          <w:highlight w:val="none"/>
          <w:lang w:val="en-US" w:eastAsia="zh-CN"/>
        </w:rPr>
        <w:t>19</w:t>
      </w:r>
      <w:r>
        <w:rPr>
          <w:rFonts w:hint="eastAsia"/>
          <w:color w:val="auto"/>
          <w:sz w:val="24"/>
          <w:szCs w:val="24"/>
          <w:highlight w:val="none"/>
        </w:rPr>
        <w:t>米</w:t>
      </w:r>
      <w:r>
        <w:rPr>
          <w:rFonts w:hint="eastAsia"/>
          <w:color w:val="auto"/>
          <w:sz w:val="24"/>
          <w:szCs w:val="24"/>
          <w:highlight w:val="none"/>
          <w:lang w:eastAsia="zh-CN"/>
        </w:rPr>
        <w:t>粉质粘土、</w:t>
      </w:r>
      <w:r>
        <w:rPr>
          <w:rFonts w:hint="eastAsia"/>
          <w:color w:val="auto"/>
          <w:sz w:val="24"/>
          <w:szCs w:val="24"/>
          <w:highlight w:val="none"/>
          <w:lang w:val="en-US" w:eastAsia="zh-CN"/>
        </w:rPr>
        <w:t>9米砂岩</w:t>
      </w:r>
      <w:r>
        <w:rPr>
          <w:rFonts w:hint="eastAsia"/>
          <w:color w:val="auto"/>
          <w:sz w:val="24"/>
          <w:szCs w:val="24"/>
          <w:highlight w:val="none"/>
        </w:rPr>
        <w:t>，构成稳定隔水顶板，</w:t>
      </w:r>
      <w:r>
        <w:rPr>
          <w:rFonts w:hint="eastAsia"/>
          <w:color w:val="auto"/>
          <w:sz w:val="24"/>
          <w:szCs w:val="24"/>
          <w:highlight w:val="none"/>
          <w:lang w:eastAsia="zh-CN"/>
        </w:rPr>
        <w:t>取水层</w:t>
      </w:r>
      <w:r>
        <w:rPr>
          <w:rFonts w:hint="eastAsia"/>
          <w:color w:val="auto"/>
          <w:sz w:val="24"/>
          <w:szCs w:val="24"/>
          <w:highlight w:val="none"/>
        </w:rPr>
        <w:t>下部</w:t>
      </w:r>
      <w:r>
        <w:rPr>
          <w:rFonts w:hint="eastAsia"/>
          <w:color w:val="auto"/>
          <w:sz w:val="24"/>
          <w:szCs w:val="24"/>
          <w:highlight w:val="none"/>
          <w:lang w:eastAsia="zh-CN"/>
        </w:rPr>
        <w:t>为</w:t>
      </w:r>
      <w:r>
        <w:rPr>
          <w:rFonts w:hint="eastAsia"/>
          <w:color w:val="auto"/>
          <w:sz w:val="24"/>
          <w:szCs w:val="24"/>
          <w:highlight w:val="none"/>
          <w:lang w:val="en-US" w:eastAsia="zh-CN"/>
        </w:rPr>
        <w:t>19米</w:t>
      </w:r>
      <w:r>
        <w:rPr>
          <w:rFonts w:hint="eastAsia"/>
          <w:color w:val="auto"/>
          <w:sz w:val="24"/>
          <w:szCs w:val="24"/>
          <w:highlight w:val="none"/>
          <w:lang w:eastAsia="zh-CN"/>
        </w:rPr>
        <w:t>砂岩、</w:t>
      </w:r>
      <w:r>
        <w:rPr>
          <w:rFonts w:hint="eastAsia"/>
          <w:color w:val="auto"/>
          <w:sz w:val="24"/>
          <w:szCs w:val="24"/>
          <w:highlight w:val="none"/>
          <w:lang w:val="en-US" w:eastAsia="zh-CN"/>
        </w:rPr>
        <w:t>5米</w:t>
      </w:r>
      <w:r>
        <w:rPr>
          <w:rFonts w:hint="eastAsia"/>
          <w:color w:val="auto"/>
          <w:sz w:val="24"/>
          <w:szCs w:val="24"/>
          <w:highlight w:val="none"/>
          <w:lang w:eastAsia="zh-CN"/>
        </w:rPr>
        <w:t>泥岩</w:t>
      </w:r>
      <w:r>
        <w:rPr>
          <w:rFonts w:hint="eastAsia"/>
          <w:color w:val="auto"/>
          <w:sz w:val="24"/>
          <w:szCs w:val="24"/>
          <w:highlight w:val="none"/>
        </w:rPr>
        <w:t>，含水层厚度</w:t>
      </w:r>
      <w:r>
        <w:rPr>
          <w:rFonts w:hint="eastAsia"/>
          <w:color w:val="auto"/>
          <w:sz w:val="24"/>
          <w:szCs w:val="24"/>
          <w:highlight w:val="none"/>
          <w:lang w:val="en-US" w:eastAsia="zh-CN"/>
        </w:rPr>
        <w:t>19</w:t>
      </w:r>
      <w:r>
        <w:rPr>
          <w:color w:val="auto"/>
          <w:sz w:val="24"/>
          <w:szCs w:val="24"/>
          <w:highlight w:val="none"/>
        </w:rPr>
        <w:t>米</w:t>
      </w:r>
      <w:r>
        <w:rPr>
          <w:rFonts w:hint="eastAsia"/>
          <w:color w:val="auto"/>
          <w:sz w:val="24"/>
          <w:szCs w:val="24"/>
          <w:highlight w:val="none"/>
        </w:rPr>
        <w:t>，取水层埋深</w:t>
      </w:r>
      <w:r>
        <w:rPr>
          <w:rFonts w:hint="eastAsia"/>
          <w:color w:val="auto"/>
          <w:sz w:val="24"/>
          <w:szCs w:val="24"/>
          <w:highlight w:val="none"/>
          <w:lang w:val="en-US" w:eastAsia="zh-CN"/>
        </w:rPr>
        <w:t>36</w:t>
      </w:r>
      <w:r>
        <w:rPr>
          <w:rFonts w:hint="eastAsia"/>
          <w:color w:val="auto"/>
          <w:sz w:val="24"/>
          <w:szCs w:val="24"/>
          <w:highlight w:val="none"/>
        </w:rPr>
        <w:t>米。</w:t>
      </w:r>
      <w:r>
        <w:rPr>
          <w:color w:val="auto"/>
          <w:sz w:val="24"/>
          <w:szCs w:val="24"/>
          <w:highlight w:val="none"/>
        </w:rPr>
        <w:t>矿化度小于1克/升</w:t>
      </w:r>
      <w:r>
        <w:rPr>
          <w:rFonts w:hint="eastAsia"/>
          <w:color w:val="auto"/>
          <w:sz w:val="24"/>
          <w:szCs w:val="24"/>
          <w:highlight w:val="none"/>
          <w:lang w:eastAsia="zh-CN"/>
        </w:rPr>
        <w:t>，根据</w:t>
      </w:r>
      <w:r>
        <w:rPr>
          <w:rFonts w:hint="eastAsia" w:ascii="Times New Roman" w:hAnsi="Times New Roman"/>
          <w:color w:val="auto"/>
          <w:sz w:val="24"/>
          <w:szCs w:val="24"/>
          <w:highlight w:val="none"/>
          <w:lang w:val="zh-CN"/>
        </w:rPr>
        <w:t>区域水文地质图，</w:t>
      </w:r>
      <w:r>
        <w:rPr>
          <w:rFonts w:hint="eastAsia"/>
          <w:color w:val="auto"/>
          <w:sz w:val="24"/>
          <w:szCs w:val="24"/>
          <w:highlight w:val="none"/>
        </w:rPr>
        <w:t>地下水流向为自</w:t>
      </w:r>
      <w:r>
        <w:rPr>
          <w:rFonts w:hint="eastAsia"/>
          <w:color w:val="auto"/>
          <w:sz w:val="24"/>
          <w:szCs w:val="24"/>
          <w:highlight w:val="none"/>
          <w:lang w:eastAsia="zh-CN"/>
        </w:rPr>
        <w:t>东南</w:t>
      </w:r>
      <w:r>
        <w:rPr>
          <w:rFonts w:hint="eastAsia"/>
          <w:color w:val="auto"/>
          <w:sz w:val="24"/>
          <w:szCs w:val="24"/>
          <w:highlight w:val="none"/>
        </w:rPr>
        <w:t>向</w:t>
      </w:r>
      <w:r>
        <w:rPr>
          <w:rFonts w:hint="eastAsia"/>
          <w:color w:val="auto"/>
          <w:sz w:val="24"/>
          <w:szCs w:val="24"/>
          <w:highlight w:val="none"/>
          <w:lang w:eastAsia="zh-CN"/>
        </w:rPr>
        <w:t>西北</w:t>
      </w:r>
      <w:r>
        <w:rPr>
          <w:rFonts w:hint="eastAsia"/>
          <w:color w:val="auto"/>
          <w:sz w:val="24"/>
          <w:szCs w:val="24"/>
          <w:highlight w:val="none"/>
        </w:rPr>
        <w:t>。</w:t>
      </w:r>
    </w:p>
    <w:p w14:paraId="15D9B686">
      <w:pPr>
        <w:pStyle w:val="5"/>
        <w:bidi w:val="0"/>
        <w:rPr>
          <w:rFonts w:hint="default"/>
          <w:color w:val="auto"/>
          <w:highlight w:val="none"/>
          <w:lang w:val="en-US" w:eastAsia="zh-CN"/>
        </w:rPr>
      </w:pPr>
      <w:r>
        <w:rPr>
          <w:rFonts w:hint="eastAsia"/>
          <w:color w:val="auto"/>
          <w:highlight w:val="none"/>
          <w:lang w:val="en-US" w:eastAsia="zh-CN"/>
        </w:rPr>
        <w:t>2.6.4.2村屯级水源地（</w:t>
      </w:r>
      <w:r>
        <w:rPr>
          <w:rFonts w:hint="eastAsia"/>
          <w:color w:val="auto"/>
          <w:highlight w:val="none"/>
          <w:lang w:eastAsia="zh-CN"/>
        </w:rPr>
        <w:t>绥化市庆安县柳河镇新强村饮用水水源地</w:t>
      </w:r>
      <w:r>
        <w:rPr>
          <w:rFonts w:hint="eastAsia"/>
          <w:color w:val="auto"/>
          <w:highlight w:val="none"/>
          <w:lang w:val="en-US" w:eastAsia="zh-CN"/>
        </w:rPr>
        <w:t>）</w:t>
      </w:r>
    </w:p>
    <w:p w14:paraId="0B862BE6">
      <w:pPr>
        <w:ind w:firstLine="472"/>
        <w:rPr>
          <w:rFonts w:hint="eastAsia"/>
          <w:color w:val="auto"/>
          <w:highlight w:val="none"/>
          <w:lang w:eastAsia="zh-CN"/>
        </w:rPr>
      </w:pPr>
      <w:r>
        <w:rPr>
          <w:rFonts w:hint="eastAsia"/>
          <w:color w:val="auto"/>
          <w:highlight w:val="none"/>
          <w:lang w:eastAsia="zh-CN"/>
        </w:rPr>
        <w:t>绥化市庆安县柳河镇新强村饮用水水源地（</w:t>
      </w:r>
      <w:r>
        <w:rPr>
          <w:rFonts w:hint="eastAsia"/>
          <w:color w:val="auto"/>
          <w:sz w:val="24"/>
          <w:szCs w:val="24"/>
          <w:highlight w:val="none"/>
        </w:rPr>
        <w:t>取水井</w:t>
      </w:r>
      <w:r>
        <w:rPr>
          <w:rFonts w:hint="eastAsia"/>
          <w:color w:val="auto"/>
          <w:sz w:val="24"/>
          <w:szCs w:val="24"/>
          <w:highlight w:val="none"/>
          <w:lang w:val="en-US" w:eastAsia="zh-CN"/>
        </w:rPr>
        <w:t>5</w:t>
      </w:r>
      <w:r>
        <w:rPr>
          <w:rFonts w:hint="eastAsia"/>
          <w:color w:val="auto"/>
          <w:sz w:val="24"/>
          <w:szCs w:val="24"/>
          <w:highlight w:val="none"/>
        </w:rPr>
        <w:t>眼</w:t>
      </w:r>
      <w:r>
        <w:rPr>
          <w:rFonts w:hint="eastAsia"/>
          <w:color w:val="auto"/>
          <w:highlight w:val="none"/>
          <w:lang w:eastAsia="zh-CN"/>
        </w:rPr>
        <w:t>）</w:t>
      </w:r>
      <w:r>
        <w:rPr>
          <w:rFonts w:hint="eastAsia"/>
          <w:color w:val="auto"/>
          <w:sz w:val="24"/>
          <w:szCs w:val="24"/>
          <w:highlight w:val="none"/>
        </w:rPr>
        <w:t>水井</w:t>
      </w:r>
      <w:r>
        <w:rPr>
          <w:color w:val="auto"/>
          <w:sz w:val="24"/>
          <w:szCs w:val="24"/>
          <w:highlight w:val="none"/>
        </w:rPr>
        <w:t>水文地质基本情况如下：</w:t>
      </w:r>
    </w:p>
    <w:p w14:paraId="0BE26543">
      <w:pPr>
        <w:ind w:firstLine="472"/>
        <w:rPr>
          <w:rFonts w:hint="eastAsia"/>
          <w:color w:val="auto"/>
          <w:sz w:val="24"/>
          <w:szCs w:val="24"/>
          <w:highlight w:val="none"/>
        </w:rPr>
      </w:pPr>
      <w:r>
        <w:rPr>
          <w:rFonts w:hint="eastAsia"/>
          <w:color w:val="auto"/>
          <w:highlight w:val="none"/>
          <w:lang w:val="en-US" w:eastAsia="zh-CN"/>
        </w:rPr>
        <w:t>1#：取水目的层为</w:t>
      </w:r>
      <w:r>
        <w:rPr>
          <w:rFonts w:hint="eastAsia"/>
          <w:color w:val="auto"/>
          <w:highlight w:val="none"/>
        </w:rPr>
        <w:t>孔隙承压水层和孔隙—裂隙承压水层</w:t>
      </w:r>
      <w:r>
        <w:rPr>
          <w:rFonts w:hint="eastAsia" w:cs="Times New Roman"/>
          <w:color w:val="auto"/>
          <w:sz w:val="24"/>
          <w:szCs w:val="24"/>
          <w:highlight w:val="none"/>
          <w:lang w:eastAsia="zh-CN"/>
        </w:rPr>
        <w:t>，</w:t>
      </w:r>
      <w:r>
        <w:rPr>
          <w:rFonts w:hint="eastAsia"/>
          <w:color w:val="auto"/>
          <w:sz w:val="24"/>
          <w:szCs w:val="24"/>
          <w:highlight w:val="none"/>
        </w:rPr>
        <w:t>取水井井深</w:t>
      </w:r>
      <w:r>
        <w:rPr>
          <w:rFonts w:hint="eastAsia"/>
          <w:color w:val="auto"/>
          <w:sz w:val="24"/>
          <w:szCs w:val="24"/>
          <w:highlight w:val="none"/>
          <w:lang w:val="en-US" w:eastAsia="zh-CN"/>
        </w:rPr>
        <w:t>90</w:t>
      </w:r>
      <w:r>
        <w:rPr>
          <w:color w:val="auto"/>
          <w:sz w:val="24"/>
          <w:szCs w:val="24"/>
          <w:highlight w:val="none"/>
        </w:rPr>
        <w:t>米</w:t>
      </w:r>
      <w:r>
        <w:rPr>
          <w:rFonts w:hint="eastAsia"/>
          <w:color w:val="auto"/>
          <w:sz w:val="24"/>
          <w:szCs w:val="24"/>
          <w:highlight w:val="none"/>
          <w:lang w:eastAsia="zh-CN"/>
        </w:rPr>
        <w:t>，</w:t>
      </w:r>
      <w:r>
        <w:rPr>
          <w:rFonts w:hint="eastAsia"/>
          <w:color w:val="auto"/>
          <w:sz w:val="24"/>
          <w:szCs w:val="24"/>
          <w:highlight w:val="none"/>
        </w:rPr>
        <w:t>取水目的层上部为</w:t>
      </w:r>
      <w:r>
        <w:rPr>
          <w:rFonts w:hint="eastAsia"/>
          <w:color w:val="auto"/>
          <w:sz w:val="24"/>
          <w:szCs w:val="24"/>
          <w:highlight w:val="none"/>
          <w:lang w:val="en-US" w:eastAsia="zh-CN"/>
        </w:rPr>
        <w:t>1米腐殖土、7</w:t>
      </w:r>
      <w:r>
        <w:rPr>
          <w:rFonts w:hint="eastAsia"/>
          <w:color w:val="auto"/>
          <w:sz w:val="24"/>
          <w:szCs w:val="24"/>
          <w:highlight w:val="none"/>
        </w:rPr>
        <w:t>米黄土、</w:t>
      </w:r>
      <w:r>
        <w:rPr>
          <w:rFonts w:hint="eastAsia"/>
          <w:color w:val="auto"/>
          <w:sz w:val="24"/>
          <w:szCs w:val="24"/>
          <w:highlight w:val="none"/>
          <w:lang w:val="en-US" w:eastAsia="zh-CN"/>
        </w:rPr>
        <w:t>26</w:t>
      </w:r>
      <w:r>
        <w:rPr>
          <w:rFonts w:hint="eastAsia"/>
          <w:color w:val="auto"/>
          <w:sz w:val="24"/>
          <w:szCs w:val="24"/>
          <w:highlight w:val="none"/>
        </w:rPr>
        <w:t>米</w:t>
      </w:r>
      <w:r>
        <w:rPr>
          <w:rFonts w:hint="eastAsia"/>
          <w:color w:val="auto"/>
          <w:sz w:val="24"/>
          <w:szCs w:val="24"/>
          <w:highlight w:val="none"/>
          <w:lang w:eastAsia="zh-CN"/>
        </w:rPr>
        <w:t>粉质粘土、</w:t>
      </w:r>
      <w:r>
        <w:rPr>
          <w:rFonts w:hint="eastAsia"/>
          <w:color w:val="auto"/>
          <w:sz w:val="24"/>
          <w:szCs w:val="24"/>
          <w:highlight w:val="none"/>
          <w:lang w:val="en-US" w:eastAsia="zh-CN"/>
        </w:rPr>
        <w:t>2米砂岩</w:t>
      </w:r>
      <w:r>
        <w:rPr>
          <w:rFonts w:hint="eastAsia"/>
          <w:color w:val="auto"/>
          <w:sz w:val="24"/>
          <w:szCs w:val="24"/>
          <w:highlight w:val="none"/>
        </w:rPr>
        <w:t>，构成稳定隔水顶板，</w:t>
      </w:r>
      <w:r>
        <w:rPr>
          <w:rFonts w:hint="eastAsia"/>
          <w:color w:val="auto"/>
          <w:sz w:val="24"/>
          <w:szCs w:val="24"/>
          <w:highlight w:val="none"/>
          <w:lang w:eastAsia="zh-CN"/>
        </w:rPr>
        <w:t>取水层</w:t>
      </w:r>
      <w:r>
        <w:rPr>
          <w:rFonts w:hint="eastAsia"/>
          <w:color w:val="auto"/>
          <w:sz w:val="24"/>
          <w:szCs w:val="24"/>
          <w:highlight w:val="none"/>
        </w:rPr>
        <w:t>下部</w:t>
      </w:r>
      <w:r>
        <w:rPr>
          <w:rFonts w:hint="eastAsia"/>
          <w:color w:val="auto"/>
          <w:sz w:val="24"/>
          <w:szCs w:val="24"/>
          <w:highlight w:val="none"/>
          <w:lang w:eastAsia="zh-CN"/>
        </w:rPr>
        <w:t>为</w:t>
      </w:r>
      <w:r>
        <w:rPr>
          <w:rFonts w:hint="eastAsia"/>
          <w:color w:val="auto"/>
          <w:sz w:val="24"/>
          <w:szCs w:val="24"/>
          <w:highlight w:val="none"/>
          <w:lang w:val="en-US" w:eastAsia="zh-CN"/>
        </w:rPr>
        <w:t>39米</w:t>
      </w:r>
      <w:r>
        <w:rPr>
          <w:rFonts w:hint="eastAsia"/>
          <w:color w:val="auto"/>
          <w:sz w:val="24"/>
          <w:szCs w:val="24"/>
          <w:highlight w:val="none"/>
          <w:lang w:eastAsia="zh-CN"/>
        </w:rPr>
        <w:t>砂岩、</w:t>
      </w:r>
      <w:r>
        <w:rPr>
          <w:rFonts w:hint="eastAsia"/>
          <w:color w:val="auto"/>
          <w:sz w:val="24"/>
          <w:szCs w:val="24"/>
          <w:highlight w:val="none"/>
          <w:lang w:val="en-US" w:eastAsia="zh-CN"/>
        </w:rPr>
        <w:t>15米</w:t>
      </w:r>
      <w:r>
        <w:rPr>
          <w:rFonts w:hint="eastAsia"/>
          <w:color w:val="auto"/>
          <w:sz w:val="24"/>
          <w:szCs w:val="24"/>
          <w:highlight w:val="none"/>
          <w:lang w:eastAsia="zh-CN"/>
        </w:rPr>
        <w:t>泥岩</w:t>
      </w:r>
      <w:r>
        <w:rPr>
          <w:rFonts w:hint="eastAsia"/>
          <w:color w:val="auto"/>
          <w:sz w:val="24"/>
          <w:szCs w:val="24"/>
          <w:highlight w:val="none"/>
        </w:rPr>
        <w:t>，含水层厚度</w:t>
      </w:r>
      <w:r>
        <w:rPr>
          <w:rFonts w:hint="eastAsia"/>
          <w:color w:val="auto"/>
          <w:sz w:val="24"/>
          <w:szCs w:val="24"/>
          <w:highlight w:val="none"/>
          <w:lang w:val="en-US" w:eastAsia="zh-CN"/>
        </w:rPr>
        <w:t>49</w:t>
      </w:r>
      <w:r>
        <w:rPr>
          <w:color w:val="auto"/>
          <w:sz w:val="24"/>
          <w:szCs w:val="24"/>
          <w:highlight w:val="none"/>
        </w:rPr>
        <w:t>米</w:t>
      </w:r>
      <w:r>
        <w:rPr>
          <w:rFonts w:hint="eastAsia"/>
          <w:color w:val="auto"/>
          <w:sz w:val="24"/>
          <w:szCs w:val="24"/>
          <w:highlight w:val="none"/>
        </w:rPr>
        <w:t>，取水层埋深</w:t>
      </w:r>
      <w:r>
        <w:rPr>
          <w:rFonts w:hint="eastAsia"/>
          <w:color w:val="auto"/>
          <w:sz w:val="24"/>
          <w:szCs w:val="24"/>
          <w:highlight w:val="none"/>
          <w:lang w:val="en-US" w:eastAsia="zh-CN"/>
        </w:rPr>
        <w:t>36</w:t>
      </w:r>
      <w:r>
        <w:rPr>
          <w:rFonts w:hint="eastAsia"/>
          <w:color w:val="auto"/>
          <w:sz w:val="24"/>
          <w:szCs w:val="24"/>
          <w:highlight w:val="none"/>
        </w:rPr>
        <w:t>米。</w:t>
      </w:r>
      <w:r>
        <w:rPr>
          <w:color w:val="auto"/>
          <w:sz w:val="24"/>
          <w:szCs w:val="24"/>
          <w:highlight w:val="none"/>
        </w:rPr>
        <w:t>矿化度小于1克/升</w:t>
      </w:r>
      <w:r>
        <w:rPr>
          <w:rFonts w:hint="eastAsia"/>
          <w:color w:val="auto"/>
          <w:sz w:val="24"/>
          <w:szCs w:val="24"/>
          <w:highlight w:val="none"/>
          <w:lang w:eastAsia="zh-CN"/>
        </w:rPr>
        <w:t>，根据</w:t>
      </w:r>
      <w:r>
        <w:rPr>
          <w:rFonts w:hint="eastAsia" w:ascii="Times New Roman" w:hAnsi="Times New Roman"/>
          <w:color w:val="auto"/>
          <w:sz w:val="24"/>
          <w:szCs w:val="24"/>
          <w:highlight w:val="none"/>
          <w:lang w:val="zh-CN"/>
        </w:rPr>
        <w:t>区域水文地质图，</w:t>
      </w:r>
      <w:r>
        <w:rPr>
          <w:rFonts w:hint="eastAsia"/>
          <w:color w:val="auto"/>
          <w:sz w:val="24"/>
          <w:szCs w:val="24"/>
          <w:highlight w:val="none"/>
        </w:rPr>
        <w:t>地下水流向为自</w:t>
      </w:r>
      <w:r>
        <w:rPr>
          <w:rFonts w:hint="eastAsia"/>
          <w:color w:val="auto"/>
          <w:sz w:val="24"/>
          <w:szCs w:val="24"/>
          <w:highlight w:val="none"/>
          <w:lang w:eastAsia="zh-CN"/>
        </w:rPr>
        <w:t>东南</w:t>
      </w:r>
      <w:r>
        <w:rPr>
          <w:rFonts w:hint="eastAsia"/>
          <w:color w:val="auto"/>
          <w:sz w:val="24"/>
          <w:szCs w:val="24"/>
          <w:highlight w:val="none"/>
        </w:rPr>
        <w:t>向</w:t>
      </w:r>
      <w:r>
        <w:rPr>
          <w:rFonts w:hint="eastAsia"/>
          <w:color w:val="auto"/>
          <w:sz w:val="24"/>
          <w:szCs w:val="24"/>
          <w:highlight w:val="none"/>
          <w:lang w:eastAsia="zh-CN"/>
        </w:rPr>
        <w:t>西北</w:t>
      </w:r>
      <w:r>
        <w:rPr>
          <w:rFonts w:hint="eastAsia"/>
          <w:color w:val="auto"/>
          <w:sz w:val="24"/>
          <w:szCs w:val="24"/>
          <w:highlight w:val="none"/>
        </w:rPr>
        <w:t>。</w:t>
      </w:r>
    </w:p>
    <w:p w14:paraId="5B252796">
      <w:pPr>
        <w:ind w:firstLine="472"/>
        <w:rPr>
          <w:rFonts w:hint="eastAsia"/>
          <w:color w:val="auto"/>
          <w:sz w:val="24"/>
          <w:szCs w:val="24"/>
          <w:highlight w:val="none"/>
        </w:rPr>
      </w:pPr>
      <w:r>
        <w:rPr>
          <w:rFonts w:hint="eastAsia"/>
          <w:color w:val="auto"/>
          <w:highlight w:val="none"/>
          <w:lang w:val="en-US" w:eastAsia="zh-CN"/>
        </w:rPr>
        <w:t>2#：取水目的层为</w:t>
      </w:r>
      <w:r>
        <w:rPr>
          <w:rFonts w:hint="eastAsia"/>
          <w:color w:val="auto"/>
          <w:highlight w:val="none"/>
        </w:rPr>
        <w:t>孔隙承压水层和孔隙—裂隙承压水层</w:t>
      </w:r>
      <w:r>
        <w:rPr>
          <w:rFonts w:hint="eastAsia" w:cs="Times New Roman"/>
          <w:color w:val="auto"/>
          <w:sz w:val="24"/>
          <w:szCs w:val="24"/>
          <w:highlight w:val="none"/>
          <w:lang w:eastAsia="zh-CN"/>
        </w:rPr>
        <w:t>，</w:t>
      </w:r>
      <w:r>
        <w:rPr>
          <w:rFonts w:hint="eastAsia"/>
          <w:color w:val="auto"/>
          <w:sz w:val="24"/>
          <w:szCs w:val="24"/>
          <w:highlight w:val="none"/>
        </w:rPr>
        <w:t>取水井井深</w:t>
      </w:r>
      <w:r>
        <w:rPr>
          <w:rFonts w:hint="eastAsia"/>
          <w:color w:val="auto"/>
          <w:sz w:val="24"/>
          <w:szCs w:val="24"/>
          <w:highlight w:val="none"/>
          <w:lang w:val="en-US" w:eastAsia="zh-CN"/>
        </w:rPr>
        <w:t>90</w:t>
      </w:r>
      <w:r>
        <w:rPr>
          <w:color w:val="auto"/>
          <w:sz w:val="24"/>
          <w:szCs w:val="24"/>
          <w:highlight w:val="none"/>
        </w:rPr>
        <w:t>米</w:t>
      </w:r>
      <w:r>
        <w:rPr>
          <w:rFonts w:hint="eastAsia"/>
          <w:color w:val="auto"/>
          <w:sz w:val="24"/>
          <w:szCs w:val="24"/>
          <w:highlight w:val="none"/>
          <w:lang w:eastAsia="zh-CN"/>
        </w:rPr>
        <w:t>，</w:t>
      </w:r>
      <w:r>
        <w:rPr>
          <w:rFonts w:hint="eastAsia"/>
          <w:color w:val="auto"/>
          <w:sz w:val="24"/>
          <w:szCs w:val="24"/>
          <w:highlight w:val="none"/>
        </w:rPr>
        <w:t>取水目的层上部为</w:t>
      </w:r>
      <w:r>
        <w:rPr>
          <w:rFonts w:hint="eastAsia"/>
          <w:color w:val="auto"/>
          <w:sz w:val="24"/>
          <w:szCs w:val="24"/>
          <w:highlight w:val="none"/>
          <w:lang w:val="en-US" w:eastAsia="zh-CN"/>
        </w:rPr>
        <w:t>1米腐殖土、8</w:t>
      </w:r>
      <w:r>
        <w:rPr>
          <w:rFonts w:hint="eastAsia"/>
          <w:color w:val="auto"/>
          <w:sz w:val="24"/>
          <w:szCs w:val="24"/>
          <w:highlight w:val="none"/>
        </w:rPr>
        <w:t>米黄土、</w:t>
      </w:r>
      <w:r>
        <w:rPr>
          <w:rFonts w:hint="eastAsia"/>
          <w:color w:val="auto"/>
          <w:sz w:val="24"/>
          <w:szCs w:val="24"/>
          <w:highlight w:val="none"/>
          <w:lang w:val="en-US" w:eastAsia="zh-CN"/>
        </w:rPr>
        <w:t>28</w:t>
      </w:r>
      <w:r>
        <w:rPr>
          <w:rFonts w:hint="eastAsia"/>
          <w:color w:val="auto"/>
          <w:sz w:val="24"/>
          <w:szCs w:val="24"/>
          <w:highlight w:val="none"/>
        </w:rPr>
        <w:t>米</w:t>
      </w:r>
      <w:r>
        <w:rPr>
          <w:rFonts w:hint="eastAsia"/>
          <w:color w:val="auto"/>
          <w:sz w:val="24"/>
          <w:szCs w:val="24"/>
          <w:highlight w:val="none"/>
          <w:lang w:eastAsia="zh-CN"/>
        </w:rPr>
        <w:t>粉质粘土、</w:t>
      </w:r>
      <w:r>
        <w:rPr>
          <w:rFonts w:hint="eastAsia"/>
          <w:color w:val="auto"/>
          <w:sz w:val="24"/>
          <w:szCs w:val="24"/>
          <w:highlight w:val="none"/>
          <w:lang w:val="en-US" w:eastAsia="zh-CN"/>
        </w:rPr>
        <w:t>2米砂岩</w:t>
      </w:r>
      <w:r>
        <w:rPr>
          <w:rFonts w:hint="eastAsia"/>
          <w:color w:val="auto"/>
          <w:sz w:val="24"/>
          <w:szCs w:val="24"/>
          <w:highlight w:val="none"/>
        </w:rPr>
        <w:t>，构成稳定隔水顶板，</w:t>
      </w:r>
      <w:r>
        <w:rPr>
          <w:rFonts w:hint="eastAsia"/>
          <w:color w:val="auto"/>
          <w:sz w:val="24"/>
          <w:szCs w:val="24"/>
          <w:highlight w:val="none"/>
          <w:lang w:eastAsia="zh-CN"/>
        </w:rPr>
        <w:t>取水层</w:t>
      </w:r>
      <w:r>
        <w:rPr>
          <w:rFonts w:hint="eastAsia"/>
          <w:color w:val="auto"/>
          <w:sz w:val="24"/>
          <w:szCs w:val="24"/>
          <w:highlight w:val="none"/>
        </w:rPr>
        <w:t>下部</w:t>
      </w:r>
      <w:r>
        <w:rPr>
          <w:rFonts w:hint="eastAsia"/>
          <w:color w:val="auto"/>
          <w:sz w:val="24"/>
          <w:szCs w:val="24"/>
          <w:highlight w:val="none"/>
          <w:lang w:eastAsia="zh-CN"/>
        </w:rPr>
        <w:t>为</w:t>
      </w:r>
      <w:r>
        <w:rPr>
          <w:rFonts w:hint="eastAsia"/>
          <w:color w:val="auto"/>
          <w:sz w:val="24"/>
          <w:szCs w:val="24"/>
          <w:highlight w:val="none"/>
          <w:lang w:val="en-US" w:eastAsia="zh-CN"/>
        </w:rPr>
        <w:t>39米</w:t>
      </w:r>
      <w:r>
        <w:rPr>
          <w:rFonts w:hint="eastAsia"/>
          <w:color w:val="auto"/>
          <w:sz w:val="24"/>
          <w:szCs w:val="24"/>
          <w:highlight w:val="none"/>
          <w:lang w:eastAsia="zh-CN"/>
        </w:rPr>
        <w:t>砂岩、</w:t>
      </w:r>
      <w:r>
        <w:rPr>
          <w:rFonts w:hint="eastAsia"/>
          <w:color w:val="auto"/>
          <w:sz w:val="24"/>
          <w:szCs w:val="24"/>
          <w:highlight w:val="none"/>
          <w:lang w:val="en-US" w:eastAsia="zh-CN"/>
        </w:rPr>
        <w:t>15米</w:t>
      </w:r>
      <w:r>
        <w:rPr>
          <w:rFonts w:hint="eastAsia"/>
          <w:color w:val="auto"/>
          <w:sz w:val="24"/>
          <w:szCs w:val="24"/>
          <w:highlight w:val="none"/>
          <w:lang w:eastAsia="zh-CN"/>
        </w:rPr>
        <w:t>泥岩</w:t>
      </w:r>
      <w:r>
        <w:rPr>
          <w:rFonts w:hint="eastAsia"/>
          <w:color w:val="auto"/>
          <w:sz w:val="24"/>
          <w:szCs w:val="24"/>
          <w:highlight w:val="none"/>
        </w:rPr>
        <w:t>，含水层厚度</w:t>
      </w:r>
      <w:r>
        <w:rPr>
          <w:rFonts w:hint="eastAsia"/>
          <w:color w:val="auto"/>
          <w:sz w:val="24"/>
          <w:szCs w:val="24"/>
          <w:highlight w:val="none"/>
          <w:lang w:val="en-US" w:eastAsia="zh-CN"/>
        </w:rPr>
        <w:t>49</w:t>
      </w:r>
      <w:r>
        <w:rPr>
          <w:color w:val="auto"/>
          <w:sz w:val="24"/>
          <w:szCs w:val="24"/>
          <w:highlight w:val="none"/>
        </w:rPr>
        <w:t>米</w:t>
      </w:r>
      <w:r>
        <w:rPr>
          <w:rFonts w:hint="eastAsia"/>
          <w:color w:val="auto"/>
          <w:sz w:val="24"/>
          <w:szCs w:val="24"/>
          <w:highlight w:val="none"/>
        </w:rPr>
        <w:t>，取水层埋深</w:t>
      </w:r>
      <w:r>
        <w:rPr>
          <w:rFonts w:hint="eastAsia"/>
          <w:color w:val="auto"/>
          <w:sz w:val="24"/>
          <w:szCs w:val="24"/>
          <w:highlight w:val="none"/>
          <w:lang w:val="en-US" w:eastAsia="zh-CN"/>
        </w:rPr>
        <w:t>36</w:t>
      </w:r>
      <w:r>
        <w:rPr>
          <w:rFonts w:hint="eastAsia"/>
          <w:color w:val="auto"/>
          <w:sz w:val="24"/>
          <w:szCs w:val="24"/>
          <w:highlight w:val="none"/>
        </w:rPr>
        <w:t>米。</w:t>
      </w:r>
      <w:r>
        <w:rPr>
          <w:color w:val="auto"/>
          <w:sz w:val="24"/>
          <w:szCs w:val="24"/>
          <w:highlight w:val="none"/>
        </w:rPr>
        <w:t>矿化度小于1克/升</w:t>
      </w:r>
      <w:r>
        <w:rPr>
          <w:rFonts w:hint="eastAsia"/>
          <w:color w:val="auto"/>
          <w:sz w:val="24"/>
          <w:szCs w:val="24"/>
          <w:highlight w:val="none"/>
          <w:lang w:eastAsia="zh-CN"/>
        </w:rPr>
        <w:t>，根据</w:t>
      </w:r>
      <w:r>
        <w:rPr>
          <w:rFonts w:hint="eastAsia" w:ascii="Times New Roman" w:hAnsi="Times New Roman"/>
          <w:color w:val="auto"/>
          <w:sz w:val="24"/>
          <w:szCs w:val="24"/>
          <w:highlight w:val="none"/>
          <w:lang w:val="zh-CN"/>
        </w:rPr>
        <w:t>区域水文地质图，</w:t>
      </w:r>
      <w:r>
        <w:rPr>
          <w:rFonts w:hint="eastAsia"/>
          <w:color w:val="auto"/>
          <w:sz w:val="24"/>
          <w:szCs w:val="24"/>
          <w:highlight w:val="none"/>
        </w:rPr>
        <w:t>地下水流向为自</w:t>
      </w:r>
      <w:r>
        <w:rPr>
          <w:rFonts w:hint="eastAsia"/>
          <w:color w:val="auto"/>
          <w:sz w:val="24"/>
          <w:szCs w:val="24"/>
          <w:highlight w:val="none"/>
          <w:lang w:eastAsia="zh-CN"/>
        </w:rPr>
        <w:t>东南</w:t>
      </w:r>
      <w:r>
        <w:rPr>
          <w:rFonts w:hint="eastAsia"/>
          <w:color w:val="auto"/>
          <w:sz w:val="24"/>
          <w:szCs w:val="24"/>
          <w:highlight w:val="none"/>
        </w:rPr>
        <w:t>向</w:t>
      </w:r>
      <w:r>
        <w:rPr>
          <w:rFonts w:hint="eastAsia"/>
          <w:color w:val="auto"/>
          <w:sz w:val="24"/>
          <w:szCs w:val="24"/>
          <w:highlight w:val="none"/>
          <w:lang w:eastAsia="zh-CN"/>
        </w:rPr>
        <w:t>西北</w:t>
      </w:r>
      <w:r>
        <w:rPr>
          <w:rFonts w:hint="eastAsia"/>
          <w:color w:val="auto"/>
          <w:sz w:val="24"/>
          <w:szCs w:val="24"/>
          <w:highlight w:val="none"/>
        </w:rPr>
        <w:t>。</w:t>
      </w:r>
    </w:p>
    <w:p w14:paraId="568ECF86">
      <w:pPr>
        <w:ind w:firstLine="472"/>
        <w:rPr>
          <w:rFonts w:hint="eastAsia"/>
          <w:color w:val="auto"/>
          <w:sz w:val="24"/>
          <w:szCs w:val="24"/>
          <w:highlight w:val="none"/>
        </w:rPr>
      </w:pPr>
      <w:r>
        <w:rPr>
          <w:rFonts w:hint="eastAsia"/>
          <w:color w:val="auto"/>
          <w:highlight w:val="none"/>
          <w:lang w:val="en-US" w:eastAsia="zh-CN"/>
        </w:rPr>
        <w:t>3#：取水目的层为</w:t>
      </w:r>
      <w:r>
        <w:rPr>
          <w:rFonts w:hint="eastAsia"/>
          <w:color w:val="auto"/>
          <w:highlight w:val="none"/>
        </w:rPr>
        <w:t>孔隙承压水层和孔隙—裂隙承压水层</w:t>
      </w:r>
      <w:r>
        <w:rPr>
          <w:rFonts w:hint="eastAsia" w:cs="Times New Roman"/>
          <w:color w:val="auto"/>
          <w:sz w:val="24"/>
          <w:szCs w:val="24"/>
          <w:highlight w:val="none"/>
          <w:lang w:eastAsia="zh-CN"/>
        </w:rPr>
        <w:t>，</w:t>
      </w:r>
      <w:r>
        <w:rPr>
          <w:rFonts w:hint="eastAsia"/>
          <w:color w:val="auto"/>
          <w:sz w:val="24"/>
          <w:szCs w:val="24"/>
          <w:highlight w:val="none"/>
        </w:rPr>
        <w:t>取水井井深</w:t>
      </w:r>
      <w:r>
        <w:rPr>
          <w:rFonts w:hint="eastAsia"/>
          <w:color w:val="auto"/>
          <w:sz w:val="24"/>
          <w:szCs w:val="24"/>
          <w:highlight w:val="none"/>
          <w:lang w:val="en-US" w:eastAsia="zh-CN"/>
        </w:rPr>
        <w:t>90</w:t>
      </w:r>
      <w:r>
        <w:rPr>
          <w:color w:val="auto"/>
          <w:sz w:val="24"/>
          <w:szCs w:val="24"/>
          <w:highlight w:val="none"/>
        </w:rPr>
        <w:t>米</w:t>
      </w:r>
      <w:r>
        <w:rPr>
          <w:rFonts w:hint="eastAsia"/>
          <w:color w:val="auto"/>
          <w:sz w:val="24"/>
          <w:szCs w:val="24"/>
          <w:highlight w:val="none"/>
          <w:lang w:eastAsia="zh-CN"/>
        </w:rPr>
        <w:t>，</w:t>
      </w:r>
      <w:r>
        <w:rPr>
          <w:rFonts w:hint="eastAsia"/>
          <w:color w:val="auto"/>
          <w:sz w:val="24"/>
          <w:szCs w:val="24"/>
          <w:highlight w:val="none"/>
        </w:rPr>
        <w:t>取水目的层上部为</w:t>
      </w:r>
      <w:r>
        <w:rPr>
          <w:rFonts w:hint="eastAsia"/>
          <w:color w:val="auto"/>
          <w:sz w:val="24"/>
          <w:szCs w:val="24"/>
          <w:highlight w:val="none"/>
          <w:lang w:val="en-US" w:eastAsia="zh-CN"/>
        </w:rPr>
        <w:t>1米腐殖土、6</w:t>
      </w:r>
      <w:r>
        <w:rPr>
          <w:rFonts w:hint="eastAsia"/>
          <w:color w:val="auto"/>
          <w:sz w:val="24"/>
          <w:szCs w:val="24"/>
          <w:highlight w:val="none"/>
        </w:rPr>
        <w:t>米黄土、</w:t>
      </w:r>
      <w:r>
        <w:rPr>
          <w:rFonts w:hint="eastAsia"/>
          <w:color w:val="auto"/>
          <w:sz w:val="24"/>
          <w:szCs w:val="24"/>
          <w:highlight w:val="none"/>
          <w:lang w:val="en-US" w:eastAsia="zh-CN"/>
        </w:rPr>
        <w:t>28</w:t>
      </w:r>
      <w:r>
        <w:rPr>
          <w:rFonts w:hint="eastAsia"/>
          <w:color w:val="auto"/>
          <w:sz w:val="24"/>
          <w:szCs w:val="24"/>
          <w:highlight w:val="none"/>
        </w:rPr>
        <w:t>米</w:t>
      </w:r>
      <w:r>
        <w:rPr>
          <w:rFonts w:hint="eastAsia"/>
          <w:color w:val="auto"/>
          <w:sz w:val="24"/>
          <w:szCs w:val="24"/>
          <w:highlight w:val="none"/>
          <w:lang w:eastAsia="zh-CN"/>
        </w:rPr>
        <w:t>粉质粘土、</w:t>
      </w:r>
      <w:r>
        <w:rPr>
          <w:rFonts w:hint="eastAsia"/>
          <w:color w:val="auto"/>
          <w:sz w:val="24"/>
          <w:szCs w:val="24"/>
          <w:highlight w:val="none"/>
          <w:lang w:val="en-US" w:eastAsia="zh-CN"/>
        </w:rPr>
        <w:t>1米砂岩</w:t>
      </w:r>
      <w:r>
        <w:rPr>
          <w:rFonts w:hint="eastAsia"/>
          <w:color w:val="auto"/>
          <w:sz w:val="24"/>
          <w:szCs w:val="24"/>
          <w:highlight w:val="none"/>
        </w:rPr>
        <w:t>，构成稳定隔水顶板，</w:t>
      </w:r>
      <w:r>
        <w:rPr>
          <w:rFonts w:hint="eastAsia"/>
          <w:color w:val="auto"/>
          <w:sz w:val="24"/>
          <w:szCs w:val="24"/>
          <w:highlight w:val="none"/>
          <w:lang w:eastAsia="zh-CN"/>
        </w:rPr>
        <w:t>取水层</w:t>
      </w:r>
      <w:r>
        <w:rPr>
          <w:rFonts w:hint="eastAsia"/>
          <w:color w:val="auto"/>
          <w:sz w:val="24"/>
          <w:szCs w:val="24"/>
          <w:highlight w:val="none"/>
        </w:rPr>
        <w:t>下部</w:t>
      </w:r>
      <w:r>
        <w:rPr>
          <w:rFonts w:hint="eastAsia"/>
          <w:color w:val="auto"/>
          <w:sz w:val="24"/>
          <w:szCs w:val="24"/>
          <w:highlight w:val="none"/>
          <w:lang w:eastAsia="zh-CN"/>
        </w:rPr>
        <w:t>为</w:t>
      </w:r>
      <w:r>
        <w:rPr>
          <w:rFonts w:hint="eastAsia"/>
          <w:color w:val="auto"/>
          <w:sz w:val="24"/>
          <w:szCs w:val="24"/>
          <w:highlight w:val="none"/>
          <w:lang w:val="en-US" w:eastAsia="zh-CN"/>
        </w:rPr>
        <w:t>39米</w:t>
      </w:r>
      <w:r>
        <w:rPr>
          <w:rFonts w:hint="eastAsia"/>
          <w:color w:val="auto"/>
          <w:sz w:val="24"/>
          <w:szCs w:val="24"/>
          <w:highlight w:val="none"/>
          <w:lang w:eastAsia="zh-CN"/>
        </w:rPr>
        <w:t>砂岩、</w:t>
      </w:r>
      <w:r>
        <w:rPr>
          <w:rFonts w:hint="eastAsia"/>
          <w:color w:val="auto"/>
          <w:sz w:val="24"/>
          <w:szCs w:val="24"/>
          <w:highlight w:val="none"/>
          <w:lang w:val="en-US" w:eastAsia="zh-CN"/>
        </w:rPr>
        <w:t>15米</w:t>
      </w:r>
      <w:r>
        <w:rPr>
          <w:rFonts w:hint="eastAsia"/>
          <w:color w:val="auto"/>
          <w:sz w:val="24"/>
          <w:szCs w:val="24"/>
          <w:highlight w:val="none"/>
          <w:lang w:eastAsia="zh-CN"/>
        </w:rPr>
        <w:t>泥岩</w:t>
      </w:r>
      <w:r>
        <w:rPr>
          <w:rFonts w:hint="eastAsia"/>
          <w:color w:val="auto"/>
          <w:sz w:val="24"/>
          <w:szCs w:val="24"/>
          <w:highlight w:val="none"/>
        </w:rPr>
        <w:t>，含水层厚度</w:t>
      </w:r>
      <w:r>
        <w:rPr>
          <w:rFonts w:hint="eastAsia"/>
          <w:color w:val="auto"/>
          <w:sz w:val="24"/>
          <w:szCs w:val="24"/>
          <w:highlight w:val="none"/>
          <w:lang w:val="en-US" w:eastAsia="zh-CN"/>
        </w:rPr>
        <w:t>49</w:t>
      </w:r>
      <w:r>
        <w:rPr>
          <w:color w:val="auto"/>
          <w:sz w:val="24"/>
          <w:szCs w:val="24"/>
          <w:highlight w:val="none"/>
        </w:rPr>
        <w:t>米</w:t>
      </w:r>
      <w:r>
        <w:rPr>
          <w:rFonts w:hint="eastAsia"/>
          <w:color w:val="auto"/>
          <w:sz w:val="24"/>
          <w:szCs w:val="24"/>
          <w:highlight w:val="none"/>
        </w:rPr>
        <w:t>，取水层埋深</w:t>
      </w:r>
      <w:r>
        <w:rPr>
          <w:rFonts w:hint="eastAsia"/>
          <w:color w:val="auto"/>
          <w:sz w:val="24"/>
          <w:szCs w:val="24"/>
          <w:highlight w:val="none"/>
          <w:lang w:val="en-US" w:eastAsia="zh-CN"/>
        </w:rPr>
        <w:t>36</w:t>
      </w:r>
      <w:r>
        <w:rPr>
          <w:rFonts w:hint="eastAsia"/>
          <w:color w:val="auto"/>
          <w:sz w:val="24"/>
          <w:szCs w:val="24"/>
          <w:highlight w:val="none"/>
        </w:rPr>
        <w:t>米。</w:t>
      </w:r>
      <w:r>
        <w:rPr>
          <w:color w:val="auto"/>
          <w:sz w:val="24"/>
          <w:szCs w:val="24"/>
          <w:highlight w:val="none"/>
        </w:rPr>
        <w:t>矿化度小于1克/升</w:t>
      </w:r>
      <w:r>
        <w:rPr>
          <w:rFonts w:hint="eastAsia"/>
          <w:color w:val="auto"/>
          <w:sz w:val="24"/>
          <w:szCs w:val="24"/>
          <w:highlight w:val="none"/>
          <w:lang w:eastAsia="zh-CN"/>
        </w:rPr>
        <w:t>，根据</w:t>
      </w:r>
      <w:r>
        <w:rPr>
          <w:rFonts w:hint="eastAsia" w:ascii="Times New Roman" w:hAnsi="Times New Roman"/>
          <w:color w:val="auto"/>
          <w:sz w:val="24"/>
          <w:szCs w:val="24"/>
          <w:highlight w:val="none"/>
          <w:lang w:val="zh-CN"/>
        </w:rPr>
        <w:t>区域水文地质图，</w:t>
      </w:r>
      <w:r>
        <w:rPr>
          <w:rFonts w:hint="eastAsia"/>
          <w:color w:val="auto"/>
          <w:sz w:val="24"/>
          <w:szCs w:val="24"/>
          <w:highlight w:val="none"/>
        </w:rPr>
        <w:t>地下水流向为自</w:t>
      </w:r>
      <w:r>
        <w:rPr>
          <w:rFonts w:hint="eastAsia"/>
          <w:color w:val="auto"/>
          <w:sz w:val="24"/>
          <w:szCs w:val="24"/>
          <w:highlight w:val="none"/>
          <w:lang w:eastAsia="zh-CN"/>
        </w:rPr>
        <w:t>东南</w:t>
      </w:r>
      <w:r>
        <w:rPr>
          <w:rFonts w:hint="eastAsia"/>
          <w:color w:val="auto"/>
          <w:sz w:val="24"/>
          <w:szCs w:val="24"/>
          <w:highlight w:val="none"/>
        </w:rPr>
        <w:t>向</w:t>
      </w:r>
      <w:r>
        <w:rPr>
          <w:rFonts w:hint="eastAsia"/>
          <w:color w:val="auto"/>
          <w:sz w:val="24"/>
          <w:szCs w:val="24"/>
          <w:highlight w:val="none"/>
          <w:lang w:eastAsia="zh-CN"/>
        </w:rPr>
        <w:t>西北</w:t>
      </w:r>
      <w:r>
        <w:rPr>
          <w:rFonts w:hint="eastAsia"/>
          <w:color w:val="auto"/>
          <w:sz w:val="24"/>
          <w:szCs w:val="24"/>
          <w:highlight w:val="none"/>
        </w:rPr>
        <w:t>。</w:t>
      </w:r>
    </w:p>
    <w:p w14:paraId="69B8E6F8">
      <w:pPr>
        <w:ind w:firstLine="472"/>
        <w:rPr>
          <w:rFonts w:hint="eastAsia"/>
          <w:color w:val="auto"/>
          <w:sz w:val="24"/>
          <w:szCs w:val="24"/>
          <w:highlight w:val="none"/>
        </w:rPr>
      </w:pPr>
      <w:r>
        <w:rPr>
          <w:rFonts w:hint="eastAsia"/>
          <w:color w:val="auto"/>
          <w:highlight w:val="none"/>
          <w:lang w:val="en-US" w:eastAsia="zh-CN"/>
        </w:rPr>
        <w:t>4#：取水目的层为</w:t>
      </w:r>
      <w:r>
        <w:rPr>
          <w:rFonts w:hint="eastAsia"/>
          <w:color w:val="auto"/>
          <w:highlight w:val="none"/>
        </w:rPr>
        <w:t>孔隙承压水层和孔隙—裂隙承压水层</w:t>
      </w:r>
      <w:r>
        <w:rPr>
          <w:rFonts w:hint="eastAsia" w:cs="Times New Roman"/>
          <w:color w:val="auto"/>
          <w:sz w:val="24"/>
          <w:szCs w:val="24"/>
          <w:highlight w:val="none"/>
          <w:lang w:eastAsia="zh-CN"/>
        </w:rPr>
        <w:t>，</w:t>
      </w:r>
      <w:r>
        <w:rPr>
          <w:rFonts w:hint="eastAsia"/>
          <w:color w:val="auto"/>
          <w:sz w:val="24"/>
          <w:szCs w:val="24"/>
          <w:highlight w:val="none"/>
        </w:rPr>
        <w:t>取水井井深</w:t>
      </w:r>
      <w:r>
        <w:rPr>
          <w:rFonts w:hint="eastAsia"/>
          <w:color w:val="auto"/>
          <w:sz w:val="24"/>
          <w:szCs w:val="24"/>
          <w:highlight w:val="none"/>
          <w:lang w:val="en-US" w:eastAsia="zh-CN"/>
        </w:rPr>
        <w:t>90</w:t>
      </w:r>
      <w:r>
        <w:rPr>
          <w:color w:val="auto"/>
          <w:sz w:val="24"/>
          <w:szCs w:val="24"/>
          <w:highlight w:val="none"/>
        </w:rPr>
        <w:t>米</w:t>
      </w:r>
      <w:r>
        <w:rPr>
          <w:rFonts w:hint="eastAsia"/>
          <w:color w:val="auto"/>
          <w:sz w:val="24"/>
          <w:szCs w:val="24"/>
          <w:highlight w:val="none"/>
          <w:lang w:eastAsia="zh-CN"/>
        </w:rPr>
        <w:t>，</w:t>
      </w:r>
      <w:r>
        <w:rPr>
          <w:rFonts w:hint="eastAsia"/>
          <w:color w:val="auto"/>
          <w:sz w:val="24"/>
          <w:szCs w:val="24"/>
          <w:highlight w:val="none"/>
        </w:rPr>
        <w:t>取水目的层上部为</w:t>
      </w:r>
      <w:r>
        <w:rPr>
          <w:rFonts w:hint="eastAsia"/>
          <w:color w:val="auto"/>
          <w:sz w:val="24"/>
          <w:szCs w:val="24"/>
          <w:highlight w:val="none"/>
          <w:lang w:val="en-US" w:eastAsia="zh-CN"/>
        </w:rPr>
        <w:t>1米腐殖土、9</w:t>
      </w:r>
      <w:r>
        <w:rPr>
          <w:rFonts w:hint="eastAsia"/>
          <w:color w:val="auto"/>
          <w:sz w:val="24"/>
          <w:szCs w:val="24"/>
          <w:highlight w:val="none"/>
        </w:rPr>
        <w:t>米黄土、</w:t>
      </w:r>
      <w:r>
        <w:rPr>
          <w:rFonts w:hint="eastAsia"/>
          <w:color w:val="auto"/>
          <w:sz w:val="24"/>
          <w:szCs w:val="24"/>
          <w:highlight w:val="none"/>
          <w:lang w:val="en-US" w:eastAsia="zh-CN"/>
        </w:rPr>
        <w:t>24</w:t>
      </w:r>
      <w:r>
        <w:rPr>
          <w:rFonts w:hint="eastAsia"/>
          <w:color w:val="auto"/>
          <w:sz w:val="24"/>
          <w:szCs w:val="24"/>
          <w:highlight w:val="none"/>
        </w:rPr>
        <w:t>米</w:t>
      </w:r>
      <w:r>
        <w:rPr>
          <w:rFonts w:hint="eastAsia"/>
          <w:color w:val="auto"/>
          <w:sz w:val="24"/>
          <w:szCs w:val="24"/>
          <w:highlight w:val="none"/>
          <w:lang w:eastAsia="zh-CN"/>
        </w:rPr>
        <w:t>粉质粘土、</w:t>
      </w:r>
      <w:r>
        <w:rPr>
          <w:rFonts w:hint="eastAsia"/>
          <w:color w:val="auto"/>
          <w:sz w:val="24"/>
          <w:szCs w:val="24"/>
          <w:highlight w:val="none"/>
          <w:lang w:val="en-US" w:eastAsia="zh-CN"/>
        </w:rPr>
        <w:t>2米砂岩</w:t>
      </w:r>
      <w:r>
        <w:rPr>
          <w:rFonts w:hint="eastAsia"/>
          <w:color w:val="auto"/>
          <w:sz w:val="24"/>
          <w:szCs w:val="24"/>
          <w:highlight w:val="none"/>
        </w:rPr>
        <w:t>，构成稳定隔水顶板，</w:t>
      </w:r>
      <w:r>
        <w:rPr>
          <w:rFonts w:hint="eastAsia"/>
          <w:color w:val="auto"/>
          <w:sz w:val="24"/>
          <w:szCs w:val="24"/>
          <w:highlight w:val="none"/>
          <w:lang w:eastAsia="zh-CN"/>
        </w:rPr>
        <w:t>取水层</w:t>
      </w:r>
      <w:r>
        <w:rPr>
          <w:rFonts w:hint="eastAsia"/>
          <w:color w:val="auto"/>
          <w:sz w:val="24"/>
          <w:szCs w:val="24"/>
          <w:highlight w:val="none"/>
        </w:rPr>
        <w:t>下部</w:t>
      </w:r>
      <w:r>
        <w:rPr>
          <w:rFonts w:hint="eastAsia"/>
          <w:color w:val="auto"/>
          <w:sz w:val="24"/>
          <w:szCs w:val="24"/>
          <w:highlight w:val="none"/>
          <w:lang w:eastAsia="zh-CN"/>
        </w:rPr>
        <w:t>为</w:t>
      </w:r>
      <w:r>
        <w:rPr>
          <w:rFonts w:hint="eastAsia"/>
          <w:color w:val="auto"/>
          <w:sz w:val="24"/>
          <w:szCs w:val="24"/>
          <w:highlight w:val="none"/>
          <w:lang w:val="en-US" w:eastAsia="zh-CN"/>
        </w:rPr>
        <w:t>39米</w:t>
      </w:r>
      <w:r>
        <w:rPr>
          <w:rFonts w:hint="eastAsia"/>
          <w:color w:val="auto"/>
          <w:sz w:val="24"/>
          <w:szCs w:val="24"/>
          <w:highlight w:val="none"/>
          <w:lang w:eastAsia="zh-CN"/>
        </w:rPr>
        <w:t>砂岩、</w:t>
      </w:r>
      <w:r>
        <w:rPr>
          <w:rFonts w:hint="eastAsia"/>
          <w:color w:val="auto"/>
          <w:sz w:val="24"/>
          <w:szCs w:val="24"/>
          <w:highlight w:val="none"/>
          <w:lang w:val="en-US" w:eastAsia="zh-CN"/>
        </w:rPr>
        <w:t>15米</w:t>
      </w:r>
      <w:r>
        <w:rPr>
          <w:rFonts w:hint="eastAsia"/>
          <w:color w:val="auto"/>
          <w:sz w:val="24"/>
          <w:szCs w:val="24"/>
          <w:highlight w:val="none"/>
          <w:lang w:eastAsia="zh-CN"/>
        </w:rPr>
        <w:t>泥岩</w:t>
      </w:r>
      <w:r>
        <w:rPr>
          <w:rFonts w:hint="eastAsia"/>
          <w:color w:val="auto"/>
          <w:sz w:val="24"/>
          <w:szCs w:val="24"/>
          <w:highlight w:val="none"/>
        </w:rPr>
        <w:t>，含水层厚度</w:t>
      </w:r>
      <w:r>
        <w:rPr>
          <w:rFonts w:hint="eastAsia"/>
          <w:color w:val="auto"/>
          <w:sz w:val="24"/>
          <w:szCs w:val="24"/>
          <w:highlight w:val="none"/>
          <w:lang w:val="en-US" w:eastAsia="zh-CN"/>
        </w:rPr>
        <w:t>49</w:t>
      </w:r>
      <w:r>
        <w:rPr>
          <w:color w:val="auto"/>
          <w:sz w:val="24"/>
          <w:szCs w:val="24"/>
          <w:highlight w:val="none"/>
        </w:rPr>
        <w:t>米</w:t>
      </w:r>
      <w:r>
        <w:rPr>
          <w:rFonts w:hint="eastAsia"/>
          <w:color w:val="auto"/>
          <w:sz w:val="24"/>
          <w:szCs w:val="24"/>
          <w:highlight w:val="none"/>
        </w:rPr>
        <w:t>，取水层埋深</w:t>
      </w:r>
      <w:r>
        <w:rPr>
          <w:rFonts w:hint="eastAsia"/>
          <w:color w:val="auto"/>
          <w:sz w:val="24"/>
          <w:szCs w:val="24"/>
          <w:highlight w:val="none"/>
          <w:lang w:val="en-US" w:eastAsia="zh-CN"/>
        </w:rPr>
        <w:t>36</w:t>
      </w:r>
      <w:r>
        <w:rPr>
          <w:rFonts w:hint="eastAsia"/>
          <w:color w:val="auto"/>
          <w:sz w:val="24"/>
          <w:szCs w:val="24"/>
          <w:highlight w:val="none"/>
        </w:rPr>
        <w:t>米。</w:t>
      </w:r>
      <w:r>
        <w:rPr>
          <w:color w:val="auto"/>
          <w:sz w:val="24"/>
          <w:szCs w:val="24"/>
          <w:highlight w:val="none"/>
        </w:rPr>
        <w:t>矿化度小于1克/升</w:t>
      </w:r>
      <w:r>
        <w:rPr>
          <w:rFonts w:hint="eastAsia"/>
          <w:color w:val="auto"/>
          <w:sz w:val="24"/>
          <w:szCs w:val="24"/>
          <w:highlight w:val="none"/>
          <w:lang w:eastAsia="zh-CN"/>
        </w:rPr>
        <w:t>，根据</w:t>
      </w:r>
      <w:r>
        <w:rPr>
          <w:rFonts w:hint="eastAsia" w:ascii="Times New Roman" w:hAnsi="Times New Roman"/>
          <w:color w:val="auto"/>
          <w:sz w:val="24"/>
          <w:szCs w:val="24"/>
          <w:highlight w:val="none"/>
          <w:lang w:val="zh-CN"/>
        </w:rPr>
        <w:t>区域水文地质图，</w:t>
      </w:r>
      <w:r>
        <w:rPr>
          <w:rFonts w:hint="eastAsia"/>
          <w:color w:val="auto"/>
          <w:sz w:val="24"/>
          <w:szCs w:val="24"/>
          <w:highlight w:val="none"/>
        </w:rPr>
        <w:t>地下水流向为自</w:t>
      </w:r>
      <w:r>
        <w:rPr>
          <w:rFonts w:hint="eastAsia"/>
          <w:color w:val="auto"/>
          <w:sz w:val="24"/>
          <w:szCs w:val="24"/>
          <w:highlight w:val="none"/>
          <w:lang w:eastAsia="zh-CN"/>
        </w:rPr>
        <w:t>东南</w:t>
      </w:r>
      <w:r>
        <w:rPr>
          <w:rFonts w:hint="eastAsia"/>
          <w:color w:val="auto"/>
          <w:sz w:val="24"/>
          <w:szCs w:val="24"/>
          <w:highlight w:val="none"/>
        </w:rPr>
        <w:t>向</w:t>
      </w:r>
      <w:r>
        <w:rPr>
          <w:rFonts w:hint="eastAsia"/>
          <w:color w:val="auto"/>
          <w:sz w:val="24"/>
          <w:szCs w:val="24"/>
          <w:highlight w:val="none"/>
          <w:lang w:eastAsia="zh-CN"/>
        </w:rPr>
        <w:t>西北</w:t>
      </w:r>
      <w:r>
        <w:rPr>
          <w:rFonts w:hint="eastAsia"/>
          <w:color w:val="auto"/>
          <w:sz w:val="24"/>
          <w:szCs w:val="24"/>
          <w:highlight w:val="none"/>
        </w:rPr>
        <w:t>。</w:t>
      </w:r>
    </w:p>
    <w:p w14:paraId="20F0C21F">
      <w:pPr>
        <w:ind w:firstLine="472"/>
        <w:rPr>
          <w:rFonts w:hint="eastAsia"/>
          <w:color w:val="auto"/>
          <w:sz w:val="24"/>
          <w:szCs w:val="24"/>
          <w:highlight w:val="none"/>
        </w:rPr>
      </w:pPr>
      <w:r>
        <w:rPr>
          <w:rFonts w:hint="eastAsia"/>
          <w:color w:val="auto"/>
          <w:highlight w:val="none"/>
          <w:lang w:val="en-US" w:eastAsia="zh-CN"/>
        </w:rPr>
        <w:t>5#：取水目的层为</w:t>
      </w:r>
      <w:r>
        <w:rPr>
          <w:rFonts w:hint="eastAsia"/>
          <w:color w:val="auto"/>
          <w:highlight w:val="none"/>
        </w:rPr>
        <w:t>孔隙承压水层和孔隙—裂隙承压水层</w:t>
      </w:r>
      <w:r>
        <w:rPr>
          <w:rFonts w:hint="eastAsia" w:cs="Times New Roman"/>
          <w:color w:val="auto"/>
          <w:sz w:val="24"/>
          <w:szCs w:val="24"/>
          <w:highlight w:val="none"/>
          <w:lang w:eastAsia="zh-CN"/>
        </w:rPr>
        <w:t>，</w:t>
      </w:r>
      <w:r>
        <w:rPr>
          <w:rFonts w:hint="eastAsia"/>
          <w:color w:val="auto"/>
          <w:sz w:val="24"/>
          <w:szCs w:val="24"/>
          <w:highlight w:val="none"/>
        </w:rPr>
        <w:t>取水井井深</w:t>
      </w:r>
      <w:r>
        <w:rPr>
          <w:rFonts w:hint="eastAsia"/>
          <w:color w:val="auto"/>
          <w:sz w:val="24"/>
          <w:szCs w:val="24"/>
          <w:highlight w:val="none"/>
          <w:lang w:val="en-US" w:eastAsia="zh-CN"/>
        </w:rPr>
        <w:t>90</w:t>
      </w:r>
      <w:r>
        <w:rPr>
          <w:color w:val="auto"/>
          <w:sz w:val="24"/>
          <w:szCs w:val="24"/>
          <w:highlight w:val="none"/>
        </w:rPr>
        <w:t>米</w:t>
      </w:r>
      <w:r>
        <w:rPr>
          <w:rFonts w:hint="eastAsia"/>
          <w:color w:val="auto"/>
          <w:sz w:val="24"/>
          <w:szCs w:val="24"/>
          <w:highlight w:val="none"/>
          <w:lang w:eastAsia="zh-CN"/>
        </w:rPr>
        <w:t>，</w:t>
      </w:r>
      <w:r>
        <w:rPr>
          <w:rFonts w:hint="eastAsia"/>
          <w:color w:val="auto"/>
          <w:sz w:val="24"/>
          <w:szCs w:val="24"/>
          <w:highlight w:val="none"/>
        </w:rPr>
        <w:t>取水目的层上部为</w:t>
      </w:r>
      <w:r>
        <w:rPr>
          <w:rFonts w:hint="eastAsia"/>
          <w:color w:val="auto"/>
          <w:sz w:val="24"/>
          <w:szCs w:val="24"/>
          <w:highlight w:val="none"/>
          <w:lang w:val="en-US" w:eastAsia="zh-CN"/>
        </w:rPr>
        <w:t>1米腐殖土、7</w:t>
      </w:r>
      <w:r>
        <w:rPr>
          <w:rFonts w:hint="eastAsia"/>
          <w:color w:val="auto"/>
          <w:sz w:val="24"/>
          <w:szCs w:val="24"/>
          <w:highlight w:val="none"/>
        </w:rPr>
        <w:t>米黄土、</w:t>
      </w:r>
      <w:r>
        <w:rPr>
          <w:rFonts w:hint="eastAsia"/>
          <w:color w:val="auto"/>
          <w:sz w:val="24"/>
          <w:szCs w:val="24"/>
          <w:highlight w:val="none"/>
          <w:lang w:val="en-US" w:eastAsia="zh-CN"/>
        </w:rPr>
        <w:t>24</w:t>
      </w:r>
      <w:r>
        <w:rPr>
          <w:rFonts w:hint="eastAsia"/>
          <w:color w:val="auto"/>
          <w:sz w:val="24"/>
          <w:szCs w:val="24"/>
          <w:highlight w:val="none"/>
        </w:rPr>
        <w:t>米</w:t>
      </w:r>
      <w:r>
        <w:rPr>
          <w:rFonts w:hint="eastAsia"/>
          <w:color w:val="auto"/>
          <w:sz w:val="24"/>
          <w:szCs w:val="24"/>
          <w:highlight w:val="none"/>
          <w:lang w:eastAsia="zh-CN"/>
        </w:rPr>
        <w:t>粉质粘土、</w:t>
      </w:r>
      <w:r>
        <w:rPr>
          <w:rFonts w:hint="eastAsia"/>
          <w:color w:val="auto"/>
          <w:sz w:val="24"/>
          <w:szCs w:val="24"/>
          <w:highlight w:val="none"/>
          <w:lang w:val="en-US" w:eastAsia="zh-CN"/>
        </w:rPr>
        <w:t>4米砂岩</w:t>
      </w:r>
      <w:r>
        <w:rPr>
          <w:rFonts w:hint="eastAsia"/>
          <w:color w:val="auto"/>
          <w:sz w:val="24"/>
          <w:szCs w:val="24"/>
          <w:highlight w:val="none"/>
        </w:rPr>
        <w:t>，构成稳定隔水顶板，</w:t>
      </w:r>
      <w:r>
        <w:rPr>
          <w:rFonts w:hint="eastAsia"/>
          <w:color w:val="auto"/>
          <w:sz w:val="24"/>
          <w:szCs w:val="24"/>
          <w:highlight w:val="none"/>
          <w:lang w:eastAsia="zh-CN"/>
        </w:rPr>
        <w:t>取水层</w:t>
      </w:r>
      <w:r>
        <w:rPr>
          <w:rFonts w:hint="eastAsia"/>
          <w:color w:val="auto"/>
          <w:sz w:val="24"/>
          <w:szCs w:val="24"/>
          <w:highlight w:val="none"/>
        </w:rPr>
        <w:t>下部</w:t>
      </w:r>
      <w:r>
        <w:rPr>
          <w:rFonts w:hint="eastAsia"/>
          <w:color w:val="auto"/>
          <w:sz w:val="24"/>
          <w:szCs w:val="24"/>
          <w:highlight w:val="none"/>
          <w:lang w:eastAsia="zh-CN"/>
        </w:rPr>
        <w:t>为</w:t>
      </w:r>
      <w:r>
        <w:rPr>
          <w:rFonts w:hint="eastAsia"/>
          <w:color w:val="auto"/>
          <w:sz w:val="24"/>
          <w:szCs w:val="24"/>
          <w:highlight w:val="none"/>
          <w:lang w:val="en-US" w:eastAsia="zh-CN"/>
        </w:rPr>
        <w:t>39米</w:t>
      </w:r>
      <w:r>
        <w:rPr>
          <w:rFonts w:hint="eastAsia"/>
          <w:color w:val="auto"/>
          <w:sz w:val="24"/>
          <w:szCs w:val="24"/>
          <w:highlight w:val="none"/>
          <w:lang w:eastAsia="zh-CN"/>
        </w:rPr>
        <w:t>砂岩、</w:t>
      </w:r>
      <w:r>
        <w:rPr>
          <w:rFonts w:hint="eastAsia"/>
          <w:color w:val="auto"/>
          <w:sz w:val="24"/>
          <w:szCs w:val="24"/>
          <w:highlight w:val="none"/>
          <w:lang w:val="en-US" w:eastAsia="zh-CN"/>
        </w:rPr>
        <w:t>15米</w:t>
      </w:r>
      <w:r>
        <w:rPr>
          <w:rFonts w:hint="eastAsia"/>
          <w:color w:val="auto"/>
          <w:sz w:val="24"/>
          <w:szCs w:val="24"/>
          <w:highlight w:val="none"/>
          <w:lang w:eastAsia="zh-CN"/>
        </w:rPr>
        <w:t>泥岩</w:t>
      </w:r>
      <w:r>
        <w:rPr>
          <w:rFonts w:hint="eastAsia"/>
          <w:color w:val="auto"/>
          <w:sz w:val="24"/>
          <w:szCs w:val="24"/>
          <w:highlight w:val="none"/>
        </w:rPr>
        <w:t>，含水层厚度</w:t>
      </w:r>
      <w:r>
        <w:rPr>
          <w:rFonts w:hint="eastAsia"/>
          <w:color w:val="auto"/>
          <w:sz w:val="24"/>
          <w:szCs w:val="24"/>
          <w:highlight w:val="none"/>
          <w:lang w:val="en-US" w:eastAsia="zh-CN"/>
        </w:rPr>
        <w:t>49</w:t>
      </w:r>
      <w:r>
        <w:rPr>
          <w:color w:val="auto"/>
          <w:sz w:val="24"/>
          <w:szCs w:val="24"/>
          <w:highlight w:val="none"/>
        </w:rPr>
        <w:t>米</w:t>
      </w:r>
      <w:r>
        <w:rPr>
          <w:rFonts w:hint="eastAsia"/>
          <w:color w:val="auto"/>
          <w:sz w:val="24"/>
          <w:szCs w:val="24"/>
          <w:highlight w:val="none"/>
        </w:rPr>
        <w:t>，取水层埋深</w:t>
      </w:r>
      <w:r>
        <w:rPr>
          <w:rFonts w:hint="eastAsia"/>
          <w:color w:val="auto"/>
          <w:sz w:val="24"/>
          <w:szCs w:val="24"/>
          <w:highlight w:val="none"/>
          <w:lang w:val="en-US" w:eastAsia="zh-CN"/>
        </w:rPr>
        <w:t>36</w:t>
      </w:r>
      <w:r>
        <w:rPr>
          <w:rFonts w:hint="eastAsia"/>
          <w:color w:val="auto"/>
          <w:sz w:val="24"/>
          <w:szCs w:val="24"/>
          <w:highlight w:val="none"/>
        </w:rPr>
        <w:t>米。</w:t>
      </w:r>
      <w:r>
        <w:rPr>
          <w:color w:val="auto"/>
          <w:sz w:val="24"/>
          <w:szCs w:val="24"/>
          <w:highlight w:val="none"/>
        </w:rPr>
        <w:t>矿化度小于1克/升</w:t>
      </w:r>
      <w:r>
        <w:rPr>
          <w:rFonts w:hint="eastAsia"/>
          <w:color w:val="auto"/>
          <w:sz w:val="24"/>
          <w:szCs w:val="24"/>
          <w:highlight w:val="none"/>
          <w:lang w:eastAsia="zh-CN"/>
        </w:rPr>
        <w:t>，根据</w:t>
      </w:r>
      <w:r>
        <w:rPr>
          <w:rFonts w:hint="eastAsia" w:ascii="Times New Roman" w:hAnsi="Times New Roman"/>
          <w:color w:val="auto"/>
          <w:sz w:val="24"/>
          <w:szCs w:val="24"/>
          <w:highlight w:val="none"/>
          <w:lang w:val="zh-CN"/>
        </w:rPr>
        <w:t>区域水文地质图，</w:t>
      </w:r>
      <w:r>
        <w:rPr>
          <w:rFonts w:hint="eastAsia"/>
          <w:color w:val="auto"/>
          <w:sz w:val="24"/>
          <w:szCs w:val="24"/>
          <w:highlight w:val="none"/>
        </w:rPr>
        <w:t>地下水流向为自</w:t>
      </w:r>
      <w:r>
        <w:rPr>
          <w:rFonts w:hint="eastAsia"/>
          <w:color w:val="auto"/>
          <w:sz w:val="24"/>
          <w:szCs w:val="24"/>
          <w:highlight w:val="none"/>
          <w:lang w:eastAsia="zh-CN"/>
        </w:rPr>
        <w:t>东南</w:t>
      </w:r>
      <w:r>
        <w:rPr>
          <w:rFonts w:hint="eastAsia"/>
          <w:color w:val="auto"/>
          <w:sz w:val="24"/>
          <w:szCs w:val="24"/>
          <w:highlight w:val="none"/>
        </w:rPr>
        <w:t>向</w:t>
      </w:r>
      <w:r>
        <w:rPr>
          <w:rFonts w:hint="eastAsia"/>
          <w:color w:val="auto"/>
          <w:sz w:val="24"/>
          <w:szCs w:val="24"/>
          <w:highlight w:val="none"/>
          <w:lang w:eastAsia="zh-CN"/>
        </w:rPr>
        <w:t>西北</w:t>
      </w:r>
      <w:r>
        <w:rPr>
          <w:rFonts w:hint="eastAsia"/>
          <w:color w:val="auto"/>
          <w:sz w:val="24"/>
          <w:szCs w:val="24"/>
          <w:highlight w:val="none"/>
        </w:rPr>
        <w:t>。</w:t>
      </w:r>
    </w:p>
    <w:p w14:paraId="247E15DB">
      <w:pPr>
        <w:pStyle w:val="3"/>
        <w:rPr>
          <w:color w:val="auto"/>
          <w:highlight w:val="none"/>
        </w:rPr>
      </w:pPr>
      <w:bookmarkStart w:id="60" w:name="_Toc14593"/>
      <w:r>
        <w:rPr>
          <w:rFonts w:hint="eastAsia"/>
          <w:color w:val="auto"/>
          <w:highlight w:val="none"/>
        </w:rPr>
        <w:t>2.7饮用水水源地的水质状况调查评价</w:t>
      </w:r>
      <w:bookmarkEnd w:id="59"/>
      <w:bookmarkEnd w:id="60"/>
    </w:p>
    <w:p w14:paraId="1912333E">
      <w:pPr>
        <w:pStyle w:val="4"/>
        <w:rPr>
          <w:color w:val="auto"/>
          <w:highlight w:val="none"/>
        </w:rPr>
      </w:pPr>
      <w:bookmarkStart w:id="61" w:name="_Toc8583"/>
      <w:r>
        <w:rPr>
          <w:rFonts w:hint="eastAsia"/>
          <w:color w:val="auto"/>
          <w:highlight w:val="none"/>
        </w:rPr>
        <w:t>2.7.1评价依据</w:t>
      </w:r>
      <w:bookmarkEnd w:id="61"/>
    </w:p>
    <w:p w14:paraId="694D1AC3">
      <w:pPr>
        <w:ind w:firstLine="470"/>
        <w:rPr>
          <w:color w:val="auto"/>
          <w:highlight w:val="none"/>
        </w:rPr>
      </w:pPr>
      <w:r>
        <w:rPr>
          <w:rFonts w:hint="eastAsia"/>
          <w:color w:val="auto"/>
          <w:highlight w:val="none"/>
        </w:rPr>
        <w:t>根据《饮用水水源保护区划分技术规范》（HJ T338-2018），地下水饮用水水源水质的各项指标要达到《地下水质量标准》（GB/T 14848-2017）中的Ⅲ类标准要求。</w:t>
      </w:r>
    </w:p>
    <w:p w14:paraId="655A0A5E">
      <w:pPr>
        <w:ind w:firstLine="470"/>
        <w:rPr>
          <w:color w:val="auto"/>
          <w:highlight w:val="none"/>
        </w:rPr>
      </w:pPr>
      <w:r>
        <w:rPr>
          <w:rFonts w:hint="eastAsia"/>
          <w:color w:val="auto"/>
          <w:highlight w:val="none"/>
        </w:rPr>
        <w:t>因此，本次评价采用《地下水质量标准》（GB/T 14848-2017）中的Ⅲ类标准作为水源地水质的评价依据。</w:t>
      </w:r>
    </w:p>
    <w:p w14:paraId="206885F3">
      <w:pPr>
        <w:pStyle w:val="4"/>
        <w:rPr>
          <w:color w:val="auto"/>
          <w:highlight w:val="none"/>
        </w:rPr>
      </w:pPr>
      <w:bookmarkStart w:id="62" w:name="_Toc12161"/>
      <w:r>
        <w:rPr>
          <w:rFonts w:hint="eastAsia"/>
          <w:color w:val="auto"/>
          <w:highlight w:val="none"/>
        </w:rPr>
        <w:t>2.7.2数据来源</w:t>
      </w:r>
      <w:bookmarkEnd w:id="62"/>
    </w:p>
    <w:p w14:paraId="1CEA8B8E">
      <w:pPr>
        <w:ind w:firstLine="472" w:firstLineChars="200"/>
        <w:rPr>
          <w:rFonts w:hint="eastAsia"/>
          <w:color w:val="auto"/>
          <w:sz w:val="24"/>
          <w:szCs w:val="24"/>
          <w:highlight w:val="none"/>
        </w:rPr>
      </w:pPr>
      <w:r>
        <w:rPr>
          <w:rFonts w:hint="eastAsia"/>
          <w:color w:val="auto"/>
          <w:sz w:val="24"/>
          <w:szCs w:val="24"/>
          <w:highlight w:val="none"/>
        </w:rPr>
        <w:t>本次评价数据源自</w:t>
      </w:r>
      <w:r>
        <w:rPr>
          <w:rFonts w:hint="eastAsia" w:ascii="Times New Roman" w:hAnsi="Times New Roman" w:eastAsia="宋体" w:cs="Times New Roman"/>
          <w:color w:val="auto"/>
          <w:sz w:val="24"/>
          <w:szCs w:val="24"/>
          <w:highlight w:val="none"/>
        </w:rPr>
        <w:t>中科指南针（黑龙江）检验检测有限公司</w:t>
      </w:r>
      <w:r>
        <w:rPr>
          <w:rFonts w:hint="eastAsia"/>
          <w:color w:val="auto"/>
          <w:sz w:val="24"/>
          <w:szCs w:val="24"/>
          <w:highlight w:val="none"/>
        </w:rPr>
        <w:t>出具的原水水质检测报告，水质</w:t>
      </w:r>
      <w:r>
        <w:rPr>
          <w:rFonts w:hint="eastAsia"/>
          <w:color w:val="auto"/>
          <w:sz w:val="24"/>
          <w:szCs w:val="24"/>
          <w:highlight w:val="none"/>
          <w:lang w:eastAsia="zh-CN"/>
        </w:rPr>
        <w:t>采样</w:t>
      </w:r>
      <w:r>
        <w:rPr>
          <w:rFonts w:hint="eastAsia"/>
          <w:color w:val="auto"/>
          <w:sz w:val="24"/>
          <w:szCs w:val="24"/>
          <w:highlight w:val="none"/>
        </w:rPr>
        <w:t>日期为202</w:t>
      </w:r>
      <w:r>
        <w:rPr>
          <w:rFonts w:hint="eastAsia"/>
          <w:color w:val="auto"/>
          <w:sz w:val="24"/>
          <w:szCs w:val="24"/>
          <w:highlight w:val="none"/>
          <w:lang w:val="en-US" w:eastAsia="zh-CN"/>
        </w:rPr>
        <w:t>5</w:t>
      </w:r>
      <w:r>
        <w:rPr>
          <w:rFonts w:hint="eastAsia"/>
          <w:color w:val="auto"/>
          <w:sz w:val="24"/>
          <w:szCs w:val="24"/>
          <w:highlight w:val="none"/>
        </w:rPr>
        <w:t>年</w:t>
      </w:r>
      <w:r>
        <w:rPr>
          <w:rFonts w:hint="eastAsia"/>
          <w:color w:val="auto"/>
          <w:sz w:val="24"/>
          <w:szCs w:val="24"/>
          <w:highlight w:val="none"/>
          <w:lang w:val="en-US" w:eastAsia="zh-CN"/>
        </w:rPr>
        <w:t>12</w:t>
      </w:r>
      <w:r>
        <w:rPr>
          <w:rFonts w:hint="eastAsia"/>
          <w:color w:val="auto"/>
          <w:sz w:val="24"/>
          <w:szCs w:val="24"/>
          <w:highlight w:val="none"/>
        </w:rPr>
        <w:t>月</w:t>
      </w:r>
      <w:r>
        <w:rPr>
          <w:rFonts w:hint="eastAsia"/>
          <w:color w:val="auto"/>
          <w:sz w:val="24"/>
          <w:szCs w:val="24"/>
          <w:highlight w:val="none"/>
          <w:lang w:val="en-US" w:eastAsia="zh-CN"/>
        </w:rPr>
        <w:t>2日</w:t>
      </w:r>
      <w:r>
        <w:rPr>
          <w:rFonts w:hint="eastAsia"/>
          <w:color w:val="auto"/>
          <w:sz w:val="24"/>
          <w:szCs w:val="24"/>
          <w:highlight w:val="none"/>
        </w:rPr>
        <w:t>～</w:t>
      </w:r>
      <w:r>
        <w:rPr>
          <w:rFonts w:hint="eastAsia"/>
          <w:color w:val="auto"/>
          <w:sz w:val="24"/>
          <w:szCs w:val="24"/>
          <w:highlight w:val="none"/>
          <w:lang w:val="en-US" w:eastAsia="zh-CN"/>
        </w:rPr>
        <w:t>4</w:t>
      </w:r>
      <w:r>
        <w:rPr>
          <w:rFonts w:hint="eastAsia"/>
          <w:color w:val="auto"/>
          <w:sz w:val="24"/>
          <w:szCs w:val="24"/>
          <w:highlight w:val="none"/>
        </w:rPr>
        <w:t>日。</w:t>
      </w:r>
    </w:p>
    <w:p w14:paraId="5A6B66F4">
      <w:pPr>
        <w:pStyle w:val="4"/>
        <w:rPr>
          <w:color w:val="auto"/>
          <w:highlight w:val="none"/>
        </w:rPr>
      </w:pPr>
      <w:bookmarkStart w:id="63" w:name="_Toc20568"/>
      <w:r>
        <w:rPr>
          <w:rFonts w:hint="eastAsia"/>
          <w:color w:val="auto"/>
          <w:highlight w:val="none"/>
        </w:rPr>
        <w:t>2.7.3水质状况评价</w:t>
      </w:r>
      <w:bookmarkEnd w:id="63"/>
    </w:p>
    <w:p w14:paraId="416BD849">
      <w:pPr>
        <w:ind w:firstLine="470"/>
        <w:rPr>
          <w:color w:val="auto"/>
          <w:highlight w:val="none"/>
        </w:rPr>
      </w:pPr>
      <w:r>
        <w:rPr>
          <w:rFonts w:hint="eastAsia"/>
          <w:color w:val="auto"/>
          <w:highlight w:val="none"/>
          <w:lang w:eastAsia="zh-CN"/>
        </w:rPr>
        <w:t>（</w:t>
      </w:r>
      <w:r>
        <w:rPr>
          <w:rFonts w:hint="eastAsia"/>
          <w:color w:val="auto"/>
          <w:highlight w:val="none"/>
          <w:lang w:val="en-US" w:eastAsia="zh-CN"/>
        </w:rPr>
        <w:t>1</w:t>
      </w:r>
      <w:r>
        <w:rPr>
          <w:rFonts w:hint="eastAsia"/>
          <w:color w:val="auto"/>
          <w:highlight w:val="none"/>
          <w:lang w:eastAsia="zh-CN"/>
        </w:rPr>
        <w:t>）</w:t>
      </w:r>
      <w:r>
        <w:rPr>
          <w:rFonts w:hint="eastAsia"/>
          <w:color w:val="auto"/>
          <w:highlight w:val="none"/>
        </w:rPr>
        <w:t>水质监测结果及标准限值</w:t>
      </w:r>
    </w:p>
    <w:p w14:paraId="143C940B">
      <w:pPr>
        <w:ind w:firstLine="470"/>
        <w:rPr>
          <w:color w:val="auto"/>
          <w:highlight w:val="none"/>
        </w:rPr>
      </w:pPr>
      <w:r>
        <w:rPr>
          <w:rFonts w:hint="eastAsia"/>
          <w:color w:val="auto"/>
          <w:highlight w:val="none"/>
        </w:rPr>
        <w:t>水源地各水井的原水</w:t>
      </w:r>
      <w:r>
        <w:rPr>
          <w:rFonts w:hint="eastAsia"/>
          <w:color w:val="auto"/>
          <w:highlight w:val="none"/>
          <w:lang w:eastAsia="zh-CN"/>
        </w:rPr>
        <w:t>水质监测</w:t>
      </w:r>
      <w:r>
        <w:rPr>
          <w:rFonts w:hint="eastAsia"/>
          <w:color w:val="auto"/>
          <w:highlight w:val="none"/>
        </w:rPr>
        <w:t>结果详见表2-</w:t>
      </w:r>
      <w:r>
        <w:rPr>
          <w:rFonts w:hint="eastAsia"/>
          <w:color w:val="auto"/>
          <w:highlight w:val="none"/>
          <w:lang w:val="en-US" w:eastAsia="zh-CN"/>
        </w:rPr>
        <w:t>7</w:t>
      </w:r>
      <w:r>
        <w:rPr>
          <w:rFonts w:hint="eastAsia"/>
          <w:color w:val="auto"/>
          <w:highlight w:val="none"/>
        </w:rPr>
        <w:t>。</w:t>
      </w:r>
    </w:p>
    <w:p w14:paraId="622CBB9B">
      <w:pPr>
        <w:pStyle w:val="28"/>
        <w:rPr>
          <w:color w:val="auto"/>
          <w:highlight w:val="none"/>
        </w:rPr>
        <w:sectPr>
          <w:pgSz w:w="11905" w:h="16838"/>
          <w:pgMar w:top="1474" w:right="1474" w:bottom="1474" w:left="1474" w:header="964" w:footer="992" w:gutter="0"/>
          <w:pgBorders>
            <w:top w:val="none" w:sz="0" w:space="0"/>
            <w:left w:val="none" w:sz="0" w:space="0"/>
            <w:bottom w:val="none" w:sz="0" w:space="0"/>
            <w:right w:val="none" w:sz="0" w:space="0"/>
          </w:pgBorders>
          <w:pgNumType w:fmt="decimal"/>
          <w:cols w:space="720" w:num="1"/>
          <w:docGrid w:type="linesAndChars" w:linePitch="347" w:charSpace="-1024"/>
        </w:sectPr>
      </w:pPr>
    </w:p>
    <w:p w14:paraId="613ED286">
      <w:pPr>
        <w:pStyle w:val="28"/>
        <w:rPr>
          <w:color w:val="auto"/>
          <w:highlight w:val="none"/>
        </w:rPr>
      </w:pPr>
      <w:r>
        <w:rPr>
          <w:color w:val="auto"/>
          <w:highlight w:val="none"/>
        </w:rPr>
        <w:t>表2-</w:t>
      </w:r>
      <w:r>
        <w:rPr>
          <w:rFonts w:hint="eastAsia"/>
          <w:color w:val="auto"/>
          <w:highlight w:val="none"/>
          <w:lang w:val="en-US" w:eastAsia="zh-CN"/>
        </w:rPr>
        <w:t>7</w:t>
      </w:r>
      <w:r>
        <w:rPr>
          <w:color w:val="auto"/>
          <w:highlight w:val="none"/>
        </w:rPr>
        <w:t xml:space="preserve"> 水井原水检测结果</w:t>
      </w:r>
    </w:p>
    <w:tbl>
      <w:tblPr>
        <w:tblStyle w:val="21"/>
        <w:tblW w:w="4995"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Layout w:type="fixed"/>
        <w:tblCellMar>
          <w:top w:w="0" w:type="dxa"/>
          <w:left w:w="108" w:type="dxa"/>
          <w:bottom w:w="0" w:type="dxa"/>
          <w:right w:w="108" w:type="dxa"/>
        </w:tblCellMar>
      </w:tblPr>
      <w:tblGrid>
        <w:gridCol w:w="2005"/>
        <w:gridCol w:w="1198"/>
        <w:gridCol w:w="1198"/>
        <w:gridCol w:w="1198"/>
        <w:gridCol w:w="1198"/>
        <w:gridCol w:w="1198"/>
        <w:gridCol w:w="1198"/>
        <w:gridCol w:w="1198"/>
        <w:gridCol w:w="1198"/>
        <w:gridCol w:w="1198"/>
        <w:gridCol w:w="1203"/>
        <w:gridCol w:w="1203"/>
        <w:gridCol w:w="1203"/>
        <w:gridCol w:w="1102"/>
        <w:gridCol w:w="1125"/>
        <w:gridCol w:w="1050"/>
        <w:gridCol w:w="1389"/>
      </w:tblGrid>
      <w:tr w14:paraId="711E9CF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90" w:hRule="atLeast"/>
        </w:trPr>
        <w:tc>
          <w:tcPr>
            <w:tcW w:w="475" w:type="pct"/>
            <w:tcBorders>
              <w:tl2br w:val="single" w:color="000000" w:sz="4" w:space="0"/>
            </w:tcBorders>
            <w:shd w:val="clear" w:color="auto" w:fill="auto"/>
            <w:vAlign w:val="center"/>
          </w:tcPr>
          <w:p w14:paraId="787B58F7">
            <w:pPr>
              <w:keepNext w:val="0"/>
              <w:keepLines w:val="0"/>
              <w:widowControl/>
              <w:suppressLineNumbers w:val="0"/>
              <w:spacing w:line="240" w:lineRule="auto"/>
              <w:ind w:firstLine="824" w:firstLineChars="400"/>
              <w:jc w:val="both"/>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点位名称</w:t>
            </w:r>
          </w:p>
          <w:p w14:paraId="22ED0A8B">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p w14:paraId="6386D30B">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p w14:paraId="1B4FED35">
            <w:pPr>
              <w:keepNext w:val="0"/>
              <w:keepLines w:val="0"/>
              <w:widowControl/>
              <w:suppressLineNumbers w:val="0"/>
              <w:spacing w:line="240" w:lineRule="auto"/>
              <w:ind w:firstLine="0" w:firstLineChars="0"/>
              <w:jc w:val="both"/>
              <w:textAlignment w:val="center"/>
              <w:rPr>
                <w:rFonts w:hint="default" w:ascii="Times New Roman" w:hAnsi="Times New Roman" w:eastAsia="宋体" w:cs="Times New Roman"/>
                <w:i w:val="0"/>
                <w:iCs w:val="0"/>
                <w:color w:val="auto"/>
                <w:sz w:val="21"/>
                <w:szCs w:val="21"/>
                <w:highlight w:val="none"/>
                <w:u w:val="none"/>
              </w:rPr>
            </w:pPr>
            <w:r>
              <w:rPr>
                <w:rFonts w:hint="eastAsia"/>
                <w:color w:val="auto"/>
                <w:sz w:val="21"/>
                <w:szCs w:val="21"/>
                <w:highlight w:val="none"/>
                <w:lang w:val="en-US" w:eastAsia="zh-CN"/>
              </w:rPr>
              <w:t>检测指标</w:t>
            </w:r>
          </w:p>
        </w:tc>
        <w:tc>
          <w:tcPr>
            <w:tcW w:w="284" w:type="pct"/>
            <w:shd w:val="clear" w:color="auto" w:fill="auto"/>
            <w:vAlign w:val="center"/>
          </w:tcPr>
          <w:p w14:paraId="3C1434EC">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绥化市庆安县同乐镇饮用水水源地1#取水井</w:t>
            </w:r>
          </w:p>
        </w:tc>
        <w:tc>
          <w:tcPr>
            <w:tcW w:w="284" w:type="pct"/>
            <w:shd w:val="clear" w:color="auto" w:fill="auto"/>
            <w:vAlign w:val="center"/>
          </w:tcPr>
          <w:p w14:paraId="23C7293A">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绥化市庆安县同乐镇饮用水水源地2#取水井</w:t>
            </w:r>
          </w:p>
        </w:tc>
        <w:tc>
          <w:tcPr>
            <w:tcW w:w="284" w:type="pct"/>
            <w:tcBorders>
              <w:tl2br w:val="nil"/>
              <w:tr2bl w:val="nil"/>
            </w:tcBorders>
            <w:shd w:val="clear" w:color="auto" w:fill="auto"/>
            <w:vAlign w:val="center"/>
          </w:tcPr>
          <w:p w14:paraId="01D031C2">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绥化市庆安县同乐镇饮用水水源地3#取水井</w:t>
            </w:r>
          </w:p>
        </w:tc>
        <w:tc>
          <w:tcPr>
            <w:tcW w:w="284" w:type="pct"/>
            <w:tcBorders>
              <w:tl2br w:val="nil"/>
              <w:tr2bl w:val="nil"/>
            </w:tcBorders>
            <w:shd w:val="clear" w:color="auto" w:fill="auto"/>
            <w:vAlign w:val="center"/>
          </w:tcPr>
          <w:p w14:paraId="5549BEE5">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绥化市庆安县丰收乡饮用水水源地1#取水井</w:t>
            </w:r>
          </w:p>
        </w:tc>
        <w:tc>
          <w:tcPr>
            <w:tcW w:w="284" w:type="pct"/>
            <w:tcBorders>
              <w:tl2br w:val="nil"/>
              <w:tr2bl w:val="nil"/>
            </w:tcBorders>
            <w:shd w:val="clear" w:color="auto" w:fill="auto"/>
            <w:vAlign w:val="center"/>
          </w:tcPr>
          <w:p w14:paraId="33EB79C5">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绥化市庆安县丰收乡饮用水水源地2#取水井</w:t>
            </w:r>
          </w:p>
        </w:tc>
        <w:tc>
          <w:tcPr>
            <w:tcW w:w="284" w:type="pct"/>
            <w:tcBorders>
              <w:tl2br w:val="nil"/>
              <w:tr2bl w:val="nil"/>
            </w:tcBorders>
            <w:shd w:val="clear" w:color="auto" w:fill="auto"/>
            <w:vAlign w:val="center"/>
          </w:tcPr>
          <w:p w14:paraId="6D7FBC26">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绥化市庆安县丰收乡饮用水水源地</w:t>
            </w:r>
            <w:r>
              <w:rPr>
                <w:rFonts w:hint="eastAsia" w:cs="Times New Roman"/>
                <w:i w:val="0"/>
                <w:iCs w:val="0"/>
                <w:color w:val="auto"/>
                <w:kern w:val="0"/>
                <w:sz w:val="21"/>
                <w:szCs w:val="21"/>
                <w:highlight w:val="none"/>
                <w:u w:val="none"/>
                <w:lang w:val="en-US" w:eastAsia="zh-CN" w:bidi="ar"/>
              </w:rPr>
              <w:t>3</w:t>
            </w:r>
            <w:r>
              <w:rPr>
                <w:rFonts w:hint="default" w:ascii="Times New Roman" w:hAnsi="Times New Roman" w:eastAsia="宋体" w:cs="Times New Roman"/>
                <w:i w:val="0"/>
                <w:iCs w:val="0"/>
                <w:color w:val="auto"/>
                <w:kern w:val="0"/>
                <w:sz w:val="21"/>
                <w:szCs w:val="21"/>
                <w:highlight w:val="none"/>
                <w:u w:val="none"/>
                <w:lang w:val="en-US" w:eastAsia="zh-CN" w:bidi="ar"/>
              </w:rPr>
              <w:t>#取水井</w:t>
            </w:r>
          </w:p>
        </w:tc>
        <w:tc>
          <w:tcPr>
            <w:tcW w:w="284" w:type="pct"/>
            <w:tcBorders>
              <w:tl2br w:val="nil"/>
              <w:tr2bl w:val="nil"/>
            </w:tcBorders>
            <w:shd w:val="clear" w:color="auto" w:fill="auto"/>
            <w:vAlign w:val="center"/>
          </w:tcPr>
          <w:p w14:paraId="743312D7">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绥化市庆安县发展乡饮用水水源地1#取水井</w:t>
            </w:r>
          </w:p>
        </w:tc>
        <w:tc>
          <w:tcPr>
            <w:tcW w:w="284" w:type="pct"/>
            <w:tcBorders>
              <w:tl2br w:val="nil"/>
              <w:tr2bl w:val="nil"/>
            </w:tcBorders>
            <w:shd w:val="clear" w:color="auto" w:fill="auto"/>
            <w:vAlign w:val="center"/>
          </w:tcPr>
          <w:p w14:paraId="0A40D4F2">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绥化市庆安县发展乡饮用水水源地2#取水井</w:t>
            </w:r>
          </w:p>
        </w:tc>
        <w:tc>
          <w:tcPr>
            <w:tcW w:w="284" w:type="pct"/>
            <w:tcBorders>
              <w:tl2br w:val="nil"/>
              <w:tr2bl w:val="nil"/>
            </w:tcBorders>
            <w:shd w:val="clear" w:color="auto" w:fill="auto"/>
            <w:vAlign w:val="center"/>
          </w:tcPr>
          <w:p w14:paraId="58139CA2">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绥化市庆安县发展乡饮用水水源地3#取水井</w:t>
            </w:r>
          </w:p>
        </w:tc>
        <w:tc>
          <w:tcPr>
            <w:tcW w:w="285" w:type="pct"/>
            <w:tcBorders>
              <w:tl2br w:val="nil"/>
              <w:tr2bl w:val="nil"/>
            </w:tcBorders>
            <w:shd w:val="clear" w:color="auto" w:fill="auto"/>
            <w:vAlign w:val="center"/>
          </w:tcPr>
          <w:p w14:paraId="387C5FB2">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绥化市庆安县发展乡饮用水水源地4#取水井</w:t>
            </w:r>
          </w:p>
        </w:tc>
        <w:tc>
          <w:tcPr>
            <w:tcW w:w="285" w:type="pct"/>
            <w:tcBorders>
              <w:tl2br w:val="nil"/>
              <w:tr2bl w:val="nil"/>
            </w:tcBorders>
            <w:shd w:val="clear" w:color="auto" w:fill="auto"/>
            <w:vAlign w:val="center"/>
          </w:tcPr>
          <w:p w14:paraId="44AC5982">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绥化市庆安县发展乡饮用水水源地5#取水井</w:t>
            </w:r>
          </w:p>
        </w:tc>
        <w:tc>
          <w:tcPr>
            <w:tcW w:w="285" w:type="pct"/>
            <w:tcBorders>
              <w:tl2br w:val="nil"/>
              <w:tr2bl w:val="nil"/>
            </w:tcBorders>
            <w:shd w:val="clear" w:color="auto" w:fill="auto"/>
            <w:vAlign w:val="center"/>
          </w:tcPr>
          <w:p w14:paraId="0DEC851E">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绥化市庆安县发展乡饮用水水源地6#取水井</w:t>
            </w:r>
          </w:p>
        </w:tc>
        <w:tc>
          <w:tcPr>
            <w:tcW w:w="261" w:type="pct"/>
            <w:tcBorders>
              <w:tl2br w:val="nil"/>
              <w:tr2bl w:val="nil"/>
            </w:tcBorders>
            <w:shd w:val="clear" w:color="auto" w:fill="auto"/>
            <w:vAlign w:val="center"/>
          </w:tcPr>
          <w:p w14:paraId="4542CF78">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绥化市庆安县发展乡饮用水水源地7#取水井</w:t>
            </w:r>
          </w:p>
        </w:tc>
        <w:tc>
          <w:tcPr>
            <w:tcW w:w="267" w:type="pct"/>
            <w:tcBorders>
              <w:tl2br w:val="nil"/>
              <w:tr2bl w:val="nil"/>
            </w:tcBorders>
            <w:shd w:val="clear" w:color="auto" w:fill="auto"/>
            <w:vAlign w:val="center"/>
          </w:tcPr>
          <w:p w14:paraId="26D4C8EE">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绥化市庆安县发展乡饮用水水源地8#取水井</w:t>
            </w:r>
          </w:p>
        </w:tc>
        <w:tc>
          <w:tcPr>
            <w:tcW w:w="249" w:type="pct"/>
            <w:tcBorders>
              <w:tl2br w:val="nil"/>
              <w:tr2bl w:val="nil"/>
            </w:tcBorders>
            <w:shd w:val="clear" w:color="auto" w:fill="auto"/>
            <w:vAlign w:val="center"/>
          </w:tcPr>
          <w:p w14:paraId="6FDB7EC8">
            <w:pPr>
              <w:keepNext w:val="0"/>
              <w:keepLines w:val="0"/>
              <w:widowControl/>
              <w:suppressLineNumbers w:val="0"/>
              <w:spacing w:line="240" w:lineRule="auto"/>
              <w:ind w:firstLine="0" w:firstLineChars="0"/>
              <w:jc w:val="center"/>
              <w:textAlignment w:val="center"/>
              <w:rPr>
                <w:rFonts w:hint="eastAsia"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w:t>
            </w:r>
          </w:p>
        </w:tc>
        <w:tc>
          <w:tcPr>
            <w:tcW w:w="329" w:type="pct"/>
            <w:tcBorders>
              <w:tl2br w:val="nil"/>
              <w:tr2bl w:val="nil"/>
            </w:tcBorders>
            <w:shd w:val="clear" w:color="auto" w:fill="auto"/>
            <w:vAlign w:val="center"/>
          </w:tcPr>
          <w:p w14:paraId="6AC25EE2">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color w:val="auto"/>
                <w:sz w:val="21"/>
                <w:szCs w:val="21"/>
                <w:highlight w:val="none"/>
              </w:rPr>
              <w:t>标准限值</w:t>
            </w:r>
          </w:p>
        </w:tc>
      </w:tr>
      <w:tr w14:paraId="7910216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475" w:type="pct"/>
            <w:tcBorders>
              <w:tl2br w:val="nil"/>
              <w:tr2bl w:val="nil"/>
            </w:tcBorders>
            <w:shd w:val="clear" w:color="auto" w:fill="auto"/>
            <w:vAlign w:val="center"/>
          </w:tcPr>
          <w:p w14:paraId="6C62CDD3">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pH</w:t>
            </w:r>
            <w:r>
              <w:rPr>
                <w:rFonts w:hint="default" w:ascii="Times New Roman" w:hAnsi="Times New Roman" w:eastAsia="宋体" w:cs="Times New Roman"/>
                <w:color w:val="auto"/>
                <w:sz w:val="21"/>
                <w:szCs w:val="21"/>
                <w:highlight w:val="none"/>
                <w:u w:val="none"/>
                <w:lang w:val="en-US" w:eastAsia="zh-CN" w:bidi="ar"/>
              </w:rPr>
              <w:t>（无量纲）</w:t>
            </w:r>
          </w:p>
        </w:tc>
        <w:tc>
          <w:tcPr>
            <w:tcW w:w="284" w:type="pct"/>
            <w:tcBorders>
              <w:tl2br w:val="nil"/>
              <w:tr2bl w:val="nil"/>
            </w:tcBorders>
            <w:shd w:val="clear" w:color="auto" w:fill="auto"/>
            <w:noWrap/>
            <w:vAlign w:val="center"/>
          </w:tcPr>
          <w:p w14:paraId="0F83720F">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w:t>
            </w:r>
          </w:p>
        </w:tc>
        <w:tc>
          <w:tcPr>
            <w:tcW w:w="284" w:type="pct"/>
            <w:tcBorders>
              <w:tl2br w:val="nil"/>
              <w:tr2bl w:val="nil"/>
            </w:tcBorders>
            <w:shd w:val="clear" w:color="auto" w:fill="auto"/>
            <w:noWrap/>
            <w:vAlign w:val="center"/>
          </w:tcPr>
          <w:p w14:paraId="27FA6CA5">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6.9</w:t>
            </w:r>
          </w:p>
        </w:tc>
        <w:tc>
          <w:tcPr>
            <w:tcW w:w="284" w:type="pct"/>
            <w:tcBorders>
              <w:tl2br w:val="nil"/>
              <w:tr2bl w:val="nil"/>
            </w:tcBorders>
            <w:shd w:val="clear" w:color="auto" w:fill="auto"/>
            <w:noWrap/>
            <w:vAlign w:val="center"/>
          </w:tcPr>
          <w:p w14:paraId="28B6FB2A">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w:t>
            </w:r>
          </w:p>
        </w:tc>
        <w:tc>
          <w:tcPr>
            <w:tcW w:w="284" w:type="pct"/>
            <w:tcBorders>
              <w:tl2br w:val="nil"/>
              <w:tr2bl w:val="nil"/>
            </w:tcBorders>
            <w:shd w:val="clear" w:color="auto" w:fill="auto"/>
            <w:noWrap/>
            <w:vAlign w:val="center"/>
          </w:tcPr>
          <w:p w14:paraId="0C7661A2">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6.9</w:t>
            </w:r>
          </w:p>
        </w:tc>
        <w:tc>
          <w:tcPr>
            <w:tcW w:w="284" w:type="pct"/>
            <w:tcBorders>
              <w:tl2br w:val="nil"/>
              <w:tr2bl w:val="nil"/>
            </w:tcBorders>
            <w:shd w:val="clear" w:color="auto" w:fill="auto"/>
            <w:noWrap/>
            <w:vAlign w:val="center"/>
          </w:tcPr>
          <w:p w14:paraId="21CDE8C9">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7.1</w:t>
            </w:r>
          </w:p>
        </w:tc>
        <w:tc>
          <w:tcPr>
            <w:tcW w:w="284" w:type="pct"/>
            <w:tcBorders>
              <w:tl2br w:val="nil"/>
              <w:tr2bl w:val="nil"/>
            </w:tcBorders>
            <w:shd w:val="clear" w:color="auto" w:fill="auto"/>
            <w:noWrap/>
            <w:vAlign w:val="center"/>
          </w:tcPr>
          <w:p w14:paraId="2F6B3F72">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w:t>
            </w:r>
          </w:p>
        </w:tc>
        <w:tc>
          <w:tcPr>
            <w:tcW w:w="284" w:type="pct"/>
            <w:tcBorders>
              <w:tl2br w:val="nil"/>
              <w:tr2bl w:val="nil"/>
            </w:tcBorders>
            <w:shd w:val="clear" w:color="auto" w:fill="auto"/>
            <w:noWrap/>
            <w:vAlign w:val="center"/>
          </w:tcPr>
          <w:p w14:paraId="4FD38E62">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6.9</w:t>
            </w:r>
          </w:p>
        </w:tc>
        <w:tc>
          <w:tcPr>
            <w:tcW w:w="284" w:type="pct"/>
            <w:tcBorders>
              <w:tl2br w:val="nil"/>
              <w:tr2bl w:val="nil"/>
            </w:tcBorders>
            <w:shd w:val="clear" w:color="auto" w:fill="auto"/>
            <w:noWrap/>
            <w:vAlign w:val="center"/>
          </w:tcPr>
          <w:p w14:paraId="4A96EDBB">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w:t>
            </w:r>
          </w:p>
        </w:tc>
        <w:tc>
          <w:tcPr>
            <w:tcW w:w="284" w:type="pct"/>
            <w:tcBorders>
              <w:tl2br w:val="nil"/>
              <w:tr2bl w:val="nil"/>
            </w:tcBorders>
            <w:shd w:val="clear" w:color="auto" w:fill="auto"/>
            <w:noWrap/>
            <w:vAlign w:val="center"/>
          </w:tcPr>
          <w:p w14:paraId="5C73F6B4">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6.9</w:t>
            </w:r>
          </w:p>
        </w:tc>
        <w:tc>
          <w:tcPr>
            <w:tcW w:w="285" w:type="pct"/>
            <w:tcBorders>
              <w:tl2br w:val="nil"/>
              <w:tr2bl w:val="nil"/>
            </w:tcBorders>
            <w:shd w:val="clear" w:color="auto" w:fill="auto"/>
            <w:noWrap/>
            <w:vAlign w:val="center"/>
          </w:tcPr>
          <w:p w14:paraId="53E63888">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6.8</w:t>
            </w:r>
          </w:p>
        </w:tc>
        <w:tc>
          <w:tcPr>
            <w:tcW w:w="285" w:type="pct"/>
            <w:tcBorders>
              <w:tl2br w:val="nil"/>
              <w:tr2bl w:val="nil"/>
            </w:tcBorders>
            <w:shd w:val="clear" w:color="auto" w:fill="auto"/>
            <w:noWrap/>
            <w:vAlign w:val="center"/>
          </w:tcPr>
          <w:p w14:paraId="616ABF8B">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6.9</w:t>
            </w:r>
          </w:p>
        </w:tc>
        <w:tc>
          <w:tcPr>
            <w:tcW w:w="285" w:type="pct"/>
            <w:tcBorders>
              <w:tl2br w:val="nil"/>
              <w:tr2bl w:val="nil"/>
            </w:tcBorders>
            <w:shd w:val="clear" w:color="auto" w:fill="auto"/>
            <w:noWrap/>
            <w:vAlign w:val="center"/>
          </w:tcPr>
          <w:p w14:paraId="1FBC97E3">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6.9</w:t>
            </w:r>
          </w:p>
        </w:tc>
        <w:tc>
          <w:tcPr>
            <w:tcW w:w="261" w:type="pct"/>
            <w:tcBorders>
              <w:tl2br w:val="nil"/>
              <w:tr2bl w:val="nil"/>
            </w:tcBorders>
            <w:shd w:val="clear" w:color="auto" w:fill="auto"/>
            <w:noWrap/>
            <w:vAlign w:val="center"/>
          </w:tcPr>
          <w:p w14:paraId="217623C8">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6.9</w:t>
            </w:r>
          </w:p>
        </w:tc>
        <w:tc>
          <w:tcPr>
            <w:tcW w:w="267" w:type="pct"/>
            <w:tcBorders>
              <w:tl2br w:val="nil"/>
              <w:tr2bl w:val="nil"/>
            </w:tcBorders>
            <w:shd w:val="clear" w:color="auto" w:fill="auto"/>
            <w:noWrap/>
            <w:vAlign w:val="center"/>
          </w:tcPr>
          <w:p w14:paraId="703755C6">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6.9</w:t>
            </w:r>
          </w:p>
        </w:tc>
        <w:tc>
          <w:tcPr>
            <w:tcW w:w="249" w:type="pct"/>
            <w:tcBorders>
              <w:tl2br w:val="nil"/>
              <w:tr2bl w:val="nil"/>
            </w:tcBorders>
            <w:shd w:val="clear" w:color="auto" w:fill="auto"/>
            <w:noWrap/>
            <w:vAlign w:val="center"/>
          </w:tcPr>
          <w:p w14:paraId="49F95C98">
            <w:pPr>
              <w:keepNext w:val="0"/>
              <w:keepLines w:val="0"/>
              <w:widowControl/>
              <w:suppressLineNumbers w:val="0"/>
              <w:spacing w:line="240" w:lineRule="auto"/>
              <w:ind w:firstLine="0" w:firstLineChars="0"/>
              <w:jc w:val="center"/>
              <w:textAlignment w:val="center"/>
              <w:rPr>
                <w:rFonts w:hint="eastAsia"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w:t>
            </w:r>
          </w:p>
        </w:tc>
        <w:tc>
          <w:tcPr>
            <w:tcW w:w="329" w:type="pct"/>
            <w:tcBorders>
              <w:tl2br w:val="nil"/>
              <w:tr2bl w:val="nil"/>
            </w:tcBorders>
            <w:shd w:val="clear" w:color="auto" w:fill="auto"/>
            <w:noWrap/>
            <w:vAlign w:val="center"/>
          </w:tcPr>
          <w:p w14:paraId="6FFE5432">
            <w:pPr>
              <w:pStyle w:val="30"/>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color w:val="auto"/>
                <w:sz w:val="21"/>
                <w:szCs w:val="21"/>
                <w:highlight w:val="none"/>
              </w:rPr>
              <w:t>6.5≤pH≤8.5</w:t>
            </w:r>
          </w:p>
        </w:tc>
      </w:tr>
      <w:tr w14:paraId="25DEC61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475" w:type="pct"/>
            <w:tcBorders>
              <w:tl2br w:val="nil"/>
              <w:tr2bl w:val="nil"/>
            </w:tcBorders>
            <w:shd w:val="clear" w:color="auto" w:fill="auto"/>
            <w:vAlign w:val="center"/>
          </w:tcPr>
          <w:p w14:paraId="46866A3C">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色度（度）</w:t>
            </w:r>
          </w:p>
        </w:tc>
        <w:tc>
          <w:tcPr>
            <w:tcW w:w="284" w:type="pct"/>
            <w:tcBorders>
              <w:tl2br w:val="nil"/>
              <w:tr2bl w:val="nil"/>
            </w:tcBorders>
            <w:shd w:val="clear" w:color="auto" w:fill="auto"/>
            <w:noWrap/>
            <w:vAlign w:val="center"/>
          </w:tcPr>
          <w:p w14:paraId="7D950619">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2L</w:t>
            </w:r>
          </w:p>
        </w:tc>
        <w:tc>
          <w:tcPr>
            <w:tcW w:w="284" w:type="pct"/>
            <w:tcBorders>
              <w:tl2br w:val="nil"/>
              <w:tr2bl w:val="nil"/>
            </w:tcBorders>
            <w:shd w:val="clear" w:color="auto" w:fill="auto"/>
            <w:noWrap/>
            <w:vAlign w:val="center"/>
          </w:tcPr>
          <w:p w14:paraId="663F136F">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2L</w:t>
            </w:r>
          </w:p>
        </w:tc>
        <w:tc>
          <w:tcPr>
            <w:tcW w:w="284" w:type="pct"/>
            <w:tcBorders>
              <w:tl2br w:val="nil"/>
              <w:tr2bl w:val="nil"/>
            </w:tcBorders>
            <w:shd w:val="clear" w:color="auto" w:fill="auto"/>
            <w:noWrap/>
            <w:vAlign w:val="center"/>
          </w:tcPr>
          <w:p w14:paraId="5FEC71A1">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2L</w:t>
            </w:r>
          </w:p>
        </w:tc>
        <w:tc>
          <w:tcPr>
            <w:tcW w:w="284" w:type="pct"/>
            <w:tcBorders>
              <w:tl2br w:val="nil"/>
              <w:tr2bl w:val="nil"/>
            </w:tcBorders>
            <w:shd w:val="clear" w:color="auto" w:fill="auto"/>
            <w:noWrap/>
            <w:vAlign w:val="center"/>
          </w:tcPr>
          <w:p w14:paraId="480E3423">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2L</w:t>
            </w:r>
          </w:p>
        </w:tc>
        <w:tc>
          <w:tcPr>
            <w:tcW w:w="284" w:type="pct"/>
            <w:tcBorders>
              <w:tl2br w:val="nil"/>
              <w:tr2bl w:val="nil"/>
            </w:tcBorders>
            <w:shd w:val="clear" w:color="auto" w:fill="auto"/>
            <w:noWrap/>
            <w:vAlign w:val="center"/>
          </w:tcPr>
          <w:p w14:paraId="743AB069">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2L</w:t>
            </w:r>
          </w:p>
        </w:tc>
        <w:tc>
          <w:tcPr>
            <w:tcW w:w="284" w:type="pct"/>
            <w:tcBorders>
              <w:tl2br w:val="nil"/>
              <w:tr2bl w:val="nil"/>
            </w:tcBorders>
            <w:shd w:val="clear" w:color="auto" w:fill="auto"/>
            <w:noWrap/>
            <w:vAlign w:val="center"/>
          </w:tcPr>
          <w:p w14:paraId="1675D9B2">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2L</w:t>
            </w:r>
          </w:p>
        </w:tc>
        <w:tc>
          <w:tcPr>
            <w:tcW w:w="284" w:type="pct"/>
            <w:tcBorders>
              <w:tl2br w:val="nil"/>
              <w:tr2bl w:val="nil"/>
            </w:tcBorders>
            <w:shd w:val="clear" w:color="auto" w:fill="auto"/>
            <w:noWrap/>
            <w:vAlign w:val="center"/>
          </w:tcPr>
          <w:p w14:paraId="574AA50A">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2L</w:t>
            </w:r>
          </w:p>
        </w:tc>
        <w:tc>
          <w:tcPr>
            <w:tcW w:w="284" w:type="pct"/>
            <w:tcBorders>
              <w:tl2br w:val="nil"/>
              <w:tr2bl w:val="nil"/>
            </w:tcBorders>
            <w:shd w:val="clear" w:color="auto" w:fill="auto"/>
            <w:noWrap/>
            <w:vAlign w:val="center"/>
          </w:tcPr>
          <w:p w14:paraId="3C69FEDF">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2L</w:t>
            </w:r>
          </w:p>
        </w:tc>
        <w:tc>
          <w:tcPr>
            <w:tcW w:w="284" w:type="pct"/>
            <w:tcBorders>
              <w:tl2br w:val="nil"/>
              <w:tr2bl w:val="nil"/>
            </w:tcBorders>
            <w:shd w:val="clear" w:color="auto" w:fill="auto"/>
            <w:noWrap/>
            <w:vAlign w:val="center"/>
          </w:tcPr>
          <w:p w14:paraId="273356E6">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2L</w:t>
            </w:r>
          </w:p>
        </w:tc>
        <w:tc>
          <w:tcPr>
            <w:tcW w:w="285" w:type="pct"/>
            <w:tcBorders>
              <w:tl2br w:val="nil"/>
              <w:tr2bl w:val="nil"/>
            </w:tcBorders>
            <w:shd w:val="clear" w:color="auto" w:fill="auto"/>
            <w:noWrap/>
            <w:vAlign w:val="center"/>
          </w:tcPr>
          <w:p w14:paraId="0B4D692C">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10</w:t>
            </w:r>
          </w:p>
        </w:tc>
        <w:tc>
          <w:tcPr>
            <w:tcW w:w="285" w:type="pct"/>
            <w:tcBorders>
              <w:tl2br w:val="nil"/>
              <w:tr2bl w:val="nil"/>
            </w:tcBorders>
            <w:shd w:val="clear" w:color="auto" w:fill="auto"/>
            <w:noWrap/>
            <w:vAlign w:val="center"/>
          </w:tcPr>
          <w:p w14:paraId="5F6E6A5B">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10</w:t>
            </w:r>
          </w:p>
        </w:tc>
        <w:tc>
          <w:tcPr>
            <w:tcW w:w="285" w:type="pct"/>
            <w:tcBorders>
              <w:tl2br w:val="nil"/>
              <w:tr2bl w:val="nil"/>
            </w:tcBorders>
            <w:shd w:val="clear" w:color="auto" w:fill="auto"/>
            <w:noWrap/>
            <w:vAlign w:val="center"/>
          </w:tcPr>
          <w:p w14:paraId="4CE7E198">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10</w:t>
            </w:r>
          </w:p>
        </w:tc>
        <w:tc>
          <w:tcPr>
            <w:tcW w:w="261" w:type="pct"/>
            <w:tcBorders>
              <w:tl2br w:val="nil"/>
              <w:tr2bl w:val="nil"/>
            </w:tcBorders>
            <w:shd w:val="clear" w:color="auto" w:fill="auto"/>
            <w:noWrap/>
            <w:vAlign w:val="center"/>
          </w:tcPr>
          <w:p w14:paraId="07C66AB7">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2L</w:t>
            </w:r>
          </w:p>
        </w:tc>
        <w:tc>
          <w:tcPr>
            <w:tcW w:w="267" w:type="pct"/>
            <w:tcBorders>
              <w:tl2br w:val="nil"/>
              <w:tr2bl w:val="nil"/>
            </w:tcBorders>
            <w:shd w:val="clear" w:color="auto" w:fill="auto"/>
            <w:noWrap/>
            <w:vAlign w:val="center"/>
          </w:tcPr>
          <w:p w14:paraId="22E95FC3">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15</w:t>
            </w:r>
          </w:p>
        </w:tc>
        <w:tc>
          <w:tcPr>
            <w:tcW w:w="249" w:type="pct"/>
            <w:tcBorders>
              <w:tl2br w:val="nil"/>
              <w:tr2bl w:val="nil"/>
            </w:tcBorders>
            <w:shd w:val="clear" w:color="auto" w:fill="auto"/>
            <w:noWrap/>
            <w:vAlign w:val="center"/>
          </w:tcPr>
          <w:p w14:paraId="60F7E1C2">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sz w:val="21"/>
                <w:szCs w:val="21"/>
                <w:highlight w:val="none"/>
                <w:u w:val="none"/>
                <w:lang w:val="en-US" w:eastAsia="zh-CN"/>
              </w:rPr>
              <w:t>/</w:t>
            </w:r>
          </w:p>
        </w:tc>
        <w:tc>
          <w:tcPr>
            <w:tcW w:w="329" w:type="pct"/>
            <w:tcBorders>
              <w:tl2br w:val="nil"/>
              <w:tr2bl w:val="nil"/>
            </w:tcBorders>
            <w:shd w:val="clear" w:color="auto" w:fill="auto"/>
            <w:noWrap/>
            <w:vAlign w:val="center"/>
          </w:tcPr>
          <w:p w14:paraId="3CEB0869">
            <w:pPr>
              <w:pStyle w:val="30"/>
              <w:ind w:firstLine="0" w:firstLineChars="0"/>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color w:val="auto"/>
                <w:sz w:val="21"/>
                <w:szCs w:val="21"/>
                <w:highlight w:val="none"/>
              </w:rPr>
              <w:t>≤15</w:t>
            </w:r>
          </w:p>
        </w:tc>
      </w:tr>
      <w:tr w14:paraId="2FE0E7D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475" w:type="pct"/>
            <w:tcBorders>
              <w:tl2br w:val="nil"/>
              <w:tr2bl w:val="nil"/>
            </w:tcBorders>
            <w:shd w:val="clear" w:color="auto" w:fill="auto"/>
            <w:vAlign w:val="center"/>
          </w:tcPr>
          <w:p w14:paraId="743825C7">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臭和味（无量纲）</w:t>
            </w:r>
          </w:p>
        </w:tc>
        <w:tc>
          <w:tcPr>
            <w:tcW w:w="284" w:type="pct"/>
            <w:tcBorders>
              <w:tl2br w:val="nil"/>
              <w:tr2bl w:val="nil"/>
            </w:tcBorders>
            <w:shd w:val="clear" w:color="auto" w:fill="auto"/>
            <w:noWrap/>
            <w:vAlign w:val="center"/>
          </w:tcPr>
          <w:p w14:paraId="42711BAF">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无</w:t>
            </w:r>
          </w:p>
        </w:tc>
        <w:tc>
          <w:tcPr>
            <w:tcW w:w="284" w:type="pct"/>
            <w:tcBorders>
              <w:tl2br w:val="nil"/>
              <w:tr2bl w:val="nil"/>
            </w:tcBorders>
            <w:shd w:val="clear" w:color="auto" w:fill="auto"/>
            <w:noWrap/>
            <w:vAlign w:val="center"/>
          </w:tcPr>
          <w:p w14:paraId="721ED2C2">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无</w:t>
            </w:r>
          </w:p>
        </w:tc>
        <w:tc>
          <w:tcPr>
            <w:tcW w:w="284" w:type="pct"/>
            <w:tcBorders>
              <w:tl2br w:val="nil"/>
              <w:tr2bl w:val="nil"/>
            </w:tcBorders>
            <w:shd w:val="clear" w:color="auto" w:fill="auto"/>
            <w:noWrap/>
            <w:vAlign w:val="center"/>
          </w:tcPr>
          <w:p w14:paraId="72E1EBEC">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无</w:t>
            </w:r>
          </w:p>
        </w:tc>
        <w:tc>
          <w:tcPr>
            <w:tcW w:w="284" w:type="pct"/>
            <w:tcBorders>
              <w:tl2br w:val="nil"/>
              <w:tr2bl w:val="nil"/>
            </w:tcBorders>
            <w:shd w:val="clear" w:color="auto" w:fill="auto"/>
            <w:noWrap/>
            <w:vAlign w:val="center"/>
          </w:tcPr>
          <w:p w14:paraId="68E66C3D">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无</w:t>
            </w:r>
          </w:p>
        </w:tc>
        <w:tc>
          <w:tcPr>
            <w:tcW w:w="284" w:type="pct"/>
            <w:tcBorders>
              <w:tl2br w:val="nil"/>
              <w:tr2bl w:val="nil"/>
            </w:tcBorders>
            <w:shd w:val="clear" w:color="auto" w:fill="auto"/>
            <w:noWrap/>
            <w:vAlign w:val="center"/>
          </w:tcPr>
          <w:p w14:paraId="3903C700">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无</w:t>
            </w:r>
          </w:p>
        </w:tc>
        <w:tc>
          <w:tcPr>
            <w:tcW w:w="284" w:type="pct"/>
            <w:tcBorders>
              <w:tl2br w:val="nil"/>
              <w:tr2bl w:val="nil"/>
            </w:tcBorders>
            <w:shd w:val="clear" w:color="auto" w:fill="auto"/>
            <w:noWrap/>
            <w:vAlign w:val="center"/>
          </w:tcPr>
          <w:p w14:paraId="4F8667DF">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无</w:t>
            </w:r>
          </w:p>
        </w:tc>
        <w:tc>
          <w:tcPr>
            <w:tcW w:w="284" w:type="pct"/>
            <w:tcBorders>
              <w:tl2br w:val="nil"/>
              <w:tr2bl w:val="nil"/>
            </w:tcBorders>
            <w:shd w:val="clear" w:color="auto" w:fill="auto"/>
            <w:noWrap/>
            <w:vAlign w:val="center"/>
          </w:tcPr>
          <w:p w14:paraId="59AFE2CA">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无</w:t>
            </w:r>
          </w:p>
        </w:tc>
        <w:tc>
          <w:tcPr>
            <w:tcW w:w="284" w:type="pct"/>
            <w:tcBorders>
              <w:tl2br w:val="nil"/>
              <w:tr2bl w:val="nil"/>
            </w:tcBorders>
            <w:shd w:val="clear" w:color="auto" w:fill="auto"/>
            <w:noWrap/>
            <w:vAlign w:val="center"/>
          </w:tcPr>
          <w:p w14:paraId="17D75AB9">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无</w:t>
            </w:r>
          </w:p>
        </w:tc>
        <w:tc>
          <w:tcPr>
            <w:tcW w:w="284" w:type="pct"/>
            <w:tcBorders>
              <w:tl2br w:val="nil"/>
              <w:tr2bl w:val="nil"/>
            </w:tcBorders>
            <w:shd w:val="clear" w:color="auto" w:fill="auto"/>
            <w:noWrap/>
            <w:vAlign w:val="center"/>
          </w:tcPr>
          <w:p w14:paraId="23AB9EBB">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无</w:t>
            </w:r>
          </w:p>
        </w:tc>
        <w:tc>
          <w:tcPr>
            <w:tcW w:w="285" w:type="pct"/>
            <w:tcBorders>
              <w:tl2br w:val="nil"/>
              <w:tr2bl w:val="nil"/>
            </w:tcBorders>
            <w:shd w:val="clear" w:color="auto" w:fill="auto"/>
            <w:noWrap/>
            <w:vAlign w:val="center"/>
          </w:tcPr>
          <w:p w14:paraId="4D0F10AA">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无</w:t>
            </w:r>
          </w:p>
        </w:tc>
        <w:tc>
          <w:tcPr>
            <w:tcW w:w="285" w:type="pct"/>
            <w:tcBorders>
              <w:tl2br w:val="nil"/>
              <w:tr2bl w:val="nil"/>
            </w:tcBorders>
            <w:shd w:val="clear" w:color="auto" w:fill="auto"/>
            <w:noWrap/>
            <w:vAlign w:val="center"/>
          </w:tcPr>
          <w:p w14:paraId="363F966E">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无</w:t>
            </w:r>
          </w:p>
        </w:tc>
        <w:tc>
          <w:tcPr>
            <w:tcW w:w="285" w:type="pct"/>
            <w:tcBorders>
              <w:tl2br w:val="nil"/>
              <w:tr2bl w:val="nil"/>
            </w:tcBorders>
            <w:shd w:val="clear" w:color="auto" w:fill="auto"/>
            <w:noWrap/>
            <w:vAlign w:val="center"/>
          </w:tcPr>
          <w:p w14:paraId="58B37EEC">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无</w:t>
            </w:r>
          </w:p>
        </w:tc>
        <w:tc>
          <w:tcPr>
            <w:tcW w:w="261" w:type="pct"/>
            <w:tcBorders>
              <w:tl2br w:val="nil"/>
              <w:tr2bl w:val="nil"/>
            </w:tcBorders>
            <w:shd w:val="clear" w:color="auto" w:fill="auto"/>
            <w:noWrap/>
            <w:vAlign w:val="center"/>
          </w:tcPr>
          <w:p w14:paraId="68F3F94E">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无</w:t>
            </w:r>
          </w:p>
        </w:tc>
        <w:tc>
          <w:tcPr>
            <w:tcW w:w="267" w:type="pct"/>
            <w:tcBorders>
              <w:tl2br w:val="nil"/>
              <w:tr2bl w:val="nil"/>
            </w:tcBorders>
            <w:shd w:val="clear" w:color="auto" w:fill="auto"/>
            <w:noWrap/>
            <w:vAlign w:val="center"/>
          </w:tcPr>
          <w:p w14:paraId="4B9B4822">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无</w:t>
            </w:r>
          </w:p>
        </w:tc>
        <w:tc>
          <w:tcPr>
            <w:tcW w:w="249" w:type="pct"/>
            <w:tcBorders>
              <w:tl2br w:val="nil"/>
              <w:tr2bl w:val="nil"/>
            </w:tcBorders>
            <w:shd w:val="clear" w:color="auto" w:fill="auto"/>
            <w:noWrap/>
            <w:vAlign w:val="center"/>
          </w:tcPr>
          <w:p w14:paraId="76D1A5F9">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sz w:val="21"/>
                <w:szCs w:val="21"/>
                <w:highlight w:val="none"/>
                <w:u w:val="none"/>
                <w:lang w:val="en-US" w:eastAsia="zh-CN"/>
              </w:rPr>
              <w:t>/</w:t>
            </w:r>
          </w:p>
        </w:tc>
        <w:tc>
          <w:tcPr>
            <w:tcW w:w="329" w:type="pct"/>
            <w:tcBorders>
              <w:tl2br w:val="nil"/>
              <w:tr2bl w:val="nil"/>
            </w:tcBorders>
            <w:shd w:val="clear" w:color="auto" w:fill="auto"/>
            <w:noWrap/>
            <w:vAlign w:val="center"/>
          </w:tcPr>
          <w:p w14:paraId="5ECBC393">
            <w:pPr>
              <w:pStyle w:val="30"/>
              <w:ind w:firstLine="0" w:firstLineChars="0"/>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color w:val="auto"/>
                <w:sz w:val="21"/>
                <w:szCs w:val="21"/>
                <w:highlight w:val="none"/>
              </w:rPr>
              <w:t>无</w:t>
            </w:r>
          </w:p>
        </w:tc>
      </w:tr>
      <w:tr w14:paraId="1DF4840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475" w:type="pct"/>
            <w:tcBorders>
              <w:tl2br w:val="nil"/>
              <w:tr2bl w:val="nil"/>
            </w:tcBorders>
            <w:shd w:val="clear" w:color="auto" w:fill="auto"/>
            <w:vAlign w:val="center"/>
          </w:tcPr>
          <w:p w14:paraId="4B90B239">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浑浊度（</w:t>
            </w:r>
            <w:r>
              <w:rPr>
                <w:rFonts w:hint="default" w:ascii="Times New Roman" w:hAnsi="Times New Roman" w:eastAsia="宋体" w:cs="Times New Roman"/>
                <w:color w:val="auto"/>
                <w:sz w:val="21"/>
                <w:szCs w:val="21"/>
                <w:highlight w:val="none"/>
                <w:u w:val="none"/>
                <w:lang w:val="en-US" w:eastAsia="zh-CN" w:bidi="ar"/>
              </w:rPr>
              <w:t>NTU）</w:t>
            </w:r>
          </w:p>
        </w:tc>
        <w:tc>
          <w:tcPr>
            <w:tcW w:w="284" w:type="pct"/>
            <w:tcBorders>
              <w:tl2br w:val="nil"/>
              <w:tr2bl w:val="nil"/>
            </w:tcBorders>
            <w:shd w:val="clear" w:color="auto" w:fill="auto"/>
            <w:noWrap/>
            <w:vAlign w:val="center"/>
          </w:tcPr>
          <w:p w14:paraId="1AA6C796">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2.65</w:t>
            </w:r>
          </w:p>
        </w:tc>
        <w:tc>
          <w:tcPr>
            <w:tcW w:w="284" w:type="pct"/>
            <w:tcBorders>
              <w:tl2br w:val="nil"/>
              <w:tr2bl w:val="nil"/>
            </w:tcBorders>
            <w:shd w:val="clear" w:color="auto" w:fill="auto"/>
            <w:noWrap/>
            <w:vAlign w:val="center"/>
          </w:tcPr>
          <w:p w14:paraId="7A2FB779">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2.77</w:t>
            </w:r>
          </w:p>
        </w:tc>
        <w:tc>
          <w:tcPr>
            <w:tcW w:w="284" w:type="pct"/>
            <w:tcBorders>
              <w:tl2br w:val="nil"/>
              <w:tr2bl w:val="nil"/>
            </w:tcBorders>
            <w:shd w:val="clear" w:color="auto" w:fill="auto"/>
            <w:noWrap/>
            <w:vAlign w:val="center"/>
          </w:tcPr>
          <w:p w14:paraId="75B7E77C">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2.8</w:t>
            </w:r>
          </w:p>
        </w:tc>
        <w:tc>
          <w:tcPr>
            <w:tcW w:w="284" w:type="pct"/>
            <w:tcBorders>
              <w:tl2br w:val="nil"/>
              <w:tr2bl w:val="nil"/>
            </w:tcBorders>
            <w:shd w:val="clear" w:color="auto" w:fill="auto"/>
            <w:noWrap/>
            <w:vAlign w:val="center"/>
          </w:tcPr>
          <w:p w14:paraId="544C47AB">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1.66</w:t>
            </w:r>
          </w:p>
        </w:tc>
        <w:tc>
          <w:tcPr>
            <w:tcW w:w="284" w:type="pct"/>
            <w:tcBorders>
              <w:tl2br w:val="nil"/>
              <w:tr2bl w:val="nil"/>
            </w:tcBorders>
            <w:shd w:val="clear" w:color="auto" w:fill="auto"/>
            <w:noWrap/>
            <w:vAlign w:val="center"/>
          </w:tcPr>
          <w:p w14:paraId="3554DB89">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1.55</w:t>
            </w:r>
          </w:p>
        </w:tc>
        <w:tc>
          <w:tcPr>
            <w:tcW w:w="284" w:type="pct"/>
            <w:tcBorders>
              <w:tl2br w:val="nil"/>
              <w:tr2bl w:val="nil"/>
            </w:tcBorders>
            <w:shd w:val="clear" w:color="auto" w:fill="auto"/>
            <w:noWrap/>
            <w:vAlign w:val="center"/>
          </w:tcPr>
          <w:p w14:paraId="46929596">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2.83</w:t>
            </w:r>
          </w:p>
        </w:tc>
        <w:tc>
          <w:tcPr>
            <w:tcW w:w="284" w:type="pct"/>
            <w:tcBorders>
              <w:tl2br w:val="nil"/>
              <w:tr2bl w:val="nil"/>
            </w:tcBorders>
            <w:shd w:val="clear" w:color="auto" w:fill="auto"/>
            <w:noWrap/>
            <w:vAlign w:val="center"/>
          </w:tcPr>
          <w:p w14:paraId="5872CCFD">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2.85</w:t>
            </w:r>
          </w:p>
        </w:tc>
        <w:tc>
          <w:tcPr>
            <w:tcW w:w="284" w:type="pct"/>
            <w:tcBorders>
              <w:tl2br w:val="nil"/>
              <w:tr2bl w:val="nil"/>
            </w:tcBorders>
            <w:shd w:val="clear" w:color="auto" w:fill="auto"/>
            <w:noWrap/>
            <w:vAlign w:val="center"/>
          </w:tcPr>
          <w:p w14:paraId="6E558810">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1.9</w:t>
            </w:r>
          </w:p>
        </w:tc>
        <w:tc>
          <w:tcPr>
            <w:tcW w:w="284" w:type="pct"/>
            <w:tcBorders>
              <w:tl2br w:val="nil"/>
              <w:tr2bl w:val="nil"/>
            </w:tcBorders>
            <w:shd w:val="clear" w:color="auto" w:fill="auto"/>
            <w:noWrap/>
            <w:vAlign w:val="center"/>
          </w:tcPr>
          <w:p w14:paraId="51980E00">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2.2</w:t>
            </w:r>
          </w:p>
        </w:tc>
        <w:tc>
          <w:tcPr>
            <w:tcW w:w="285" w:type="pct"/>
            <w:tcBorders>
              <w:tl2br w:val="nil"/>
              <w:tr2bl w:val="nil"/>
            </w:tcBorders>
            <w:shd w:val="clear" w:color="auto" w:fill="auto"/>
            <w:noWrap/>
            <w:vAlign w:val="center"/>
          </w:tcPr>
          <w:p w14:paraId="59933DFC">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1.65</w:t>
            </w:r>
          </w:p>
        </w:tc>
        <w:tc>
          <w:tcPr>
            <w:tcW w:w="285" w:type="pct"/>
            <w:tcBorders>
              <w:tl2br w:val="nil"/>
              <w:tr2bl w:val="nil"/>
            </w:tcBorders>
            <w:shd w:val="clear" w:color="auto" w:fill="auto"/>
            <w:noWrap/>
            <w:vAlign w:val="center"/>
          </w:tcPr>
          <w:p w14:paraId="7E52A633">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1.74</w:t>
            </w:r>
          </w:p>
        </w:tc>
        <w:tc>
          <w:tcPr>
            <w:tcW w:w="285" w:type="pct"/>
            <w:tcBorders>
              <w:tl2br w:val="nil"/>
              <w:tr2bl w:val="nil"/>
            </w:tcBorders>
            <w:shd w:val="clear" w:color="auto" w:fill="auto"/>
            <w:noWrap/>
            <w:vAlign w:val="center"/>
          </w:tcPr>
          <w:p w14:paraId="69B90C45">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1.66</w:t>
            </w:r>
          </w:p>
        </w:tc>
        <w:tc>
          <w:tcPr>
            <w:tcW w:w="261" w:type="pct"/>
            <w:tcBorders>
              <w:tl2br w:val="nil"/>
              <w:tr2bl w:val="nil"/>
            </w:tcBorders>
            <w:shd w:val="clear" w:color="auto" w:fill="auto"/>
            <w:noWrap/>
            <w:vAlign w:val="center"/>
          </w:tcPr>
          <w:p w14:paraId="1B7E2637">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2.55</w:t>
            </w:r>
          </w:p>
        </w:tc>
        <w:tc>
          <w:tcPr>
            <w:tcW w:w="267" w:type="pct"/>
            <w:tcBorders>
              <w:tl2br w:val="nil"/>
              <w:tr2bl w:val="nil"/>
            </w:tcBorders>
            <w:shd w:val="clear" w:color="auto" w:fill="auto"/>
            <w:noWrap/>
            <w:vAlign w:val="center"/>
          </w:tcPr>
          <w:p w14:paraId="55671731">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2.85</w:t>
            </w:r>
          </w:p>
        </w:tc>
        <w:tc>
          <w:tcPr>
            <w:tcW w:w="249" w:type="pct"/>
            <w:tcBorders>
              <w:tl2br w:val="nil"/>
              <w:tr2bl w:val="nil"/>
            </w:tcBorders>
            <w:shd w:val="clear" w:color="auto" w:fill="auto"/>
            <w:noWrap/>
            <w:vAlign w:val="center"/>
          </w:tcPr>
          <w:p w14:paraId="195CCF95">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sz w:val="21"/>
                <w:szCs w:val="21"/>
                <w:highlight w:val="none"/>
                <w:u w:val="none"/>
                <w:lang w:val="en-US" w:eastAsia="zh-CN"/>
              </w:rPr>
              <w:t>/</w:t>
            </w:r>
          </w:p>
        </w:tc>
        <w:tc>
          <w:tcPr>
            <w:tcW w:w="329" w:type="pct"/>
            <w:tcBorders>
              <w:tl2br w:val="nil"/>
              <w:tr2bl w:val="nil"/>
            </w:tcBorders>
            <w:shd w:val="clear" w:color="auto" w:fill="auto"/>
            <w:noWrap/>
            <w:vAlign w:val="center"/>
          </w:tcPr>
          <w:p w14:paraId="3D939104">
            <w:pPr>
              <w:pStyle w:val="30"/>
              <w:ind w:firstLine="0" w:firstLineChars="0"/>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color w:val="auto"/>
                <w:sz w:val="21"/>
                <w:szCs w:val="21"/>
                <w:highlight w:val="none"/>
              </w:rPr>
              <w:t>≤3</w:t>
            </w:r>
          </w:p>
        </w:tc>
      </w:tr>
      <w:tr w14:paraId="0E88AAF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475" w:type="pct"/>
            <w:tcBorders>
              <w:tl2br w:val="nil"/>
              <w:tr2bl w:val="nil"/>
            </w:tcBorders>
            <w:shd w:val="clear" w:color="auto" w:fill="auto"/>
            <w:vAlign w:val="center"/>
          </w:tcPr>
          <w:p w14:paraId="3103316D">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肉眼可见物（无量纲）</w:t>
            </w:r>
          </w:p>
        </w:tc>
        <w:tc>
          <w:tcPr>
            <w:tcW w:w="284" w:type="pct"/>
            <w:tcBorders>
              <w:tl2br w:val="nil"/>
              <w:tr2bl w:val="nil"/>
            </w:tcBorders>
            <w:shd w:val="clear" w:color="auto" w:fill="auto"/>
            <w:noWrap/>
            <w:vAlign w:val="center"/>
          </w:tcPr>
          <w:p w14:paraId="44EF4734">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无</w:t>
            </w:r>
          </w:p>
        </w:tc>
        <w:tc>
          <w:tcPr>
            <w:tcW w:w="284" w:type="pct"/>
            <w:tcBorders>
              <w:tl2br w:val="nil"/>
              <w:tr2bl w:val="nil"/>
            </w:tcBorders>
            <w:shd w:val="clear" w:color="auto" w:fill="auto"/>
            <w:noWrap/>
            <w:vAlign w:val="center"/>
          </w:tcPr>
          <w:p w14:paraId="68A13B1C">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无</w:t>
            </w:r>
          </w:p>
        </w:tc>
        <w:tc>
          <w:tcPr>
            <w:tcW w:w="284" w:type="pct"/>
            <w:tcBorders>
              <w:tl2br w:val="nil"/>
              <w:tr2bl w:val="nil"/>
            </w:tcBorders>
            <w:shd w:val="clear" w:color="auto" w:fill="auto"/>
            <w:noWrap/>
            <w:vAlign w:val="center"/>
          </w:tcPr>
          <w:p w14:paraId="787A6DC4">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无</w:t>
            </w:r>
          </w:p>
        </w:tc>
        <w:tc>
          <w:tcPr>
            <w:tcW w:w="284" w:type="pct"/>
            <w:tcBorders>
              <w:tl2br w:val="nil"/>
              <w:tr2bl w:val="nil"/>
            </w:tcBorders>
            <w:shd w:val="clear" w:color="auto" w:fill="auto"/>
            <w:noWrap/>
            <w:vAlign w:val="center"/>
          </w:tcPr>
          <w:p w14:paraId="5D767C95">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无</w:t>
            </w:r>
          </w:p>
        </w:tc>
        <w:tc>
          <w:tcPr>
            <w:tcW w:w="284" w:type="pct"/>
            <w:tcBorders>
              <w:tl2br w:val="nil"/>
              <w:tr2bl w:val="nil"/>
            </w:tcBorders>
            <w:shd w:val="clear" w:color="auto" w:fill="auto"/>
            <w:noWrap/>
            <w:vAlign w:val="center"/>
          </w:tcPr>
          <w:p w14:paraId="4E0A0887">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无</w:t>
            </w:r>
          </w:p>
        </w:tc>
        <w:tc>
          <w:tcPr>
            <w:tcW w:w="284" w:type="pct"/>
            <w:tcBorders>
              <w:tl2br w:val="nil"/>
              <w:tr2bl w:val="nil"/>
            </w:tcBorders>
            <w:shd w:val="clear" w:color="auto" w:fill="auto"/>
            <w:noWrap/>
            <w:vAlign w:val="center"/>
          </w:tcPr>
          <w:p w14:paraId="7428FB84">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无</w:t>
            </w:r>
          </w:p>
        </w:tc>
        <w:tc>
          <w:tcPr>
            <w:tcW w:w="284" w:type="pct"/>
            <w:tcBorders>
              <w:tl2br w:val="nil"/>
              <w:tr2bl w:val="nil"/>
            </w:tcBorders>
            <w:shd w:val="clear" w:color="auto" w:fill="auto"/>
            <w:noWrap/>
            <w:vAlign w:val="center"/>
          </w:tcPr>
          <w:p w14:paraId="72B9D3A4">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无</w:t>
            </w:r>
          </w:p>
        </w:tc>
        <w:tc>
          <w:tcPr>
            <w:tcW w:w="284" w:type="pct"/>
            <w:tcBorders>
              <w:tl2br w:val="nil"/>
              <w:tr2bl w:val="nil"/>
            </w:tcBorders>
            <w:shd w:val="clear" w:color="auto" w:fill="auto"/>
            <w:noWrap/>
            <w:vAlign w:val="center"/>
          </w:tcPr>
          <w:p w14:paraId="54C4D1E0">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无</w:t>
            </w:r>
          </w:p>
        </w:tc>
        <w:tc>
          <w:tcPr>
            <w:tcW w:w="284" w:type="pct"/>
            <w:tcBorders>
              <w:tl2br w:val="nil"/>
              <w:tr2bl w:val="nil"/>
            </w:tcBorders>
            <w:shd w:val="clear" w:color="auto" w:fill="auto"/>
            <w:noWrap/>
            <w:vAlign w:val="center"/>
          </w:tcPr>
          <w:p w14:paraId="19531A6E">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无</w:t>
            </w:r>
          </w:p>
        </w:tc>
        <w:tc>
          <w:tcPr>
            <w:tcW w:w="285" w:type="pct"/>
            <w:tcBorders>
              <w:tl2br w:val="nil"/>
              <w:tr2bl w:val="nil"/>
            </w:tcBorders>
            <w:shd w:val="clear" w:color="auto" w:fill="auto"/>
            <w:noWrap/>
            <w:vAlign w:val="center"/>
          </w:tcPr>
          <w:p w14:paraId="4815ED03">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无</w:t>
            </w:r>
          </w:p>
        </w:tc>
        <w:tc>
          <w:tcPr>
            <w:tcW w:w="285" w:type="pct"/>
            <w:tcBorders>
              <w:tl2br w:val="nil"/>
              <w:tr2bl w:val="nil"/>
            </w:tcBorders>
            <w:shd w:val="clear" w:color="auto" w:fill="auto"/>
            <w:noWrap/>
            <w:vAlign w:val="center"/>
          </w:tcPr>
          <w:p w14:paraId="1C907388">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无</w:t>
            </w:r>
          </w:p>
        </w:tc>
        <w:tc>
          <w:tcPr>
            <w:tcW w:w="285" w:type="pct"/>
            <w:tcBorders>
              <w:tl2br w:val="nil"/>
              <w:tr2bl w:val="nil"/>
            </w:tcBorders>
            <w:shd w:val="clear" w:color="auto" w:fill="auto"/>
            <w:noWrap/>
            <w:vAlign w:val="center"/>
          </w:tcPr>
          <w:p w14:paraId="06B4AB59">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无</w:t>
            </w:r>
          </w:p>
        </w:tc>
        <w:tc>
          <w:tcPr>
            <w:tcW w:w="261" w:type="pct"/>
            <w:tcBorders>
              <w:tl2br w:val="nil"/>
              <w:tr2bl w:val="nil"/>
            </w:tcBorders>
            <w:shd w:val="clear" w:color="auto" w:fill="auto"/>
            <w:noWrap/>
            <w:vAlign w:val="center"/>
          </w:tcPr>
          <w:p w14:paraId="75F55148">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无</w:t>
            </w:r>
          </w:p>
        </w:tc>
        <w:tc>
          <w:tcPr>
            <w:tcW w:w="267" w:type="pct"/>
            <w:tcBorders>
              <w:tl2br w:val="nil"/>
              <w:tr2bl w:val="nil"/>
            </w:tcBorders>
            <w:shd w:val="clear" w:color="auto" w:fill="auto"/>
            <w:noWrap/>
            <w:vAlign w:val="center"/>
          </w:tcPr>
          <w:p w14:paraId="3E01B880">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无</w:t>
            </w:r>
          </w:p>
        </w:tc>
        <w:tc>
          <w:tcPr>
            <w:tcW w:w="249" w:type="pct"/>
            <w:tcBorders>
              <w:tl2br w:val="nil"/>
              <w:tr2bl w:val="nil"/>
            </w:tcBorders>
            <w:shd w:val="clear" w:color="auto" w:fill="auto"/>
            <w:noWrap/>
            <w:vAlign w:val="center"/>
          </w:tcPr>
          <w:p w14:paraId="73F9E3A1">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sz w:val="21"/>
                <w:szCs w:val="21"/>
                <w:highlight w:val="none"/>
                <w:u w:val="none"/>
                <w:lang w:val="en-US" w:eastAsia="zh-CN"/>
              </w:rPr>
              <w:t>/</w:t>
            </w:r>
          </w:p>
        </w:tc>
        <w:tc>
          <w:tcPr>
            <w:tcW w:w="329" w:type="pct"/>
            <w:tcBorders>
              <w:tl2br w:val="nil"/>
              <w:tr2bl w:val="nil"/>
            </w:tcBorders>
            <w:shd w:val="clear" w:color="auto" w:fill="auto"/>
            <w:noWrap/>
            <w:vAlign w:val="center"/>
          </w:tcPr>
          <w:p w14:paraId="6DBE2153">
            <w:pPr>
              <w:pStyle w:val="30"/>
              <w:ind w:firstLine="0" w:firstLineChars="0"/>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color w:val="auto"/>
                <w:sz w:val="21"/>
                <w:szCs w:val="21"/>
                <w:highlight w:val="none"/>
              </w:rPr>
              <w:t>无</w:t>
            </w:r>
          </w:p>
        </w:tc>
      </w:tr>
      <w:tr w14:paraId="7A6433C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475" w:type="pct"/>
            <w:tcBorders>
              <w:tl2br w:val="nil"/>
              <w:tr2bl w:val="nil"/>
            </w:tcBorders>
            <w:shd w:val="clear" w:color="auto" w:fill="auto"/>
            <w:vAlign w:val="center"/>
          </w:tcPr>
          <w:p w14:paraId="326F392B">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硫酸盐（mg/L）</w:t>
            </w:r>
          </w:p>
        </w:tc>
        <w:tc>
          <w:tcPr>
            <w:tcW w:w="284" w:type="pct"/>
            <w:tcBorders>
              <w:tl2br w:val="nil"/>
              <w:tr2bl w:val="nil"/>
            </w:tcBorders>
            <w:shd w:val="clear" w:color="auto" w:fill="auto"/>
            <w:noWrap/>
            <w:vAlign w:val="center"/>
          </w:tcPr>
          <w:p w14:paraId="4B014C62">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5L</w:t>
            </w:r>
          </w:p>
        </w:tc>
        <w:tc>
          <w:tcPr>
            <w:tcW w:w="284" w:type="pct"/>
            <w:tcBorders>
              <w:tl2br w:val="nil"/>
              <w:tr2bl w:val="nil"/>
            </w:tcBorders>
            <w:shd w:val="clear" w:color="auto" w:fill="auto"/>
            <w:noWrap/>
            <w:vAlign w:val="center"/>
          </w:tcPr>
          <w:p w14:paraId="59FFC547">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5L</w:t>
            </w:r>
          </w:p>
        </w:tc>
        <w:tc>
          <w:tcPr>
            <w:tcW w:w="284" w:type="pct"/>
            <w:tcBorders>
              <w:tl2br w:val="nil"/>
              <w:tr2bl w:val="nil"/>
            </w:tcBorders>
            <w:shd w:val="clear" w:color="auto" w:fill="auto"/>
            <w:noWrap/>
            <w:vAlign w:val="center"/>
          </w:tcPr>
          <w:p w14:paraId="50D48C2A">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5L</w:t>
            </w:r>
          </w:p>
        </w:tc>
        <w:tc>
          <w:tcPr>
            <w:tcW w:w="284" w:type="pct"/>
            <w:tcBorders>
              <w:tl2br w:val="nil"/>
              <w:tr2bl w:val="nil"/>
            </w:tcBorders>
            <w:shd w:val="clear" w:color="auto" w:fill="auto"/>
            <w:noWrap/>
            <w:vAlign w:val="center"/>
          </w:tcPr>
          <w:p w14:paraId="1A9F50BC">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5L</w:t>
            </w:r>
          </w:p>
        </w:tc>
        <w:tc>
          <w:tcPr>
            <w:tcW w:w="284" w:type="pct"/>
            <w:tcBorders>
              <w:tl2br w:val="nil"/>
              <w:tr2bl w:val="nil"/>
            </w:tcBorders>
            <w:shd w:val="clear" w:color="auto" w:fill="auto"/>
            <w:noWrap/>
            <w:vAlign w:val="center"/>
          </w:tcPr>
          <w:p w14:paraId="1AB101CC">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5L</w:t>
            </w:r>
          </w:p>
        </w:tc>
        <w:tc>
          <w:tcPr>
            <w:tcW w:w="284" w:type="pct"/>
            <w:tcBorders>
              <w:tl2br w:val="nil"/>
              <w:tr2bl w:val="nil"/>
            </w:tcBorders>
            <w:shd w:val="clear" w:color="auto" w:fill="auto"/>
            <w:noWrap/>
            <w:vAlign w:val="center"/>
          </w:tcPr>
          <w:p w14:paraId="0B869EE8">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5L</w:t>
            </w:r>
          </w:p>
        </w:tc>
        <w:tc>
          <w:tcPr>
            <w:tcW w:w="284" w:type="pct"/>
            <w:tcBorders>
              <w:tl2br w:val="nil"/>
              <w:tr2bl w:val="nil"/>
            </w:tcBorders>
            <w:shd w:val="clear" w:color="auto" w:fill="auto"/>
            <w:noWrap/>
            <w:vAlign w:val="center"/>
          </w:tcPr>
          <w:p w14:paraId="7DB56D4A">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5L</w:t>
            </w:r>
          </w:p>
        </w:tc>
        <w:tc>
          <w:tcPr>
            <w:tcW w:w="284" w:type="pct"/>
            <w:tcBorders>
              <w:tl2br w:val="nil"/>
              <w:tr2bl w:val="nil"/>
            </w:tcBorders>
            <w:shd w:val="clear" w:color="auto" w:fill="auto"/>
            <w:noWrap/>
            <w:vAlign w:val="center"/>
          </w:tcPr>
          <w:p w14:paraId="45555E64">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5L</w:t>
            </w:r>
          </w:p>
        </w:tc>
        <w:tc>
          <w:tcPr>
            <w:tcW w:w="284" w:type="pct"/>
            <w:tcBorders>
              <w:tl2br w:val="nil"/>
              <w:tr2bl w:val="nil"/>
            </w:tcBorders>
            <w:shd w:val="clear" w:color="auto" w:fill="auto"/>
            <w:noWrap/>
            <w:vAlign w:val="center"/>
          </w:tcPr>
          <w:p w14:paraId="07D07CEB">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5L</w:t>
            </w:r>
          </w:p>
        </w:tc>
        <w:tc>
          <w:tcPr>
            <w:tcW w:w="285" w:type="pct"/>
            <w:tcBorders>
              <w:tl2br w:val="nil"/>
              <w:tr2bl w:val="nil"/>
            </w:tcBorders>
            <w:shd w:val="clear" w:color="auto" w:fill="auto"/>
            <w:noWrap/>
            <w:vAlign w:val="center"/>
          </w:tcPr>
          <w:p w14:paraId="0310A377">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5L</w:t>
            </w:r>
          </w:p>
        </w:tc>
        <w:tc>
          <w:tcPr>
            <w:tcW w:w="285" w:type="pct"/>
            <w:tcBorders>
              <w:tl2br w:val="nil"/>
              <w:tr2bl w:val="nil"/>
            </w:tcBorders>
            <w:shd w:val="clear" w:color="auto" w:fill="auto"/>
            <w:noWrap/>
            <w:vAlign w:val="center"/>
          </w:tcPr>
          <w:p w14:paraId="4934C17F">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5L</w:t>
            </w:r>
          </w:p>
        </w:tc>
        <w:tc>
          <w:tcPr>
            <w:tcW w:w="285" w:type="pct"/>
            <w:tcBorders>
              <w:tl2br w:val="nil"/>
              <w:tr2bl w:val="nil"/>
            </w:tcBorders>
            <w:shd w:val="clear" w:color="auto" w:fill="auto"/>
            <w:noWrap/>
            <w:vAlign w:val="center"/>
          </w:tcPr>
          <w:p w14:paraId="5177DB00">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5L</w:t>
            </w:r>
          </w:p>
        </w:tc>
        <w:tc>
          <w:tcPr>
            <w:tcW w:w="261" w:type="pct"/>
            <w:tcBorders>
              <w:tl2br w:val="nil"/>
              <w:tr2bl w:val="nil"/>
            </w:tcBorders>
            <w:shd w:val="clear" w:color="auto" w:fill="auto"/>
            <w:noWrap/>
            <w:vAlign w:val="center"/>
          </w:tcPr>
          <w:p w14:paraId="42FC8E01">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11.4</w:t>
            </w:r>
          </w:p>
        </w:tc>
        <w:tc>
          <w:tcPr>
            <w:tcW w:w="267" w:type="pct"/>
            <w:tcBorders>
              <w:tl2br w:val="nil"/>
              <w:tr2bl w:val="nil"/>
            </w:tcBorders>
            <w:shd w:val="clear" w:color="auto" w:fill="auto"/>
            <w:noWrap/>
            <w:vAlign w:val="center"/>
          </w:tcPr>
          <w:p w14:paraId="710F9AF0">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5L</w:t>
            </w:r>
          </w:p>
        </w:tc>
        <w:tc>
          <w:tcPr>
            <w:tcW w:w="249" w:type="pct"/>
            <w:tcBorders>
              <w:tl2br w:val="nil"/>
              <w:tr2bl w:val="nil"/>
            </w:tcBorders>
            <w:shd w:val="clear" w:color="auto" w:fill="auto"/>
            <w:noWrap/>
            <w:vAlign w:val="center"/>
          </w:tcPr>
          <w:p w14:paraId="6915118B">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sz w:val="21"/>
                <w:szCs w:val="21"/>
                <w:highlight w:val="none"/>
                <w:u w:val="none"/>
                <w:lang w:val="en-US" w:eastAsia="zh-CN"/>
              </w:rPr>
              <w:t>/</w:t>
            </w:r>
          </w:p>
        </w:tc>
        <w:tc>
          <w:tcPr>
            <w:tcW w:w="329" w:type="pct"/>
            <w:tcBorders>
              <w:tl2br w:val="nil"/>
              <w:tr2bl w:val="nil"/>
            </w:tcBorders>
            <w:shd w:val="clear" w:color="auto" w:fill="auto"/>
            <w:noWrap/>
            <w:vAlign w:val="center"/>
          </w:tcPr>
          <w:p w14:paraId="6BF91848">
            <w:pPr>
              <w:pStyle w:val="30"/>
              <w:ind w:firstLine="0" w:firstLineChars="0"/>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color w:val="auto"/>
                <w:sz w:val="21"/>
                <w:szCs w:val="21"/>
                <w:highlight w:val="none"/>
              </w:rPr>
              <w:t>≤250</w:t>
            </w:r>
          </w:p>
        </w:tc>
      </w:tr>
      <w:tr w14:paraId="53BC29C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475" w:type="pct"/>
            <w:tcBorders>
              <w:tl2br w:val="nil"/>
              <w:tr2bl w:val="nil"/>
            </w:tcBorders>
            <w:shd w:val="clear" w:color="auto" w:fill="auto"/>
            <w:vAlign w:val="center"/>
          </w:tcPr>
          <w:p w14:paraId="023F3B82">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氯化物（mg/L）</w:t>
            </w:r>
          </w:p>
        </w:tc>
        <w:tc>
          <w:tcPr>
            <w:tcW w:w="284" w:type="pct"/>
            <w:tcBorders>
              <w:tl2br w:val="nil"/>
              <w:tr2bl w:val="nil"/>
            </w:tcBorders>
            <w:shd w:val="clear" w:color="auto" w:fill="auto"/>
            <w:noWrap/>
            <w:vAlign w:val="center"/>
          </w:tcPr>
          <w:p w14:paraId="6BFD4266">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1.0L</w:t>
            </w:r>
          </w:p>
        </w:tc>
        <w:tc>
          <w:tcPr>
            <w:tcW w:w="284" w:type="pct"/>
            <w:tcBorders>
              <w:tl2br w:val="nil"/>
              <w:tr2bl w:val="nil"/>
            </w:tcBorders>
            <w:shd w:val="clear" w:color="auto" w:fill="auto"/>
            <w:noWrap/>
            <w:vAlign w:val="center"/>
          </w:tcPr>
          <w:p w14:paraId="2423C27D">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1.0L</w:t>
            </w:r>
          </w:p>
        </w:tc>
        <w:tc>
          <w:tcPr>
            <w:tcW w:w="284" w:type="pct"/>
            <w:tcBorders>
              <w:tl2br w:val="nil"/>
              <w:tr2bl w:val="nil"/>
            </w:tcBorders>
            <w:shd w:val="clear" w:color="auto" w:fill="auto"/>
            <w:noWrap/>
            <w:vAlign w:val="center"/>
          </w:tcPr>
          <w:p w14:paraId="1609CAED">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2.5</w:t>
            </w:r>
          </w:p>
        </w:tc>
        <w:tc>
          <w:tcPr>
            <w:tcW w:w="284" w:type="pct"/>
            <w:tcBorders>
              <w:tl2br w:val="nil"/>
              <w:tr2bl w:val="nil"/>
            </w:tcBorders>
            <w:shd w:val="clear" w:color="auto" w:fill="auto"/>
            <w:noWrap/>
            <w:vAlign w:val="center"/>
          </w:tcPr>
          <w:p w14:paraId="3A3DA98D">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37</w:t>
            </w:r>
          </w:p>
        </w:tc>
        <w:tc>
          <w:tcPr>
            <w:tcW w:w="284" w:type="pct"/>
            <w:tcBorders>
              <w:tl2br w:val="nil"/>
              <w:tr2bl w:val="nil"/>
            </w:tcBorders>
            <w:shd w:val="clear" w:color="auto" w:fill="auto"/>
            <w:noWrap/>
            <w:vAlign w:val="center"/>
          </w:tcPr>
          <w:p w14:paraId="36E82150">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w:t>
            </w:r>
          </w:p>
        </w:tc>
        <w:tc>
          <w:tcPr>
            <w:tcW w:w="284" w:type="pct"/>
            <w:tcBorders>
              <w:tl2br w:val="nil"/>
              <w:tr2bl w:val="nil"/>
            </w:tcBorders>
            <w:shd w:val="clear" w:color="auto" w:fill="auto"/>
            <w:noWrap/>
            <w:vAlign w:val="center"/>
          </w:tcPr>
          <w:p w14:paraId="722C6AA7">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w:t>
            </w:r>
          </w:p>
        </w:tc>
        <w:tc>
          <w:tcPr>
            <w:tcW w:w="284" w:type="pct"/>
            <w:tcBorders>
              <w:tl2br w:val="nil"/>
              <w:tr2bl w:val="nil"/>
            </w:tcBorders>
            <w:shd w:val="clear" w:color="auto" w:fill="auto"/>
            <w:noWrap/>
            <w:vAlign w:val="center"/>
          </w:tcPr>
          <w:p w14:paraId="181602C0">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1.0L</w:t>
            </w:r>
          </w:p>
        </w:tc>
        <w:tc>
          <w:tcPr>
            <w:tcW w:w="284" w:type="pct"/>
            <w:tcBorders>
              <w:tl2br w:val="nil"/>
              <w:tr2bl w:val="nil"/>
            </w:tcBorders>
            <w:shd w:val="clear" w:color="auto" w:fill="auto"/>
            <w:noWrap/>
            <w:vAlign w:val="center"/>
          </w:tcPr>
          <w:p w14:paraId="34F7758C">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3.5</w:t>
            </w:r>
          </w:p>
        </w:tc>
        <w:tc>
          <w:tcPr>
            <w:tcW w:w="284" w:type="pct"/>
            <w:tcBorders>
              <w:tl2br w:val="nil"/>
              <w:tr2bl w:val="nil"/>
            </w:tcBorders>
            <w:shd w:val="clear" w:color="auto" w:fill="auto"/>
            <w:noWrap/>
            <w:vAlign w:val="center"/>
          </w:tcPr>
          <w:p w14:paraId="78297E65">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w:t>
            </w:r>
          </w:p>
        </w:tc>
        <w:tc>
          <w:tcPr>
            <w:tcW w:w="285" w:type="pct"/>
            <w:tcBorders>
              <w:tl2br w:val="nil"/>
              <w:tr2bl w:val="nil"/>
            </w:tcBorders>
            <w:shd w:val="clear" w:color="auto" w:fill="auto"/>
            <w:noWrap/>
            <w:vAlign w:val="center"/>
          </w:tcPr>
          <w:p w14:paraId="75346FC0">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285" w:type="pct"/>
            <w:tcBorders>
              <w:tl2br w:val="nil"/>
              <w:tr2bl w:val="nil"/>
            </w:tcBorders>
            <w:shd w:val="clear" w:color="auto" w:fill="auto"/>
            <w:noWrap/>
            <w:vAlign w:val="center"/>
          </w:tcPr>
          <w:p w14:paraId="7DF9F5B0">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1.0L</w:t>
            </w:r>
          </w:p>
        </w:tc>
        <w:tc>
          <w:tcPr>
            <w:tcW w:w="285" w:type="pct"/>
            <w:tcBorders>
              <w:tl2br w:val="nil"/>
              <w:tr2bl w:val="nil"/>
            </w:tcBorders>
            <w:shd w:val="clear" w:color="auto" w:fill="auto"/>
            <w:noWrap/>
            <w:vAlign w:val="center"/>
          </w:tcPr>
          <w:p w14:paraId="42B02229">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w:t>
            </w:r>
          </w:p>
        </w:tc>
        <w:tc>
          <w:tcPr>
            <w:tcW w:w="261" w:type="pct"/>
            <w:tcBorders>
              <w:tl2br w:val="nil"/>
              <w:tr2bl w:val="nil"/>
            </w:tcBorders>
            <w:shd w:val="clear" w:color="auto" w:fill="auto"/>
            <w:noWrap/>
            <w:vAlign w:val="center"/>
          </w:tcPr>
          <w:p w14:paraId="47FB41ED">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1.0L</w:t>
            </w:r>
          </w:p>
        </w:tc>
        <w:tc>
          <w:tcPr>
            <w:tcW w:w="267" w:type="pct"/>
            <w:tcBorders>
              <w:tl2br w:val="nil"/>
              <w:tr2bl w:val="nil"/>
            </w:tcBorders>
            <w:shd w:val="clear" w:color="auto" w:fill="auto"/>
            <w:noWrap/>
            <w:vAlign w:val="center"/>
          </w:tcPr>
          <w:p w14:paraId="278D6731">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1.0L</w:t>
            </w:r>
          </w:p>
        </w:tc>
        <w:tc>
          <w:tcPr>
            <w:tcW w:w="249" w:type="pct"/>
            <w:tcBorders>
              <w:tl2br w:val="nil"/>
              <w:tr2bl w:val="nil"/>
            </w:tcBorders>
            <w:shd w:val="clear" w:color="auto" w:fill="auto"/>
            <w:noWrap/>
            <w:vAlign w:val="center"/>
          </w:tcPr>
          <w:p w14:paraId="5409409F">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sz w:val="21"/>
                <w:szCs w:val="21"/>
                <w:highlight w:val="none"/>
                <w:u w:val="none"/>
                <w:lang w:val="en-US" w:eastAsia="zh-CN"/>
              </w:rPr>
              <w:t>/</w:t>
            </w:r>
          </w:p>
        </w:tc>
        <w:tc>
          <w:tcPr>
            <w:tcW w:w="329" w:type="pct"/>
            <w:tcBorders>
              <w:tl2br w:val="nil"/>
              <w:tr2bl w:val="nil"/>
            </w:tcBorders>
            <w:shd w:val="clear" w:color="auto" w:fill="auto"/>
            <w:noWrap/>
            <w:vAlign w:val="center"/>
          </w:tcPr>
          <w:p w14:paraId="50FAD436">
            <w:pPr>
              <w:pStyle w:val="30"/>
              <w:ind w:firstLine="0" w:firstLineChars="0"/>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color w:val="auto"/>
                <w:sz w:val="21"/>
                <w:szCs w:val="21"/>
                <w:highlight w:val="none"/>
              </w:rPr>
              <w:t>≤250</w:t>
            </w:r>
          </w:p>
        </w:tc>
      </w:tr>
      <w:tr w14:paraId="483F596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475" w:type="pct"/>
            <w:tcBorders>
              <w:tl2br w:val="nil"/>
              <w:tr2bl w:val="nil"/>
            </w:tcBorders>
            <w:shd w:val="clear" w:color="auto" w:fill="auto"/>
            <w:vAlign w:val="center"/>
          </w:tcPr>
          <w:p w14:paraId="714719BD">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铁（mg/L）</w:t>
            </w:r>
          </w:p>
        </w:tc>
        <w:tc>
          <w:tcPr>
            <w:tcW w:w="284" w:type="pct"/>
            <w:tcBorders>
              <w:tl2br w:val="nil"/>
              <w:tr2bl w:val="nil"/>
            </w:tcBorders>
            <w:shd w:val="clear" w:color="auto" w:fill="auto"/>
            <w:noWrap/>
            <w:vAlign w:val="center"/>
          </w:tcPr>
          <w:p w14:paraId="02630D29">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0.01L</w:t>
            </w:r>
          </w:p>
        </w:tc>
        <w:tc>
          <w:tcPr>
            <w:tcW w:w="284" w:type="pct"/>
            <w:tcBorders>
              <w:tl2br w:val="nil"/>
              <w:tr2bl w:val="nil"/>
            </w:tcBorders>
            <w:shd w:val="clear" w:color="auto" w:fill="auto"/>
            <w:noWrap/>
            <w:vAlign w:val="center"/>
          </w:tcPr>
          <w:p w14:paraId="6A9BA136">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0.01L</w:t>
            </w:r>
          </w:p>
        </w:tc>
        <w:tc>
          <w:tcPr>
            <w:tcW w:w="284" w:type="pct"/>
            <w:tcBorders>
              <w:tl2br w:val="nil"/>
              <w:tr2bl w:val="nil"/>
            </w:tcBorders>
            <w:shd w:val="clear" w:color="auto" w:fill="auto"/>
            <w:noWrap/>
            <w:vAlign w:val="center"/>
          </w:tcPr>
          <w:p w14:paraId="7C02BC3F">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0.01L</w:t>
            </w:r>
          </w:p>
        </w:tc>
        <w:tc>
          <w:tcPr>
            <w:tcW w:w="284" w:type="pct"/>
            <w:tcBorders>
              <w:tl2br w:val="nil"/>
              <w:tr2bl w:val="nil"/>
            </w:tcBorders>
            <w:shd w:val="clear" w:color="auto" w:fill="auto"/>
            <w:noWrap/>
            <w:vAlign w:val="center"/>
          </w:tcPr>
          <w:p w14:paraId="0861B1D0">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0.01L</w:t>
            </w:r>
          </w:p>
        </w:tc>
        <w:tc>
          <w:tcPr>
            <w:tcW w:w="284" w:type="pct"/>
            <w:tcBorders>
              <w:tl2br w:val="nil"/>
              <w:tr2bl w:val="nil"/>
            </w:tcBorders>
            <w:shd w:val="clear" w:color="auto" w:fill="auto"/>
            <w:noWrap/>
            <w:vAlign w:val="center"/>
          </w:tcPr>
          <w:p w14:paraId="0668627A">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0.01L</w:t>
            </w:r>
          </w:p>
        </w:tc>
        <w:tc>
          <w:tcPr>
            <w:tcW w:w="284" w:type="pct"/>
            <w:tcBorders>
              <w:tl2br w:val="nil"/>
              <w:tr2bl w:val="nil"/>
            </w:tcBorders>
            <w:shd w:val="clear" w:color="auto" w:fill="auto"/>
            <w:noWrap/>
            <w:vAlign w:val="center"/>
          </w:tcPr>
          <w:p w14:paraId="7BD10403">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0.01L</w:t>
            </w:r>
          </w:p>
        </w:tc>
        <w:tc>
          <w:tcPr>
            <w:tcW w:w="284" w:type="pct"/>
            <w:tcBorders>
              <w:tl2br w:val="nil"/>
              <w:tr2bl w:val="nil"/>
            </w:tcBorders>
            <w:shd w:val="clear" w:color="auto" w:fill="auto"/>
            <w:noWrap/>
            <w:vAlign w:val="center"/>
          </w:tcPr>
          <w:p w14:paraId="411CFA1F">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0.01L</w:t>
            </w:r>
          </w:p>
        </w:tc>
        <w:tc>
          <w:tcPr>
            <w:tcW w:w="284" w:type="pct"/>
            <w:tcBorders>
              <w:tl2br w:val="nil"/>
              <w:tr2bl w:val="nil"/>
            </w:tcBorders>
            <w:shd w:val="clear" w:color="auto" w:fill="auto"/>
            <w:noWrap/>
            <w:vAlign w:val="center"/>
          </w:tcPr>
          <w:p w14:paraId="297CA0F0">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0.01L</w:t>
            </w:r>
          </w:p>
        </w:tc>
        <w:tc>
          <w:tcPr>
            <w:tcW w:w="284" w:type="pct"/>
            <w:tcBorders>
              <w:tl2br w:val="nil"/>
              <w:tr2bl w:val="nil"/>
            </w:tcBorders>
            <w:shd w:val="clear" w:color="auto" w:fill="auto"/>
            <w:noWrap/>
            <w:vAlign w:val="center"/>
          </w:tcPr>
          <w:p w14:paraId="2AC93E8A">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0.01L</w:t>
            </w:r>
          </w:p>
        </w:tc>
        <w:tc>
          <w:tcPr>
            <w:tcW w:w="285" w:type="pct"/>
            <w:tcBorders>
              <w:tl2br w:val="nil"/>
              <w:tr2bl w:val="nil"/>
            </w:tcBorders>
            <w:shd w:val="clear" w:color="auto" w:fill="auto"/>
            <w:noWrap/>
            <w:vAlign w:val="center"/>
          </w:tcPr>
          <w:p w14:paraId="0A52EB25">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0.01L</w:t>
            </w:r>
          </w:p>
        </w:tc>
        <w:tc>
          <w:tcPr>
            <w:tcW w:w="285" w:type="pct"/>
            <w:tcBorders>
              <w:tl2br w:val="nil"/>
              <w:tr2bl w:val="nil"/>
            </w:tcBorders>
            <w:shd w:val="clear" w:color="auto" w:fill="auto"/>
            <w:noWrap/>
            <w:vAlign w:val="center"/>
          </w:tcPr>
          <w:p w14:paraId="058D9F95">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0.01L</w:t>
            </w:r>
          </w:p>
        </w:tc>
        <w:tc>
          <w:tcPr>
            <w:tcW w:w="285" w:type="pct"/>
            <w:tcBorders>
              <w:tl2br w:val="nil"/>
              <w:tr2bl w:val="nil"/>
            </w:tcBorders>
            <w:shd w:val="clear" w:color="auto" w:fill="auto"/>
            <w:noWrap/>
            <w:vAlign w:val="center"/>
          </w:tcPr>
          <w:p w14:paraId="4B52FC37">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0.01L</w:t>
            </w:r>
          </w:p>
        </w:tc>
        <w:tc>
          <w:tcPr>
            <w:tcW w:w="261" w:type="pct"/>
            <w:tcBorders>
              <w:tl2br w:val="nil"/>
              <w:tr2bl w:val="nil"/>
            </w:tcBorders>
            <w:shd w:val="clear" w:color="auto" w:fill="auto"/>
            <w:noWrap/>
            <w:vAlign w:val="center"/>
          </w:tcPr>
          <w:p w14:paraId="21929F85">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0.01L</w:t>
            </w:r>
          </w:p>
        </w:tc>
        <w:tc>
          <w:tcPr>
            <w:tcW w:w="267" w:type="pct"/>
            <w:tcBorders>
              <w:tl2br w:val="nil"/>
              <w:tr2bl w:val="nil"/>
            </w:tcBorders>
            <w:shd w:val="clear" w:color="auto" w:fill="auto"/>
            <w:noWrap/>
            <w:vAlign w:val="center"/>
          </w:tcPr>
          <w:p w14:paraId="1D176A91">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0.01L</w:t>
            </w:r>
          </w:p>
        </w:tc>
        <w:tc>
          <w:tcPr>
            <w:tcW w:w="249" w:type="pct"/>
            <w:tcBorders>
              <w:tl2br w:val="nil"/>
              <w:tr2bl w:val="nil"/>
            </w:tcBorders>
            <w:shd w:val="clear" w:color="auto" w:fill="auto"/>
            <w:noWrap/>
            <w:vAlign w:val="center"/>
          </w:tcPr>
          <w:p w14:paraId="3E7094D4">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sz w:val="21"/>
                <w:szCs w:val="21"/>
                <w:highlight w:val="none"/>
                <w:u w:val="none"/>
                <w:lang w:val="en-US" w:eastAsia="zh-CN"/>
              </w:rPr>
              <w:t>/</w:t>
            </w:r>
          </w:p>
        </w:tc>
        <w:tc>
          <w:tcPr>
            <w:tcW w:w="329" w:type="pct"/>
            <w:tcBorders>
              <w:tl2br w:val="nil"/>
              <w:tr2bl w:val="nil"/>
            </w:tcBorders>
            <w:shd w:val="clear" w:color="auto" w:fill="auto"/>
            <w:noWrap/>
            <w:vAlign w:val="center"/>
          </w:tcPr>
          <w:p w14:paraId="68E3AD48">
            <w:pPr>
              <w:pStyle w:val="30"/>
              <w:ind w:firstLine="0" w:firstLineChars="0"/>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color w:val="auto"/>
                <w:sz w:val="21"/>
                <w:szCs w:val="21"/>
                <w:highlight w:val="none"/>
              </w:rPr>
              <w:t>≤0.3</w:t>
            </w:r>
          </w:p>
        </w:tc>
      </w:tr>
      <w:tr w14:paraId="60DCDE0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475" w:type="pct"/>
            <w:tcBorders>
              <w:tl2br w:val="nil"/>
              <w:tr2bl w:val="nil"/>
            </w:tcBorders>
            <w:shd w:val="clear" w:color="auto" w:fill="auto"/>
            <w:vAlign w:val="center"/>
          </w:tcPr>
          <w:p w14:paraId="38F9CD95">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锰（mg/L）</w:t>
            </w:r>
          </w:p>
        </w:tc>
        <w:tc>
          <w:tcPr>
            <w:tcW w:w="284" w:type="pct"/>
            <w:tcBorders>
              <w:tl2br w:val="nil"/>
              <w:tr2bl w:val="nil"/>
            </w:tcBorders>
            <w:shd w:val="clear" w:color="auto" w:fill="auto"/>
            <w:noWrap/>
            <w:vAlign w:val="center"/>
          </w:tcPr>
          <w:p w14:paraId="46947E14">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0.17</w:t>
            </w:r>
          </w:p>
        </w:tc>
        <w:tc>
          <w:tcPr>
            <w:tcW w:w="284" w:type="pct"/>
            <w:tcBorders>
              <w:tl2br w:val="nil"/>
              <w:tr2bl w:val="nil"/>
            </w:tcBorders>
            <w:shd w:val="clear" w:color="auto" w:fill="auto"/>
            <w:noWrap/>
            <w:vAlign w:val="center"/>
          </w:tcPr>
          <w:p w14:paraId="4C572B14">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0.13</w:t>
            </w:r>
          </w:p>
        </w:tc>
        <w:tc>
          <w:tcPr>
            <w:tcW w:w="284" w:type="pct"/>
            <w:tcBorders>
              <w:tl2br w:val="nil"/>
              <w:tr2bl w:val="nil"/>
            </w:tcBorders>
            <w:shd w:val="clear" w:color="auto" w:fill="auto"/>
            <w:noWrap/>
            <w:vAlign w:val="center"/>
          </w:tcPr>
          <w:p w14:paraId="435D4BF5">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0.22</w:t>
            </w:r>
          </w:p>
        </w:tc>
        <w:tc>
          <w:tcPr>
            <w:tcW w:w="284" w:type="pct"/>
            <w:tcBorders>
              <w:tl2br w:val="nil"/>
              <w:tr2bl w:val="nil"/>
            </w:tcBorders>
            <w:shd w:val="clear" w:color="auto" w:fill="auto"/>
            <w:noWrap/>
            <w:vAlign w:val="center"/>
          </w:tcPr>
          <w:p w14:paraId="3C77DC3A">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0.66</w:t>
            </w:r>
          </w:p>
        </w:tc>
        <w:tc>
          <w:tcPr>
            <w:tcW w:w="284" w:type="pct"/>
            <w:tcBorders>
              <w:tl2br w:val="nil"/>
              <w:tr2bl w:val="nil"/>
            </w:tcBorders>
            <w:shd w:val="clear" w:color="auto" w:fill="auto"/>
            <w:noWrap/>
            <w:vAlign w:val="center"/>
          </w:tcPr>
          <w:p w14:paraId="70F934F3">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0.37</w:t>
            </w:r>
          </w:p>
        </w:tc>
        <w:tc>
          <w:tcPr>
            <w:tcW w:w="284" w:type="pct"/>
            <w:tcBorders>
              <w:tl2br w:val="nil"/>
              <w:tr2bl w:val="nil"/>
            </w:tcBorders>
            <w:shd w:val="clear" w:color="auto" w:fill="auto"/>
            <w:noWrap/>
            <w:vAlign w:val="center"/>
          </w:tcPr>
          <w:p w14:paraId="1D9EB463">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0.37</w:t>
            </w:r>
          </w:p>
        </w:tc>
        <w:tc>
          <w:tcPr>
            <w:tcW w:w="284" w:type="pct"/>
            <w:tcBorders>
              <w:tl2br w:val="nil"/>
              <w:tr2bl w:val="nil"/>
            </w:tcBorders>
            <w:shd w:val="clear" w:color="auto" w:fill="auto"/>
            <w:noWrap/>
            <w:vAlign w:val="center"/>
          </w:tcPr>
          <w:p w14:paraId="411B2FDB">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0.41</w:t>
            </w:r>
          </w:p>
        </w:tc>
        <w:tc>
          <w:tcPr>
            <w:tcW w:w="284" w:type="pct"/>
            <w:tcBorders>
              <w:tl2br w:val="nil"/>
              <w:tr2bl w:val="nil"/>
            </w:tcBorders>
            <w:shd w:val="clear" w:color="auto" w:fill="auto"/>
            <w:noWrap/>
            <w:vAlign w:val="center"/>
          </w:tcPr>
          <w:p w14:paraId="66C7270F">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0.62</w:t>
            </w:r>
          </w:p>
        </w:tc>
        <w:tc>
          <w:tcPr>
            <w:tcW w:w="284" w:type="pct"/>
            <w:tcBorders>
              <w:tl2br w:val="nil"/>
              <w:tr2bl w:val="nil"/>
            </w:tcBorders>
            <w:shd w:val="clear" w:color="auto" w:fill="auto"/>
            <w:noWrap/>
            <w:vAlign w:val="center"/>
          </w:tcPr>
          <w:p w14:paraId="3F76CAE8">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0.65</w:t>
            </w:r>
          </w:p>
        </w:tc>
        <w:tc>
          <w:tcPr>
            <w:tcW w:w="285" w:type="pct"/>
            <w:tcBorders>
              <w:tl2br w:val="nil"/>
              <w:tr2bl w:val="nil"/>
            </w:tcBorders>
            <w:shd w:val="clear" w:color="auto" w:fill="auto"/>
            <w:noWrap/>
            <w:vAlign w:val="center"/>
          </w:tcPr>
          <w:p w14:paraId="0E75F867">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0.53</w:t>
            </w:r>
          </w:p>
        </w:tc>
        <w:tc>
          <w:tcPr>
            <w:tcW w:w="285" w:type="pct"/>
            <w:tcBorders>
              <w:tl2br w:val="nil"/>
              <w:tr2bl w:val="nil"/>
            </w:tcBorders>
            <w:shd w:val="clear" w:color="auto" w:fill="auto"/>
            <w:noWrap/>
            <w:vAlign w:val="center"/>
          </w:tcPr>
          <w:p w14:paraId="68EEFFE6">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1.08</w:t>
            </w:r>
          </w:p>
        </w:tc>
        <w:tc>
          <w:tcPr>
            <w:tcW w:w="285" w:type="pct"/>
            <w:tcBorders>
              <w:tl2br w:val="nil"/>
              <w:tr2bl w:val="nil"/>
            </w:tcBorders>
            <w:shd w:val="clear" w:color="auto" w:fill="auto"/>
            <w:noWrap/>
            <w:vAlign w:val="center"/>
          </w:tcPr>
          <w:p w14:paraId="7897735F">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0.6</w:t>
            </w:r>
          </w:p>
        </w:tc>
        <w:tc>
          <w:tcPr>
            <w:tcW w:w="261" w:type="pct"/>
            <w:tcBorders>
              <w:tl2br w:val="nil"/>
              <w:tr2bl w:val="nil"/>
            </w:tcBorders>
            <w:shd w:val="clear" w:color="auto" w:fill="auto"/>
            <w:noWrap/>
            <w:vAlign w:val="center"/>
          </w:tcPr>
          <w:p w14:paraId="54F02BB9">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0.48</w:t>
            </w:r>
          </w:p>
        </w:tc>
        <w:tc>
          <w:tcPr>
            <w:tcW w:w="267" w:type="pct"/>
            <w:tcBorders>
              <w:tl2br w:val="nil"/>
              <w:tr2bl w:val="nil"/>
            </w:tcBorders>
            <w:shd w:val="clear" w:color="auto" w:fill="auto"/>
            <w:noWrap/>
            <w:vAlign w:val="center"/>
          </w:tcPr>
          <w:p w14:paraId="11091790">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0.74</w:t>
            </w:r>
          </w:p>
        </w:tc>
        <w:tc>
          <w:tcPr>
            <w:tcW w:w="249" w:type="pct"/>
            <w:tcBorders>
              <w:tl2br w:val="nil"/>
              <w:tr2bl w:val="nil"/>
            </w:tcBorders>
            <w:shd w:val="clear" w:color="auto" w:fill="auto"/>
            <w:noWrap/>
            <w:vAlign w:val="center"/>
          </w:tcPr>
          <w:p w14:paraId="70CA0DA9">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sz w:val="21"/>
                <w:szCs w:val="21"/>
                <w:highlight w:val="none"/>
                <w:u w:val="none"/>
                <w:lang w:val="en-US" w:eastAsia="zh-CN"/>
              </w:rPr>
              <w:t>/</w:t>
            </w:r>
          </w:p>
        </w:tc>
        <w:tc>
          <w:tcPr>
            <w:tcW w:w="329" w:type="pct"/>
            <w:tcBorders>
              <w:tl2br w:val="nil"/>
              <w:tr2bl w:val="nil"/>
            </w:tcBorders>
            <w:shd w:val="clear" w:color="auto" w:fill="auto"/>
            <w:noWrap/>
            <w:vAlign w:val="center"/>
          </w:tcPr>
          <w:p w14:paraId="7A45F42F">
            <w:pPr>
              <w:pStyle w:val="30"/>
              <w:ind w:firstLine="0" w:firstLineChars="0"/>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color w:val="auto"/>
                <w:sz w:val="21"/>
                <w:szCs w:val="21"/>
                <w:highlight w:val="none"/>
              </w:rPr>
              <w:t>≤0.10</w:t>
            </w:r>
          </w:p>
        </w:tc>
      </w:tr>
      <w:tr w14:paraId="2277295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475" w:type="pct"/>
            <w:tcBorders>
              <w:tl2br w:val="nil"/>
              <w:tr2bl w:val="nil"/>
            </w:tcBorders>
            <w:shd w:val="clear" w:color="auto" w:fill="auto"/>
            <w:vAlign w:val="center"/>
          </w:tcPr>
          <w:p w14:paraId="7B482B88">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铜（mg/L）</w:t>
            </w:r>
          </w:p>
        </w:tc>
        <w:tc>
          <w:tcPr>
            <w:tcW w:w="284" w:type="pct"/>
            <w:tcBorders>
              <w:tl2br w:val="nil"/>
              <w:tr2bl w:val="nil"/>
            </w:tcBorders>
            <w:shd w:val="clear" w:color="auto" w:fill="auto"/>
            <w:noWrap/>
            <w:vAlign w:val="center"/>
          </w:tcPr>
          <w:p w14:paraId="624DF25D">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0.04L</w:t>
            </w:r>
          </w:p>
        </w:tc>
        <w:tc>
          <w:tcPr>
            <w:tcW w:w="284" w:type="pct"/>
            <w:tcBorders>
              <w:tl2br w:val="nil"/>
              <w:tr2bl w:val="nil"/>
            </w:tcBorders>
            <w:shd w:val="clear" w:color="auto" w:fill="auto"/>
            <w:noWrap/>
            <w:vAlign w:val="center"/>
          </w:tcPr>
          <w:p w14:paraId="5D263ABE">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0.04L</w:t>
            </w:r>
          </w:p>
        </w:tc>
        <w:tc>
          <w:tcPr>
            <w:tcW w:w="284" w:type="pct"/>
            <w:tcBorders>
              <w:tl2br w:val="nil"/>
              <w:tr2bl w:val="nil"/>
            </w:tcBorders>
            <w:shd w:val="clear" w:color="auto" w:fill="auto"/>
            <w:noWrap/>
            <w:vAlign w:val="center"/>
          </w:tcPr>
          <w:p w14:paraId="3C1567D6">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0.04L</w:t>
            </w:r>
          </w:p>
        </w:tc>
        <w:tc>
          <w:tcPr>
            <w:tcW w:w="284" w:type="pct"/>
            <w:tcBorders>
              <w:tl2br w:val="nil"/>
              <w:tr2bl w:val="nil"/>
            </w:tcBorders>
            <w:shd w:val="clear" w:color="auto" w:fill="auto"/>
            <w:noWrap/>
            <w:vAlign w:val="center"/>
          </w:tcPr>
          <w:p w14:paraId="2CD9A9B7">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0.04L</w:t>
            </w:r>
          </w:p>
        </w:tc>
        <w:tc>
          <w:tcPr>
            <w:tcW w:w="284" w:type="pct"/>
            <w:tcBorders>
              <w:tl2br w:val="nil"/>
              <w:tr2bl w:val="nil"/>
            </w:tcBorders>
            <w:shd w:val="clear" w:color="auto" w:fill="auto"/>
            <w:noWrap/>
            <w:vAlign w:val="center"/>
          </w:tcPr>
          <w:p w14:paraId="08F66C9B">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0.04L</w:t>
            </w:r>
          </w:p>
        </w:tc>
        <w:tc>
          <w:tcPr>
            <w:tcW w:w="284" w:type="pct"/>
            <w:tcBorders>
              <w:tl2br w:val="nil"/>
              <w:tr2bl w:val="nil"/>
            </w:tcBorders>
            <w:shd w:val="clear" w:color="auto" w:fill="auto"/>
            <w:noWrap/>
            <w:vAlign w:val="center"/>
          </w:tcPr>
          <w:p w14:paraId="11FA2DA2">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0.04L</w:t>
            </w:r>
          </w:p>
        </w:tc>
        <w:tc>
          <w:tcPr>
            <w:tcW w:w="284" w:type="pct"/>
            <w:tcBorders>
              <w:tl2br w:val="nil"/>
              <w:tr2bl w:val="nil"/>
            </w:tcBorders>
            <w:shd w:val="clear" w:color="auto" w:fill="auto"/>
            <w:noWrap/>
            <w:vAlign w:val="center"/>
          </w:tcPr>
          <w:p w14:paraId="29BFC767">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0.04L</w:t>
            </w:r>
          </w:p>
        </w:tc>
        <w:tc>
          <w:tcPr>
            <w:tcW w:w="284" w:type="pct"/>
            <w:tcBorders>
              <w:tl2br w:val="nil"/>
              <w:tr2bl w:val="nil"/>
            </w:tcBorders>
            <w:shd w:val="clear" w:color="auto" w:fill="auto"/>
            <w:noWrap/>
            <w:vAlign w:val="center"/>
          </w:tcPr>
          <w:p w14:paraId="1F5CD2F0">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0.04L</w:t>
            </w:r>
          </w:p>
        </w:tc>
        <w:tc>
          <w:tcPr>
            <w:tcW w:w="284" w:type="pct"/>
            <w:tcBorders>
              <w:tl2br w:val="nil"/>
              <w:tr2bl w:val="nil"/>
            </w:tcBorders>
            <w:shd w:val="clear" w:color="auto" w:fill="auto"/>
            <w:noWrap/>
            <w:vAlign w:val="center"/>
          </w:tcPr>
          <w:p w14:paraId="55E0A6C2">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0.04L</w:t>
            </w:r>
          </w:p>
        </w:tc>
        <w:tc>
          <w:tcPr>
            <w:tcW w:w="285" w:type="pct"/>
            <w:tcBorders>
              <w:tl2br w:val="nil"/>
              <w:tr2bl w:val="nil"/>
            </w:tcBorders>
            <w:shd w:val="clear" w:color="auto" w:fill="auto"/>
            <w:noWrap/>
            <w:vAlign w:val="center"/>
          </w:tcPr>
          <w:p w14:paraId="74DA2266">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0.04L</w:t>
            </w:r>
          </w:p>
        </w:tc>
        <w:tc>
          <w:tcPr>
            <w:tcW w:w="285" w:type="pct"/>
            <w:tcBorders>
              <w:tl2br w:val="nil"/>
              <w:tr2bl w:val="nil"/>
            </w:tcBorders>
            <w:shd w:val="clear" w:color="auto" w:fill="auto"/>
            <w:noWrap/>
            <w:vAlign w:val="center"/>
          </w:tcPr>
          <w:p w14:paraId="79CA6000">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0.04L</w:t>
            </w:r>
          </w:p>
        </w:tc>
        <w:tc>
          <w:tcPr>
            <w:tcW w:w="285" w:type="pct"/>
            <w:tcBorders>
              <w:tl2br w:val="nil"/>
              <w:tr2bl w:val="nil"/>
            </w:tcBorders>
            <w:shd w:val="clear" w:color="auto" w:fill="auto"/>
            <w:noWrap/>
            <w:vAlign w:val="center"/>
          </w:tcPr>
          <w:p w14:paraId="708B1ED7">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0.04L</w:t>
            </w:r>
          </w:p>
        </w:tc>
        <w:tc>
          <w:tcPr>
            <w:tcW w:w="261" w:type="pct"/>
            <w:tcBorders>
              <w:tl2br w:val="nil"/>
              <w:tr2bl w:val="nil"/>
            </w:tcBorders>
            <w:shd w:val="clear" w:color="auto" w:fill="auto"/>
            <w:noWrap/>
            <w:vAlign w:val="center"/>
          </w:tcPr>
          <w:p w14:paraId="6BD3D974">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0.04L</w:t>
            </w:r>
          </w:p>
        </w:tc>
        <w:tc>
          <w:tcPr>
            <w:tcW w:w="267" w:type="pct"/>
            <w:tcBorders>
              <w:tl2br w:val="nil"/>
              <w:tr2bl w:val="nil"/>
            </w:tcBorders>
            <w:shd w:val="clear" w:color="auto" w:fill="auto"/>
            <w:noWrap/>
            <w:vAlign w:val="center"/>
          </w:tcPr>
          <w:p w14:paraId="18A00937">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0.04L</w:t>
            </w:r>
          </w:p>
        </w:tc>
        <w:tc>
          <w:tcPr>
            <w:tcW w:w="249" w:type="pct"/>
            <w:tcBorders>
              <w:tl2br w:val="nil"/>
              <w:tr2bl w:val="nil"/>
            </w:tcBorders>
            <w:shd w:val="clear" w:color="auto" w:fill="auto"/>
            <w:noWrap/>
            <w:vAlign w:val="center"/>
          </w:tcPr>
          <w:p w14:paraId="7FBD52D6">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sz w:val="21"/>
                <w:szCs w:val="21"/>
                <w:highlight w:val="none"/>
                <w:u w:val="none"/>
                <w:lang w:val="en-US" w:eastAsia="zh-CN"/>
              </w:rPr>
              <w:t>/</w:t>
            </w:r>
          </w:p>
        </w:tc>
        <w:tc>
          <w:tcPr>
            <w:tcW w:w="329" w:type="pct"/>
            <w:tcBorders>
              <w:tl2br w:val="nil"/>
              <w:tr2bl w:val="nil"/>
            </w:tcBorders>
            <w:shd w:val="clear" w:color="auto" w:fill="auto"/>
            <w:noWrap/>
            <w:vAlign w:val="center"/>
          </w:tcPr>
          <w:p w14:paraId="6ECC6EEE">
            <w:pPr>
              <w:pStyle w:val="30"/>
              <w:ind w:firstLine="0" w:firstLineChars="0"/>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color w:val="auto"/>
                <w:sz w:val="21"/>
                <w:szCs w:val="21"/>
                <w:highlight w:val="none"/>
              </w:rPr>
              <w:t>≤1.00</w:t>
            </w:r>
          </w:p>
        </w:tc>
      </w:tr>
      <w:tr w14:paraId="3C5449F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475" w:type="pct"/>
            <w:tcBorders>
              <w:tl2br w:val="nil"/>
              <w:tr2bl w:val="nil"/>
            </w:tcBorders>
            <w:shd w:val="clear" w:color="auto" w:fill="auto"/>
            <w:vAlign w:val="center"/>
          </w:tcPr>
          <w:p w14:paraId="42CF7E8C">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锌（mg/L）</w:t>
            </w:r>
          </w:p>
        </w:tc>
        <w:tc>
          <w:tcPr>
            <w:tcW w:w="284" w:type="pct"/>
            <w:tcBorders>
              <w:tl2br w:val="nil"/>
              <w:tr2bl w:val="nil"/>
            </w:tcBorders>
            <w:shd w:val="clear" w:color="auto" w:fill="auto"/>
            <w:noWrap/>
            <w:vAlign w:val="center"/>
          </w:tcPr>
          <w:p w14:paraId="61E23216">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0.009L</w:t>
            </w:r>
          </w:p>
        </w:tc>
        <w:tc>
          <w:tcPr>
            <w:tcW w:w="284" w:type="pct"/>
            <w:tcBorders>
              <w:tl2br w:val="nil"/>
              <w:tr2bl w:val="nil"/>
            </w:tcBorders>
            <w:shd w:val="clear" w:color="auto" w:fill="auto"/>
            <w:noWrap/>
            <w:vAlign w:val="center"/>
          </w:tcPr>
          <w:p w14:paraId="4084D53B">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0.009L</w:t>
            </w:r>
          </w:p>
        </w:tc>
        <w:tc>
          <w:tcPr>
            <w:tcW w:w="284" w:type="pct"/>
            <w:tcBorders>
              <w:tl2br w:val="nil"/>
              <w:tr2bl w:val="nil"/>
            </w:tcBorders>
            <w:shd w:val="clear" w:color="auto" w:fill="auto"/>
            <w:noWrap/>
            <w:vAlign w:val="center"/>
          </w:tcPr>
          <w:p w14:paraId="1026BD8A">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0.009L</w:t>
            </w:r>
          </w:p>
        </w:tc>
        <w:tc>
          <w:tcPr>
            <w:tcW w:w="284" w:type="pct"/>
            <w:tcBorders>
              <w:tl2br w:val="nil"/>
              <w:tr2bl w:val="nil"/>
            </w:tcBorders>
            <w:shd w:val="clear" w:color="auto" w:fill="auto"/>
            <w:noWrap/>
            <w:vAlign w:val="center"/>
          </w:tcPr>
          <w:p w14:paraId="1F027C99">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0.009L</w:t>
            </w:r>
          </w:p>
        </w:tc>
        <w:tc>
          <w:tcPr>
            <w:tcW w:w="284" w:type="pct"/>
            <w:tcBorders>
              <w:tl2br w:val="nil"/>
              <w:tr2bl w:val="nil"/>
            </w:tcBorders>
            <w:shd w:val="clear" w:color="auto" w:fill="auto"/>
            <w:noWrap/>
            <w:vAlign w:val="center"/>
          </w:tcPr>
          <w:p w14:paraId="7406A595">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0.018</w:t>
            </w:r>
          </w:p>
        </w:tc>
        <w:tc>
          <w:tcPr>
            <w:tcW w:w="284" w:type="pct"/>
            <w:tcBorders>
              <w:tl2br w:val="nil"/>
              <w:tr2bl w:val="nil"/>
            </w:tcBorders>
            <w:shd w:val="clear" w:color="auto" w:fill="auto"/>
            <w:noWrap/>
            <w:vAlign w:val="center"/>
          </w:tcPr>
          <w:p w14:paraId="66C3CDA6">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0.009L</w:t>
            </w:r>
          </w:p>
        </w:tc>
        <w:tc>
          <w:tcPr>
            <w:tcW w:w="284" w:type="pct"/>
            <w:tcBorders>
              <w:tl2br w:val="nil"/>
              <w:tr2bl w:val="nil"/>
            </w:tcBorders>
            <w:shd w:val="clear" w:color="auto" w:fill="auto"/>
            <w:noWrap/>
            <w:vAlign w:val="center"/>
          </w:tcPr>
          <w:p w14:paraId="4B33B55B">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0.009L</w:t>
            </w:r>
          </w:p>
        </w:tc>
        <w:tc>
          <w:tcPr>
            <w:tcW w:w="284" w:type="pct"/>
            <w:tcBorders>
              <w:tl2br w:val="nil"/>
              <w:tr2bl w:val="nil"/>
            </w:tcBorders>
            <w:shd w:val="clear" w:color="auto" w:fill="auto"/>
            <w:noWrap/>
            <w:vAlign w:val="center"/>
          </w:tcPr>
          <w:p w14:paraId="219CB33D">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0.009L</w:t>
            </w:r>
          </w:p>
        </w:tc>
        <w:tc>
          <w:tcPr>
            <w:tcW w:w="284" w:type="pct"/>
            <w:tcBorders>
              <w:tl2br w:val="nil"/>
              <w:tr2bl w:val="nil"/>
            </w:tcBorders>
            <w:shd w:val="clear" w:color="auto" w:fill="auto"/>
            <w:noWrap/>
            <w:vAlign w:val="center"/>
          </w:tcPr>
          <w:p w14:paraId="1790F673">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0.009L</w:t>
            </w:r>
          </w:p>
        </w:tc>
        <w:tc>
          <w:tcPr>
            <w:tcW w:w="285" w:type="pct"/>
            <w:tcBorders>
              <w:tl2br w:val="nil"/>
              <w:tr2bl w:val="nil"/>
            </w:tcBorders>
            <w:shd w:val="clear" w:color="auto" w:fill="auto"/>
            <w:noWrap/>
            <w:vAlign w:val="center"/>
          </w:tcPr>
          <w:p w14:paraId="07057666">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0.009L</w:t>
            </w:r>
          </w:p>
        </w:tc>
        <w:tc>
          <w:tcPr>
            <w:tcW w:w="285" w:type="pct"/>
            <w:tcBorders>
              <w:tl2br w:val="nil"/>
              <w:tr2bl w:val="nil"/>
            </w:tcBorders>
            <w:shd w:val="clear" w:color="auto" w:fill="auto"/>
            <w:noWrap/>
            <w:vAlign w:val="center"/>
          </w:tcPr>
          <w:p w14:paraId="41166827">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0.009L</w:t>
            </w:r>
          </w:p>
        </w:tc>
        <w:tc>
          <w:tcPr>
            <w:tcW w:w="285" w:type="pct"/>
            <w:tcBorders>
              <w:tl2br w:val="nil"/>
              <w:tr2bl w:val="nil"/>
            </w:tcBorders>
            <w:shd w:val="clear" w:color="auto" w:fill="auto"/>
            <w:noWrap/>
            <w:vAlign w:val="center"/>
          </w:tcPr>
          <w:p w14:paraId="23EE5100">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0.009L</w:t>
            </w:r>
          </w:p>
        </w:tc>
        <w:tc>
          <w:tcPr>
            <w:tcW w:w="261" w:type="pct"/>
            <w:tcBorders>
              <w:tl2br w:val="nil"/>
              <w:tr2bl w:val="nil"/>
            </w:tcBorders>
            <w:shd w:val="clear" w:color="auto" w:fill="auto"/>
            <w:noWrap/>
            <w:vAlign w:val="center"/>
          </w:tcPr>
          <w:p w14:paraId="3307DF98">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0.009L</w:t>
            </w:r>
          </w:p>
        </w:tc>
        <w:tc>
          <w:tcPr>
            <w:tcW w:w="267" w:type="pct"/>
            <w:tcBorders>
              <w:tl2br w:val="nil"/>
              <w:tr2bl w:val="nil"/>
            </w:tcBorders>
            <w:shd w:val="clear" w:color="auto" w:fill="auto"/>
            <w:noWrap/>
            <w:vAlign w:val="center"/>
          </w:tcPr>
          <w:p w14:paraId="767B3F13">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0.009L</w:t>
            </w:r>
          </w:p>
        </w:tc>
        <w:tc>
          <w:tcPr>
            <w:tcW w:w="249" w:type="pct"/>
            <w:tcBorders>
              <w:tl2br w:val="nil"/>
              <w:tr2bl w:val="nil"/>
            </w:tcBorders>
            <w:shd w:val="clear" w:color="auto" w:fill="auto"/>
            <w:noWrap/>
            <w:vAlign w:val="center"/>
          </w:tcPr>
          <w:p w14:paraId="1D548757">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sz w:val="21"/>
                <w:szCs w:val="21"/>
                <w:highlight w:val="none"/>
                <w:u w:val="none"/>
                <w:lang w:val="en-US" w:eastAsia="zh-CN"/>
              </w:rPr>
              <w:t>/</w:t>
            </w:r>
          </w:p>
        </w:tc>
        <w:tc>
          <w:tcPr>
            <w:tcW w:w="329" w:type="pct"/>
            <w:tcBorders>
              <w:tl2br w:val="nil"/>
              <w:tr2bl w:val="nil"/>
            </w:tcBorders>
            <w:shd w:val="clear" w:color="auto" w:fill="auto"/>
            <w:noWrap/>
            <w:vAlign w:val="center"/>
          </w:tcPr>
          <w:p w14:paraId="07D0D964">
            <w:pPr>
              <w:pStyle w:val="30"/>
              <w:ind w:firstLine="0" w:firstLineChars="0"/>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color w:val="auto"/>
                <w:sz w:val="21"/>
                <w:szCs w:val="21"/>
                <w:highlight w:val="none"/>
              </w:rPr>
              <w:t>≤1.00</w:t>
            </w:r>
          </w:p>
        </w:tc>
      </w:tr>
      <w:tr w14:paraId="21FB9A4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475" w:type="pct"/>
            <w:tcBorders>
              <w:tl2br w:val="nil"/>
              <w:tr2bl w:val="nil"/>
            </w:tcBorders>
            <w:shd w:val="clear" w:color="auto" w:fill="auto"/>
            <w:vAlign w:val="center"/>
          </w:tcPr>
          <w:p w14:paraId="610F7E1F">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铝（mg/L）</w:t>
            </w:r>
          </w:p>
        </w:tc>
        <w:tc>
          <w:tcPr>
            <w:tcW w:w="284" w:type="pct"/>
            <w:tcBorders>
              <w:tl2br w:val="nil"/>
              <w:tr2bl w:val="nil"/>
            </w:tcBorders>
            <w:shd w:val="clear" w:color="auto" w:fill="auto"/>
            <w:noWrap/>
            <w:vAlign w:val="center"/>
          </w:tcPr>
          <w:p w14:paraId="280582F2">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0.014</w:t>
            </w:r>
          </w:p>
        </w:tc>
        <w:tc>
          <w:tcPr>
            <w:tcW w:w="284" w:type="pct"/>
            <w:tcBorders>
              <w:tl2br w:val="nil"/>
              <w:tr2bl w:val="nil"/>
            </w:tcBorders>
            <w:shd w:val="clear" w:color="auto" w:fill="auto"/>
            <w:noWrap/>
            <w:vAlign w:val="center"/>
          </w:tcPr>
          <w:p w14:paraId="175BF068">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0.009L</w:t>
            </w:r>
          </w:p>
        </w:tc>
        <w:tc>
          <w:tcPr>
            <w:tcW w:w="284" w:type="pct"/>
            <w:tcBorders>
              <w:tl2br w:val="nil"/>
              <w:tr2bl w:val="nil"/>
            </w:tcBorders>
            <w:shd w:val="clear" w:color="auto" w:fill="auto"/>
            <w:noWrap/>
            <w:vAlign w:val="center"/>
          </w:tcPr>
          <w:p w14:paraId="61EF6CC0">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0.009L</w:t>
            </w:r>
          </w:p>
        </w:tc>
        <w:tc>
          <w:tcPr>
            <w:tcW w:w="284" w:type="pct"/>
            <w:tcBorders>
              <w:tl2br w:val="nil"/>
              <w:tr2bl w:val="nil"/>
            </w:tcBorders>
            <w:shd w:val="clear" w:color="auto" w:fill="auto"/>
            <w:noWrap/>
            <w:vAlign w:val="center"/>
          </w:tcPr>
          <w:p w14:paraId="28D3FEC1">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0.009L</w:t>
            </w:r>
          </w:p>
        </w:tc>
        <w:tc>
          <w:tcPr>
            <w:tcW w:w="284" w:type="pct"/>
            <w:tcBorders>
              <w:tl2br w:val="nil"/>
              <w:tr2bl w:val="nil"/>
            </w:tcBorders>
            <w:shd w:val="clear" w:color="auto" w:fill="auto"/>
            <w:noWrap/>
            <w:vAlign w:val="center"/>
          </w:tcPr>
          <w:p w14:paraId="62B1A119">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0.009L</w:t>
            </w:r>
          </w:p>
        </w:tc>
        <w:tc>
          <w:tcPr>
            <w:tcW w:w="284" w:type="pct"/>
            <w:tcBorders>
              <w:tl2br w:val="nil"/>
              <w:tr2bl w:val="nil"/>
            </w:tcBorders>
            <w:shd w:val="clear" w:color="auto" w:fill="auto"/>
            <w:noWrap/>
            <w:vAlign w:val="center"/>
          </w:tcPr>
          <w:p w14:paraId="7540A080">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0.009L</w:t>
            </w:r>
          </w:p>
        </w:tc>
        <w:tc>
          <w:tcPr>
            <w:tcW w:w="284" w:type="pct"/>
            <w:tcBorders>
              <w:tl2br w:val="nil"/>
              <w:tr2bl w:val="nil"/>
            </w:tcBorders>
            <w:shd w:val="clear" w:color="auto" w:fill="auto"/>
            <w:noWrap/>
            <w:vAlign w:val="center"/>
          </w:tcPr>
          <w:p w14:paraId="32D1DF82">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0.009L</w:t>
            </w:r>
          </w:p>
        </w:tc>
        <w:tc>
          <w:tcPr>
            <w:tcW w:w="284" w:type="pct"/>
            <w:tcBorders>
              <w:tl2br w:val="nil"/>
              <w:tr2bl w:val="nil"/>
            </w:tcBorders>
            <w:shd w:val="clear" w:color="auto" w:fill="auto"/>
            <w:noWrap/>
            <w:vAlign w:val="center"/>
          </w:tcPr>
          <w:p w14:paraId="77E136F6">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0.009L</w:t>
            </w:r>
          </w:p>
        </w:tc>
        <w:tc>
          <w:tcPr>
            <w:tcW w:w="284" w:type="pct"/>
            <w:tcBorders>
              <w:tl2br w:val="nil"/>
              <w:tr2bl w:val="nil"/>
            </w:tcBorders>
            <w:shd w:val="clear" w:color="auto" w:fill="auto"/>
            <w:noWrap/>
            <w:vAlign w:val="center"/>
          </w:tcPr>
          <w:p w14:paraId="67EE5CF2">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0.009L</w:t>
            </w:r>
          </w:p>
        </w:tc>
        <w:tc>
          <w:tcPr>
            <w:tcW w:w="285" w:type="pct"/>
            <w:tcBorders>
              <w:tl2br w:val="nil"/>
              <w:tr2bl w:val="nil"/>
            </w:tcBorders>
            <w:shd w:val="clear" w:color="auto" w:fill="auto"/>
            <w:noWrap/>
            <w:vAlign w:val="center"/>
          </w:tcPr>
          <w:p w14:paraId="2CB7C637">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0.009L</w:t>
            </w:r>
          </w:p>
        </w:tc>
        <w:tc>
          <w:tcPr>
            <w:tcW w:w="285" w:type="pct"/>
            <w:tcBorders>
              <w:tl2br w:val="nil"/>
              <w:tr2bl w:val="nil"/>
            </w:tcBorders>
            <w:shd w:val="clear" w:color="auto" w:fill="auto"/>
            <w:noWrap/>
            <w:vAlign w:val="center"/>
          </w:tcPr>
          <w:p w14:paraId="268C46CB">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0.009L</w:t>
            </w:r>
          </w:p>
        </w:tc>
        <w:tc>
          <w:tcPr>
            <w:tcW w:w="285" w:type="pct"/>
            <w:tcBorders>
              <w:tl2br w:val="nil"/>
              <w:tr2bl w:val="nil"/>
            </w:tcBorders>
            <w:shd w:val="clear" w:color="auto" w:fill="auto"/>
            <w:noWrap/>
            <w:vAlign w:val="center"/>
          </w:tcPr>
          <w:p w14:paraId="16A376C9">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0.009L</w:t>
            </w:r>
          </w:p>
        </w:tc>
        <w:tc>
          <w:tcPr>
            <w:tcW w:w="261" w:type="pct"/>
            <w:tcBorders>
              <w:tl2br w:val="nil"/>
              <w:tr2bl w:val="nil"/>
            </w:tcBorders>
            <w:shd w:val="clear" w:color="auto" w:fill="auto"/>
            <w:noWrap/>
            <w:vAlign w:val="center"/>
          </w:tcPr>
          <w:p w14:paraId="4AA95C72">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0.009L</w:t>
            </w:r>
          </w:p>
        </w:tc>
        <w:tc>
          <w:tcPr>
            <w:tcW w:w="267" w:type="pct"/>
            <w:tcBorders>
              <w:tl2br w:val="nil"/>
              <w:tr2bl w:val="nil"/>
            </w:tcBorders>
            <w:shd w:val="clear" w:color="auto" w:fill="auto"/>
            <w:noWrap/>
            <w:vAlign w:val="center"/>
          </w:tcPr>
          <w:p w14:paraId="5D4A5DE4">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0.009L</w:t>
            </w:r>
          </w:p>
        </w:tc>
        <w:tc>
          <w:tcPr>
            <w:tcW w:w="249" w:type="pct"/>
            <w:tcBorders>
              <w:tl2br w:val="nil"/>
              <w:tr2bl w:val="nil"/>
            </w:tcBorders>
            <w:shd w:val="clear" w:color="auto" w:fill="auto"/>
            <w:noWrap/>
            <w:vAlign w:val="center"/>
          </w:tcPr>
          <w:p w14:paraId="757EA170">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sz w:val="21"/>
                <w:szCs w:val="21"/>
                <w:highlight w:val="none"/>
                <w:u w:val="none"/>
                <w:lang w:val="en-US" w:eastAsia="zh-CN"/>
              </w:rPr>
              <w:t>/</w:t>
            </w:r>
          </w:p>
        </w:tc>
        <w:tc>
          <w:tcPr>
            <w:tcW w:w="329" w:type="pct"/>
            <w:tcBorders>
              <w:tl2br w:val="nil"/>
              <w:tr2bl w:val="nil"/>
            </w:tcBorders>
            <w:shd w:val="clear" w:color="auto" w:fill="auto"/>
            <w:noWrap/>
            <w:vAlign w:val="center"/>
          </w:tcPr>
          <w:p w14:paraId="79CE0A65">
            <w:pPr>
              <w:pStyle w:val="30"/>
              <w:ind w:firstLine="0" w:firstLineChars="0"/>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color w:val="auto"/>
                <w:sz w:val="21"/>
                <w:szCs w:val="21"/>
                <w:highlight w:val="none"/>
              </w:rPr>
              <w:t>≤0.20</w:t>
            </w:r>
          </w:p>
        </w:tc>
      </w:tr>
      <w:tr w14:paraId="2B992F6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475" w:type="pct"/>
            <w:tcBorders>
              <w:tl2br w:val="nil"/>
              <w:tr2bl w:val="nil"/>
            </w:tcBorders>
            <w:shd w:val="clear" w:color="auto" w:fill="auto"/>
            <w:vAlign w:val="center"/>
          </w:tcPr>
          <w:p w14:paraId="3B7B4FAA">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挥发酚</w:t>
            </w:r>
            <w:r>
              <w:rPr>
                <w:rFonts w:hint="default" w:ascii="Times New Roman" w:hAnsi="Times New Roman" w:eastAsia="宋体" w:cs="Times New Roman"/>
                <w:color w:val="auto"/>
                <w:sz w:val="21"/>
                <w:szCs w:val="21"/>
                <w:highlight w:val="none"/>
                <w:u w:val="none"/>
                <w:lang w:val="en-US" w:eastAsia="zh-CN" w:bidi="ar"/>
              </w:rPr>
              <w:t>（mg/L）</w:t>
            </w:r>
          </w:p>
        </w:tc>
        <w:tc>
          <w:tcPr>
            <w:tcW w:w="284" w:type="pct"/>
            <w:tcBorders>
              <w:tl2br w:val="nil"/>
              <w:tr2bl w:val="nil"/>
            </w:tcBorders>
            <w:shd w:val="clear" w:color="auto" w:fill="auto"/>
            <w:noWrap/>
            <w:vAlign w:val="center"/>
          </w:tcPr>
          <w:p w14:paraId="790B4B79">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0.0003L</w:t>
            </w:r>
          </w:p>
        </w:tc>
        <w:tc>
          <w:tcPr>
            <w:tcW w:w="284" w:type="pct"/>
            <w:tcBorders>
              <w:tl2br w:val="nil"/>
              <w:tr2bl w:val="nil"/>
            </w:tcBorders>
            <w:shd w:val="clear" w:color="auto" w:fill="auto"/>
            <w:noWrap/>
            <w:vAlign w:val="center"/>
          </w:tcPr>
          <w:p w14:paraId="61D2A308">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0.0003L</w:t>
            </w:r>
          </w:p>
        </w:tc>
        <w:tc>
          <w:tcPr>
            <w:tcW w:w="284" w:type="pct"/>
            <w:tcBorders>
              <w:tl2br w:val="nil"/>
              <w:tr2bl w:val="nil"/>
            </w:tcBorders>
            <w:shd w:val="clear" w:color="auto" w:fill="auto"/>
            <w:noWrap/>
            <w:vAlign w:val="center"/>
          </w:tcPr>
          <w:p w14:paraId="742067D2">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0.0003L</w:t>
            </w:r>
          </w:p>
        </w:tc>
        <w:tc>
          <w:tcPr>
            <w:tcW w:w="284" w:type="pct"/>
            <w:tcBorders>
              <w:tl2br w:val="nil"/>
              <w:tr2bl w:val="nil"/>
            </w:tcBorders>
            <w:shd w:val="clear" w:color="auto" w:fill="auto"/>
            <w:noWrap/>
            <w:vAlign w:val="center"/>
          </w:tcPr>
          <w:p w14:paraId="5B774368">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0.0003L</w:t>
            </w:r>
          </w:p>
        </w:tc>
        <w:tc>
          <w:tcPr>
            <w:tcW w:w="284" w:type="pct"/>
            <w:tcBorders>
              <w:tl2br w:val="nil"/>
              <w:tr2bl w:val="nil"/>
            </w:tcBorders>
            <w:shd w:val="clear" w:color="auto" w:fill="auto"/>
            <w:noWrap/>
            <w:vAlign w:val="center"/>
          </w:tcPr>
          <w:p w14:paraId="290017D3">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0.0003L</w:t>
            </w:r>
          </w:p>
        </w:tc>
        <w:tc>
          <w:tcPr>
            <w:tcW w:w="284" w:type="pct"/>
            <w:tcBorders>
              <w:tl2br w:val="nil"/>
              <w:tr2bl w:val="nil"/>
            </w:tcBorders>
            <w:shd w:val="clear" w:color="auto" w:fill="auto"/>
            <w:noWrap/>
            <w:vAlign w:val="center"/>
          </w:tcPr>
          <w:p w14:paraId="08999671">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0.0003L</w:t>
            </w:r>
          </w:p>
        </w:tc>
        <w:tc>
          <w:tcPr>
            <w:tcW w:w="284" w:type="pct"/>
            <w:tcBorders>
              <w:tl2br w:val="nil"/>
              <w:tr2bl w:val="nil"/>
            </w:tcBorders>
            <w:shd w:val="clear" w:color="auto" w:fill="auto"/>
            <w:noWrap/>
            <w:vAlign w:val="center"/>
          </w:tcPr>
          <w:p w14:paraId="321B9FB1">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0.0003L</w:t>
            </w:r>
          </w:p>
        </w:tc>
        <w:tc>
          <w:tcPr>
            <w:tcW w:w="284" w:type="pct"/>
            <w:tcBorders>
              <w:tl2br w:val="nil"/>
              <w:tr2bl w:val="nil"/>
            </w:tcBorders>
            <w:shd w:val="clear" w:color="auto" w:fill="auto"/>
            <w:noWrap/>
            <w:vAlign w:val="center"/>
          </w:tcPr>
          <w:p w14:paraId="007BC9F0">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0.0003L</w:t>
            </w:r>
          </w:p>
        </w:tc>
        <w:tc>
          <w:tcPr>
            <w:tcW w:w="284" w:type="pct"/>
            <w:tcBorders>
              <w:tl2br w:val="nil"/>
              <w:tr2bl w:val="nil"/>
            </w:tcBorders>
            <w:shd w:val="clear" w:color="auto" w:fill="auto"/>
            <w:noWrap/>
            <w:vAlign w:val="center"/>
          </w:tcPr>
          <w:p w14:paraId="008988F3">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0.0003L</w:t>
            </w:r>
          </w:p>
        </w:tc>
        <w:tc>
          <w:tcPr>
            <w:tcW w:w="285" w:type="pct"/>
            <w:tcBorders>
              <w:tl2br w:val="nil"/>
              <w:tr2bl w:val="nil"/>
            </w:tcBorders>
            <w:shd w:val="clear" w:color="auto" w:fill="auto"/>
            <w:noWrap/>
            <w:vAlign w:val="center"/>
          </w:tcPr>
          <w:p w14:paraId="01097577">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0.0003L</w:t>
            </w:r>
          </w:p>
        </w:tc>
        <w:tc>
          <w:tcPr>
            <w:tcW w:w="285" w:type="pct"/>
            <w:tcBorders>
              <w:tl2br w:val="nil"/>
              <w:tr2bl w:val="nil"/>
            </w:tcBorders>
            <w:shd w:val="clear" w:color="auto" w:fill="auto"/>
            <w:noWrap/>
            <w:vAlign w:val="center"/>
          </w:tcPr>
          <w:p w14:paraId="020D211C">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0.0003L</w:t>
            </w:r>
          </w:p>
        </w:tc>
        <w:tc>
          <w:tcPr>
            <w:tcW w:w="285" w:type="pct"/>
            <w:tcBorders>
              <w:tl2br w:val="nil"/>
              <w:tr2bl w:val="nil"/>
            </w:tcBorders>
            <w:shd w:val="clear" w:color="auto" w:fill="auto"/>
            <w:noWrap/>
            <w:vAlign w:val="center"/>
          </w:tcPr>
          <w:p w14:paraId="2661ABE0">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0.0003L</w:t>
            </w:r>
          </w:p>
        </w:tc>
        <w:tc>
          <w:tcPr>
            <w:tcW w:w="261" w:type="pct"/>
            <w:tcBorders>
              <w:tl2br w:val="nil"/>
              <w:tr2bl w:val="nil"/>
            </w:tcBorders>
            <w:shd w:val="clear" w:color="auto" w:fill="auto"/>
            <w:noWrap/>
            <w:vAlign w:val="center"/>
          </w:tcPr>
          <w:p w14:paraId="434B7A4E">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0.0003L</w:t>
            </w:r>
          </w:p>
        </w:tc>
        <w:tc>
          <w:tcPr>
            <w:tcW w:w="267" w:type="pct"/>
            <w:tcBorders>
              <w:tl2br w:val="nil"/>
              <w:tr2bl w:val="nil"/>
            </w:tcBorders>
            <w:shd w:val="clear" w:color="auto" w:fill="auto"/>
            <w:noWrap/>
            <w:vAlign w:val="center"/>
          </w:tcPr>
          <w:p w14:paraId="1D802667">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0.0003L</w:t>
            </w:r>
          </w:p>
        </w:tc>
        <w:tc>
          <w:tcPr>
            <w:tcW w:w="249" w:type="pct"/>
            <w:tcBorders>
              <w:tl2br w:val="nil"/>
              <w:tr2bl w:val="nil"/>
            </w:tcBorders>
            <w:shd w:val="clear" w:color="auto" w:fill="auto"/>
            <w:noWrap/>
            <w:vAlign w:val="center"/>
          </w:tcPr>
          <w:p w14:paraId="158A66B3">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sz w:val="21"/>
                <w:szCs w:val="21"/>
                <w:highlight w:val="none"/>
                <w:u w:val="none"/>
                <w:lang w:val="en-US" w:eastAsia="zh-CN"/>
              </w:rPr>
              <w:t>/</w:t>
            </w:r>
          </w:p>
        </w:tc>
        <w:tc>
          <w:tcPr>
            <w:tcW w:w="329" w:type="pct"/>
            <w:tcBorders>
              <w:tl2br w:val="nil"/>
              <w:tr2bl w:val="nil"/>
            </w:tcBorders>
            <w:shd w:val="clear" w:color="auto" w:fill="auto"/>
            <w:noWrap/>
            <w:vAlign w:val="center"/>
          </w:tcPr>
          <w:p w14:paraId="124311ED">
            <w:pPr>
              <w:pStyle w:val="30"/>
              <w:ind w:firstLine="0" w:firstLineChars="0"/>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color w:val="auto"/>
                <w:sz w:val="21"/>
                <w:szCs w:val="21"/>
                <w:highlight w:val="none"/>
              </w:rPr>
              <w:t>≤0.002</w:t>
            </w:r>
          </w:p>
        </w:tc>
      </w:tr>
      <w:tr w14:paraId="0242061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475" w:type="pct"/>
            <w:tcBorders>
              <w:tl2br w:val="nil"/>
              <w:tr2bl w:val="nil"/>
            </w:tcBorders>
            <w:shd w:val="clear" w:color="auto" w:fill="auto"/>
            <w:vAlign w:val="center"/>
          </w:tcPr>
          <w:p w14:paraId="027D9085">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阴离子表面活性剂</w:t>
            </w:r>
            <w:r>
              <w:rPr>
                <w:rFonts w:hint="default" w:ascii="Times New Roman" w:hAnsi="Times New Roman" w:eastAsia="宋体" w:cs="Times New Roman"/>
                <w:color w:val="auto"/>
                <w:sz w:val="21"/>
                <w:szCs w:val="21"/>
                <w:highlight w:val="none"/>
                <w:u w:val="none"/>
                <w:lang w:val="en-US" w:eastAsia="zh-CN" w:bidi="ar"/>
              </w:rPr>
              <w:t>（mg/L）</w:t>
            </w:r>
          </w:p>
        </w:tc>
        <w:tc>
          <w:tcPr>
            <w:tcW w:w="284" w:type="pct"/>
            <w:tcBorders>
              <w:tl2br w:val="nil"/>
              <w:tr2bl w:val="nil"/>
            </w:tcBorders>
            <w:shd w:val="clear" w:color="auto" w:fill="auto"/>
            <w:noWrap/>
            <w:vAlign w:val="center"/>
          </w:tcPr>
          <w:p w14:paraId="2C980791">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0.05L</w:t>
            </w:r>
          </w:p>
        </w:tc>
        <w:tc>
          <w:tcPr>
            <w:tcW w:w="284" w:type="pct"/>
            <w:tcBorders>
              <w:tl2br w:val="nil"/>
              <w:tr2bl w:val="nil"/>
            </w:tcBorders>
            <w:shd w:val="clear" w:color="auto" w:fill="auto"/>
            <w:noWrap/>
            <w:vAlign w:val="center"/>
          </w:tcPr>
          <w:p w14:paraId="4B333E59">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0.05L</w:t>
            </w:r>
          </w:p>
        </w:tc>
        <w:tc>
          <w:tcPr>
            <w:tcW w:w="284" w:type="pct"/>
            <w:tcBorders>
              <w:tl2br w:val="nil"/>
              <w:tr2bl w:val="nil"/>
            </w:tcBorders>
            <w:shd w:val="clear" w:color="auto" w:fill="auto"/>
            <w:noWrap/>
            <w:vAlign w:val="center"/>
          </w:tcPr>
          <w:p w14:paraId="20B7397D">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0.05L</w:t>
            </w:r>
          </w:p>
        </w:tc>
        <w:tc>
          <w:tcPr>
            <w:tcW w:w="284" w:type="pct"/>
            <w:tcBorders>
              <w:tl2br w:val="nil"/>
              <w:tr2bl w:val="nil"/>
            </w:tcBorders>
            <w:shd w:val="clear" w:color="auto" w:fill="auto"/>
            <w:noWrap/>
            <w:vAlign w:val="center"/>
          </w:tcPr>
          <w:p w14:paraId="280C64FC">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0.05L</w:t>
            </w:r>
          </w:p>
        </w:tc>
        <w:tc>
          <w:tcPr>
            <w:tcW w:w="284" w:type="pct"/>
            <w:tcBorders>
              <w:tl2br w:val="nil"/>
              <w:tr2bl w:val="nil"/>
            </w:tcBorders>
            <w:shd w:val="clear" w:color="auto" w:fill="auto"/>
            <w:noWrap/>
            <w:vAlign w:val="center"/>
          </w:tcPr>
          <w:p w14:paraId="7EE4B6E4">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0.05L</w:t>
            </w:r>
          </w:p>
        </w:tc>
        <w:tc>
          <w:tcPr>
            <w:tcW w:w="284" w:type="pct"/>
            <w:tcBorders>
              <w:tl2br w:val="nil"/>
              <w:tr2bl w:val="nil"/>
            </w:tcBorders>
            <w:shd w:val="clear" w:color="auto" w:fill="auto"/>
            <w:noWrap/>
            <w:vAlign w:val="center"/>
          </w:tcPr>
          <w:p w14:paraId="2D6BDAF2">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0.05L</w:t>
            </w:r>
          </w:p>
        </w:tc>
        <w:tc>
          <w:tcPr>
            <w:tcW w:w="284" w:type="pct"/>
            <w:tcBorders>
              <w:tl2br w:val="nil"/>
              <w:tr2bl w:val="nil"/>
            </w:tcBorders>
            <w:shd w:val="clear" w:color="auto" w:fill="auto"/>
            <w:noWrap/>
            <w:vAlign w:val="center"/>
          </w:tcPr>
          <w:p w14:paraId="0B14CD84">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0.05L</w:t>
            </w:r>
          </w:p>
        </w:tc>
        <w:tc>
          <w:tcPr>
            <w:tcW w:w="284" w:type="pct"/>
            <w:tcBorders>
              <w:tl2br w:val="nil"/>
              <w:tr2bl w:val="nil"/>
            </w:tcBorders>
            <w:shd w:val="clear" w:color="auto" w:fill="auto"/>
            <w:noWrap/>
            <w:vAlign w:val="center"/>
          </w:tcPr>
          <w:p w14:paraId="2915EDC3">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0.05L</w:t>
            </w:r>
          </w:p>
        </w:tc>
        <w:tc>
          <w:tcPr>
            <w:tcW w:w="284" w:type="pct"/>
            <w:tcBorders>
              <w:tl2br w:val="nil"/>
              <w:tr2bl w:val="nil"/>
            </w:tcBorders>
            <w:shd w:val="clear" w:color="auto" w:fill="auto"/>
            <w:noWrap/>
            <w:vAlign w:val="center"/>
          </w:tcPr>
          <w:p w14:paraId="1F81C1C2">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0.05L</w:t>
            </w:r>
          </w:p>
        </w:tc>
        <w:tc>
          <w:tcPr>
            <w:tcW w:w="285" w:type="pct"/>
            <w:tcBorders>
              <w:tl2br w:val="nil"/>
              <w:tr2bl w:val="nil"/>
            </w:tcBorders>
            <w:shd w:val="clear" w:color="auto" w:fill="auto"/>
            <w:noWrap/>
            <w:vAlign w:val="center"/>
          </w:tcPr>
          <w:p w14:paraId="47FEAA4D">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0.05L</w:t>
            </w:r>
          </w:p>
        </w:tc>
        <w:tc>
          <w:tcPr>
            <w:tcW w:w="285" w:type="pct"/>
            <w:tcBorders>
              <w:tl2br w:val="nil"/>
              <w:tr2bl w:val="nil"/>
            </w:tcBorders>
            <w:shd w:val="clear" w:color="auto" w:fill="auto"/>
            <w:noWrap/>
            <w:vAlign w:val="center"/>
          </w:tcPr>
          <w:p w14:paraId="48E515B9">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0.05L</w:t>
            </w:r>
          </w:p>
        </w:tc>
        <w:tc>
          <w:tcPr>
            <w:tcW w:w="285" w:type="pct"/>
            <w:tcBorders>
              <w:tl2br w:val="nil"/>
              <w:tr2bl w:val="nil"/>
            </w:tcBorders>
            <w:shd w:val="clear" w:color="auto" w:fill="auto"/>
            <w:noWrap/>
            <w:vAlign w:val="center"/>
          </w:tcPr>
          <w:p w14:paraId="66CDC92F">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0.05L</w:t>
            </w:r>
          </w:p>
        </w:tc>
        <w:tc>
          <w:tcPr>
            <w:tcW w:w="261" w:type="pct"/>
            <w:tcBorders>
              <w:tl2br w:val="nil"/>
              <w:tr2bl w:val="nil"/>
            </w:tcBorders>
            <w:shd w:val="clear" w:color="auto" w:fill="auto"/>
            <w:noWrap/>
            <w:vAlign w:val="center"/>
          </w:tcPr>
          <w:p w14:paraId="00B82079">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0.05L</w:t>
            </w:r>
          </w:p>
        </w:tc>
        <w:tc>
          <w:tcPr>
            <w:tcW w:w="267" w:type="pct"/>
            <w:tcBorders>
              <w:tl2br w:val="nil"/>
              <w:tr2bl w:val="nil"/>
            </w:tcBorders>
            <w:shd w:val="clear" w:color="auto" w:fill="auto"/>
            <w:noWrap/>
            <w:vAlign w:val="center"/>
          </w:tcPr>
          <w:p w14:paraId="4DF24F7E">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0.05L</w:t>
            </w:r>
          </w:p>
        </w:tc>
        <w:tc>
          <w:tcPr>
            <w:tcW w:w="249" w:type="pct"/>
            <w:tcBorders>
              <w:tl2br w:val="nil"/>
              <w:tr2bl w:val="nil"/>
            </w:tcBorders>
            <w:shd w:val="clear" w:color="auto" w:fill="auto"/>
            <w:noWrap/>
            <w:vAlign w:val="center"/>
          </w:tcPr>
          <w:p w14:paraId="25C75283">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sz w:val="21"/>
                <w:szCs w:val="21"/>
                <w:highlight w:val="none"/>
                <w:u w:val="none"/>
                <w:lang w:val="en-US" w:eastAsia="zh-CN"/>
              </w:rPr>
              <w:t>/</w:t>
            </w:r>
          </w:p>
        </w:tc>
        <w:tc>
          <w:tcPr>
            <w:tcW w:w="329" w:type="pct"/>
            <w:tcBorders>
              <w:tl2br w:val="nil"/>
              <w:tr2bl w:val="nil"/>
            </w:tcBorders>
            <w:shd w:val="clear" w:color="auto" w:fill="auto"/>
            <w:noWrap/>
            <w:vAlign w:val="center"/>
          </w:tcPr>
          <w:p w14:paraId="37CBA796">
            <w:pPr>
              <w:pStyle w:val="30"/>
              <w:ind w:firstLine="0" w:firstLineChars="0"/>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color w:val="auto"/>
                <w:sz w:val="21"/>
                <w:szCs w:val="21"/>
                <w:highlight w:val="none"/>
              </w:rPr>
              <w:t>≤0.3</w:t>
            </w:r>
          </w:p>
        </w:tc>
      </w:tr>
      <w:tr w14:paraId="2158B7E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475" w:type="pct"/>
            <w:tcBorders>
              <w:tl2br w:val="nil"/>
              <w:tr2bl w:val="nil"/>
            </w:tcBorders>
            <w:shd w:val="clear" w:color="auto" w:fill="auto"/>
            <w:vAlign w:val="center"/>
          </w:tcPr>
          <w:p w14:paraId="58631947">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高锰酸盐指数/耗氧量</w:t>
            </w:r>
            <w:r>
              <w:rPr>
                <w:rFonts w:hint="default" w:ascii="Times New Roman" w:hAnsi="Times New Roman" w:eastAsia="宋体" w:cs="Times New Roman"/>
                <w:color w:val="auto"/>
                <w:sz w:val="21"/>
                <w:szCs w:val="21"/>
                <w:highlight w:val="none"/>
                <w:u w:val="none"/>
                <w:lang w:val="en-US" w:eastAsia="zh-CN" w:bidi="ar"/>
              </w:rPr>
              <w:t>（Mn法以O</w:t>
            </w:r>
            <w:r>
              <w:rPr>
                <w:rFonts w:hint="default" w:ascii="Times New Roman" w:hAnsi="Times New Roman" w:eastAsia="宋体" w:cs="Times New Roman"/>
                <w:color w:val="auto"/>
                <w:sz w:val="21"/>
                <w:szCs w:val="21"/>
                <w:highlight w:val="none"/>
                <w:u w:val="none"/>
                <w:vertAlign w:val="subscript"/>
                <w:lang w:val="en-US" w:eastAsia="zh-CN" w:bidi="ar"/>
              </w:rPr>
              <w:t>2</w:t>
            </w:r>
            <w:r>
              <w:rPr>
                <w:rFonts w:hint="default" w:ascii="Times New Roman" w:hAnsi="Times New Roman" w:eastAsia="宋体" w:cs="Times New Roman"/>
                <w:color w:val="auto"/>
                <w:sz w:val="21"/>
                <w:szCs w:val="21"/>
                <w:highlight w:val="none"/>
                <w:u w:val="none"/>
                <w:lang w:val="en-US" w:eastAsia="zh-CN" w:bidi="ar"/>
              </w:rPr>
              <w:t>计）（mg/L）</w:t>
            </w:r>
          </w:p>
        </w:tc>
        <w:tc>
          <w:tcPr>
            <w:tcW w:w="284" w:type="pct"/>
            <w:tcBorders>
              <w:tl2br w:val="nil"/>
              <w:tr2bl w:val="nil"/>
            </w:tcBorders>
            <w:shd w:val="clear" w:color="auto" w:fill="auto"/>
            <w:noWrap/>
            <w:vAlign w:val="center"/>
          </w:tcPr>
          <w:p w14:paraId="26324D4D">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1.22</w:t>
            </w:r>
          </w:p>
        </w:tc>
        <w:tc>
          <w:tcPr>
            <w:tcW w:w="284" w:type="pct"/>
            <w:tcBorders>
              <w:tl2br w:val="nil"/>
              <w:tr2bl w:val="nil"/>
            </w:tcBorders>
            <w:shd w:val="clear" w:color="auto" w:fill="auto"/>
            <w:noWrap/>
            <w:vAlign w:val="center"/>
          </w:tcPr>
          <w:p w14:paraId="293743DC">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1.3</w:t>
            </w:r>
          </w:p>
        </w:tc>
        <w:tc>
          <w:tcPr>
            <w:tcW w:w="284" w:type="pct"/>
            <w:tcBorders>
              <w:tl2br w:val="nil"/>
              <w:tr2bl w:val="nil"/>
            </w:tcBorders>
            <w:shd w:val="clear" w:color="auto" w:fill="auto"/>
            <w:noWrap/>
            <w:vAlign w:val="center"/>
          </w:tcPr>
          <w:p w14:paraId="6E44D983">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0.97</w:t>
            </w:r>
          </w:p>
        </w:tc>
        <w:tc>
          <w:tcPr>
            <w:tcW w:w="284" w:type="pct"/>
            <w:tcBorders>
              <w:tl2br w:val="nil"/>
              <w:tr2bl w:val="nil"/>
            </w:tcBorders>
            <w:shd w:val="clear" w:color="auto" w:fill="auto"/>
            <w:noWrap/>
            <w:vAlign w:val="center"/>
          </w:tcPr>
          <w:p w14:paraId="7AABC335">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2.47</w:t>
            </w:r>
          </w:p>
        </w:tc>
        <w:tc>
          <w:tcPr>
            <w:tcW w:w="284" w:type="pct"/>
            <w:tcBorders>
              <w:tl2br w:val="nil"/>
              <w:tr2bl w:val="nil"/>
            </w:tcBorders>
            <w:shd w:val="clear" w:color="auto" w:fill="auto"/>
            <w:noWrap/>
            <w:vAlign w:val="center"/>
          </w:tcPr>
          <w:p w14:paraId="2A7ABDA7">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1.14</w:t>
            </w:r>
          </w:p>
        </w:tc>
        <w:tc>
          <w:tcPr>
            <w:tcW w:w="284" w:type="pct"/>
            <w:tcBorders>
              <w:tl2br w:val="nil"/>
              <w:tr2bl w:val="nil"/>
            </w:tcBorders>
            <w:shd w:val="clear" w:color="auto" w:fill="auto"/>
            <w:noWrap/>
            <w:vAlign w:val="center"/>
          </w:tcPr>
          <w:p w14:paraId="422BEEC5">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1.22</w:t>
            </w:r>
          </w:p>
        </w:tc>
        <w:tc>
          <w:tcPr>
            <w:tcW w:w="284" w:type="pct"/>
            <w:tcBorders>
              <w:tl2br w:val="nil"/>
              <w:tr2bl w:val="nil"/>
            </w:tcBorders>
            <w:shd w:val="clear" w:color="auto" w:fill="auto"/>
            <w:noWrap/>
            <w:vAlign w:val="center"/>
          </w:tcPr>
          <w:p w14:paraId="007F0634">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1.54</w:t>
            </w:r>
          </w:p>
        </w:tc>
        <w:tc>
          <w:tcPr>
            <w:tcW w:w="284" w:type="pct"/>
            <w:tcBorders>
              <w:tl2br w:val="nil"/>
              <w:tr2bl w:val="nil"/>
            </w:tcBorders>
            <w:shd w:val="clear" w:color="auto" w:fill="auto"/>
            <w:noWrap/>
            <w:vAlign w:val="center"/>
          </w:tcPr>
          <w:p w14:paraId="783A3ED8">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2.88</w:t>
            </w:r>
          </w:p>
        </w:tc>
        <w:tc>
          <w:tcPr>
            <w:tcW w:w="284" w:type="pct"/>
            <w:tcBorders>
              <w:tl2br w:val="nil"/>
              <w:tr2bl w:val="nil"/>
            </w:tcBorders>
            <w:shd w:val="clear" w:color="auto" w:fill="auto"/>
            <w:noWrap/>
            <w:vAlign w:val="center"/>
          </w:tcPr>
          <w:p w14:paraId="027B8296">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1.91</w:t>
            </w:r>
          </w:p>
        </w:tc>
        <w:tc>
          <w:tcPr>
            <w:tcW w:w="285" w:type="pct"/>
            <w:tcBorders>
              <w:tl2br w:val="nil"/>
              <w:tr2bl w:val="nil"/>
            </w:tcBorders>
            <w:shd w:val="clear" w:color="auto" w:fill="auto"/>
            <w:noWrap/>
            <w:vAlign w:val="center"/>
          </w:tcPr>
          <w:p w14:paraId="709E0605">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2.84</w:t>
            </w:r>
          </w:p>
        </w:tc>
        <w:tc>
          <w:tcPr>
            <w:tcW w:w="285" w:type="pct"/>
            <w:tcBorders>
              <w:tl2br w:val="nil"/>
              <w:tr2bl w:val="nil"/>
            </w:tcBorders>
            <w:shd w:val="clear" w:color="auto" w:fill="auto"/>
            <w:noWrap/>
            <w:vAlign w:val="center"/>
          </w:tcPr>
          <w:p w14:paraId="11B17690">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2.68</w:t>
            </w:r>
          </w:p>
        </w:tc>
        <w:tc>
          <w:tcPr>
            <w:tcW w:w="285" w:type="pct"/>
            <w:tcBorders>
              <w:tl2br w:val="nil"/>
              <w:tr2bl w:val="nil"/>
            </w:tcBorders>
            <w:shd w:val="clear" w:color="auto" w:fill="auto"/>
            <w:noWrap/>
            <w:vAlign w:val="center"/>
          </w:tcPr>
          <w:p w14:paraId="42A935EA">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2.84</w:t>
            </w:r>
          </w:p>
        </w:tc>
        <w:tc>
          <w:tcPr>
            <w:tcW w:w="261" w:type="pct"/>
            <w:tcBorders>
              <w:tl2br w:val="nil"/>
              <w:tr2bl w:val="nil"/>
            </w:tcBorders>
            <w:shd w:val="clear" w:color="auto" w:fill="auto"/>
            <w:noWrap/>
            <w:vAlign w:val="center"/>
          </w:tcPr>
          <w:p w14:paraId="45B83F01">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2.68</w:t>
            </w:r>
          </w:p>
        </w:tc>
        <w:tc>
          <w:tcPr>
            <w:tcW w:w="267" w:type="pct"/>
            <w:tcBorders>
              <w:tl2br w:val="nil"/>
              <w:tr2bl w:val="nil"/>
            </w:tcBorders>
            <w:shd w:val="clear" w:color="auto" w:fill="auto"/>
            <w:noWrap/>
            <w:vAlign w:val="center"/>
          </w:tcPr>
          <w:p w14:paraId="4964AF41">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2.68</w:t>
            </w:r>
          </w:p>
        </w:tc>
        <w:tc>
          <w:tcPr>
            <w:tcW w:w="249" w:type="pct"/>
            <w:tcBorders>
              <w:tl2br w:val="nil"/>
              <w:tr2bl w:val="nil"/>
            </w:tcBorders>
            <w:shd w:val="clear" w:color="auto" w:fill="auto"/>
            <w:noWrap/>
            <w:vAlign w:val="center"/>
          </w:tcPr>
          <w:p w14:paraId="55864DFB">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sz w:val="21"/>
                <w:szCs w:val="21"/>
                <w:highlight w:val="none"/>
                <w:u w:val="none"/>
                <w:lang w:val="en-US" w:eastAsia="zh-CN"/>
              </w:rPr>
              <w:t>/</w:t>
            </w:r>
          </w:p>
        </w:tc>
        <w:tc>
          <w:tcPr>
            <w:tcW w:w="329" w:type="pct"/>
            <w:tcBorders>
              <w:tl2br w:val="nil"/>
              <w:tr2bl w:val="nil"/>
            </w:tcBorders>
            <w:shd w:val="clear" w:color="auto" w:fill="auto"/>
            <w:noWrap/>
            <w:vAlign w:val="center"/>
          </w:tcPr>
          <w:p w14:paraId="414104F7">
            <w:pPr>
              <w:pStyle w:val="30"/>
              <w:ind w:firstLine="0" w:firstLineChars="0"/>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color w:val="auto"/>
                <w:sz w:val="21"/>
                <w:szCs w:val="21"/>
                <w:highlight w:val="none"/>
              </w:rPr>
              <w:t>≤3</w:t>
            </w:r>
          </w:p>
        </w:tc>
      </w:tr>
      <w:tr w14:paraId="4F6BFEC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475" w:type="pct"/>
            <w:tcBorders>
              <w:tl2br w:val="nil"/>
              <w:tr2bl w:val="nil"/>
            </w:tcBorders>
            <w:shd w:val="clear" w:color="auto" w:fill="auto"/>
            <w:vAlign w:val="center"/>
          </w:tcPr>
          <w:p w14:paraId="59C5EF27">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氨氮（</w:t>
            </w:r>
            <w:r>
              <w:rPr>
                <w:rFonts w:hint="default" w:ascii="Times New Roman" w:hAnsi="Times New Roman" w:eastAsia="宋体" w:cs="Times New Roman"/>
                <w:color w:val="auto"/>
                <w:sz w:val="21"/>
                <w:szCs w:val="21"/>
                <w:highlight w:val="none"/>
                <w:u w:val="none"/>
                <w:lang w:val="en-US" w:eastAsia="zh-CN" w:bidi="ar"/>
              </w:rPr>
              <w:t>mg/L）</w:t>
            </w:r>
          </w:p>
        </w:tc>
        <w:tc>
          <w:tcPr>
            <w:tcW w:w="284" w:type="pct"/>
            <w:tcBorders>
              <w:tl2br w:val="nil"/>
              <w:tr2bl w:val="nil"/>
            </w:tcBorders>
            <w:shd w:val="clear" w:color="auto" w:fill="auto"/>
            <w:noWrap/>
            <w:vAlign w:val="center"/>
          </w:tcPr>
          <w:p w14:paraId="1F0BCCB3">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0.492</w:t>
            </w:r>
          </w:p>
        </w:tc>
        <w:tc>
          <w:tcPr>
            <w:tcW w:w="284" w:type="pct"/>
            <w:tcBorders>
              <w:tl2br w:val="nil"/>
              <w:tr2bl w:val="nil"/>
            </w:tcBorders>
            <w:shd w:val="clear" w:color="auto" w:fill="auto"/>
            <w:noWrap/>
            <w:vAlign w:val="center"/>
          </w:tcPr>
          <w:p w14:paraId="0D13C21F">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0.457</w:t>
            </w:r>
          </w:p>
        </w:tc>
        <w:tc>
          <w:tcPr>
            <w:tcW w:w="284" w:type="pct"/>
            <w:tcBorders>
              <w:tl2br w:val="nil"/>
              <w:tr2bl w:val="nil"/>
            </w:tcBorders>
            <w:shd w:val="clear" w:color="auto" w:fill="auto"/>
            <w:noWrap/>
            <w:vAlign w:val="center"/>
          </w:tcPr>
          <w:p w14:paraId="314D0C03">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0.442</w:t>
            </w:r>
          </w:p>
        </w:tc>
        <w:tc>
          <w:tcPr>
            <w:tcW w:w="284" w:type="pct"/>
            <w:tcBorders>
              <w:tl2br w:val="nil"/>
              <w:tr2bl w:val="nil"/>
            </w:tcBorders>
            <w:shd w:val="clear" w:color="auto" w:fill="auto"/>
            <w:noWrap/>
            <w:vAlign w:val="center"/>
          </w:tcPr>
          <w:p w14:paraId="625B1B4F">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0.335</w:t>
            </w:r>
          </w:p>
        </w:tc>
        <w:tc>
          <w:tcPr>
            <w:tcW w:w="284" w:type="pct"/>
            <w:tcBorders>
              <w:tl2br w:val="nil"/>
              <w:tr2bl w:val="nil"/>
            </w:tcBorders>
            <w:shd w:val="clear" w:color="auto" w:fill="auto"/>
            <w:noWrap/>
            <w:vAlign w:val="center"/>
          </w:tcPr>
          <w:p w14:paraId="07C0C616">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0.477</w:t>
            </w:r>
          </w:p>
        </w:tc>
        <w:tc>
          <w:tcPr>
            <w:tcW w:w="284" w:type="pct"/>
            <w:tcBorders>
              <w:tl2br w:val="nil"/>
              <w:tr2bl w:val="nil"/>
            </w:tcBorders>
            <w:shd w:val="clear" w:color="auto" w:fill="auto"/>
            <w:noWrap/>
            <w:vAlign w:val="center"/>
          </w:tcPr>
          <w:p w14:paraId="01502445">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0.442</w:t>
            </w:r>
          </w:p>
        </w:tc>
        <w:tc>
          <w:tcPr>
            <w:tcW w:w="284" w:type="pct"/>
            <w:tcBorders>
              <w:tl2br w:val="nil"/>
              <w:tr2bl w:val="nil"/>
            </w:tcBorders>
            <w:shd w:val="clear" w:color="auto" w:fill="auto"/>
            <w:noWrap/>
            <w:vAlign w:val="center"/>
          </w:tcPr>
          <w:p w14:paraId="36581584">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0.48</w:t>
            </w:r>
          </w:p>
        </w:tc>
        <w:tc>
          <w:tcPr>
            <w:tcW w:w="284" w:type="pct"/>
            <w:tcBorders>
              <w:tl2br w:val="nil"/>
              <w:tr2bl w:val="nil"/>
            </w:tcBorders>
            <w:shd w:val="clear" w:color="auto" w:fill="auto"/>
            <w:noWrap/>
            <w:vAlign w:val="center"/>
          </w:tcPr>
          <w:p w14:paraId="5FE6AECD">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0.46</w:t>
            </w:r>
          </w:p>
        </w:tc>
        <w:tc>
          <w:tcPr>
            <w:tcW w:w="284" w:type="pct"/>
            <w:tcBorders>
              <w:tl2br w:val="nil"/>
              <w:tr2bl w:val="nil"/>
            </w:tcBorders>
            <w:shd w:val="clear" w:color="auto" w:fill="auto"/>
            <w:noWrap/>
            <w:vAlign w:val="center"/>
          </w:tcPr>
          <w:p w14:paraId="40C25DCA">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0.442</w:t>
            </w:r>
          </w:p>
        </w:tc>
        <w:tc>
          <w:tcPr>
            <w:tcW w:w="285" w:type="pct"/>
            <w:tcBorders>
              <w:tl2br w:val="nil"/>
              <w:tr2bl w:val="nil"/>
            </w:tcBorders>
            <w:shd w:val="clear" w:color="auto" w:fill="auto"/>
            <w:noWrap/>
            <w:vAlign w:val="center"/>
          </w:tcPr>
          <w:p w14:paraId="38C1CEA8">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0.381</w:t>
            </w:r>
          </w:p>
        </w:tc>
        <w:tc>
          <w:tcPr>
            <w:tcW w:w="285" w:type="pct"/>
            <w:tcBorders>
              <w:tl2br w:val="nil"/>
              <w:tr2bl w:val="nil"/>
            </w:tcBorders>
            <w:shd w:val="clear" w:color="auto" w:fill="auto"/>
            <w:noWrap/>
            <w:vAlign w:val="center"/>
          </w:tcPr>
          <w:p w14:paraId="2CEB6443">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0.41</w:t>
            </w:r>
          </w:p>
        </w:tc>
        <w:tc>
          <w:tcPr>
            <w:tcW w:w="285" w:type="pct"/>
            <w:tcBorders>
              <w:tl2br w:val="nil"/>
              <w:tr2bl w:val="nil"/>
            </w:tcBorders>
            <w:shd w:val="clear" w:color="auto" w:fill="auto"/>
            <w:noWrap/>
            <w:vAlign w:val="center"/>
          </w:tcPr>
          <w:p w14:paraId="23D695A7">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0.37</w:t>
            </w:r>
          </w:p>
        </w:tc>
        <w:tc>
          <w:tcPr>
            <w:tcW w:w="261" w:type="pct"/>
            <w:tcBorders>
              <w:tl2br w:val="nil"/>
              <w:tr2bl w:val="nil"/>
            </w:tcBorders>
            <w:shd w:val="clear" w:color="auto" w:fill="auto"/>
            <w:noWrap/>
            <w:vAlign w:val="center"/>
          </w:tcPr>
          <w:p w14:paraId="57F5134A">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0.474</w:t>
            </w:r>
          </w:p>
        </w:tc>
        <w:tc>
          <w:tcPr>
            <w:tcW w:w="267" w:type="pct"/>
            <w:tcBorders>
              <w:tl2br w:val="nil"/>
              <w:tr2bl w:val="nil"/>
            </w:tcBorders>
            <w:shd w:val="clear" w:color="auto" w:fill="auto"/>
            <w:noWrap/>
            <w:vAlign w:val="center"/>
          </w:tcPr>
          <w:p w14:paraId="7C7C18AE">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0.347</w:t>
            </w:r>
          </w:p>
        </w:tc>
        <w:tc>
          <w:tcPr>
            <w:tcW w:w="249" w:type="pct"/>
            <w:tcBorders>
              <w:tl2br w:val="nil"/>
              <w:tr2bl w:val="nil"/>
            </w:tcBorders>
            <w:shd w:val="clear" w:color="auto" w:fill="auto"/>
            <w:noWrap/>
            <w:vAlign w:val="center"/>
          </w:tcPr>
          <w:p w14:paraId="1507BE3B">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sz w:val="21"/>
                <w:szCs w:val="21"/>
                <w:highlight w:val="none"/>
                <w:u w:val="none"/>
                <w:lang w:val="en-US" w:eastAsia="zh-CN"/>
              </w:rPr>
              <w:t>/</w:t>
            </w:r>
          </w:p>
        </w:tc>
        <w:tc>
          <w:tcPr>
            <w:tcW w:w="329" w:type="pct"/>
            <w:tcBorders>
              <w:tl2br w:val="nil"/>
              <w:tr2bl w:val="nil"/>
            </w:tcBorders>
            <w:shd w:val="clear" w:color="auto" w:fill="auto"/>
            <w:noWrap/>
            <w:vAlign w:val="center"/>
          </w:tcPr>
          <w:p w14:paraId="47200BA2">
            <w:pPr>
              <w:pStyle w:val="30"/>
              <w:ind w:firstLine="0" w:firstLineChars="0"/>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color w:val="auto"/>
                <w:sz w:val="21"/>
                <w:szCs w:val="21"/>
                <w:highlight w:val="none"/>
              </w:rPr>
              <w:t>≤0.50</w:t>
            </w:r>
          </w:p>
        </w:tc>
      </w:tr>
      <w:tr w14:paraId="740BA92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475" w:type="pct"/>
            <w:tcBorders>
              <w:tl2br w:val="nil"/>
              <w:tr2bl w:val="nil"/>
            </w:tcBorders>
            <w:shd w:val="clear" w:color="auto" w:fill="auto"/>
            <w:vAlign w:val="center"/>
          </w:tcPr>
          <w:p w14:paraId="57634498">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color w:val="auto"/>
                <w:sz w:val="21"/>
                <w:szCs w:val="21"/>
                <w:highlight w:val="none"/>
              </w:rPr>
              <w:t>亚硝酸盐（以N计）</w:t>
            </w:r>
            <w:r>
              <w:rPr>
                <w:rFonts w:hint="default" w:ascii="Times New Roman" w:hAnsi="Times New Roman" w:eastAsia="宋体" w:cs="Times New Roman"/>
                <w:i w:val="0"/>
                <w:iCs w:val="0"/>
                <w:color w:val="auto"/>
                <w:kern w:val="0"/>
                <w:sz w:val="21"/>
                <w:szCs w:val="21"/>
                <w:highlight w:val="none"/>
                <w:u w:val="none"/>
                <w:lang w:val="en-US" w:eastAsia="zh-CN" w:bidi="ar"/>
              </w:rPr>
              <w:t>（</w:t>
            </w:r>
            <w:r>
              <w:rPr>
                <w:rFonts w:hint="default" w:ascii="Times New Roman" w:hAnsi="Times New Roman" w:eastAsia="宋体" w:cs="Times New Roman"/>
                <w:color w:val="auto"/>
                <w:sz w:val="21"/>
                <w:szCs w:val="21"/>
                <w:highlight w:val="none"/>
                <w:u w:val="none"/>
                <w:lang w:val="en-US" w:eastAsia="zh-CN" w:bidi="ar"/>
              </w:rPr>
              <w:t>mg/L）</w:t>
            </w:r>
          </w:p>
        </w:tc>
        <w:tc>
          <w:tcPr>
            <w:tcW w:w="284" w:type="pct"/>
            <w:tcBorders>
              <w:tl2br w:val="nil"/>
              <w:tr2bl w:val="nil"/>
            </w:tcBorders>
            <w:shd w:val="clear" w:color="auto" w:fill="auto"/>
            <w:noWrap/>
            <w:vAlign w:val="center"/>
          </w:tcPr>
          <w:p w14:paraId="3B98F0DB">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0.003L</w:t>
            </w:r>
          </w:p>
        </w:tc>
        <w:tc>
          <w:tcPr>
            <w:tcW w:w="284" w:type="pct"/>
            <w:tcBorders>
              <w:tl2br w:val="nil"/>
              <w:tr2bl w:val="nil"/>
            </w:tcBorders>
            <w:shd w:val="clear" w:color="auto" w:fill="auto"/>
            <w:noWrap/>
            <w:vAlign w:val="center"/>
          </w:tcPr>
          <w:p w14:paraId="35DC7016">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0.003L</w:t>
            </w:r>
          </w:p>
        </w:tc>
        <w:tc>
          <w:tcPr>
            <w:tcW w:w="284" w:type="pct"/>
            <w:tcBorders>
              <w:tl2br w:val="nil"/>
              <w:tr2bl w:val="nil"/>
            </w:tcBorders>
            <w:shd w:val="clear" w:color="auto" w:fill="auto"/>
            <w:noWrap/>
            <w:vAlign w:val="center"/>
          </w:tcPr>
          <w:p w14:paraId="248296F8">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0.003L</w:t>
            </w:r>
          </w:p>
        </w:tc>
        <w:tc>
          <w:tcPr>
            <w:tcW w:w="284" w:type="pct"/>
            <w:tcBorders>
              <w:tl2br w:val="nil"/>
              <w:tr2bl w:val="nil"/>
            </w:tcBorders>
            <w:shd w:val="clear" w:color="auto" w:fill="auto"/>
            <w:noWrap/>
            <w:vAlign w:val="center"/>
          </w:tcPr>
          <w:p w14:paraId="57608FBD">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0.003L</w:t>
            </w:r>
          </w:p>
        </w:tc>
        <w:tc>
          <w:tcPr>
            <w:tcW w:w="284" w:type="pct"/>
            <w:tcBorders>
              <w:tl2br w:val="nil"/>
              <w:tr2bl w:val="nil"/>
            </w:tcBorders>
            <w:shd w:val="clear" w:color="auto" w:fill="auto"/>
            <w:noWrap/>
            <w:vAlign w:val="center"/>
          </w:tcPr>
          <w:p w14:paraId="06D83346">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0.003L</w:t>
            </w:r>
          </w:p>
        </w:tc>
        <w:tc>
          <w:tcPr>
            <w:tcW w:w="284" w:type="pct"/>
            <w:tcBorders>
              <w:tl2br w:val="nil"/>
              <w:tr2bl w:val="nil"/>
            </w:tcBorders>
            <w:shd w:val="clear" w:color="auto" w:fill="auto"/>
            <w:noWrap/>
            <w:vAlign w:val="center"/>
          </w:tcPr>
          <w:p w14:paraId="6729C99B">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0.003L</w:t>
            </w:r>
          </w:p>
        </w:tc>
        <w:tc>
          <w:tcPr>
            <w:tcW w:w="284" w:type="pct"/>
            <w:tcBorders>
              <w:tl2br w:val="nil"/>
              <w:tr2bl w:val="nil"/>
            </w:tcBorders>
            <w:shd w:val="clear" w:color="auto" w:fill="auto"/>
            <w:noWrap/>
            <w:vAlign w:val="center"/>
          </w:tcPr>
          <w:p w14:paraId="064DF8A4">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0.003L</w:t>
            </w:r>
          </w:p>
        </w:tc>
        <w:tc>
          <w:tcPr>
            <w:tcW w:w="284" w:type="pct"/>
            <w:tcBorders>
              <w:tl2br w:val="nil"/>
              <w:tr2bl w:val="nil"/>
            </w:tcBorders>
            <w:shd w:val="clear" w:color="auto" w:fill="auto"/>
            <w:noWrap/>
            <w:vAlign w:val="center"/>
          </w:tcPr>
          <w:p w14:paraId="0DDE4357">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0.003</w:t>
            </w:r>
          </w:p>
        </w:tc>
        <w:tc>
          <w:tcPr>
            <w:tcW w:w="284" w:type="pct"/>
            <w:tcBorders>
              <w:tl2br w:val="nil"/>
              <w:tr2bl w:val="nil"/>
            </w:tcBorders>
            <w:shd w:val="clear" w:color="auto" w:fill="auto"/>
            <w:noWrap/>
            <w:vAlign w:val="center"/>
          </w:tcPr>
          <w:p w14:paraId="48390C00">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0.003L</w:t>
            </w:r>
          </w:p>
        </w:tc>
        <w:tc>
          <w:tcPr>
            <w:tcW w:w="285" w:type="pct"/>
            <w:tcBorders>
              <w:tl2br w:val="nil"/>
              <w:tr2bl w:val="nil"/>
            </w:tcBorders>
            <w:shd w:val="clear" w:color="auto" w:fill="auto"/>
            <w:noWrap/>
            <w:vAlign w:val="center"/>
          </w:tcPr>
          <w:p w14:paraId="1ED6A944">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0.012</w:t>
            </w:r>
          </w:p>
        </w:tc>
        <w:tc>
          <w:tcPr>
            <w:tcW w:w="285" w:type="pct"/>
            <w:tcBorders>
              <w:tl2br w:val="nil"/>
              <w:tr2bl w:val="nil"/>
            </w:tcBorders>
            <w:shd w:val="clear" w:color="auto" w:fill="auto"/>
            <w:noWrap/>
            <w:vAlign w:val="center"/>
          </w:tcPr>
          <w:p w14:paraId="151C1CE7">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0.029</w:t>
            </w:r>
          </w:p>
        </w:tc>
        <w:tc>
          <w:tcPr>
            <w:tcW w:w="285" w:type="pct"/>
            <w:tcBorders>
              <w:tl2br w:val="nil"/>
              <w:tr2bl w:val="nil"/>
            </w:tcBorders>
            <w:shd w:val="clear" w:color="auto" w:fill="auto"/>
            <w:noWrap/>
            <w:vAlign w:val="center"/>
          </w:tcPr>
          <w:p w14:paraId="0DBC7E2C">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0.015</w:t>
            </w:r>
          </w:p>
        </w:tc>
        <w:tc>
          <w:tcPr>
            <w:tcW w:w="261" w:type="pct"/>
            <w:tcBorders>
              <w:tl2br w:val="nil"/>
              <w:tr2bl w:val="nil"/>
            </w:tcBorders>
            <w:shd w:val="clear" w:color="auto" w:fill="auto"/>
            <w:noWrap/>
            <w:vAlign w:val="center"/>
          </w:tcPr>
          <w:p w14:paraId="046BB5D1">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0.003L</w:t>
            </w:r>
          </w:p>
        </w:tc>
        <w:tc>
          <w:tcPr>
            <w:tcW w:w="267" w:type="pct"/>
            <w:tcBorders>
              <w:tl2br w:val="nil"/>
              <w:tr2bl w:val="nil"/>
            </w:tcBorders>
            <w:shd w:val="clear" w:color="auto" w:fill="auto"/>
            <w:noWrap/>
            <w:vAlign w:val="center"/>
          </w:tcPr>
          <w:p w14:paraId="4D2FF3B9">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0.01</w:t>
            </w:r>
          </w:p>
        </w:tc>
        <w:tc>
          <w:tcPr>
            <w:tcW w:w="249" w:type="pct"/>
            <w:tcBorders>
              <w:tl2br w:val="nil"/>
              <w:tr2bl w:val="nil"/>
            </w:tcBorders>
            <w:shd w:val="clear" w:color="auto" w:fill="auto"/>
            <w:noWrap/>
            <w:vAlign w:val="center"/>
          </w:tcPr>
          <w:p w14:paraId="069592BF">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sz w:val="21"/>
                <w:szCs w:val="21"/>
                <w:highlight w:val="none"/>
                <w:u w:val="none"/>
                <w:lang w:val="en-US" w:eastAsia="zh-CN"/>
              </w:rPr>
              <w:t>/</w:t>
            </w:r>
          </w:p>
        </w:tc>
        <w:tc>
          <w:tcPr>
            <w:tcW w:w="329" w:type="pct"/>
            <w:tcBorders>
              <w:tl2br w:val="nil"/>
              <w:tr2bl w:val="nil"/>
            </w:tcBorders>
            <w:shd w:val="clear" w:color="auto" w:fill="auto"/>
            <w:noWrap/>
            <w:vAlign w:val="center"/>
          </w:tcPr>
          <w:p w14:paraId="53D073A8">
            <w:pPr>
              <w:pStyle w:val="30"/>
              <w:ind w:firstLine="0" w:firstLineChars="0"/>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color w:val="auto"/>
                <w:sz w:val="21"/>
                <w:szCs w:val="21"/>
                <w:highlight w:val="none"/>
              </w:rPr>
              <w:t>≤1.0</w:t>
            </w:r>
          </w:p>
        </w:tc>
      </w:tr>
      <w:tr w14:paraId="15B3F61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475" w:type="pct"/>
            <w:tcBorders>
              <w:tl2br w:val="nil"/>
              <w:tr2bl w:val="nil"/>
            </w:tcBorders>
            <w:shd w:val="clear" w:color="auto" w:fill="auto"/>
            <w:vAlign w:val="center"/>
          </w:tcPr>
          <w:p w14:paraId="157D6AE0">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硝酸盐氮（mg/L）</w:t>
            </w:r>
          </w:p>
        </w:tc>
        <w:tc>
          <w:tcPr>
            <w:tcW w:w="284" w:type="pct"/>
            <w:tcBorders>
              <w:tl2br w:val="nil"/>
              <w:tr2bl w:val="nil"/>
            </w:tcBorders>
            <w:shd w:val="clear" w:color="auto" w:fill="auto"/>
            <w:noWrap/>
            <w:vAlign w:val="center"/>
          </w:tcPr>
          <w:p w14:paraId="4DA44B85">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0.86</w:t>
            </w:r>
          </w:p>
        </w:tc>
        <w:tc>
          <w:tcPr>
            <w:tcW w:w="284" w:type="pct"/>
            <w:tcBorders>
              <w:tl2br w:val="nil"/>
              <w:tr2bl w:val="nil"/>
            </w:tcBorders>
            <w:shd w:val="clear" w:color="auto" w:fill="auto"/>
            <w:noWrap/>
            <w:vAlign w:val="center"/>
          </w:tcPr>
          <w:p w14:paraId="66DF0C0F">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0.24</w:t>
            </w:r>
          </w:p>
        </w:tc>
        <w:tc>
          <w:tcPr>
            <w:tcW w:w="284" w:type="pct"/>
            <w:tcBorders>
              <w:tl2br w:val="nil"/>
              <w:tr2bl w:val="nil"/>
            </w:tcBorders>
            <w:shd w:val="clear" w:color="auto" w:fill="auto"/>
            <w:noWrap/>
            <w:vAlign w:val="center"/>
          </w:tcPr>
          <w:p w14:paraId="6BB586F2">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0.18</w:t>
            </w:r>
          </w:p>
        </w:tc>
        <w:tc>
          <w:tcPr>
            <w:tcW w:w="284" w:type="pct"/>
            <w:tcBorders>
              <w:tl2br w:val="nil"/>
              <w:tr2bl w:val="nil"/>
            </w:tcBorders>
            <w:shd w:val="clear" w:color="auto" w:fill="auto"/>
            <w:noWrap/>
            <w:vAlign w:val="center"/>
          </w:tcPr>
          <w:p w14:paraId="27677145">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0.38</w:t>
            </w:r>
          </w:p>
        </w:tc>
        <w:tc>
          <w:tcPr>
            <w:tcW w:w="284" w:type="pct"/>
            <w:tcBorders>
              <w:tl2br w:val="nil"/>
              <w:tr2bl w:val="nil"/>
            </w:tcBorders>
            <w:shd w:val="clear" w:color="auto" w:fill="auto"/>
            <w:noWrap/>
            <w:vAlign w:val="center"/>
          </w:tcPr>
          <w:p w14:paraId="30DE3C5F">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0.32</w:t>
            </w:r>
          </w:p>
        </w:tc>
        <w:tc>
          <w:tcPr>
            <w:tcW w:w="284" w:type="pct"/>
            <w:tcBorders>
              <w:tl2br w:val="nil"/>
              <w:tr2bl w:val="nil"/>
            </w:tcBorders>
            <w:shd w:val="clear" w:color="auto" w:fill="auto"/>
            <w:noWrap/>
            <w:vAlign w:val="center"/>
          </w:tcPr>
          <w:p w14:paraId="65153F23">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0.23</w:t>
            </w:r>
          </w:p>
        </w:tc>
        <w:tc>
          <w:tcPr>
            <w:tcW w:w="284" w:type="pct"/>
            <w:tcBorders>
              <w:tl2br w:val="nil"/>
              <w:tr2bl w:val="nil"/>
            </w:tcBorders>
            <w:shd w:val="clear" w:color="auto" w:fill="auto"/>
            <w:noWrap/>
            <w:vAlign w:val="center"/>
          </w:tcPr>
          <w:p w14:paraId="14594226">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0.22</w:t>
            </w:r>
          </w:p>
        </w:tc>
        <w:tc>
          <w:tcPr>
            <w:tcW w:w="284" w:type="pct"/>
            <w:tcBorders>
              <w:tl2br w:val="nil"/>
              <w:tr2bl w:val="nil"/>
            </w:tcBorders>
            <w:shd w:val="clear" w:color="auto" w:fill="auto"/>
            <w:noWrap/>
            <w:vAlign w:val="center"/>
          </w:tcPr>
          <w:p w14:paraId="6F997418">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0.31</w:t>
            </w:r>
          </w:p>
        </w:tc>
        <w:tc>
          <w:tcPr>
            <w:tcW w:w="284" w:type="pct"/>
            <w:tcBorders>
              <w:tl2br w:val="nil"/>
              <w:tr2bl w:val="nil"/>
            </w:tcBorders>
            <w:shd w:val="clear" w:color="auto" w:fill="auto"/>
            <w:noWrap/>
            <w:vAlign w:val="center"/>
          </w:tcPr>
          <w:p w14:paraId="55E8AADA">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0.23</w:t>
            </w:r>
          </w:p>
        </w:tc>
        <w:tc>
          <w:tcPr>
            <w:tcW w:w="285" w:type="pct"/>
            <w:tcBorders>
              <w:tl2br w:val="nil"/>
              <w:tr2bl w:val="nil"/>
            </w:tcBorders>
            <w:shd w:val="clear" w:color="auto" w:fill="auto"/>
            <w:noWrap/>
            <w:vAlign w:val="center"/>
          </w:tcPr>
          <w:p w14:paraId="3E3B9DF4">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0.46</w:t>
            </w:r>
          </w:p>
        </w:tc>
        <w:tc>
          <w:tcPr>
            <w:tcW w:w="285" w:type="pct"/>
            <w:tcBorders>
              <w:tl2br w:val="nil"/>
              <w:tr2bl w:val="nil"/>
            </w:tcBorders>
            <w:shd w:val="clear" w:color="auto" w:fill="auto"/>
            <w:noWrap/>
            <w:vAlign w:val="center"/>
          </w:tcPr>
          <w:p w14:paraId="6EB59CF2">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0.33</w:t>
            </w:r>
          </w:p>
        </w:tc>
        <w:tc>
          <w:tcPr>
            <w:tcW w:w="285" w:type="pct"/>
            <w:tcBorders>
              <w:tl2br w:val="nil"/>
              <w:tr2bl w:val="nil"/>
            </w:tcBorders>
            <w:shd w:val="clear" w:color="auto" w:fill="auto"/>
            <w:noWrap/>
            <w:vAlign w:val="center"/>
          </w:tcPr>
          <w:p w14:paraId="2DC59745">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0.54</w:t>
            </w:r>
          </w:p>
        </w:tc>
        <w:tc>
          <w:tcPr>
            <w:tcW w:w="261" w:type="pct"/>
            <w:tcBorders>
              <w:tl2br w:val="nil"/>
              <w:tr2bl w:val="nil"/>
            </w:tcBorders>
            <w:shd w:val="clear" w:color="auto" w:fill="auto"/>
            <w:noWrap/>
            <w:vAlign w:val="center"/>
          </w:tcPr>
          <w:p w14:paraId="1598A753">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0.23</w:t>
            </w:r>
          </w:p>
        </w:tc>
        <w:tc>
          <w:tcPr>
            <w:tcW w:w="267" w:type="pct"/>
            <w:tcBorders>
              <w:tl2br w:val="nil"/>
              <w:tr2bl w:val="nil"/>
            </w:tcBorders>
            <w:shd w:val="clear" w:color="auto" w:fill="auto"/>
            <w:noWrap/>
            <w:vAlign w:val="center"/>
          </w:tcPr>
          <w:p w14:paraId="1163EB79">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0.34</w:t>
            </w:r>
          </w:p>
        </w:tc>
        <w:tc>
          <w:tcPr>
            <w:tcW w:w="249" w:type="pct"/>
            <w:tcBorders>
              <w:tl2br w:val="nil"/>
              <w:tr2bl w:val="nil"/>
            </w:tcBorders>
            <w:shd w:val="clear" w:color="auto" w:fill="auto"/>
            <w:noWrap/>
            <w:vAlign w:val="center"/>
          </w:tcPr>
          <w:p w14:paraId="465A2ED4">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sz w:val="21"/>
                <w:szCs w:val="21"/>
                <w:highlight w:val="none"/>
                <w:u w:val="none"/>
                <w:lang w:val="en-US" w:eastAsia="zh-CN"/>
              </w:rPr>
              <w:t>/</w:t>
            </w:r>
          </w:p>
        </w:tc>
        <w:tc>
          <w:tcPr>
            <w:tcW w:w="329" w:type="pct"/>
            <w:tcBorders>
              <w:tl2br w:val="nil"/>
              <w:tr2bl w:val="nil"/>
            </w:tcBorders>
            <w:shd w:val="clear" w:color="auto" w:fill="auto"/>
            <w:noWrap/>
            <w:vAlign w:val="center"/>
          </w:tcPr>
          <w:p w14:paraId="2B79D4C1">
            <w:pPr>
              <w:pStyle w:val="30"/>
              <w:ind w:firstLine="0" w:firstLineChars="0"/>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color w:val="auto"/>
                <w:sz w:val="21"/>
                <w:szCs w:val="21"/>
                <w:highlight w:val="none"/>
              </w:rPr>
              <w:t>≤20.0</w:t>
            </w:r>
          </w:p>
        </w:tc>
      </w:tr>
      <w:tr w14:paraId="79C30F4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475" w:type="pct"/>
            <w:tcBorders>
              <w:tl2br w:val="nil"/>
              <w:tr2bl w:val="nil"/>
            </w:tcBorders>
            <w:shd w:val="clear" w:color="auto" w:fill="auto"/>
            <w:vAlign w:val="center"/>
          </w:tcPr>
          <w:p w14:paraId="7C14BDDE">
            <w:pPr>
              <w:pStyle w:val="30"/>
              <w:ind w:firstLine="0" w:firstLineChars="0"/>
              <w:jc w:val="center"/>
              <w:rPr>
                <w:rFonts w:hint="default" w:ascii="Times New Roman" w:hAnsi="Times New Roman" w:eastAsia="宋体" w:cs="Times New Roman"/>
                <w:i w:val="0"/>
                <w:iCs w:val="0"/>
                <w:color w:val="auto"/>
                <w:sz w:val="21"/>
                <w:szCs w:val="21"/>
                <w:highlight w:val="none"/>
                <w:u w:val="none"/>
              </w:rPr>
            </w:pPr>
            <w:r>
              <w:rPr>
                <w:color w:val="auto"/>
                <w:sz w:val="21"/>
                <w:szCs w:val="21"/>
                <w:highlight w:val="none"/>
              </w:rPr>
              <w:t>氰化物（以CN</w:t>
            </w:r>
            <w:r>
              <w:rPr>
                <w:color w:val="auto"/>
                <w:sz w:val="21"/>
                <w:szCs w:val="21"/>
                <w:highlight w:val="none"/>
                <w:vertAlign w:val="superscript"/>
              </w:rPr>
              <w:t>-</w:t>
            </w:r>
            <w:r>
              <w:rPr>
                <w:color w:val="auto"/>
                <w:sz w:val="21"/>
                <w:szCs w:val="21"/>
                <w:highlight w:val="none"/>
              </w:rPr>
              <w:t>计）</w:t>
            </w:r>
            <w:r>
              <w:rPr>
                <w:rFonts w:hint="default" w:ascii="Times New Roman" w:hAnsi="Times New Roman" w:eastAsia="宋体" w:cs="Times New Roman"/>
                <w:i w:val="0"/>
                <w:iCs w:val="0"/>
                <w:color w:val="auto"/>
                <w:kern w:val="0"/>
                <w:sz w:val="21"/>
                <w:szCs w:val="21"/>
                <w:highlight w:val="none"/>
                <w:u w:val="none"/>
                <w:lang w:val="en-US" w:eastAsia="zh-CN" w:bidi="ar"/>
              </w:rPr>
              <w:t>（</w:t>
            </w:r>
            <w:r>
              <w:rPr>
                <w:rFonts w:hint="default" w:ascii="Times New Roman" w:hAnsi="Times New Roman" w:eastAsia="宋体" w:cs="Times New Roman"/>
                <w:color w:val="auto"/>
                <w:sz w:val="21"/>
                <w:szCs w:val="21"/>
                <w:highlight w:val="none"/>
                <w:u w:val="none"/>
                <w:lang w:val="en-US" w:eastAsia="zh-CN" w:bidi="ar"/>
              </w:rPr>
              <w:t>mg/L）</w:t>
            </w:r>
          </w:p>
        </w:tc>
        <w:tc>
          <w:tcPr>
            <w:tcW w:w="284" w:type="pct"/>
            <w:tcBorders>
              <w:tl2br w:val="nil"/>
              <w:tr2bl w:val="nil"/>
            </w:tcBorders>
            <w:shd w:val="clear" w:color="auto" w:fill="auto"/>
            <w:noWrap/>
            <w:vAlign w:val="center"/>
          </w:tcPr>
          <w:p w14:paraId="471DCC38">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0.002L</w:t>
            </w:r>
          </w:p>
        </w:tc>
        <w:tc>
          <w:tcPr>
            <w:tcW w:w="284" w:type="pct"/>
            <w:tcBorders>
              <w:tl2br w:val="nil"/>
              <w:tr2bl w:val="nil"/>
            </w:tcBorders>
            <w:shd w:val="clear" w:color="auto" w:fill="auto"/>
            <w:noWrap/>
            <w:vAlign w:val="center"/>
          </w:tcPr>
          <w:p w14:paraId="0BBDC1F1">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0.002L</w:t>
            </w:r>
          </w:p>
        </w:tc>
        <w:tc>
          <w:tcPr>
            <w:tcW w:w="284" w:type="pct"/>
            <w:tcBorders>
              <w:tl2br w:val="nil"/>
              <w:tr2bl w:val="nil"/>
            </w:tcBorders>
            <w:shd w:val="clear" w:color="auto" w:fill="auto"/>
            <w:noWrap/>
            <w:vAlign w:val="center"/>
          </w:tcPr>
          <w:p w14:paraId="117B6784">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0.002L</w:t>
            </w:r>
          </w:p>
        </w:tc>
        <w:tc>
          <w:tcPr>
            <w:tcW w:w="284" w:type="pct"/>
            <w:tcBorders>
              <w:tl2br w:val="nil"/>
              <w:tr2bl w:val="nil"/>
            </w:tcBorders>
            <w:shd w:val="clear" w:color="auto" w:fill="auto"/>
            <w:noWrap/>
            <w:vAlign w:val="center"/>
          </w:tcPr>
          <w:p w14:paraId="072BFC80">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0.002L</w:t>
            </w:r>
          </w:p>
        </w:tc>
        <w:tc>
          <w:tcPr>
            <w:tcW w:w="284" w:type="pct"/>
            <w:tcBorders>
              <w:tl2br w:val="nil"/>
              <w:tr2bl w:val="nil"/>
            </w:tcBorders>
            <w:shd w:val="clear" w:color="auto" w:fill="auto"/>
            <w:noWrap/>
            <w:vAlign w:val="center"/>
          </w:tcPr>
          <w:p w14:paraId="4B116194">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0.002L</w:t>
            </w:r>
          </w:p>
        </w:tc>
        <w:tc>
          <w:tcPr>
            <w:tcW w:w="284" w:type="pct"/>
            <w:tcBorders>
              <w:tl2br w:val="nil"/>
              <w:tr2bl w:val="nil"/>
            </w:tcBorders>
            <w:shd w:val="clear" w:color="auto" w:fill="auto"/>
            <w:noWrap/>
            <w:vAlign w:val="center"/>
          </w:tcPr>
          <w:p w14:paraId="7618D9C5">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0.002L</w:t>
            </w:r>
          </w:p>
        </w:tc>
        <w:tc>
          <w:tcPr>
            <w:tcW w:w="284" w:type="pct"/>
            <w:tcBorders>
              <w:tl2br w:val="nil"/>
              <w:tr2bl w:val="nil"/>
            </w:tcBorders>
            <w:shd w:val="clear" w:color="auto" w:fill="auto"/>
            <w:noWrap/>
            <w:vAlign w:val="center"/>
          </w:tcPr>
          <w:p w14:paraId="4979472E">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0.002L</w:t>
            </w:r>
          </w:p>
        </w:tc>
        <w:tc>
          <w:tcPr>
            <w:tcW w:w="284" w:type="pct"/>
            <w:tcBorders>
              <w:tl2br w:val="nil"/>
              <w:tr2bl w:val="nil"/>
            </w:tcBorders>
            <w:shd w:val="clear" w:color="auto" w:fill="auto"/>
            <w:noWrap/>
            <w:vAlign w:val="center"/>
          </w:tcPr>
          <w:p w14:paraId="5E192CE3">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0.002L</w:t>
            </w:r>
          </w:p>
        </w:tc>
        <w:tc>
          <w:tcPr>
            <w:tcW w:w="284" w:type="pct"/>
            <w:tcBorders>
              <w:tl2br w:val="nil"/>
              <w:tr2bl w:val="nil"/>
            </w:tcBorders>
            <w:shd w:val="clear" w:color="auto" w:fill="auto"/>
            <w:noWrap/>
            <w:vAlign w:val="center"/>
          </w:tcPr>
          <w:p w14:paraId="527A7578">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0.002L</w:t>
            </w:r>
          </w:p>
        </w:tc>
        <w:tc>
          <w:tcPr>
            <w:tcW w:w="285" w:type="pct"/>
            <w:tcBorders>
              <w:tl2br w:val="nil"/>
              <w:tr2bl w:val="nil"/>
            </w:tcBorders>
            <w:shd w:val="clear" w:color="auto" w:fill="auto"/>
            <w:noWrap/>
            <w:vAlign w:val="center"/>
          </w:tcPr>
          <w:p w14:paraId="55142985">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0.002L</w:t>
            </w:r>
          </w:p>
        </w:tc>
        <w:tc>
          <w:tcPr>
            <w:tcW w:w="285" w:type="pct"/>
            <w:tcBorders>
              <w:tl2br w:val="nil"/>
              <w:tr2bl w:val="nil"/>
            </w:tcBorders>
            <w:shd w:val="clear" w:color="auto" w:fill="auto"/>
            <w:noWrap/>
            <w:vAlign w:val="center"/>
          </w:tcPr>
          <w:p w14:paraId="14F18AF5">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0.002L</w:t>
            </w:r>
          </w:p>
        </w:tc>
        <w:tc>
          <w:tcPr>
            <w:tcW w:w="285" w:type="pct"/>
            <w:tcBorders>
              <w:tl2br w:val="nil"/>
              <w:tr2bl w:val="nil"/>
            </w:tcBorders>
            <w:shd w:val="clear" w:color="auto" w:fill="auto"/>
            <w:noWrap/>
            <w:vAlign w:val="center"/>
          </w:tcPr>
          <w:p w14:paraId="7916C13F">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0.002L</w:t>
            </w:r>
          </w:p>
        </w:tc>
        <w:tc>
          <w:tcPr>
            <w:tcW w:w="261" w:type="pct"/>
            <w:tcBorders>
              <w:tl2br w:val="nil"/>
              <w:tr2bl w:val="nil"/>
            </w:tcBorders>
            <w:shd w:val="clear" w:color="auto" w:fill="auto"/>
            <w:noWrap/>
            <w:vAlign w:val="center"/>
          </w:tcPr>
          <w:p w14:paraId="67586ACD">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0.002L</w:t>
            </w:r>
          </w:p>
        </w:tc>
        <w:tc>
          <w:tcPr>
            <w:tcW w:w="267" w:type="pct"/>
            <w:tcBorders>
              <w:tl2br w:val="nil"/>
              <w:tr2bl w:val="nil"/>
            </w:tcBorders>
            <w:shd w:val="clear" w:color="auto" w:fill="auto"/>
            <w:noWrap/>
            <w:vAlign w:val="center"/>
          </w:tcPr>
          <w:p w14:paraId="3CB2290F">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0.002L</w:t>
            </w:r>
          </w:p>
        </w:tc>
        <w:tc>
          <w:tcPr>
            <w:tcW w:w="249" w:type="pct"/>
            <w:tcBorders>
              <w:tl2br w:val="nil"/>
              <w:tr2bl w:val="nil"/>
            </w:tcBorders>
            <w:shd w:val="clear" w:color="auto" w:fill="auto"/>
            <w:noWrap/>
            <w:vAlign w:val="center"/>
          </w:tcPr>
          <w:p w14:paraId="1C2BAAA6">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sz w:val="21"/>
                <w:szCs w:val="21"/>
                <w:highlight w:val="none"/>
                <w:u w:val="none"/>
                <w:lang w:val="en-US" w:eastAsia="zh-CN"/>
              </w:rPr>
              <w:t>/</w:t>
            </w:r>
          </w:p>
        </w:tc>
        <w:tc>
          <w:tcPr>
            <w:tcW w:w="329" w:type="pct"/>
            <w:tcBorders>
              <w:tl2br w:val="nil"/>
              <w:tr2bl w:val="nil"/>
            </w:tcBorders>
            <w:shd w:val="clear" w:color="auto" w:fill="auto"/>
            <w:noWrap/>
            <w:vAlign w:val="center"/>
          </w:tcPr>
          <w:p w14:paraId="7BC3C8D0">
            <w:pPr>
              <w:pStyle w:val="30"/>
              <w:ind w:firstLine="0" w:firstLineChars="0"/>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color w:val="auto"/>
                <w:sz w:val="21"/>
                <w:szCs w:val="21"/>
                <w:highlight w:val="none"/>
              </w:rPr>
              <w:t>≤0.05</w:t>
            </w:r>
          </w:p>
        </w:tc>
      </w:tr>
      <w:tr w14:paraId="5C586F7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475" w:type="pct"/>
            <w:tcBorders>
              <w:tl2br w:val="nil"/>
              <w:tr2bl w:val="nil"/>
            </w:tcBorders>
            <w:shd w:val="clear" w:color="auto" w:fill="auto"/>
            <w:vAlign w:val="center"/>
          </w:tcPr>
          <w:p w14:paraId="4AB4DECC">
            <w:pPr>
              <w:pStyle w:val="30"/>
              <w:ind w:firstLine="0" w:firstLineChars="0"/>
              <w:jc w:val="center"/>
              <w:rPr>
                <w:rFonts w:hint="default" w:ascii="Times New Roman" w:hAnsi="Times New Roman" w:eastAsia="宋体" w:cs="Times New Roman"/>
                <w:i w:val="0"/>
                <w:iCs w:val="0"/>
                <w:color w:val="auto"/>
                <w:sz w:val="21"/>
                <w:szCs w:val="21"/>
                <w:highlight w:val="none"/>
                <w:u w:val="none"/>
              </w:rPr>
            </w:pPr>
            <w:r>
              <w:rPr>
                <w:color w:val="auto"/>
                <w:sz w:val="21"/>
                <w:szCs w:val="21"/>
                <w:highlight w:val="none"/>
              </w:rPr>
              <w:t>氟化物（以F</w:t>
            </w:r>
            <w:r>
              <w:rPr>
                <w:color w:val="auto"/>
                <w:sz w:val="21"/>
                <w:szCs w:val="21"/>
                <w:highlight w:val="none"/>
                <w:vertAlign w:val="superscript"/>
              </w:rPr>
              <w:t>-</w:t>
            </w:r>
            <w:r>
              <w:rPr>
                <w:color w:val="auto"/>
                <w:sz w:val="21"/>
                <w:szCs w:val="21"/>
                <w:highlight w:val="none"/>
              </w:rPr>
              <w:t>计）</w:t>
            </w:r>
            <w:r>
              <w:rPr>
                <w:rFonts w:hint="default" w:ascii="Times New Roman" w:hAnsi="Times New Roman" w:eastAsia="宋体" w:cs="Times New Roman"/>
                <w:i w:val="0"/>
                <w:iCs w:val="0"/>
                <w:color w:val="auto"/>
                <w:kern w:val="0"/>
                <w:sz w:val="21"/>
                <w:szCs w:val="21"/>
                <w:highlight w:val="none"/>
                <w:u w:val="none"/>
                <w:lang w:val="en-US" w:eastAsia="zh-CN" w:bidi="ar"/>
              </w:rPr>
              <w:t>（</w:t>
            </w:r>
            <w:r>
              <w:rPr>
                <w:rFonts w:hint="default" w:ascii="Times New Roman" w:hAnsi="Times New Roman" w:eastAsia="宋体" w:cs="Times New Roman"/>
                <w:color w:val="auto"/>
                <w:sz w:val="21"/>
                <w:szCs w:val="21"/>
                <w:highlight w:val="none"/>
                <w:u w:val="none"/>
                <w:lang w:val="en-US" w:eastAsia="zh-CN" w:bidi="ar"/>
              </w:rPr>
              <w:t>mg/L）</w:t>
            </w:r>
          </w:p>
        </w:tc>
        <w:tc>
          <w:tcPr>
            <w:tcW w:w="284" w:type="pct"/>
            <w:tcBorders>
              <w:tl2br w:val="nil"/>
              <w:tr2bl w:val="nil"/>
            </w:tcBorders>
            <w:shd w:val="clear" w:color="auto" w:fill="auto"/>
            <w:noWrap/>
            <w:vAlign w:val="center"/>
          </w:tcPr>
          <w:p w14:paraId="66F4688D">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0.08</w:t>
            </w:r>
          </w:p>
        </w:tc>
        <w:tc>
          <w:tcPr>
            <w:tcW w:w="284" w:type="pct"/>
            <w:tcBorders>
              <w:tl2br w:val="nil"/>
              <w:tr2bl w:val="nil"/>
            </w:tcBorders>
            <w:shd w:val="clear" w:color="auto" w:fill="auto"/>
            <w:noWrap/>
            <w:vAlign w:val="center"/>
          </w:tcPr>
          <w:p w14:paraId="062FDC10">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0.06</w:t>
            </w:r>
          </w:p>
        </w:tc>
        <w:tc>
          <w:tcPr>
            <w:tcW w:w="284" w:type="pct"/>
            <w:tcBorders>
              <w:tl2br w:val="nil"/>
              <w:tr2bl w:val="nil"/>
            </w:tcBorders>
            <w:shd w:val="clear" w:color="auto" w:fill="auto"/>
            <w:noWrap/>
            <w:vAlign w:val="center"/>
          </w:tcPr>
          <w:p w14:paraId="565E349B">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0.06</w:t>
            </w:r>
          </w:p>
        </w:tc>
        <w:tc>
          <w:tcPr>
            <w:tcW w:w="284" w:type="pct"/>
            <w:tcBorders>
              <w:tl2br w:val="nil"/>
              <w:tr2bl w:val="nil"/>
            </w:tcBorders>
            <w:shd w:val="clear" w:color="auto" w:fill="auto"/>
            <w:noWrap/>
            <w:vAlign w:val="center"/>
          </w:tcPr>
          <w:p w14:paraId="79F1BD76">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0.21</w:t>
            </w:r>
          </w:p>
        </w:tc>
        <w:tc>
          <w:tcPr>
            <w:tcW w:w="284" w:type="pct"/>
            <w:tcBorders>
              <w:tl2br w:val="nil"/>
              <w:tr2bl w:val="nil"/>
            </w:tcBorders>
            <w:shd w:val="clear" w:color="auto" w:fill="auto"/>
            <w:noWrap/>
            <w:vAlign w:val="center"/>
          </w:tcPr>
          <w:p w14:paraId="52DD81A3">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0.09</w:t>
            </w:r>
          </w:p>
        </w:tc>
        <w:tc>
          <w:tcPr>
            <w:tcW w:w="284" w:type="pct"/>
            <w:tcBorders>
              <w:tl2br w:val="nil"/>
              <w:tr2bl w:val="nil"/>
            </w:tcBorders>
            <w:shd w:val="clear" w:color="auto" w:fill="auto"/>
            <w:noWrap/>
            <w:vAlign w:val="center"/>
          </w:tcPr>
          <w:p w14:paraId="322EB201">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0.11</w:t>
            </w:r>
          </w:p>
        </w:tc>
        <w:tc>
          <w:tcPr>
            <w:tcW w:w="284" w:type="pct"/>
            <w:tcBorders>
              <w:tl2br w:val="nil"/>
              <w:tr2bl w:val="nil"/>
            </w:tcBorders>
            <w:shd w:val="clear" w:color="auto" w:fill="auto"/>
            <w:noWrap/>
            <w:vAlign w:val="center"/>
          </w:tcPr>
          <w:p w14:paraId="04130FB4">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0.1</w:t>
            </w:r>
          </w:p>
        </w:tc>
        <w:tc>
          <w:tcPr>
            <w:tcW w:w="284" w:type="pct"/>
            <w:tcBorders>
              <w:tl2br w:val="nil"/>
              <w:tr2bl w:val="nil"/>
            </w:tcBorders>
            <w:shd w:val="clear" w:color="auto" w:fill="auto"/>
            <w:noWrap/>
            <w:vAlign w:val="center"/>
          </w:tcPr>
          <w:p w14:paraId="7411E6B4">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0.13</w:t>
            </w:r>
          </w:p>
        </w:tc>
        <w:tc>
          <w:tcPr>
            <w:tcW w:w="284" w:type="pct"/>
            <w:tcBorders>
              <w:tl2br w:val="nil"/>
              <w:tr2bl w:val="nil"/>
            </w:tcBorders>
            <w:shd w:val="clear" w:color="auto" w:fill="auto"/>
            <w:noWrap/>
            <w:vAlign w:val="center"/>
          </w:tcPr>
          <w:p w14:paraId="7D1E5E7E">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0.13</w:t>
            </w:r>
          </w:p>
        </w:tc>
        <w:tc>
          <w:tcPr>
            <w:tcW w:w="285" w:type="pct"/>
            <w:tcBorders>
              <w:tl2br w:val="nil"/>
              <w:tr2bl w:val="nil"/>
            </w:tcBorders>
            <w:shd w:val="clear" w:color="auto" w:fill="auto"/>
            <w:noWrap/>
            <w:vAlign w:val="center"/>
          </w:tcPr>
          <w:p w14:paraId="38A61CDF">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0.12</w:t>
            </w:r>
          </w:p>
        </w:tc>
        <w:tc>
          <w:tcPr>
            <w:tcW w:w="285" w:type="pct"/>
            <w:tcBorders>
              <w:tl2br w:val="nil"/>
              <w:tr2bl w:val="nil"/>
            </w:tcBorders>
            <w:shd w:val="clear" w:color="auto" w:fill="auto"/>
            <w:noWrap/>
            <w:vAlign w:val="center"/>
          </w:tcPr>
          <w:p w14:paraId="7D8B655A">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0.15</w:t>
            </w:r>
          </w:p>
        </w:tc>
        <w:tc>
          <w:tcPr>
            <w:tcW w:w="285" w:type="pct"/>
            <w:tcBorders>
              <w:tl2br w:val="nil"/>
              <w:tr2bl w:val="nil"/>
            </w:tcBorders>
            <w:shd w:val="clear" w:color="auto" w:fill="auto"/>
            <w:noWrap/>
            <w:vAlign w:val="center"/>
          </w:tcPr>
          <w:p w14:paraId="5E41A73E">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0.16</w:t>
            </w:r>
          </w:p>
        </w:tc>
        <w:tc>
          <w:tcPr>
            <w:tcW w:w="261" w:type="pct"/>
            <w:tcBorders>
              <w:tl2br w:val="nil"/>
              <w:tr2bl w:val="nil"/>
            </w:tcBorders>
            <w:shd w:val="clear" w:color="auto" w:fill="auto"/>
            <w:noWrap/>
            <w:vAlign w:val="center"/>
          </w:tcPr>
          <w:p w14:paraId="5791F461">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0.15</w:t>
            </w:r>
          </w:p>
        </w:tc>
        <w:tc>
          <w:tcPr>
            <w:tcW w:w="267" w:type="pct"/>
            <w:tcBorders>
              <w:tl2br w:val="nil"/>
              <w:tr2bl w:val="nil"/>
            </w:tcBorders>
            <w:shd w:val="clear" w:color="auto" w:fill="auto"/>
            <w:noWrap/>
            <w:vAlign w:val="center"/>
          </w:tcPr>
          <w:p w14:paraId="0E8A23ED">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0.18</w:t>
            </w:r>
          </w:p>
        </w:tc>
        <w:tc>
          <w:tcPr>
            <w:tcW w:w="249" w:type="pct"/>
            <w:tcBorders>
              <w:tl2br w:val="nil"/>
              <w:tr2bl w:val="nil"/>
            </w:tcBorders>
            <w:shd w:val="clear" w:color="auto" w:fill="auto"/>
            <w:noWrap/>
            <w:vAlign w:val="center"/>
          </w:tcPr>
          <w:p w14:paraId="17074F1D">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sz w:val="21"/>
                <w:szCs w:val="21"/>
                <w:highlight w:val="none"/>
                <w:u w:val="none"/>
                <w:lang w:val="en-US" w:eastAsia="zh-CN"/>
              </w:rPr>
              <w:t>/</w:t>
            </w:r>
          </w:p>
        </w:tc>
        <w:tc>
          <w:tcPr>
            <w:tcW w:w="329" w:type="pct"/>
            <w:tcBorders>
              <w:tl2br w:val="nil"/>
              <w:tr2bl w:val="nil"/>
            </w:tcBorders>
            <w:shd w:val="clear" w:color="auto" w:fill="auto"/>
            <w:noWrap/>
            <w:vAlign w:val="center"/>
          </w:tcPr>
          <w:p w14:paraId="4817ED1F">
            <w:pPr>
              <w:pStyle w:val="30"/>
              <w:ind w:firstLine="0" w:firstLineChars="0"/>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color w:val="auto"/>
                <w:sz w:val="21"/>
                <w:szCs w:val="21"/>
                <w:highlight w:val="none"/>
              </w:rPr>
              <w:t>≤1.0</w:t>
            </w:r>
          </w:p>
        </w:tc>
      </w:tr>
      <w:tr w14:paraId="6171618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475" w:type="pct"/>
            <w:tcBorders>
              <w:tl2br w:val="nil"/>
              <w:tr2bl w:val="nil"/>
            </w:tcBorders>
            <w:shd w:val="clear" w:color="auto" w:fill="auto"/>
            <w:vAlign w:val="center"/>
          </w:tcPr>
          <w:p w14:paraId="69E4EC05">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砷（mg/L）</w:t>
            </w:r>
          </w:p>
        </w:tc>
        <w:tc>
          <w:tcPr>
            <w:tcW w:w="284" w:type="pct"/>
            <w:tcBorders>
              <w:tl2br w:val="nil"/>
              <w:tr2bl w:val="nil"/>
            </w:tcBorders>
            <w:shd w:val="clear" w:color="auto" w:fill="auto"/>
            <w:noWrap/>
            <w:vAlign w:val="center"/>
          </w:tcPr>
          <w:p w14:paraId="764A6944">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0.0014</w:t>
            </w:r>
          </w:p>
        </w:tc>
        <w:tc>
          <w:tcPr>
            <w:tcW w:w="284" w:type="pct"/>
            <w:tcBorders>
              <w:tl2br w:val="nil"/>
              <w:tr2bl w:val="nil"/>
            </w:tcBorders>
            <w:shd w:val="clear" w:color="auto" w:fill="auto"/>
            <w:noWrap/>
            <w:vAlign w:val="center"/>
          </w:tcPr>
          <w:p w14:paraId="61B10B3A">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0.0017</w:t>
            </w:r>
          </w:p>
        </w:tc>
        <w:tc>
          <w:tcPr>
            <w:tcW w:w="284" w:type="pct"/>
            <w:tcBorders>
              <w:tl2br w:val="nil"/>
              <w:tr2bl w:val="nil"/>
            </w:tcBorders>
            <w:shd w:val="clear" w:color="auto" w:fill="auto"/>
            <w:noWrap/>
            <w:vAlign w:val="center"/>
          </w:tcPr>
          <w:p w14:paraId="0745699E">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0.0044</w:t>
            </w:r>
          </w:p>
        </w:tc>
        <w:tc>
          <w:tcPr>
            <w:tcW w:w="284" w:type="pct"/>
            <w:tcBorders>
              <w:tl2br w:val="nil"/>
              <w:tr2bl w:val="nil"/>
            </w:tcBorders>
            <w:shd w:val="clear" w:color="auto" w:fill="auto"/>
            <w:noWrap/>
            <w:vAlign w:val="center"/>
          </w:tcPr>
          <w:p w14:paraId="4623489E">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0.0087</w:t>
            </w:r>
          </w:p>
        </w:tc>
        <w:tc>
          <w:tcPr>
            <w:tcW w:w="284" w:type="pct"/>
            <w:tcBorders>
              <w:tl2br w:val="nil"/>
              <w:tr2bl w:val="nil"/>
            </w:tcBorders>
            <w:shd w:val="clear" w:color="auto" w:fill="auto"/>
            <w:noWrap/>
            <w:vAlign w:val="center"/>
          </w:tcPr>
          <w:p w14:paraId="3E95D0E8">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0.0016</w:t>
            </w:r>
          </w:p>
        </w:tc>
        <w:tc>
          <w:tcPr>
            <w:tcW w:w="284" w:type="pct"/>
            <w:tcBorders>
              <w:tl2br w:val="nil"/>
              <w:tr2bl w:val="nil"/>
            </w:tcBorders>
            <w:shd w:val="clear" w:color="auto" w:fill="auto"/>
            <w:noWrap/>
            <w:vAlign w:val="center"/>
          </w:tcPr>
          <w:p w14:paraId="25A0D9F5">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0.0025</w:t>
            </w:r>
          </w:p>
        </w:tc>
        <w:tc>
          <w:tcPr>
            <w:tcW w:w="284" w:type="pct"/>
            <w:tcBorders>
              <w:tl2br w:val="nil"/>
              <w:tr2bl w:val="nil"/>
            </w:tcBorders>
            <w:shd w:val="clear" w:color="auto" w:fill="auto"/>
            <w:noWrap/>
            <w:vAlign w:val="center"/>
          </w:tcPr>
          <w:p w14:paraId="5327B40B">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0.0045</w:t>
            </w:r>
          </w:p>
        </w:tc>
        <w:tc>
          <w:tcPr>
            <w:tcW w:w="284" w:type="pct"/>
            <w:tcBorders>
              <w:tl2br w:val="nil"/>
              <w:tr2bl w:val="nil"/>
            </w:tcBorders>
            <w:shd w:val="clear" w:color="auto" w:fill="auto"/>
            <w:noWrap/>
            <w:vAlign w:val="center"/>
          </w:tcPr>
          <w:p w14:paraId="2CF6762C">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0.0098</w:t>
            </w:r>
          </w:p>
        </w:tc>
        <w:tc>
          <w:tcPr>
            <w:tcW w:w="284" w:type="pct"/>
            <w:tcBorders>
              <w:tl2br w:val="nil"/>
              <w:tr2bl w:val="nil"/>
            </w:tcBorders>
            <w:shd w:val="clear" w:color="auto" w:fill="auto"/>
            <w:noWrap/>
            <w:vAlign w:val="center"/>
          </w:tcPr>
          <w:p w14:paraId="5C15D356">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0.0094</w:t>
            </w:r>
          </w:p>
        </w:tc>
        <w:tc>
          <w:tcPr>
            <w:tcW w:w="285" w:type="pct"/>
            <w:tcBorders>
              <w:tl2br w:val="nil"/>
              <w:tr2bl w:val="nil"/>
            </w:tcBorders>
            <w:shd w:val="clear" w:color="auto" w:fill="auto"/>
            <w:noWrap/>
            <w:vAlign w:val="center"/>
          </w:tcPr>
          <w:p w14:paraId="44DAB548">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0.0087</w:t>
            </w:r>
          </w:p>
        </w:tc>
        <w:tc>
          <w:tcPr>
            <w:tcW w:w="285" w:type="pct"/>
            <w:tcBorders>
              <w:tl2br w:val="nil"/>
              <w:tr2bl w:val="nil"/>
            </w:tcBorders>
            <w:shd w:val="clear" w:color="auto" w:fill="auto"/>
            <w:noWrap/>
            <w:vAlign w:val="center"/>
          </w:tcPr>
          <w:p w14:paraId="3CD80D0B">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0.0081</w:t>
            </w:r>
          </w:p>
        </w:tc>
        <w:tc>
          <w:tcPr>
            <w:tcW w:w="285" w:type="pct"/>
            <w:tcBorders>
              <w:tl2br w:val="nil"/>
              <w:tr2bl w:val="nil"/>
            </w:tcBorders>
            <w:shd w:val="clear" w:color="auto" w:fill="auto"/>
            <w:noWrap/>
            <w:vAlign w:val="center"/>
          </w:tcPr>
          <w:p w14:paraId="38E93EF4">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0.0079</w:t>
            </w:r>
          </w:p>
        </w:tc>
        <w:tc>
          <w:tcPr>
            <w:tcW w:w="261" w:type="pct"/>
            <w:tcBorders>
              <w:tl2br w:val="nil"/>
              <w:tr2bl w:val="nil"/>
            </w:tcBorders>
            <w:shd w:val="clear" w:color="auto" w:fill="auto"/>
            <w:noWrap/>
            <w:vAlign w:val="center"/>
          </w:tcPr>
          <w:p w14:paraId="6A7B48A7">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0.0063</w:t>
            </w:r>
          </w:p>
        </w:tc>
        <w:tc>
          <w:tcPr>
            <w:tcW w:w="267" w:type="pct"/>
            <w:tcBorders>
              <w:tl2br w:val="nil"/>
              <w:tr2bl w:val="nil"/>
            </w:tcBorders>
            <w:shd w:val="clear" w:color="auto" w:fill="auto"/>
            <w:noWrap/>
            <w:vAlign w:val="center"/>
          </w:tcPr>
          <w:p w14:paraId="54BFC3B0">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0.0067</w:t>
            </w:r>
          </w:p>
        </w:tc>
        <w:tc>
          <w:tcPr>
            <w:tcW w:w="249" w:type="pct"/>
            <w:tcBorders>
              <w:tl2br w:val="nil"/>
              <w:tr2bl w:val="nil"/>
            </w:tcBorders>
            <w:shd w:val="clear" w:color="auto" w:fill="auto"/>
            <w:noWrap/>
            <w:vAlign w:val="center"/>
          </w:tcPr>
          <w:p w14:paraId="5A37464C">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sz w:val="21"/>
                <w:szCs w:val="21"/>
                <w:highlight w:val="none"/>
                <w:u w:val="none"/>
                <w:lang w:val="en-US" w:eastAsia="zh-CN"/>
              </w:rPr>
              <w:t>/</w:t>
            </w:r>
          </w:p>
        </w:tc>
        <w:tc>
          <w:tcPr>
            <w:tcW w:w="329" w:type="pct"/>
            <w:tcBorders>
              <w:tl2br w:val="nil"/>
              <w:tr2bl w:val="nil"/>
            </w:tcBorders>
            <w:shd w:val="clear" w:color="auto" w:fill="auto"/>
            <w:noWrap/>
            <w:vAlign w:val="center"/>
          </w:tcPr>
          <w:p w14:paraId="79E15911">
            <w:pPr>
              <w:pStyle w:val="30"/>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color w:val="auto"/>
                <w:sz w:val="21"/>
                <w:szCs w:val="21"/>
                <w:highlight w:val="none"/>
              </w:rPr>
              <w:t>≤0.01</w:t>
            </w:r>
          </w:p>
        </w:tc>
      </w:tr>
      <w:tr w14:paraId="005BF0D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475" w:type="pct"/>
            <w:tcBorders>
              <w:tl2br w:val="nil"/>
              <w:tr2bl w:val="nil"/>
            </w:tcBorders>
            <w:shd w:val="clear" w:color="auto" w:fill="auto"/>
            <w:vAlign w:val="center"/>
          </w:tcPr>
          <w:p w14:paraId="76219745">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汞（mg/L）</w:t>
            </w:r>
          </w:p>
        </w:tc>
        <w:tc>
          <w:tcPr>
            <w:tcW w:w="284" w:type="pct"/>
            <w:tcBorders>
              <w:tl2br w:val="nil"/>
              <w:tr2bl w:val="nil"/>
            </w:tcBorders>
            <w:shd w:val="clear" w:color="auto" w:fill="auto"/>
            <w:noWrap/>
            <w:vAlign w:val="center"/>
          </w:tcPr>
          <w:p w14:paraId="36A6008F">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0.00035</w:t>
            </w:r>
          </w:p>
        </w:tc>
        <w:tc>
          <w:tcPr>
            <w:tcW w:w="284" w:type="pct"/>
            <w:tcBorders>
              <w:tl2br w:val="nil"/>
              <w:tr2bl w:val="nil"/>
            </w:tcBorders>
            <w:shd w:val="clear" w:color="auto" w:fill="auto"/>
            <w:noWrap/>
            <w:vAlign w:val="center"/>
          </w:tcPr>
          <w:p w14:paraId="60DCE40F">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0.00091</w:t>
            </w:r>
          </w:p>
        </w:tc>
        <w:tc>
          <w:tcPr>
            <w:tcW w:w="284" w:type="pct"/>
            <w:tcBorders>
              <w:tl2br w:val="nil"/>
              <w:tr2bl w:val="nil"/>
            </w:tcBorders>
            <w:shd w:val="clear" w:color="auto" w:fill="auto"/>
            <w:noWrap/>
            <w:vAlign w:val="center"/>
          </w:tcPr>
          <w:p w14:paraId="2A14CF85">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0.00057</w:t>
            </w:r>
          </w:p>
        </w:tc>
        <w:tc>
          <w:tcPr>
            <w:tcW w:w="284" w:type="pct"/>
            <w:tcBorders>
              <w:tl2br w:val="nil"/>
              <w:tr2bl w:val="nil"/>
            </w:tcBorders>
            <w:shd w:val="clear" w:color="auto" w:fill="auto"/>
            <w:noWrap/>
            <w:vAlign w:val="center"/>
          </w:tcPr>
          <w:p w14:paraId="0891EE8F">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0.00076</w:t>
            </w:r>
          </w:p>
        </w:tc>
        <w:tc>
          <w:tcPr>
            <w:tcW w:w="284" w:type="pct"/>
            <w:tcBorders>
              <w:tl2br w:val="nil"/>
              <w:tr2bl w:val="nil"/>
            </w:tcBorders>
            <w:shd w:val="clear" w:color="auto" w:fill="auto"/>
            <w:noWrap/>
            <w:vAlign w:val="center"/>
          </w:tcPr>
          <w:p w14:paraId="2C6316BF">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0.0006</w:t>
            </w:r>
          </w:p>
        </w:tc>
        <w:tc>
          <w:tcPr>
            <w:tcW w:w="284" w:type="pct"/>
            <w:tcBorders>
              <w:tl2br w:val="nil"/>
              <w:tr2bl w:val="nil"/>
            </w:tcBorders>
            <w:shd w:val="clear" w:color="auto" w:fill="auto"/>
            <w:noWrap/>
            <w:vAlign w:val="center"/>
          </w:tcPr>
          <w:p w14:paraId="10236945">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0.00038</w:t>
            </w:r>
          </w:p>
        </w:tc>
        <w:tc>
          <w:tcPr>
            <w:tcW w:w="284" w:type="pct"/>
            <w:tcBorders>
              <w:tl2br w:val="nil"/>
              <w:tr2bl w:val="nil"/>
            </w:tcBorders>
            <w:shd w:val="clear" w:color="auto" w:fill="auto"/>
            <w:noWrap/>
            <w:vAlign w:val="center"/>
          </w:tcPr>
          <w:p w14:paraId="1467192B">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0.00082</w:t>
            </w:r>
          </w:p>
        </w:tc>
        <w:tc>
          <w:tcPr>
            <w:tcW w:w="284" w:type="pct"/>
            <w:tcBorders>
              <w:tl2br w:val="nil"/>
              <w:tr2bl w:val="nil"/>
            </w:tcBorders>
            <w:shd w:val="clear" w:color="auto" w:fill="auto"/>
            <w:noWrap/>
            <w:vAlign w:val="center"/>
          </w:tcPr>
          <w:p w14:paraId="11CD3F3F">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0.00029</w:t>
            </w:r>
          </w:p>
        </w:tc>
        <w:tc>
          <w:tcPr>
            <w:tcW w:w="284" w:type="pct"/>
            <w:tcBorders>
              <w:tl2br w:val="nil"/>
              <w:tr2bl w:val="nil"/>
            </w:tcBorders>
            <w:shd w:val="clear" w:color="auto" w:fill="auto"/>
            <w:noWrap/>
            <w:vAlign w:val="center"/>
          </w:tcPr>
          <w:p w14:paraId="35D9CA3F">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0.00028</w:t>
            </w:r>
          </w:p>
        </w:tc>
        <w:tc>
          <w:tcPr>
            <w:tcW w:w="285" w:type="pct"/>
            <w:tcBorders>
              <w:tl2br w:val="nil"/>
              <w:tr2bl w:val="nil"/>
            </w:tcBorders>
            <w:shd w:val="clear" w:color="auto" w:fill="auto"/>
            <w:noWrap/>
            <w:vAlign w:val="center"/>
          </w:tcPr>
          <w:p w14:paraId="14899BBD">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0.00034</w:t>
            </w:r>
          </w:p>
        </w:tc>
        <w:tc>
          <w:tcPr>
            <w:tcW w:w="285" w:type="pct"/>
            <w:tcBorders>
              <w:tl2br w:val="nil"/>
              <w:tr2bl w:val="nil"/>
            </w:tcBorders>
            <w:shd w:val="clear" w:color="auto" w:fill="auto"/>
            <w:noWrap/>
            <w:vAlign w:val="center"/>
          </w:tcPr>
          <w:p w14:paraId="45C49DAB">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0.00051</w:t>
            </w:r>
          </w:p>
        </w:tc>
        <w:tc>
          <w:tcPr>
            <w:tcW w:w="285" w:type="pct"/>
            <w:tcBorders>
              <w:tl2br w:val="nil"/>
              <w:tr2bl w:val="nil"/>
            </w:tcBorders>
            <w:shd w:val="clear" w:color="auto" w:fill="auto"/>
            <w:noWrap/>
            <w:vAlign w:val="center"/>
          </w:tcPr>
          <w:p w14:paraId="637C6986">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0.00044</w:t>
            </w:r>
          </w:p>
        </w:tc>
        <w:tc>
          <w:tcPr>
            <w:tcW w:w="261" w:type="pct"/>
            <w:tcBorders>
              <w:tl2br w:val="nil"/>
              <w:tr2bl w:val="nil"/>
            </w:tcBorders>
            <w:shd w:val="clear" w:color="auto" w:fill="auto"/>
            <w:noWrap/>
            <w:vAlign w:val="center"/>
          </w:tcPr>
          <w:p w14:paraId="6B2432C3">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0.00052</w:t>
            </w:r>
          </w:p>
        </w:tc>
        <w:tc>
          <w:tcPr>
            <w:tcW w:w="267" w:type="pct"/>
            <w:tcBorders>
              <w:tl2br w:val="nil"/>
              <w:tr2bl w:val="nil"/>
            </w:tcBorders>
            <w:shd w:val="clear" w:color="auto" w:fill="auto"/>
            <w:noWrap/>
            <w:vAlign w:val="center"/>
          </w:tcPr>
          <w:p w14:paraId="2CF9346F">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0.00061</w:t>
            </w:r>
          </w:p>
        </w:tc>
        <w:tc>
          <w:tcPr>
            <w:tcW w:w="249" w:type="pct"/>
            <w:tcBorders>
              <w:tl2br w:val="nil"/>
              <w:tr2bl w:val="nil"/>
            </w:tcBorders>
            <w:shd w:val="clear" w:color="auto" w:fill="auto"/>
            <w:noWrap/>
            <w:vAlign w:val="center"/>
          </w:tcPr>
          <w:p w14:paraId="29392A31">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sz w:val="21"/>
                <w:szCs w:val="21"/>
                <w:highlight w:val="none"/>
                <w:u w:val="none"/>
                <w:lang w:val="en-US" w:eastAsia="zh-CN"/>
              </w:rPr>
              <w:t>/</w:t>
            </w:r>
          </w:p>
        </w:tc>
        <w:tc>
          <w:tcPr>
            <w:tcW w:w="329" w:type="pct"/>
            <w:tcBorders>
              <w:tl2br w:val="nil"/>
              <w:tr2bl w:val="nil"/>
            </w:tcBorders>
            <w:shd w:val="clear" w:color="auto" w:fill="auto"/>
            <w:noWrap/>
            <w:vAlign w:val="center"/>
          </w:tcPr>
          <w:p w14:paraId="4553162C">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color w:val="auto"/>
                <w:kern w:val="2"/>
                <w:sz w:val="21"/>
                <w:szCs w:val="21"/>
                <w:highlight w:val="none"/>
                <w:lang w:val="en-US" w:eastAsia="zh-CN" w:bidi="ar-SA"/>
              </w:rPr>
              <w:t>≤</w:t>
            </w:r>
            <w:r>
              <w:rPr>
                <w:rFonts w:hint="default" w:ascii="Times New Roman" w:hAnsi="Times New Roman" w:eastAsia="宋体" w:cs="Times New Roman"/>
                <w:i w:val="0"/>
                <w:iCs w:val="0"/>
                <w:color w:val="auto"/>
                <w:kern w:val="0"/>
                <w:sz w:val="21"/>
                <w:szCs w:val="21"/>
                <w:highlight w:val="none"/>
                <w:u w:val="none"/>
                <w:lang w:val="en-US" w:eastAsia="zh-CN" w:bidi="ar"/>
              </w:rPr>
              <w:t>0.0</w:t>
            </w:r>
            <w:r>
              <w:rPr>
                <w:rFonts w:hint="eastAsia" w:ascii="Times New Roman" w:hAnsi="Times New Roman" w:cs="Times New Roman"/>
                <w:i w:val="0"/>
                <w:iCs w:val="0"/>
                <w:color w:val="auto"/>
                <w:kern w:val="0"/>
                <w:sz w:val="21"/>
                <w:szCs w:val="21"/>
                <w:highlight w:val="none"/>
                <w:u w:val="none"/>
                <w:lang w:val="en-US" w:eastAsia="zh-CN" w:bidi="ar"/>
              </w:rPr>
              <w:t>0</w:t>
            </w:r>
            <w:r>
              <w:rPr>
                <w:rFonts w:hint="default" w:ascii="Times New Roman" w:hAnsi="Times New Roman" w:eastAsia="宋体" w:cs="Times New Roman"/>
                <w:i w:val="0"/>
                <w:iCs w:val="0"/>
                <w:color w:val="auto"/>
                <w:kern w:val="0"/>
                <w:sz w:val="21"/>
                <w:szCs w:val="21"/>
                <w:highlight w:val="none"/>
                <w:u w:val="none"/>
                <w:lang w:val="en-US" w:eastAsia="zh-CN" w:bidi="ar"/>
              </w:rPr>
              <w:t>1</w:t>
            </w:r>
          </w:p>
        </w:tc>
      </w:tr>
      <w:tr w14:paraId="7468B64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475" w:type="pct"/>
            <w:tcBorders>
              <w:tl2br w:val="nil"/>
              <w:tr2bl w:val="nil"/>
            </w:tcBorders>
            <w:shd w:val="clear" w:color="auto" w:fill="auto"/>
            <w:vAlign w:val="center"/>
          </w:tcPr>
          <w:p w14:paraId="1E1DD9A8">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硒（mg/L）</w:t>
            </w:r>
          </w:p>
        </w:tc>
        <w:tc>
          <w:tcPr>
            <w:tcW w:w="284" w:type="pct"/>
            <w:tcBorders>
              <w:tl2br w:val="nil"/>
              <w:tr2bl w:val="nil"/>
            </w:tcBorders>
            <w:shd w:val="clear" w:color="auto" w:fill="auto"/>
            <w:noWrap/>
            <w:vAlign w:val="center"/>
          </w:tcPr>
          <w:p w14:paraId="66AEB057">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0.0004L</w:t>
            </w:r>
          </w:p>
        </w:tc>
        <w:tc>
          <w:tcPr>
            <w:tcW w:w="284" w:type="pct"/>
            <w:tcBorders>
              <w:tl2br w:val="nil"/>
              <w:tr2bl w:val="nil"/>
            </w:tcBorders>
            <w:shd w:val="clear" w:color="auto" w:fill="auto"/>
            <w:noWrap/>
            <w:vAlign w:val="center"/>
          </w:tcPr>
          <w:p w14:paraId="144B2339">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0.0004L</w:t>
            </w:r>
          </w:p>
        </w:tc>
        <w:tc>
          <w:tcPr>
            <w:tcW w:w="284" w:type="pct"/>
            <w:tcBorders>
              <w:tl2br w:val="nil"/>
              <w:tr2bl w:val="nil"/>
            </w:tcBorders>
            <w:shd w:val="clear" w:color="auto" w:fill="auto"/>
            <w:noWrap/>
            <w:vAlign w:val="center"/>
          </w:tcPr>
          <w:p w14:paraId="78EAEDD2">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0.0004L</w:t>
            </w:r>
          </w:p>
        </w:tc>
        <w:tc>
          <w:tcPr>
            <w:tcW w:w="284" w:type="pct"/>
            <w:tcBorders>
              <w:tl2br w:val="nil"/>
              <w:tr2bl w:val="nil"/>
            </w:tcBorders>
            <w:shd w:val="clear" w:color="auto" w:fill="auto"/>
            <w:noWrap/>
            <w:vAlign w:val="center"/>
          </w:tcPr>
          <w:p w14:paraId="0463808C">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0.0004L</w:t>
            </w:r>
          </w:p>
        </w:tc>
        <w:tc>
          <w:tcPr>
            <w:tcW w:w="284" w:type="pct"/>
            <w:tcBorders>
              <w:tl2br w:val="nil"/>
              <w:tr2bl w:val="nil"/>
            </w:tcBorders>
            <w:shd w:val="clear" w:color="auto" w:fill="auto"/>
            <w:noWrap/>
            <w:vAlign w:val="center"/>
          </w:tcPr>
          <w:p w14:paraId="1B8B7907">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0.0004L</w:t>
            </w:r>
          </w:p>
        </w:tc>
        <w:tc>
          <w:tcPr>
            <w:tcW w:w="284" w:type="pct"/>
            <w:tcBorders>
              <w:tl2br w:val="nil"/>
              <w:tr2bl w:val="nil"/>
            </w:tcBorders>
            <w:shd w:val="clear" w:color="auto" w:fill="auto"/>
            <w:noWrap/>
            <w:vAlign w:val="center"/>
          </w:tcPr>
          <w:p w14:paraId="49584FED">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0.0004L</w:t>
            </w:r>
          </w:p>
        </w:tc>
        <w:tc>
          <w:tcPr>
            <w:tcW w:w="284" w:type="pct"/>
            <w:tcBorders>
              <w:tl2br w:val="nil"/>
              <w:tr2bl w:val="nil"/>
            </w:tcBorders>
            <w:shd w:val="clear" w:color="auto" w:fill="auto"/>
            <w:noWrap/>
            <w:vAlign w:val="center"/>
          </w:tcPr>
          <w:p w14:paraId="3FD5667A">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0.0004L</w:t>
            </w:r>
          </w:p>
        </w:tc>
        <w:tc>
          <w:tcPr>
            <w:tcW w:w="284" w:type="pct"/>
            <w:tcBorders>
              <w:tl2br w:val="nil"/>
              <w:tr2bl w:val="nil"/>
            </w:tcBorders>
            <w:shd w:val="clear" w:color="auto" w:fill="auto"/>
            <w:noWrap/>
            <w:vAlign w:val="center"/>
          </w:tcPr>
          <w:p w14:paraId="60A8F76B">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0.0004L</w:t>
            </w:r>
          </w:p>
        </w:tc>
        <w:tc>
          <w:tcPr>
            <w:tcW w:w="284" w:type="pct"/>
            <w:tcBorders>
              <w:tl2br w:val="nil"/>
              <w:tr2bl w:val="nil"/>
            </w:tcBorders>
            <w:shd w:val="clear" w:color="auto" w:fill="auto"/>
            <w:noWrap/>
            <w:vAlign w:val="center"/>
          </w:tcPr>
          <w:p w14:paraId="468687A6">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0.0004L</w:t>
            </w:r>
          </w:p>
        </w:tc>
        <w:tc>
          <w:tcPr>
            <w:tcW w:w="285" w:type="pct"/>
            <w:tcBorders>
              <w:tl2br w:val="nil"/>
              <w:tr2bl w:val="nil"/>
            </w:tcBorders>
            <w:shd w:val="clear" w:color="auto" w:fill="auto"/>
            <w:noWrap/>
            <w:vAlign w:val="center"/>
          </w:tcPr>
          <w:p w14:paraId="00EF939A">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0.0004L</w:t>
            </w:r>
          </w:p>
        </w:tc>
        <w:tc>
          <w:tcPr>
            <w:tcW w:w="285" w:type="pct"/>
            <w:tcBorders>
              <w:tl2br w:val="nil"/>
              <w:tr2bl w:val="nil"/>
            </w:tcBorders>
            <w:shd w:val="clear" w:color="auto" w:fill="auto"/>
            <w:noWrap/>
            <w:vAlign w:val="center"/>
          </w:tcPr>
          <w:p w14:paraId="20603DB3">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0.0004L</w:t>
            </w:r>
          </w:p>
        </w:tc>
        <w:tc>
          <w:tcPr>
            <w:tcW w:w="285" w:type="pct"/>
            <w:tcBorders>
              <w:tl2br w:val="nil"/>
              <w:tr2bl w:val="nil"/>
            </w:tcBorders>
            <w:shd w:val="clear" w:color="auto" w:fill="auto"/>
            <w:noWrap/>
            <w:vAlign w:val="center"/>
          </w:tcPr>
          <w:p w14:paraId="13B30D54">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0.0004L</w:t>
            </w:r>
          </w:p>
        </w:tc>
        <w:tc>
          <w:tcPr>
            <w:tcW w:w="261" w:type="pct"/>
            <w:tcBorders>
              <w:tl2br w:val="nil"/>
              <w:tr2bl w:val="nil"/>
            </w:tcBorders>
            <w:shd w:val="clear" w:color="auto" w:fill="auto"/>
            <w:noWrap/>
            <w:vAlign w:val="center"/>
          </w:tcPr>
          <w:p w14:paraId="2D1A18C2">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0.0004L</w:t>
            </w:r>
          </w:p>
        </w:tc>
        <w:tc>
          <w:tcPr>
            <w:tcW w:w="267" w:type="pct"/>
            <w:tcBorders>
              <w:tl2br w:val="nil"/>
              <w:tr2bl w:val="nil"/>
            </w:tcBorders>
            <w:shd w:val="clear" w:color="auto" w:fill="auto"/>
            <w:noWrap/>
            <w:vAlign w:val="center"/>
          </w:tcPr>
          <w:p w14:paraId="539D4A15">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0.0004L</w:t>
            </w:r>
          </w:p>
        </w:tc>
        <w:tc>
          <w:tcPr>
            <w:tcW w:w="249" w:type="pct"/>
            <w:tcBorders>
              <w:tl2br w:val="nil"/>
              <w:tr2bl w:val="nil"/>
            </w:tcBorders>
            <w:shd w:val="clear" w:color="auto" w:fill="auto"/>
            <w:noWrap/>
            <w:vAlign w:val="center"/>
          </w:tcPr>
          <w:p w14:paraId="40C2C9ED">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sz w:val="21"/>
                <w:szCs w:val="21"/>
                <w:highlight w:val="none"/>
                <w:u w:val="none"/>
                <w:lang w:val="en-US" w:eastAsia="zh-CN"/>
              </w:rPr>
              <w:t>/</w:t>
            </w:r>
          </w:p>
        </w:tc>
        <w:tc>
          <w:tcPr>
            <w:tcW w:w="329" w:type="pct"/>
            <w:tcBorders>
              <w:tl2br w:val="nil"/>
              <w:tr2bl w:val="nil"/>
            </w:tcBorders>
            <w:shd w:val="clear" w:color="auto" w:fill="auto"/>
            <w:noWrap/>
            <w:vAlign w:val="center"/>
          </w:tcPr>
          <w:p w14:paraId="098A8FF9">
            <w:pPr>
              <w:pStyle w:val="30"/>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color w:val="auto"/>
                <w:sz w:val="21"/>
                <w:szCs w:val="21"/>
                <w:highlight w:val="none"/>
              </w:rPr>
              <w:t>≤0.01</w:t>
            </w:r>
          </w:p>
        </w:tc>
      </w:tr>
      <w:tr w14:paraId="68EF536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475" w:type="pct"/>
            <w:tcBorders>
              <w:tl2br w:val="nil"/>
              <w:tr2bl w:val="nil"/>
            </w:tcBorders>
            <w:shd w:val="clear" w:color="auto" w:fill="auto"/>
            <w:vAlign w:val="center"/>
          </w:tcPr>
          <w:p w14:paraId="78E84C8A">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铅</w:t>
            </w:r>
            <w:r>
              <w:rPr>
                <w:rFonts w:hint="default" w:ascii="Times New Roman" w:hAnsi="Times New Roman" w:eastAsia="宋体" w:cs="Times New Roman"/>
                <w:color w:val="auto"/>
                <w:sz w:val="21"/>
                <w:szCs w:val="21"/>
                <w:highlight w:val="none"/>
                <w:u w:val="none"/>
                <w:lang w:val="en-US" w:eastAsia="zh-CN" w:bidi="ar"/>
              </w:rPr>
              <w:t>（mg/L）</w:t>
            </w:r>
          </w:p>
        </w:tc>
        <w:tc>
          <w:tcPr>
            <w:tcW w:w="284" w:type="pct"/>
            <w:tcBorders>
              <w:tl2br w:val="nil"/>
              <w:tr2bl w:val="nil"/>
            </w:tcBorders>
            <w:shd w:val="clear" w:color="auto" w:fill="auto"/>
            <w:noWrap/>
            <w:vAlign w:val="center"/>
          </w:tcPr>
          <w:p w14:paraId="064034CE">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0.00009L</w:t>
            </w:r>
          </w:p>
        </w:tc>
        <w:tc>
          <w:tcPr>
            <w:tcW w:w="284" w:type="pct"/>
            <w:tcBorders>
              <w:tl2br w:val="nil"/>
              <w:tr2bl w:val="nil"/>
            </w:tcBorders>
            <w:shd w:val="clear" w:color="auto" w:fill="auto"/>
            <w:noWrap/>
            <w:vAlign w:val="center"/>
          </w:tcPr>
          <w:p w14:paraId="1F4C7085">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0.00009L</w:t>
            </w:r>
          </w:p>
        </w:tc>
        <w:tc>
          <w:tcPr>
            <w:tcW w:w="284" w:type="pct"/>
            <w:tcBorders>
              <w:tl2br w:val="nil"/>
              <w:tr2bl w:val="nil"/>
            </w:tcBorders>
            <w:shd w:val="clear" w:color="auto" w:fill="auto"/>
            <w:noWrap/>
            <w:vAlign w:val="center"/>
          </w:tcPr>
          <w:p w14:paraId="1B1A87E8">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0.00009L</w:t>
            </w:r>
          </w:p>
        </w:tc>
        <w:tc>
          <w:tcPr>
            <w:tcW w:w="284" w:type="pct"/>
            <w:tcBorders>
              <w:tl2br w:val="nil"/>
              <w:tr2bl w:val="nil"/>
            </w:tcBorders>
            <w:shd w:val="clear" w:color="auto" w:fill="auto"/>
            <w:noWrap/>
            <w:vAlign w:val="center"/>
          </w:tcPr>
          <w:p w14:paraId="4A28BD61">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0.00009L</w:t>
            </w:r>
          </w:p>
        </w:tc>
        <w:tc>
          <w:tcPr>
            <w:tcW w:w="284" w:type="pct"/>
            <w:tcBorders>
              <w:tl2br w:val="nil"/>
              <w:tr2bl w:val="nil"/>
            </w:tcBorders>
            <w:shd w:val="clear" w:color="auto" w:fill="auto"/>
            <w:noWrap/>
            <w:vAlign w:val="center"/>
          </w:tcPr>
          <w:p w14:paraId="21E49990">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0.00009L</w:t>
            </w:r>
          </w:p>
        </w:tc>
        <w:tc>
          <w:tcPr>
            <w:tcW w:w="284" w:type="pct"/>
            <w:tcBorders>
              <w:tl2br w:val="nil"/>
              <w:tr2bl w:val="nil"/>
            </w:tcBorders>
            <w:shd w:val="clear" w:color="auto" w:fill="auto"/>
            <w:noWrap/>
            <w:vAlign w:val="center"/>
          </w:tcPr>
          <w:p w14:paraId="46EDB19E">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0.00009L</w:t>
            </w:r>
          </w:p>
        </w:tc>
        <w:tc>
          <w:tcPr>
            <w:tcW w:w="284" w:type="pct"/>
            <w:tcBorders>
              <w:tl2br w:val="nil"/>
              <w:tr2bl w:val="nil"/>
            </w:tcBorders>
            <w:shd w:val="clear" w:color="auto" w:fill="auto"/>
            <w:noWrap/>
            <w:vAlign w:val="center"/>
          </w:tcPr>
          <w:p w14:paraId="21421912">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0.00009L</w:t>
            </w:r>
          </w:p>
        </w:tc>
        <w:tc>
          <w:tcPr>
            <w:tcW w:w="284" w:type="pct"/>
            <w:tcBorders>
              <w:tl2br w:val="nil"/>
              <w:tr2bl w:val="nil"/>
            </w:tcBorders>
            <w:shd w:val="clear" w:color="auto" w:fill="auto"/>
            <w:noWrap/>
            <w:vAlign w:val="center"/>
          </w:tcPr>
          <w:p w14:paraId="0EE85607">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0.00009L</w:t>
            </w:r>
          </w:p>
        </w:tc>
        <w:tc>
          <w:tcPr>
            <w:tcW w:w="284" w:type="pct"/>
            <w:tcBorders>
              <w:tl2br w:val="nil"/>
              <w:tr2bl w:val="nil"/>
            </w:tcBorders>
            <w:shd w:val="clear" w:color="auto" w:fill="auto"/>
            <w:noWrap/>
            <w:vAlign w:val="center"/>
          </w:tcPr>
          <w:p w14:paraId="702411C6">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0.00009L</w:t>
            </w:r>
          </w:p>
        </w:tc>
        <w:tc>
          <w:tcPr>
            <w:tcW w:w="285" w:type="pct"/>
            <w:tcBorders>
              <w:tl2br w:val="nil"/>
              <w:tr2bl w:val="nil"/>
            </w:tcBorders>
            <w:shd w:val="clear" w:color="auto" w:fill="auto"/>
            <w:noWrap/>
            <w:vAlign w:val="center"/>
          </w:tcPr>
          <w:p w14:paraId="47C2E317">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0.00009L</w:t>
            </w:r>
          </w:p>
        </w:tc>
        <w:tc>
          <w:tcPr>
            <w:tcW w:w="285" w:type="pct"/>
            <w:tcBorders>
              <w:tl2br w:val="nil"/>
              <w:tr2bl w:val="nil"/>
            </w:tcBorders>
            <w:shd w:val="clear" w:color="auto" w:fill="auto"/>
            <w:noWrap/>
            <w:vAlign w:val="center"/>
          </w:tcPr>
          <w:p w14:paraId="79C308DA">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0.00009L</w:t>
            </w:r>
          </w:p>
        </w:tc>
        <w:tc>
          <w:tcPr>
            <w:tcW w:w="285" w:type="pct"/>
            <w:tcBorders>
              <w:tl2br w:val="nil"/>
              <w:tr2bl w:val="nil"/>
            </w:tcBorders>
            <w:shd w:val="clear" w:color="auto" w:fill="auto"/>
            <w:noWrap/>
            <w:vAlign w:val="center"/>
          </w:tcPr>
          <w:p w14:paraId="2620E84F">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0.00009L</w:t>
            </w:r>
          </w:p>
        </w:tc>
        <w:tc>
          <w:tcPr>
            <w:tcW w:w="261" w:type="pct"/>
            <w:tcBorders>
              <w:tl2br w:val="nil"/>
              <w:tr2bl w:val="nil"/>
            </w:tcBorders>
            <w:shd w:val="clear" w:color="auto" w:fill="auto"/>
            <w:noWrap/>
            <w:vAlign w:val="center"/>
          </w:tcPr>
          <w:p w14:paraId="59339715">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0.00009L</w:t>
            </w:r>
          </w:p>
        </w:tc>
        <w:tc>
          <w:tcPr>
            <w:tcW w:w="267" w:type="pct"/>
            <w:tcBorders>
              <w:tl2br w:val="nil"/>
              <w:tr2bl w:val="nil"/>
            </w:tcBorders>
            <w:shd w:val="clear" w:color="auto" w:fill="auto"/>
            <w:noWrap/>
            <w:vAlign w:val="center"/>
          </w:tcPr>
          <w:p w14:paraId="224788B4">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0.00009L</w:t>
            </w:r>
          </w:p>
        </w:tc>
        <w:tc>
          <w:tcPr>
            <w:tcW w:w="249" w:type="pct"/>
            <w:tcBorders>
              <w:tl2br w:val="nil"/>
              <w:tr2bl w:val="nil"/>
            </w:tcBorders>
            <w:shd w:val="clear" w:color="auto" w:fill="auto"/>
            <w:noWrap/>
            <w:vAlign w:val="center"/>
          </w:tcPr>
          <w:p w14:paraId="0C24390B">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sz w:val="21"/>
                <w:szCs w:val="21"/>
                <w:highlight w:val="none"/>
                <w:u w:val="none"/>
                <w:lang w:val="en-US" w:eastAsia="zh-CN"/>
              </w:rPr>
              <w:t>/</w:t>
            </w:r>
          </w:p>
        </w:tc>
        <w:tc>
          <w:tcPr>
            <w:tcW w:w="329" w:type="pct"/>
            <w:tcBorders>
              <w:tl2br w:val="nil"/>
              <w:tr2bl w:val="nil"/>
            </w:tcBorders>
            <w:shd w:val="clear" w:color="auto" w:fill="auto"/>
            <w:noWrap/>
            <w:vAlign w:val="center"/>
          </w:tcPr>
          <w:p w14:paraId="6692299C">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color w:val="auto"/>
                <w:kern w:val="2"/>
                <w:sz w:val="21"/>
                <w:szCs w:val="21"/>
                <w:highlight w:val="none"/>
                <w:lang w:val="en-US" w:eastAsia="zh-CN" w:bidi="ar-SA"/>
              </w:rPr>
              <w:t>≤</w:t>
            </w:r>
            <w:r>
              <w:rPr>
                <w:color w:val="auto"/>
                <w:sz w:val="21"/>
                <w:szCs w:val="21"/>
                <w:highlight w:val="none"/>
              </w:rPr>
              <w:t>0.01</w:t>
            </w:r>
          </w:p>
        </w:tc>
      </w:tr>
      <w:tr w14:paraId="3C8C50D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475" w:type="pct"/>
            <w:tcBorders>
              <w:tl2br w:val="nil"/>
              <w:tr2bl w:val="nil"/>
            </w:tcBorders>
            <w:shd w:val="clear" w:color="auto" w:fill="auto"/>
            <w:vAlign w:val="center"/>
          </w:tcPr>
          <w:p w14:paraId="21DBD1E5">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镉（mg/L）</w:t>
            </w:r>
          </w:p>
        </w:tc>
        <w:tc>
          <w:tcPr>
            <w:tcW w:w="284" w:type="pct"/>
            <w:tcBorders>
              <w:tl2br w:val="nil"/>
              <w:tr2bl w:val="nil"/>
            </w:tcBorders>
            <w:shd w:val="clear" w:color="auto" w:fill="auto"/>
            <w:noWrap/>
            <w:vAlign w:val="center"/>
          </w:tcPr>
          <w:p w14:paraId="097F69C2">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0.00005L</w:t>
            </w:r>
          </w:p>
        </w:tc>
        <w:tc>
          <w:tcPr>
            <w:tcW w:w="284" w:type="pct"/>
            <w:tcBorders>
              <w:tl2br w:val="nil"/>
              <w:tr2bl w:val="nil"/>
            </w:tcBorders>
            <w:shd w:val="clear" w:color="auto" w:fill="auto"/>
            <w:noWrap/>
            <w:vAlign w:val="center"/>
          </w:tcPr>
          <w:p w14:paraId="3D3C06BD">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0.00005L</w:t>
            </w:r>
          </w:p>
        </w:tc>
        <w:tc>
          <w:tcPr>
            <w:tcW w:w="284" w:type="pct"/>
            <w:tcBorders>
              <w:tl2br w:val="nil"/>
              <w:tr2bl w:val="nil"/>
            </w:tcBorders>
            <w:shd w:val="clear" w:color="auto" w:fill="auto"/>
            <w:noWrap/>
            <w:vAlign w:val="center"/>
          </w:tcPr>
          <w:p w14:paraId="40437FC7">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0.00005L</w:t>
            </w:r>
          </w:p>
        </w:tc>
        <w:tc>
          <w:tcPr>
            <w:tcW w:w="284" w:type="pct"/>
            <w:tcBorders>
              <w:tl2br w:val="nil"/>
              <w:tr2bl w:val="nil"/>
            </w:tcBorders>
            <w:shd w:val="clear" w:color="auto" w:fill="auto"/>
            <w:noWrap/>
            <w:vAlign w:val="center"/>
          </w:tcPr>
          <w:p w14:paraId="11B26F74">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0.00005L</w:t>
            </w:r>
          </w:p>
        </w:tc>
        <w:tc>
          <w:tcPr>
            <w:tcW w:w="284" w:type="pct"/>
            <w:tcBorders>
              <w:tl2br w:val="nil"/>
              <w:tr2bl w:val="nil"/>
            </w:tcBorders>
            <w:shd w:val="clear" w:color="auto" w:fill="auto"/>
            <w:noWrap/>
            <w:vAlign w:val="center"/>
          </w:tcPr>
          <w:p w14:paraId="7DF31170">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0.00005L</w:t>
            </w:r>
          </w:p>
        </w:tc>
        <w:tc>
          <w:tcPr>
            <w:tcW w:w="284" w:type="pct"/>
            <w:tcBorders>
              <w:tl2br w:val="nil"/>
              <w:tr2bl w:val="nil"/>
            </w:tcBorders>
            <w:shd w:val="clear" w:color="auto" w:fill="auto"/>
            <w:noWrap/>
            <w:vAlign w:val="center"/>
          </w:tcPr>
          <w:p w14:paraId="1A002A61">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0.00005L</w:t>
            </w:r>
          </w:p>
        </w:tc>
        <w:tc>
          <w:tcPr>
            <w:tcW w:w="284" w:type="pct"/>
            <w:tcBorders>
              <w:tl2br w:val="nil"/>
              <w:tr2bl w:val="nil"/>
            </w:tcBorders>
            <w:shd w:val="clear" w:color="auto" w:fill="auto"/>
            <w:noWrap/>
            <w:vAlign w:val="center"/>
          </w:tcPr>
          <w:p w14:paraId="1D898E97">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0.00005L</w:t>
            </w:r>
          </w:p>
        </w:tc>
        <w:tc>
          <w:tcPr>
            <w:tcW w:w="284" w:type="pct"/>
            <w:tcBorders>
              <w:tl2br w:val="nil"/>
              <w:tr2bl w:val="nil"/>
            </w:tcBorders>
            <w:shd w:val="clear" w:color="auto" w:fill="auto"/>
            <w:noWrap/>
            <w:vAlign w:val="center"/>
          </w:tcPr>
          <w:p w14:paraId="6B5E0D6E">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0.00005L</w:t>
            </w:r>
          </w:p>
        </w:tc>
        <w:tc>
          <w:tcPr>
            <w:tcW w:w="284" w:type="pct"/>
            <w:tcBorders>
              <w:tl2br w:val="nil"/>
              <w:tr2bl w:val="nil"/>
            </w:tcBorders>
            <w:shd w:val="clear" w:color="auto" w:fill="auto"/>
            <w:noWrap/>
            <w:vAlign w:val="center"/>
          </w:tcPr>
          <w:p w14:paraId="1B05C8E6">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0.00005L</w:t>
            </w:r>
          </w:p>
        </w:tc>
        <w:tc>
          <w:tcPr>
            <w:tcW w:w="285" w:type="pct"/>
            <w:tcBorders>
              <w:tl2br w:val="nil"/>
              <w:tr2bl w:val="nil"/>
            </w:tcBorders>
            <w:shd w:val="clear" w:color="auto" w:fill="auto"/>
            <w:noWrap/>
            <w:vAlign w:val="center"/>
          </w:tcPr>
          <w:p w14:paraId="15077063">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0.00005L</w:t>
            </w:r>
          </w:p>
        </w:tc>
        <w:tc>
          <w:tcPr>
            <w:tcW w:w="285" w:type="pct"/>
            <w:tcBorders>
              <w:tl2br w:val="nil"/>
              <w:tr2bl w:val="nil"/>
            </w:tcBorders>
            <w:shd w:val="clear" w:color="auto" w:fill="auto"/>
            <w:noWrap/>
            <w:vAlign w:val="center"/>
          </w:tcPr>
          <w:p w14:paraId="72E4AA75">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0.00005L</w:t>
            </w:r>
          </w:p>
        </w:tc>
        <w:tc>
          <w:tcPr>
            <w:tcW w:w="285" w:type="pct"/>
            <w:tcBorders>
              <w:tl2br w:val="nil"/>
              <w:tr2bl w:val="nil"/>
            </w:tcBorders>
            <w:shd w:val="clear" w:color="auto" w:fill="auto"/>
            <w:noWrap/>
            <w:vAlign w:val="center"/>
          </w:tcPr>
          <w:p w14:paraId="6082FBB7">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0.00005L</w:t>
            </w:r>
          </w:p>
        </w:tc>
        <w:tc>
          <w:tcPr>
            <w:tcW w:w="261" w:type="pct"/>
            <w:tcBorders>
              <w:tl2br w:val="nil"/>
              <w:tr2bl w:val="nil"/>
            </w:tcBorders>
            <w:shd w:val="clear" w:color="auto" w:fill="auto"/>
            <w:noWrap/>
            <w:vAlign w:val="center"/>
          </w:tcPr>
          <w:p w14:paraId="1158BD81">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0.00005L</w:t>
            </w:r>
          </w:p>
        </w:tc>
        <w:tc>
          <w:tcPr>
            <w:tcW w:w="267" w:type="pct"/>
            <w:tcBorders>
              <w:tl2br w:val="nil"/>
              <w:tr2bl w:val="nil"/>
            </w:tcBorders>
            <w:shd w:val="clear" w:color="auto" w:fill="auto"/>
            <w:noWrap/>
            <w:vAlign w:val="center"/>
          </w:tcPr>
          <w:p w14:paraId="1A0E2BE4">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0.00005L</w:t>
            </w:r>
          </w:p>
        </w:tc>
        <w:tc>
          <w:tcPr>
            <w:tcW w:w="249" w:type="pct"/>
            <w:tcBorders>
              <w:tl2br w:val="nil"/>
              <w:tr2bl w:val="nil"/>
            </w:tcBorders>
            <w:shd w:val="clear" w:color="auto" w:fill="auto"/>
            <w:noWrap/>
            <w:vAlign w:val="center"/>
          </w:tcPr>
          <w:p w14:paraId="23666308">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sz w:val="21"/>
                <w:szCs w:val="21"/>
                <w:highlight w:val="none"/>
                <w:u w:val="none"/>
                <w:lang w:val="en-US" w:eastAsia="zh-CN"/>
              </w:rPr>
              <w:t>/</w:t>
            </w:r>
          </w:p>
        </w:tc>
        <w:tc>
          <w:tcPr>
            <w:tcW w:w="329" w:type="pct"/>
            <w:tcBorders>
              <w:tl2br w:val="nil"/>
              <w:tr2bl w:val="nil"/>
            </w:tcBorders>
            <w:shd w:val="clear" w:color="auto" w:fill="auto"/>
            <w:noWrap/>
            <w:vAlign w:val="center"/>
          </w:tcPr>
          <w:p w14:paraId="52DBB0B1">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color w:val="auto"/>
                <w:kern w:val="2"/>
                <w:sz w:val="21"/>
                <w:szCs w:val="21"/>
                <w:highlight w:val="none"/>
                <w:lang w:val="en-US" w:eastAsia="zh-CN" w:bidi="ar-SA"/>
              </w:rPr>
              <w:t>≤</w:t>
            </w:r>
            <w:r>
              <w:rPr>
                <w:color w:val="auto"/>
                <w:sz w:val="21"/>
                <w:szCs w:val="21"/>
                <w:highlight w:val="none"/>
              </w:rPr>
              <w:t>0.005</w:t>
            </w:r>
          </w:p>
        </w:tc>
      </w:tr>
      <w:tr w14:paraId="0032E61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475" w:type="pct"/>
            <w:tcBorders>
              <w:tl2br w:val="nil"/>
              <w:tr2bl w:val="nil"/>
            </w:tcBorders>
            <w:shd w:val="clear" w:color="auto" w:fill="auto"/>
            <w:vAlign w:val="center"/>
          </w:tcPr>
          <w:p w14:paraId="17664A1C">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铬（六价）</w:t>
            </w:r>
            <w:r>
              <w:rPr>
                <w:rFonts w:hint="default" w:ascii="Times New Roman" w:hAnsi="Times New Roman" w:eastAsia="宋体" w:cs="Times New Roman"/>
                <w:color w:val="auto"/>
                <w:sz w:val="21"/>
                <w:szCs w:val="21"/>
                <w:highlight w:val="none"/>
                <w:u w:val="none"/>
                <w:lang w:val="en-US" w:eastAsia="zh-CN" w:bidi="ar"/>
              </w:rPr>
              <w:t>（mg/L）</w:t>
            </w:r>
          </w:p>
        </w:tc>
        <w:tc>
          <w:tcPr>
            <w:tcW w:w="284" w:type="pct"/>
            <w:tcBorders>
              <w:tl2br w:val="nil"/>
              <w:tr2bl w:val="nil"/>
            </w:tcBorders>
            <w:shd w:val="clear" w:color="auto" w:fill="auto"/>
            <w:noWrap/>
            <w:vAlign w:val="center"/>
          </w:tcPr>
          <w:p w14:paraId="030F89C5">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0.004L</w:t>
            </w:r>
          </w:p>
        </w:tc>
        <w:tc>
          <w:tcPr>
            <w:tcW w:w="284" w:type="pct"/>
            <w:tcBorders>
              <w:tl2br w:val="nil"/>
              <w:tr2bl w:val="nil"/>
            </w:tcBorders>
            <w:shd w:val="clear" w:color="auto" w:fill="auto"/>
            <w:noWrap/>
            <w:vAlign w:val="center"/>
          </w:tcPr>
          <w:p w14:paraId="253C784C">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0.004L</w:t>
            </w:r>
          </w:p>
        </w:tc>
        <w:tc>
          <w:tcPr>
            <w:tcW w:w="284" w:type="pct"/>
            <w:tcBorders>
              <w:tl2br w:val="nil"/>
              <w:tr2bl w:val="nil"/>
            </w:tcBorders>
            <w:shd w:val="clear" w:color="auto" w:fill="auto"/>
            <w:noWrap/>
            <w:vAlign w:val="center"/>
          </w:tcPr>
          <w:p w14:paraId="163922D6">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0.004L</w:t>
            </w:r>
          </w:p>
        </w:tc>
        <w:tc>
          <w:tcPr>
            <w:tcW w:w="284" w:type="pct"/>
            <w:tcBorders>
              <w:tl2br w:val="nil"/>
              <w:tr2bl w:val="nil"/>
            </w:tcBorders>
            <w:shd w:val="clear" w:color="auto" w:fill="auto"/>
            <w:noWrap/>
            <w:vAlign w:val="center"/>
          </w:tcPr>
          <w:p w14:paraId="79834F3D">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0.004L</w:t>
            </w:r>
          </w:p>
        </w:tc>
        <w:tc>
          <w:tcPr>
            <w:tcW w:w="284" w:type="pct"/>
            <w:tcBorders>
              <w:tl2br w:val="nil"/>
              <w:tr2bl w:val="nil"/>
            </w:tcBorders>
            <w:shd w:val="clear" w:color="auto" w:fill="auto"/>
            <w:noWrap/>
            <w:vAlign w:val="center"/>
          </w:tcPr>
          <w:p w14:paraId="003CEDAD">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0.004L</w:t>
            </w:r>
          </w:p>
        </w:tc>
        <w:tc>
          <w:tcPr>
            <w:tcW w:w="284" w:type="pct"/>
            <w:tcBorders>
              <w:tl2br w:val="nil"/>
              <w:tr2bl w:val="nil"/>
            </w:tcBorders>
            <w:shd w:val="clear" w:color="auto" w:fill="auto"/>
            <w:noWrap/>
            <w:vAlign w:val="center"/>
          </w:tcPr>
          <w:p w14:paraId="7DF61126">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0.004L</w:t>
            </w:r>
          </w:p>
        </w:tc>
        <w:tc>
          <w:tcPr>
            <w:tcW w:w="284" w:type="pct"/>
            <w:tcBorders>
              <w:tl2br w:val="nil"/>
              <w:tr2bl w:val="nil"/>
            </w:tcBorders>
            <w:shd w:val="clear" w:color="auto" w:fill="auto"/>
            <w:noWrap/>
            <w:vAlign w:val="center"/>
          </w:tcPr>
          <w:p w14:paraId="05E7D230">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0.004L</w:t>
            </w:r>
          </w:p>
        </w:tc>
        <w:tc>
          <w:tcPr>
            <w:tcW w:w="284" w:type="pct"/>
            <w:tcBorders>
              <w:tl2br w:val="nil"/>
              <w:tr2bl w:val="nil"/>
            </w:tcBorders>
            <w:shd w:val="clear" w:color="auto" w:fill="auto"/>
            <w:noWrap/>
            <w:vAlign w:val="center"/>
          </w:tcPr>
          <w:p w14:paraId="62C78CF4">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0.004L</w:t>
            </w:r>
          </w:p>
        </w:tc>
        <w:tc>
          <w:tcPr>
            <w:tcW w:w="284" w:type="pct"/>
            <w:tcBorders>
              <w:tl2br w:val="nil"/>
              <w:tr2bl w:val="nil"/>
            </w:tcBorders>
            <w:shd w:val="clear" w:color="auto" w:fill="auto"/>
            <w:noWrap/>
            <w:vAlign w:val="center"/>
          </w:tcPr>
          <w:p w14:paraId="531070EA">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0.004L</w:t>
            </w:r>
          </w:p>
        </w:tc>
        <w:tc>
          <w:tcPr>
            <w:tcW w:w="285" w:type="pct"/>
            <w:tcBorders>
              <w:tl2br w:val="nil"/>
              <w:tr2bl w:val="nil"/>
            </w:tcBorders>
            <w:shd w:val="clear" w:color="auto" w:fill="auto"/>
            <w:noWrap/>
            <w:vAlign w:val="center"/>
          </w:tcPr>
          <w:p w14:paraId="6C9BDDEA">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0.004L</w:t>
            </w:r>
          </w:p>
        </w:tc>
        <w:tc>
          <w:tcPr>
            <w:tcW w:w="285" w:type="pct"/>
            <w:tcBorders>
              <w:tl2br w:val="nil"/>
              <w:tr2bl w:val="nil"/>
            </w:tcBorders>
            <w:shd w:val="clear" w:color="auto" w:fill="auto"/>
            <w:noWrap/>
            <w:vAlign w:val="center"/>
          </w:tcPr>
          <w:p w14:paraId="1E54C9EC">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0.004L</w:t>
            </w:r>
          </w:p>
        </w:tc>
        <w:tc>
          <w:tcPr>
            <w:tcW w:w="285" w:type="pct"/>
            <w:tcBorders>
              <w:tl2br w:val="nil"/>
              <w:tr2bl w:val="nil"/>
            </w:tcBorders>
            <w:shd w:val="clear" w:color="auto" w:fill="auto"/>
            <w:noWrap/>
            <w:vAlign w:val="center"/>
          </w:tcPr>
          <w:p w14:paraId="5FBFACC9">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0.004L</w:t>
            </w:r>
          </w:p>
        </w:tc>
        <w:tc>
          <w:tcPr>
            <w:tcW w:w="261" w:type="pct"/>
            <w:tcBorders>
              <w:tl2br w:val="nil"/>
              <w:tr2bl w:val="nil"/>
            </w:tcBorders>
            <w:shd w:val="clear" w:color="auto" w:fill="auto"/>
            <w:noWrap/>
            <w:vAlign w:val="center"/>
          </w:tcPr>
          <w:p w14:paraId="737B63E0">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0.004L</w:t>
            </w:r>
          </w:p>
        </w:tc>
        <w:tc>
          <w:tcPr>
            <w:tcW w:w="267" w:type="pct"/>
            <w:tcBorders>
              <w:tl2br w:val="nil"/>
              <w:tr2bl w:val="nil"/>
            </w:tcBorders>
            <w:shd w:val="clear" w:color="auto" w:fill="auto"/>
            <w:noWrap/>
            <w:vAlign w:val="center"/>
          </w:tcPr>
          <w:p w14:paraId="7A490503">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0.004L</w:t>
            </w:r>
          </w:p>
        </w:tc>
        <w:tc>
          <w:tcPr>
            <w:tcW w:w="249" w:type="pct"/>
            <w:tcBorders>
              <w:tl2br w:val="nil"/>
              <w:tr2bl w:val="nil"/>
            </w:tcBorders>
            <w:shd w:val="clear" w:color="auto" w:fill="auto"/>
            <w:noWrap/>
            <w:vAlign w:val="center"/>
          </w:tcPr>
          <w:p w14:paraId="7BA64FCC">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sz w:val="21"/>
                <w:szCs w:val="21"/>
                <w:highlight w:val="none"/>
                <w:u w:val="none"/>
                <w:lang w:val="en-US" w:eastAsia="zh-CN"/>
              </w:rPr>
              <w:t>/</w:t>
            </w:r>
          </w:p>
        </w:tc>
        <w:tc>
          <w:tcPr>
            <w:tcW w:w="329" w:type="pct"/>
            <w:tcBorders>
              <w:tl2br w:val="nil"/>
              <w:tr2bl w:val="nil"/>
            </w:tcBorders>
            <w:shd w:val="clear" w:color="auto" w:fill="auto"/>
            <w:noWrap/>
            <w:vAlign w:val="center"/>
          </w:tcPr>
          <w:p w14:paraId="2E2D38BF">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color w:val="auto"/>
                <w:kern w:val="2"/>
                <w:sz w:val="21"/>
                <w:szCs w:val="21"/>
                <w:highlight w:val="none"/>
                <w:lang w:val="en-US" w:eastAsia="zh-CN" w:bidi="ar-SA"/>
              </w:rPr>
              <w:t>≤</w:t>
            </w:r>
            <w:r>
              <w:rPr>
                <w:color w:val="auto"/>
                <w:sz w:val="21"/>
                <w:szCs w:val="21"/>
                <w:highlight w:val="none"/>
              </w:rPr>
              <w:t>0.05</w:t>
            </w:r>
          </w:p>
        </w:tc>
      </w:tr>
      <w:tr w14:paraId="00F7028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475" w:type="pct"/>
            <w:tcBorders>
              <w:tl2br w:val="nil"/>
              <w:tr2bl w:val="nil"/>
            </w:tcBorders>
            <w:shd w:val="clear" w:color="auto" w:fill="auto"/>
            <w:vAlign w:val="center"/>
          </w:tcPr>
          <w:p w14:paraId="7B12A2BB">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总硬度</w:t>
            </w:r>
            <w:r>
              <w:rPr>
                <w:rFonts w:hint="default" w:ascii="Times New Roman" w:hAnsi="Times New Roman" w:eastAsia="宋体" w:cs="Times New Roman"/>
                <w:color w:val="auto"/>
                <w:sz w:val="21"/>
                <w:szCs w:val="21"/>
                <w:highlight w:val="none"/>
                <w:u w:val="none"/>
                <w:lang w:val="en-US" w:eastAsia="zh-CN" w:bidi="ar"/>
              </w:rPr>
              <w:t>（mg/L）</w:t>
            </w:r>
          </w:p>
        </w:tc>
        <w:tc>
          <w:tcPr>
            <w:tcW w:w="284" w:type="pct"/>
            <w:tcBorders>
              <w:tl2br w:val="nil"/>
              <w:tr2bl w:val="nil"/>
            </w:tcBorders>
            <w:shd w:val="clear" w:color="auto" w:fill="auto"/>
            <w:noWrap/>
            <w:vAlign w:val="center"/>
          </w:tcPr>
          <w:p w14:paraId="527541FD">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260</w:t>
            </w:r>
          </w:p>
        </w:tc>
        <w:tc>
          <w:tcPr>
            <w:tcW w:w="284" w:type="pct"/>
            <w:tcBorders>
              <w:tl2br w:val="nil"/>
              <w:tr2bl w:val="nil"/>
            </w:tcBorders>
            <w:shd w:val="clear" w:color="auto" w:fill="auto"/>
            <w:noWrap/>
            <w:vAlign w:val="center"/>
          </w:tcPr>
          <w:p w14:paraId="7634E1D1">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256</w:t>
            </w:r>
          </w:p>
        </w:tc>
        <w:tc>
          <w:tcPr>
            <w:tcW w:w="284" w:type="pct"/>
            <w:tcBorders>
              <w:tl2br w:val="nil"/>
              <w:tr2bl w:val="nil"/>
            </w:tcBorders>
            <w:shd w:val="clear" w:color="auto" w:fill="auto"/>
            <w:noWrap/>
            <w:vAlign w:val="center"/>
          </w:tcPr>
          <w:p w14:paraId="4AB8BE0A">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276</w:t>
            </w:r>
          </w:p>
        </w:tc>
        <w:tc>
          <w:tcPr>
            <w:tcW w:w="284" w:type="pct"/>
            <w:tcBorders>
              <w:tl2br w:val="nil"/>
              <w:tr2bl w:val="nil"/>
            </w:tcBorders>
            <w:shd w:val="clear" w:color="auto" w:fill="auto"/>
            <w:noWrap/>
            <w:vAlign w:val="center"/>
          </w:tcPr>
          <w:p w14:paraId="4FFCC678">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256</w:t>
            </w:r>
          </w:p>
        </w:tc>
        <w:tc>
          <w:tcPr>
            <w:tcW w:w="284" w:type="pct"/>
            <w:tcBorders>
              <w:tl2br w:val="nil"/>
              <w:tr2bl w:val="nil"/>
            </w:tcBorders>
            <w:shd w:val="clear" w:color="auto" w:fill="auto"/>
            <w:noWrap/>
            <w:vAlign w:val="center"/>
          </w:tcPr>
          <w:p w14:paraId="6E0CB702">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334</w:t>
            </w:r>
          </w:p>
        </w:tc>
        <w:tc>
          <w:tcPr>
            <w:tcW w:w="284" w:type="pct"/>
            <w:tcBorders>
              <w:tl2br w:val="nil"/>
              <w:tr2bl w:val="nil"/>
            </w:tcBorders>
            <w:shd w:val="clear" w:color="auto" w:fill="auto"/>
            <w:noWrap/>
            <w:vAlign w:val="center"/>
          </w:tcPr>
          <w:p w14:paraId="308842D7">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283</w:t>
            </w:r>
          </w:p>
        </w:tc>
        <w:tc>
          <w:tcPr>
            <w:tcW w:w="284" w:type="pct"/>
            <w:tcBorders>
              <w:tl2br w:val="nil"/>
              <w:tr2bl w:val="nil"/>
            </w:tcBorders>
            <w:shd w:val="clear" w:color="auto" w:fill="auto"/>
            <w:noWrap/>
            <w:vAlign w:val="center"/>
          </w:tcPr>
          <w:p w14:paraId="13D4467A">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320</w:t>
            </w:r>
          </w:p>
        </w:tc>
        <w:tc>
          <w:tcPr>
            <w:tcW w:w="284" w:type="pct"/>
            <w:tcBorders>
              <w:tl2br w:val="nil"/>
              <w:tr2bl w:val="nil"/>
            </w:tcBorders>
            <w:shd w:val="clear" w:color="auto" w:fill="auto"/>
            <w:noWrap/>
            <w:vAlign w:val="center"/>
          </w:tcPr>
          <w:p w14:paraId="4F8A2BF8">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332</w:t>
            </w:r>
          </w:p>
        </w:tc>
        <w:tc>
          <w:tcPr>
            <w:tcW w:w="284" w:type="pct"/>
            <w:tcBorders>
              <w:tl2br w:val="nil"/>
              <w:tr2bl w:val="nil"/>
            </w:tcBorders>
            <w:shd w:val="clear" w:color="auto" w:fill="auto"/>
            <w:noWrap/>
            <w:vAlign w:val="center"/>
          </w:tcPr>
          <w:p w14:paraId="7FC4993E">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322</w:t>
            </w:r>
          </w:p>
        </w:tc>
        <w:tc>
          <w:tcPr>
            <w:tcW w:w="285" w:type="pct"/>
            <w:tcBorders>
              <w:tl2br w:val="nil"/>
              <w:tr2bl w:val="nil"/>
            </w:tcBorders>
            <w:shd w:val="clear" w:color="auto" w:fill="auto"/>
            <w:noWrap/>
            <w:vAlign w:val="center"/>
          </w:tcPr>
          <w:p w14:paraId="34239459">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316</w:t>
            </w:r>
          </w:p>
        </w:tc>
        <w:tc>
          <w:tcPr>
            <w:tcW w:w="285" w:type="pct"/>
            <w:tcBorders>
              <w:tl2br w:val="nil"/>
              <w:tr2bl w:val="nil"/>
            </w:tcBorders>
            <w:shd w:val="clear" w:color="auto" w:fill="auto"/>
            <w:noWrap/>
            <w:vAlign w:val="center"/>
          </w:tcPr>
          <w:p w14:paraId="3A63C473">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270</w:t>
            </w:r>
          </w:p>
        </w:tc>
        <w:tc>
          <w:tcPr>
            <w:tcW w:w="285" w:type="pct"/>
            <w:tcBorders>
              <w:tl2br w:val="nil"/>
              <w:tr2bl w:val="nil"/>
            </w:tcBorders>
            <w:shd w:val="clear" w:color="auto" w:fill="auto"/>
            <w:noWrap/>
            <w:vAlign w:val="center"/>
          </w:tcPr>
          <w:p w14:paraId="1E90ECF4">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252</w:t>
            </w:r>
          </w:p>
        </w:tc>
        <w:tc>
          <w:tcPr>
            <w:tcW w:w="261" w:type="pct"/>
            <w:tcBorders>
              <w:tl2br w:val="nil"/>
              <w:tr2bl w:val="nil"/>
            </w:tcBorders>
            <w:shd w:val="clear" w:color="auto" w:fill="auto"/>
            <w:noWrap/>
            <w:vAlign w:val="center"/>
          </w:tcPr>
          <w:p w14:paraId="5173934E">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326</w:t>
            </w:r>
          </w:p>
        </w:tc>
        <w:tc>
          <w:tcPr>
            <w:tcW w:w="267" w:type="pct"/>
            <w:tcBorders>
              <w:tl2br w:val="nil"/>
              <w:tr2bl w:val="nil"/>
            </w:tcBorders>
            <w:shd w:val="clear" w:color="auto" w:fill="auto"/>
            <w:noWrap/>
            <w:vAlign w:val="center"/>
          </w:tcPr>
          <w:p w14:paraId="1A84A497">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280</w:t>
            </w:r>
          </w:p>
        </w:tc>
        <w:tc>
          <w:tcPr>
            <w:tcW w:w="249" w:type="pct"/>
            <w:tcBorders>
              <w:tl2br w:val="nil"/>
              <w:tr2bl w:val="nil"/>
            </w:tcBorders>
            <w:shd w:val="clear" w:color="auto" w:fill="auto"/>
            <w:noWrap/>
            <w:vAlign w:val="center"/>
          </w:tcPr>
          <w:p w14:paraId="5AD97CDD">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sz w:val="21"/>
                <w:szCs w:val="21"/>
                <w:highlight w:val="none"/>
                <w:u w:val="none"/>
                <w:lang w:val="en-US" w:eastAsia="zh-CN"/>
              </w:rPr>
              <w:t>/</w:t>
            </w:r>
          </w:p>
        </w:tc>
        <w:tc>
          <w:tcPr>
            <w:tcW w:w="329" w:type="pct"/>
            <w:tcBorders>
              <w:tl2br w:val="nil"/>
              <w:tr2bl w:val="nil"/>
            </w:tcBorders>
            <w:shd w:val="clear" w:color="auto" w:fill="auto"/>
            <w:noWrap/>
            <w:vAlign w:val="center"/>
          </w:tcPr>
          <w:p w14:paraId="076D8CBD">
            <w:pPr>
              <w:pStyle w:val="30"/>
              <w:ind w:firstLine="0" w:firstLineChars="0"/>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color w:val="auto"/>
                <w:sz w:val="21"/>
                <w:szCs w:val="21"/>
                <w:highlight w:val="none"/>
              </w:rPr>
              <w:t>≤450</w:t>
            </w:r>
          </w:p>
        </w:tc>
      </w:tr>
      <w:tr w14:paraId="4F61501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475" w:type="pct"/>
            <w:tcBorders>
              <w:tl2br w:val="nil"/>
              <w:tr2bl w:val="nil"/>
            </w:tcBorders>
            <w:shd w:val="clear" w:color="auto" w:fill="auto"/>
            <w:vAlign w:val="center"/>
          </w:tcPr>
          <w:p w14:paraId="60CF6F46">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溶解性总固体</w:t>
            </w:r>
            <w:r>
              <w:rPr>
                <w:rFonts w:hint="default" w:ascii="Times New Roman" w:hAnsi="Times New Roman" w:eastAsia="宋体" w:cs="Times New Roman"/>
                <w:color w:val="auto"/>
                <w:sz w:val="21"/>
                <w:szCs w:val="21"/>
                <w:highlight w:val="none"/>
                <w:u w:val="none"/>
                <w:lang w:val="en-US" w:eastAsia="zh-CN" w:bidi="ar"/>
              </w:rPr>
              <w:t>（mg/L）</w:t>
            </w:r>
          </w:p>
        </w:tc>
        <w:tc>
          <w:tcPr>
            <w:tcW w:w="284" w:type="pct"/>
            <w:tcBorders>
              <w:tl2br w:val="nil"/>
              <w:tr2bl w:val="nil"/>
            </w:tcBorders>
            <w:shd w:val="clear" w:color="auto" w:fill="auto"/>
            <w:noWrap/>
            <w:vAlign w:val="center"/>
          </w:tcPr>
          <w:p w14:paraId="27726A9F">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408</w:t>
            </w:r>
          </w:p>
        </w:tc>
        <w:tc>
          <w:tcPr>
            <w:tcW w:w="284" w:type="pct"/>
            <w:tcBorders>
              <w:tl2br w:val="nil"/>
              <w:tr2bl w:val="nil"/>
            </w:tcBorders>
            <w:shd w:val="clear" w:color="auto" w:fill="auto"/>
            <w:noWrap/>
            <w:vAlign w:val="center"/>
          </w:tcPr>
          <w:p w14:paraId="3BA63B51">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443</w:t>
            </w:r>
          </w:p>
        </w:tc>
        <w:tc>
          <w:tcPr>
            <w:tcW w:w="284" w:type="pct"/>
            <w:tcBorders>
              <w:tl2br w:val="nil"/>
              <w:tr2bl w:val="nil"/>
            </w:tcBorders>
            <w:shd w:val="clear" w:color="auto" w:fill="auto"/>
            <w:noWrap/>
            <w:vAlign w:val="center"/>
          </w:tcPr>
          <w:p w14:paraId="7ED0282F">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434</w:t>
            </w:r>
          </w:p>
        </w:tc>
        <w:tc>
          <w:tcPr>
            <w:tcW w:w="284" w:type="pct"/>
            <w:tcBorders>
              <w:tl2br w:val="nil"/>
              <w:tr2bl w:val="nil"/>
            </w:tcBorders>
            <w:shd w:val="clear" w:color="auto" w:fill="auto"/>
            <w:noWrap/>
            <w:vAlign w:val="center"/>
          </w:tcPr>
          <w:p w14:paraId="094FDD93">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331</w:t>
            </w:r>
          </w:p>
        </w:tc>
        <w:tc>
          <w:tcPr>
            <w:tcW w:w="284" w:type="pct"/>
            <w:tcBorders>
              <w:tl2br w:val="nil"/>
              <w:tr2bl w:val="nil"/>
            </w:tcBorders>
            <w:shd w:val="clear" w:color="auto" w:fill="auto"/>
            <w:noWrap/>
            <w:vAlign w:val="center"/>
          </w:tcPr>
          <w:p w14:paraId="39804FFE">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397</w:t>
            </w:r>
          </w:p>
        </w:tc>
        <w:tc>
          <w:tcPr>
            <w:tcW w:w="284" w:type="pct"/>
            <w:tcBorders>
              <w:tl2br w:val="nil"/>
              <w:tr2bl w:val="nil"/>
            </w:tcBorders>
            <w:shd w:val="clear" w:color="auto" w:fill="auto"/>
            <w:noWrap/>
            <w:vAlign w:val="center"/>
          </w:tcPr>
          <w:p w14:paraId="25807642">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375</w:t>
            </w:r>
          </w:p>
        </w:tc>
        <w:tc>
          <w:tcPr>
            <w:tcW w:w="284" w:type="pct"/>
            <w:tcBorders>
              <w:tl2br w:val="nil"/>
              <w:tr2bl w:val="nil"/>
            </w:tcBorders>
            <w:shd w:val="clear" w:color="auto" w:fill="auto"/>
            <w:noWrap/>
            <w:vAlign w:val="center"/>
          </w:tcPr>
          <w:p w14:paraId="36ADE98E">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394</w:t>
            </w:r>
          </w:p>
        </w:tc>
        <w:tc>
          <w:tcPr>
            <w:tcW w:w="284" w:type="pct"/>
            <w:tcBorders>
              <w:tl2br w:val="nil"/>
              <w:tr2bl w:val="nil"/>
            </w:tcBorders>
            <w:shd w:val="clear" w:color="auto" w:fill="auto"/>
            <w:noWrap/>
            <w:vAlign w:val="center"/>
          </w:tcPr>
          <w:p w14:paraId="1095BA5B">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424</w:t>
            </w:r>
          </w:p>
        </w:tc>
        <w:tc>
          <w:tcPr>
            <w:tcW w:w="284" w:type="pct"/>
            <w:tcBorders>
              <w:tl2br w:val="nil"/>
              <w:tr2bl w:val="nil"/>
            </w:tcBorders>
            <w:shd w:val="clear" w:color="auto" w:fill="auto"/>
            <w:noWrap/>
            <w:vAlign w:val="center"/>
          </w:tcPr>
          <w:p w14:paraId="2A0B4BEE">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425</w:t>
            </w:r>
          </w:p>
        </w:tc>
        <w:tc>
          <w:tcPr>
            <w:tcW w:w="285" w:type="pct"/>
            <w:tcBorders>
              <w:tl2br w:val="nil"/>
              <w:tr2bl w:val="nil"/>
            </w:tcBorders>
            <w:shd w:val="clear" w:color="auto" w:fill="auto"/>
            <w:noWrap/>
            <w:vAlign w:val="center"/>
          </w:tcPr>
          <w:p w14:paraId="09F47745">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445</w:t>
            </w:r>
          </w:p>
        </w:tc>
        <w:tc>
          <w:tcPr>
            <w:tcW w:w="285" w:type="pct"/>
            <w:tcBorders>
              <w:tl2br w:val="nil"/>
              <w:tr2bl w:val="nil"/>
            </w:tcBorders>
            <w:shd w:val="clear" w:color="auto" w:fill="auto"/>
            <w:noWrap/>
            <w:vAlign w:val="center"/>
          </w:tcPr>
          <w:p w14:paraId="3A45ABED">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410</w:t>
            </w:r>
          </w:p>
        </w:tc>
        <w:tc>
          <w:tcPr>
            <w:tcW w:w="285" w:type="pct"/>
            <w:tcBorders>
              <w:tl2br w:val="nil"/>
              <w:tr2bl w:val="nil"/>
            </w:tcBorders>
            <w:shd w:val="clear" w:color="auto" w:fill="auto"/>
            <w:noWrap/>
            <w:vAlign w:val="center"/>
          </w:tcPr>
          <w:p w14:paraId="5BC360CD">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332</w:t>
            </w:r>
          </w:p>
        </w:tc>
        <w:tc>
          <w:tcPr>
            <w:tcW w:w="261" w:type="pct"/>
            <w:tcBorders>
              <w:tl2br w:val="nil"/>
              <w:tr2bl w:val="nil"/>
            </w:tcBorders>
            <w:shd w:val="clear" w:color="auto" w:fill="auto"/>
            <w:noWrap/>
            <w:vAlign w:val="center"/>
          </w:tcPr>
          <w:p w14:paraId="16155448">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435</w:t>
            </w:r>
          </w:p>
        </w:tc>
        <w:tc>
          <w:tcPr>
            <w:tcW w:w="267" w:type="pct"/>
            <w:tcBorders>
              <w:tl2br w:val="nil"/>
              <w:tr2bl w:val="nil"/>
            </w:tcBorders>
            <w:shd w:val="clear" w:color="auto" w:fill="auto"/>
            <w:noWrap/>
            <w:vAlign w:val="center"/>
          </w:tcPr>
          <w:p w14:paraId="17409466">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405</w:t>
            </w:r>
          </w:p>
        </w:tc>
        <w:tc>
          <w:tcPr>
            <w:tcW w:w="249" w:type="pct"/>
            <w:tcBorders>
              <w:tl2br w:val="nil"/>
              <w:tr2bl w:val="nil"/>
            </w:tcBorders>
            <w:shd w:val="clear" w:color="auto" w:fill="auto"/>
            <w:noWrap/>
            <w:vAlign w:val="center"/>
          </w:tcPr>
          <w:p w14:paraId="4943E4E9">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sz w:val="21"/>
                <w:szCs w:val="21"/>
                <w:highlight w:val="none"/>
                <w:u w:val="none"/>
                <w:lang w:val="en-US" w:eastAsia="zh-CN"/>
              </w:rPr>
              <w:t>/</w:t>
            </w:r>
          </w:p>
        </w:tc>
        <w:tc>
          <w:tcPr>
            <w:tcW w:w="329" w:type="pct"/>
            <w:tcBorders>
              <w:tl2br w:val="nil"/>
              <w:tr2bl w:val="nil"/>
            </w:tcBorders>
            <w:shd w:val="clear" w:color="auto" w:fill="auto"/>
            <w:noWrap/>
            <w:vAlign w:val="center"/>
          </w:tcPr>
          <w:p w14:paraId="016C0191">
            <w:pPr>
              <w:pStyle w:val="30"/>
              <w:ind w:firstLine="0" w:firstLineChars="0"/>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color w:val="auto"/>
                <w:sz w:val="21"/>
                <w:szCs w:val="21"/>
                <w:highlight w:val="none"/>
              </w:rPr>
              <w:t>≤1000</w:t>
            </w:r>
          </w:p>
        </w:tc>
      </w:tr>
      <w:tr w14:paraId="126D4D3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475" w:type="pct"/>
            <w:tcBorders>
              <w:tl2br w:val="nil"/>
              <w:tr2bl w:val="nil"/>
            </w:tcBorders>
            <w:shd w:val="clear" w:color="auto" w:fill="auto"/>
            <w:vAlign w:val="center"/>
          </w:tcPr>
          <w:p w14:paraId="56BD1F40">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总大肠菌群（</w:t>
            </w:r>
            <w:r>
              <w:rPr>
                <w:rFonts w:hint="default" w:ascii="Times New Roman" w:hAnsi="Times New Roman" w:eastAsia="宋体" w:cs="Times New Roman"/>
                <w:color w:val="auto"/>
                <w:sz w:val="21"/>
                <w:szCs w:val="21"/>
                <w:highlight w:val="none"/>
                <w:u w:val="none"/>
                <w:lang w:val="en-US" w:eastAsia="zh-CN" w:bidi="ar"/>
              </w:rPr>
              <w:t>MPN/100mL）</w:t>
            </w:r>
          </w:p>
        </w:tc>
        <w:tc>
          <w:tcPr>
            <w:tcW w:w="284" w:type="pct"/>
            <w:tcBorders>
              <w:tl2br w:val="nil"/>
              <w:tr2bl w:val="nil"/>
            </w:tcBorders>
            <w:shd w:val="clear" w:color="auto" w:fill="auto"/>
            <w:noWrap/>
            <w:vAlign w:val="center"/>
          </w:tcPr>
          <w:p w14:paraId="1C547D59">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284" w:type="pct"/>
            <w:tcBorders>
              <w:tl2br w:val="nil"/>
              <w:tr2bl w:val="nil"/>
            </w:tcBorders>
            <w:shd w:val="clear" w:color="auto" w:fill="auto"/>
            <w:noWrap/>
            <w:vAlign w:val="center"/>
          </w:tcPr>
          <w:p w14:paraId="73D45A23">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284" w:type="pct"/>
            <w:tcBorders>
              <w:tl2br w:val="nil"/>
              <w:tr2bl w:val="nil"/>
            </w:tcBorders>
            <w:shd w:val="clear" w:color="auto" w:fill="auto"/>
            <w:noWrap/>
            <w:vAlign w:val="center"/>
          </w:tcPr>
          <w:p w14:paraId="115CD480">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284" w:type="pct"/>
            <w:tcBorders>
              <w:tl2br w:val="nil"/>
              <w:tr2bl w:val="nil"/>
            </w:tcBorders>
            <w:shd w:val="clear" w:color="auto" w:fill="auto"/>
            <w:noWrap/>
            <w:vAlign w:val="center"/>
          </w:tcPr>
          <w:p w14:paraId="74B346AB">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284" w:type="pct"/>
            <w:tcBorders>
              <w:tl2br w:val="nil"/>
              <w:tr2bl w:val="nil"/>
            </w:tcBorders>
            <w:shd w:val="clear" w:color="auto" w:fill="auto"/>
            <w:noWrap/>
            <w:vAlign w:val="center"/>
          </w:tcPr>
          <w:p w14:paraId="45D7E859">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284" w:type="pct"/>
            <w:tcBorders>
              <w:tl2br w:val="nil"/>
              <w:tr2bl w:val="nil"/>
            </w:tcBorders>
            <w:shd w:val="clear" w:color="auto" w:fill="auto"/>
            <w:noWrap/>
            <w:vAlign w:val="center"/>
          </w:tcPr>
          <w:p w14:paraId="3D53528E">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284" w:type="pct"/>
            <w:tcBorders>
              <w:tl2br w:val="nil"/>
              <w:tr2bl w:val="nil"/>
            </w:tcBorders>
            <w:shd w:val="clear" w:color="auto" w:fill="auto"/>
            <w:noWrap/>
            <w:vAlign w:val="center"/>
          </w:tcPr>
          <w:p w14:paraId="568F2824">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284" w:type="pct"/>
            <w:tcBorders>
              <w:tl2br w:val="nil"/>
              <w:tr2bl w:val="nil"/>
            </w:tcBorders>
            <w:shd w:val="clear" w:color="auto" w:fill="auto"/>
            <w:noWrap/>
            <w:vAlign w:val="center"/>
          </w:tcPr>
          <w:p w14:paraId="67CC2ACD">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284" w:type="pct"/>
            <w:tcBorders>
              <w:tl2br w:val="nil"/>
              <w:tr2bl w:val="nil"/>
            </w:tcBorders>
            <w:shd w:val="clear" w:color="auto" w:fill="auto"/>
            <w:noWrap/>
            <w:vAlign w:val="center"/>
          </w:tcPr>
          <w:p w14:paraId="2F9325C5">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285" w:type="pct"/>
            <w:tcBorders>
              <w:tl2br w:val="nil"/>
              <w:tr2bl w:val="nil"/>
            </w:tcBorders>
            <w:shd w:val="clear" w:color="auto" w:fill="auto"/>
            <w:noWrap/>
            <w:vAlign w:val="center"/>
          </w:tcPr>
          <w:p w14:paraId="5A920CC4">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285" w:type="pct"/>
            <w:tcBorders>
              <w:tl2br w:val="nil"/>
              <w:tr2bl w:val="nil"/>
            </w:tcBorders>
            <w:shd w:val="clear" w:color="auto" w:fill="auto"/>
            <w:noWrap/>
            <w:vAlign w:val="center"/>
          </w:tcPr>
          <w:p w14:paraId="278B0881">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285" w:type="pct"/>
            <w:tcBorders>
              <w:tl2br w:val="nil"/>
              <w:tr2bl w:val="nil"/>
            </w:tcBorders>
            <w:shd w:val="clear" w:color="auto" w:fill="auto"/>
            <w:noWrap/>
            <w:vAlign w:val="center"/>
          </w:tcPr>
          <w:p w14:paraId="6AE5A651">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261" w:type="pct"/>
            <w:tcBorders>
              <w:tl2br w:val="nil"/>
              <w:tr2bl w:val="nil"/>
            </w:tcBorders>
            <w:shd w:val="clear" w:color="auto" w:fill="auto"/>
            <w:noWrap/>
            <w:vAlign w:val="center"/>
          </w:tcPr>
          <w:p w14:paraId="7A64D16B">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267" w:type="pct"/>
            <w:tcBorders>
              <w:tl2br w:val="nil"/>
              <w:tr2bl w:val="nil"/>
            </w:tcBorders>
            <w:shd w:val="clear" w:color="auto" w:fill="auto"/>
            <w:noWrap/>
            <w:vAlign w:val="center"/>
          </w:tcPr>
          <w:p w14:paraId="6D038E30">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249" w:type="pct"/>
            <w:tcBorders>
              <w:tl2br w:val="nil"/>
              <w:tr2bl w:val="nil"/>
            </w:tcBorders>
            <w:shd w:val="clear" w:color="auto" w:fill="auto"/>
            <w:noWrap/>
            <w:vAlign w:val="center"/>
          </w:tcPr>
          <w:p w14:paraId="3FCD553C">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sz w:val="21"/>
                <w:szCs w:val="21"/>
                <w:highlight w:val="none"/>
                <w:u w:val="none"/>
                <w:lang w:val="en-US" w:eastAsia="zh-CN"/>
              </w:rPr>
              <w:t>/</w:t>
            </w:r>
          </w:p>
        </w:tc>
        <w:tc>
          <w:tcPr>
            <w:tcW w:w="329" w:type="pct"/>
            <w:tcBorders>
              <w:tl2br w:val="nil"/>
              <w:tr2bl w:val="nil"/>
            </w:tcBorders>
            <w:shd w:val="clear" w:color="auto" w:fill="auto"/>
            <w:noWrap/>
            <w:vAlign w:val="center"/>
          </w:tcPr>
          <w:p w14:paraId="452F5915">
            <w:pPr>
              <w:pStyle w:val="30"/>
              <w:ind w:firstLine="0" w:firstLineChars="0"/>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color w:val="auto"/>
                <w:sz w:val="21"/>
                <w:szCs w:val="21"/>
                <w:highlight w:val="none"/>
              </w:rPr>
              <w:t>≤3.0</w:t>
            </w:r>
          </w:p>
        </w:tc>
      </w:tr>
      <w:tr w14:paraId="0C84CBB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475" w:type="pct"/>
            <w:tcBorders>
              <w:tl2br w:val="nil"/>
              <w:tr2bl w:val="nil"/>
            </w:tcBorders>
            <w:shd w:val="clear" w:color="auto" w:fill="auto"/>
            <w:vAlign w:val="center"/>
          </w:tcPr>
          <w:p w14:paraId="53965F42">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菌落总数（CFU/mL）</w:t>
            </w:r>
          </w:p>
        </w:tc>
        <w:tc>
          <w:tcPr>
            <w:tcW w:w="284" w:type="pct"/>
            <w:tcBorders>
              <w:tl2br w:val="nil"/>
              <w:tr2bl w:val="nil"/>
            </w:tcBorders>
            <w:shd w:val="clear" w:color="auto" w:fill="auto"/>
            <w:noWrap/>
            <w:vAlign w:val="center"/>
          </w:tcPr>
          <w:p w14:paraId="1FF154D9">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45</w:t>
            </w:r>
          </w:p>
        </w:tc>
        <w:tc>
          <w:tcPr>
            <w:tcW w:w="284" w:type="pct"/>
            <w:tcBorders>
              <w:tl2br w:val="nil"/>
              <w:tr2bl w:val="nil"/>
            </w:tcBorders>
            <w:shd w:val="clear" w:color="auto" w:fill="auto"/>
            <w:noWrap/>
            <w:vAlign w:val="center"/>
          </w:tcPr>
          <w:p w14:paraId="28856AC1">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21</w:t>
            </w:r>
          </w:p>
        </w:tc>
        <w:tc>
          <w:tcPr>
            <w:tcW w:w="284" w:type="pct"/>
            <w:tcBorders>
              <w:tl2br w:val="nil"/>
              <w:tr2bl w:val="nil"/>
            </w:tcBorders>
            <w:shd w:val="clear" w:color="auto" w:fill="auto"/>
            <w:noWrap/>
            <w:vAlign w:val="center"/>
          </w:tcPr>
          <w:p w14:paraId="091C850A">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35</w:t>
            </w:r>
          </w:p>
        </w:tc>
        <w:tc>
          <w:tcPr>
            <w:tcW w:w="284" w:type="pct"/>
            <w:tcBorders>
              <w:tl2br w:val="nil"/>
              <w:tr2bl w:val="nil"/>
            </w:tcBorders>
            <w:shd w:val="clear" w:color="auto" w:fill="auto"/>
            <w:noWrap/>
            <w:vAlign w:val="center"/>
          </w:tcPr>
          <w:p w14:paraId="0D7EB500">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11</w:t>
            </w:r>
          </w:p>
        </w:tc>
        <w:tc>
          <w:tcPr>
            <w:tcW w:w="284" w:type="pct"/>
            <w:tcBorders>
              <w:tl2br w:val="nil"/>
              <w:tr2bl w:val="nil"/>
            </w:tcBorders>
            <w:shd w:val="clear" w:color="auto" w:fill="auto"/>
            <w:noWrap/>
            <w:vAlign w:val="center"/>
          </w:tcPr>
          <w:p w14:paraId="19D66921">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14</w:t>
            </w:r>
          </w:p>
        </w:tc>
        <w:tc>
          <w:tcPr>
            <w:tcW w:w="284" w:type="pct"/>
            <w:tcBorders>
              <w:tl2br w:val="nil"/>
              <w:tr2bl w:val="nil"/>
            </w:tcBorders>
            <w:shd w:val="clear" w:color="auto" w:fill="auto"/>
            <w:noWrap/>
            <w:vAlign w:val="center"/>
          </w:tcPr>
          <w:p w14:paraId="775B767C">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60</w:t>
            </w:r>
          </w:p>
        </w:tc>
        <w:tc>
          <w:tcPr>
            <w:tcW w:w="284" w:type="pct"/>
            <w:tcBorders>
              <w:tl2br w:val="nil"/>
              <w:tr2bl w:val="nil"/>
            </w:tcBorders>
            <w:shd w:val="clear" w:color="auto" w:fill="auto"/>
            <w:noWrap/>
            <w:vAlign w:val="center"/>
          </w:tcPr>
          <w:p w14:paraId="427E0AF2">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21</w:t>
            </w:r>
          </w:p>
        </w:tc>
        <w:tc>
          <w:tcPr>
            <w:tcW w:w="284" w:type="pct"/>
            <w:tcBorders>
              <w:tl2br w:val="nil"/>
              <w:tr2bl w:val="nil"/>
            </w:tcBorders>
            <w:shd w:val="clear" w:color="auto" w:fill="auto"/>
            <w:noWrap/>
            <w:vAlign w:val="center"/>
          </w:tcPr>
          <w:p w14:paraId="106723DC">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34</w:t>
            </w:r>
          </w:p>
        </w:tc>
        <w:tc>
          <w:tcPr>
            <w:tcW w:w="284" w:type="pct"/>
            <w:tcBorders>
              <w:tl2br w:val="nil"/>
              <w:tr2bl w:val="nil"/>
            </w:tcBorders>
            <w:shd w:val="clear" w:color="auto" w:fill="auto"/>
            <w:noWrap/>
            <w:vAlign w:val="center"/>
          </w:tcPr>
          <w:p w14:paraId="55434BC3">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42</w:t>
            </w:r>
          </w:p>
        </w:tc>
        <w:tc>
          <w:tcPr>
            <w:tcW w:w="285" w:type="pct"/>
            <w:tcBorders>
              <w:tl2br w:val="nil"/>
              <w:tr2bl w:val="nil"/>
            </w:tcBorders>
            <w:shd w:val="clear" w:color="auto" w:fill="auto"/>
            <w:noWrap/>
            <w:vAlign w:val="center"/>
          </w:tcPr>
          <w:p w14:paraId="10517C44">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39</w:t>
            </w:r>
          </w:p>
        </w:tc>
        <w:tc>
          <w:tcPr>
            <w:tcW w:w="285" w:type="pct"/>
            <w:tcBorders>
              <w:tl2br w:val="nil"/>
              <w:tr2bl w:val="nil"/>
            </w:tcBorders>
            <w:shd w:val="clear" w:color="auto" w:fill="auto"/>
            <w:noWrap/>
            <w:vAlign w:val="center"/>
          </w:tcPr>
          <w:p w14:paraId="23119130">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74</w:t>
            </w:r>
          </w:p>
        </w:tc>
        <w:tc>
          <w:tcPr>
            <w:tcW w:w="285" w:type="pct"/>
            <w:tcBorders>
              <w:tl2br w:val="nil"/>
              <w:tr2bl w:val="nil"/>
            </w:tcBorders>
            <w:shd w:val="clear" w:color="auto" w:fill="auto"/>
            <w:noWrap/>
            <w:vAlign w:val="center"/>
          </w:tcPr>
          <w:p w14:paraId="526BAEFA">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46</w:t>
            </w:r>
          </w:p>
        </w:tc>
        <w:tc>
          <w:tcPr>
            <w:tcW w:w="261" w:type="pct"/>
            <w:tcBorders>
              <w:tl2br w:val="nil"/>
              <w:tr2bl w:val="nil"/>
            </w:tcBorders>
            <w:shd w:val="clear" w:color="auto" w:fill="auto"/>
            <w:noWrap/>
            <w:vAlign w:val="center"/>
          </w:tcPr>
          <w:p w14:paraId="053477A2">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27</w:t>
            </w:r>
          </w:p>
        </w:tc>
        <w:tc>
          <w:tcPr>
            <w:tcW w:w="267" w:type="pct"/>
            <w:tcBorders>
              <w:tl2br w:val="nil"/>
              <w:tr2bl w:val="nil"/>
            </w:tcBorders>
            <w:shd w:val="clear" w:color="auto" w:fill="auto"/>
            <w:noWrap/>
            <w:vAlign w:val="center"/>
          </w:tcPr>
          <w:p w14:paraId="1207DC44">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19</w:t>
            </w:r>
          </w:p>
        </w:tc>
        <w:tc>
          <w:tcPr>
            <w:tcW w:w="249" w:type="pct"/>
            <w:tcBorders>
              <w:tl2br w:val="nil"/>
              <w:tr2bl w:val="nil"/>
            </w:tcBorders>
            <w:shd w:val="clear" w:color="auto" w:fill="auto"/>
            <w:noWrap/>
            <w:vAlign w:val="center"/>
          </w:tcPr>
          <w:p w14:paraId="5B7A89FE">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sz w:val="21"/>
                <w:szCs w:val="21"/>
                <w:highlight w:val="none"/>
                <w:u w:val="none"/>
                <w:lang w:val="en-US" w:eastAsia="zh-CN"/>
              </w:rPr>
              <w:t>/</w:t>
            </w:r>
          </w:p>
        </w:tc>
        <w:tc>
          <w:tcPr>
            <w:tcW w:w="329" w:type="pct"/>
            <w:tcBorders>
              <w:tl2br w:val="nil"/>
              <w:tr2bl w:val="nil"/>
            </w:tcBorders>
            <w:shd w:val="clear" w:color="auto" w:fill="auto"/>
            <w:noWrap/>
            <w:vAlign w:val="center"/>
          </w:tcPr>
          <w:p w14:paraId="03DA7AF4">
            <w:pPr>
              <w:pStyle w:val="30"/>
              <w:ind w:firstLine="0" w:firstLineChars="0"/>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color w:val="auto"/>
                <w:sz w:val="21"/>
                <w:szCs w:val="21"/>
                <w:highlight w:val="none"/>
              </w:rPr>
              <w:t>≤100</w:t>
            </w:r>
          </w:p>
        </w:tc>
      </w:tr>
      <w:tr w14:paraId="5EE86C1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475" w:type="pct"/>
            <w:tcBorders>
              <w:tl2br w:val="single" w:color="000000" w:sz="4" w:space="0"/>
            </w:tcBorders>
            <w:shd w:val="clear" w:color="auto" w:fill="auto"/>
            <w:vAlign w:val="center"/>
          </w:tcPr>
          <w:p w14:paraId="24D57789">
            <w:pPr>
              <w:keepNext w:val="0"/>
              <w:keepLines w:val="0"/>
              <w:widowControl/>
              <w:suppressLineNumbers w:val="0"/>
              <w:spacing w:line="240" w:lineRule="auto"/>
              <w:ind w:firstLine="824" w:firstLineChars="400"/>
              <w:jc w:val="both"/>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p w14:paraId="1E1421E9">
            <w:pPr>
              <w:keepNext w:val="0"/>
              <w:keepLines w:val="0"/>
              <w:widowControl/>
              <w:suppressLineNumbers w:val="0"/>
              <w:spacing w:line="240" w:lineRule="auto"/>
              <w:ind w:firstLine="824" w:firstLineChars="400"/>
              <w:jc w:val="both"/>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点位名称</w:t>
            </w:r>
          </w:p>
          <w:p w14:paraId="787345FF">
            <w:pPr>
              <w:pStyle w:val="13"/>
              <w:spacing w:line="240" w:lineRule="auto"/>
              <w:rPr>
                <w:rFonts w:hint="default"/>
                <w:color w:val="auto"/>
                <w:highlight w:val="none"/>
                <w:lang w:val="en-US" w:eastAsia="zh-CN"/>
              </w:rPr>
            </w:pPr>
          </w:p>
          <w:p w14:paraId="37D3F16C">
            <w:pPr>
              <w:pStyle w:val="13"/>
              <w:ind w:left="0" w:leftChars="0" w:firstLine="0" w:firstLineChars="0"/>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olor w:val="auto"/>
                <w:sz w:val="21"/>
                <w:szCs w:val="21"/>
                <w:highlight w:val="none"/>
                <w:lang w:val="en-US" w:eastAsia="zh-CN"/>
              </w:rPr>
              <w:t>检测指标</w:t>
            </w:r>
          </w:p>
        </w:tc>
        <w:tc>
          <w:tcPr>
            <w:tcW w:w="284" w:type="pct"/>
            <w:tcBorders>
              <w:tl2br w:val="nil"/>
              <w:tr2bl w:val="nil"/>
            </w:tcBorders>
            <w:shd w:val="clear" w:color="auto" w:fill="auto"/>
            <w:vAlign w:val="center"/>
          </w:tcPr>
          <w:p w14:paraId="3B720E81">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绥化市庆安县柳河镇新强村饮用水水源地1#取水井</w:t>
            </w:r>
          </w:p>
        </w:tc>
        <w:tc>
          <w:tcPr>
            <w:tcW w:w="284" w:type="pct"/>
            <w:tcBorders>
              <w:tl2br w:val="nil"/>
              <w:tr2bl w:val="nil"/>
            </w:tcBorders>
            <w:shd w:val="clear" w:color="auto" w:fill="auto"/>
            <w:vAlign w:val="center"/>
          </w:tcPr>
          <w:p w14:paraId="625C070D">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绥化市庆安县柳河镇新强村饮用水水源地2#取水井</w:t>
            </w:r>
          </w:p>
        </w:tc>
        <w:tc>
          <w:tcPr>
            <w:tcW w:w="284" w:type="pct"/>
            <w:tcBorders>
              <w:tl2br w:val="nil"/>
              <w:tr2bl w:val="nil"/>
            </w:tcBorders>
            <w:shd w:val="clear" w:color="auto" w:fill="auto"/>
            <w:vAlign w:val="center"/>
          </w:tcPr>
          <w:p w14:paraId="2EBD86DA">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绥化市庆安县柳河镇新强村饮用水水源地3#取水井</w:t>
            </w:r>
          </w:p>
        </w:tc>
        <w:tc>
          <w:tcPr>
            <w:tcW w:w="284" w:type="pct"/>
            <w:tcBorders>
              <w:tl2br w:val="nil"/>
              <w:tr2bl w:val="nil"/>
            </w:tcBorders>
            <w:shd w:val="clear" w:color="auto" w:fill="auto"/>
            <w:vAlign w:val="center"/>
          </w:tcPr>
          <w:p w14:paraId="734803F8">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绥化市庆安县柳河镇新强村饮用水水源地4#取水井</w:t>
            </w:r>
          </w:p>
        </w:tc>
        <w:tc>
          <w:tcPr>
            <w:tcW w:w="284" w:type="pct"/>
            <w:tcBorders>
              <w:tl2br w:val="nil"/>
              <w:tr2bl w:val="nil"/>
            </w:tcBorders>
            <w:shd w:val="clear" w:color="auto" w:fill="auto"/>
            <w:vAlign w:val="center"/>
          </w:tcPr>
          <w:p w14:paraId="58A2F0A8">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绥化市庆安县柳河镇新强村饮用水水源地5#取水井</w:t>
            </w:r>
          </w:p>
        </w:tc>
        <w:tc>
          <w:tcPr>
            <w:tcW w:w="284" w:type="pct"/>
            <w:tcBorders>
              <w:tl2br w:val="nil"/>
              <w:tr2bl w:val="nil"/>
            </w:tcBorders>
            <w:shd w:val="clear" w:color="auto" w:fill="auto"/>
            <w:vAlign w:val="center"/>
          </w:tcPr>
          <w:p w14:paraId="24C22BE5">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绥化市庆安县柳河镇饮用水水源地1#取水井</w:t>
            </w:r>
          </w:p>
        </w:tc>
        <w:tc>
          <w:tcPr>
            <w:tcW w:w="284" w:type="pct"/>
            <w:tcBorders>
              <w:tl2br w:val="nil"/>
              <w:tr2bl w:val="nil"/>
            </w:tcBorders>
            <w:shd w:val="clear" w:color="auto" w:fill="auto"/>
            <w:vAlign w:val="center"/>
          </w:tcPr>
          <w:p w14:paraId="47F8C95E">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绥化市庆安县柳河镇饮用水水源地2#取水井</w:t>
            </w:r>
          </w:p>
        </w:tc>
        <w:tc>
          <w:tcPr>
            <w:tcW w:w="284" w:type="pct"/>
            <w:tcBorders>
              <w:tl2br w:val="nil"/>
              <w:tr2bl w:val="nil"/>
            </w:tcBorders>
            <w:shd w:val="clear" w:color="auto" w:fill="auto"/>
            <w:vAlign w:val="center"/>
          </w:tcPr>
          <w:p w14:paraId="3FFE7161">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绥化市庆安县柳河镇饮用水水源地3#取水井</w:t>
            </w:r>
          </w:p>
        </w:tc>
        <w:tc>
          <w:tcPr>
            <w:tcW w:w="284" w:type="pct"/>
            <w:tcBorders>
              <w:tl2br w:val="nil"/>
              <w:tr2bl w:val="nil"/>
            </w:tcBorders>
            <w:shd w:val="clear" w:color="auto" w:fill="auto"/>
            <w:vAlign w:val="center"/>
          </w:tcPr>
          <w:p w14:paraId="11067515">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绥化市庆安县柳河镇饮用水水源地4#取水井</w:t>
            </w:r>
          </w:p>
        </w:tc>
        <w:tc>
          <w:tcPr>
            <w:tcW w:w="285" w:type="pct"/>
            <w:tcBorders>
              <w:tl2br w:val="nil"/>
              <w:tr2bl w:val="nil"/>
            </w:tcBorders>
            <w:shd w:val="clear" w:color="auto" w:fill="auto"/>
            <w:vAlign w:val="center"/>
          </w:tcPr>
          <w:p w14:paraId="5F9C27D0">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绥化市庆安县柳河镇饮用水水源地5#取水井</w:t>
            </w:r>
          </w:p>
        </w:tc>
        <w:tc>
          <w:tcPr>
            <w:tcW w:w="285" w:type="pct"/>
            <w:tcBorders>
              <w:tl2br w:val="nil"/>
              <w:tr2bl w:val="nil"/>
            </w:tcBorders>
            <w:shd w:val="clear" w:color="auto" w:fill="auto"/>
            <w:vAlign w:val="center"/>
          </w:tcPr>
          <w:p w14:paraId="1D0C4138">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绥化市庆安县建民乡饮用水水源地</w:t>
            </w:r>
            <w:r>
              <w:rPr>
                <w:rFonts w:hint="eastAsia" w:cs="Times New Roman"/>
                <w:i w:val="0"/>
                <w:iCs w:val="0"/>
                <w:color w:val="auto"/>
                <w:kern w:val="0"/>
                <w:sz w:val="21"/>
                <w:szCs w:val="21"/>
                <w:highlight w:val="none"/>
                <w:u w:val="none"/>
                <w:lang w:val="en-US" w:eastAsia="zh-CN" w:bidi="ar"/>
              </w:rPr>
              <w:t>1</w:t>
            </w:r>
            <w:r>
              <w:rPr>
                <w:rFonts w:hint="default" w:ascii="Times New Roman" w:hAnsi="Times New Roman" w:eastAsia="宋体" w:cs="Times New Roman"/>
                <w:i w:val="0"/>
                <w:iCs w:val="0"/>
                <w:color w:val="auto"/>
                <w:kern w:val="0"/>
                <w:sz w:val="21"/>
                <w:szCs w:val="21"/>
                <w:highlight w:val="none"/>
                <w:u w:val="none"/>
                <w:lang w:val="en-US" w:eastAsia="zh-CN" w:bidi="ar"/>
              </w:rPr>
              <w:t>#取水井</w:t>
            </w:r>
          </w:p>
        </w:tc>
        <w:tc>
          <w:tcPr>
            <w:tcW w:w="285" w:type="pct"/>
            <w:tcBorders>
              <w:tl2br w:val="nil"/>
              <w:tr2bl w:val="nil"/>
            </w:tcBorders>
            <w:shd w:val="clear" w:color="auto" w:fill="auto"/>
            <w:vAlign w:val="center"/>
          </w:tcPr>
          <w:p w14:paraId="3A7E1634">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绥化市庆安县建民乡饮用水水源地2#取水井</w:t>
            </w:r>
          </w:p>
        </w:tc>
        <w:tc>
          <w:tcPr>
            <w:tcW w:w="261" w:type="pct"/>
            <w:tcBorders>
              <w:tl2br w:val="nil"/>
              <w:tr2bl w:val="nil"/>
            </w:tcBorders>
            <w:shd w:val="clear" w:color="auto" w:fill="auto"/>
            <w:vAlign w:val="center"/>
          </w:tcPr>
          <w:p w14:paraId="7BAE1960">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绥化市庆安县建民乡饮用水水源地3#取水井</w:t>
            </w:r>
          </w:p>
        </w:tc>
        <w:tc>
          <w:tcPr>
            <w:tcW w:w="267" w:type="pct"/>
            <w:tcBorders>
              <w:tl2br w:val="nil"/>
              <w:tr2bl w:val="nil"/>
            </w:tcBorders>
            <w:shd w:val="clear" w:color="auto" w:fill="auto"/>
            <w:vAlign w:val="center"/>
          </w:tcPr>
          <w:p w14:paraId="30DC46A4">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绥化市庆安县平安镇饮用水水源地1#取水井</w:t>
            </w:r>
          </w:p>
        </w:tc>
        <w:tc>
          <w:tcPr>
            <w:tcW w:w="249" w:type="pct"/>
            <w:tcBorders>
              <w:tl2br w:val="nil"/>
              <w:tr2bl w:val="nil"/>
            </w:tcBorders>
            <w:shd w:val="clear" w:color="auto" w:fill="auto"/>
            <w:vAlign w:val="center"/>
          </w:tcPr>
          <w:p w14:paraId="0FCCD564">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绥化市庆安县平安镇饮用水水源地</w:t>
            </w:r>
            <w:r>
              <w:rPr>
                <w:rFonts w:hint="eastAsia" w:cs="Times New Roman"/>
                <w:i w:val="0"/>
                <w:iCs w:val="0"/>
                <w:color w:val="auto"/>
                <w:kern w:val="0"/>
                <w:sz w:val="21"/>
                <w:szCs w:val="21"/>
                <w:highlight w:val="none"/>
                <w:u w:val="none"/>
                <w:lang w:val="en-US" w:eastAsia="zh-CN" w:bidi="ar"/>
              </w:rPr>
              <w:t>2</w:t>
            </w:r>
            <w:r>
              <w:rPr>
                <w:rFonts w:hint="default" w:ascii="Times New Roman" w:hAnsi="Times New Roman" w:eastAsia="宋体" w:cs="Times New Roman"/>
                <w:i w:val="0"/>
                <w:iCs w:val="0"/>
                <w:color w:val="auto"/>
                <w:kern w:val="0"/>
                <w:sz w:val="21"/>
                <w:szCs w:val="21"/>
                <w:highlight w:val="none"/>
                <w:u w:val="none"/>
                <w:lang w:val="en-US" w:eastAsia="zh-CN" w:bidi="ar"/>
              </w:rPr>
              <w:t>#取水井</w:t>
            </w:r>
          </w:p>
        </w:tc>
        <w:tc>
          <w:tcPr>
            <w:tcW w:w="329" w:type="pct"/>
            <w:tcBorders>
              <w:tl2br w:val="nil"/>
              <w:tr2bl w:val="nil"/>
            </w:tcBorders>
            <w:shd w:val="clear" w:color="auto" w:fill="auto"/>
            <w:vAlign w:val="center"/>
          </w:tcPr>
          <w:p w14:paraId="4CC77D21">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color w:val="auto"/>
                <w:sz w:val="21"/>
                <w:szCs w:val="21"/>
                <w:highlight w:val="none"/>
              </w:rPr>
              <w:t>标准限值</w:t>
            </w:r>
          </w:p>
        </w:tc>
      </w:tr>
      <w:tr w14:paraId="075C35E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475" w:type="pct"/>
            <w:tcBorders>
              <w:tl2br w:val="nil"/>
              <w:tr2bl w:val="nil"/>
            </w:tcBorders>
            <w:shd w:val="clear" w:color="auto" w:fill="auto"/>
            <w:vAlign w:val="center"/>
          </w:tcPr>
          <w:p w14:paraId="18F5D33A">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pH</w:t>
            </w:r>
            <w:r>
              <w:rPr>
                <w:rFonts w:hint="default" w:ascii="Times New Roman" w:hAnsi="Times New Roman" w:eastAsia="宋体" w:cs="Times New Roman"/>
                <w:color w:val="auto"/>
                <w:sz w:val="21"/>
                <w:szCs w:val="21"/>
                <w:highlight w:val="none"/>
                <w:u w:val="none"/>
                <w:lang w:val="en-US" w:eastAsia="zh-CN" w:bidi="ar"/>
              </w:rPr>
              <w:t>（无量纲）</w:t>
            </w:r>
          </w:p>
        </w:tc>
        <w:tc>
          <w:tcPr>
            <w:tcW w:w="284" w:type="pct"/>
            <w:tcBorders>
              <w:tl2br w:val="nil"/>
              <w:tr2bl w:val="nil"/>
            </w:tcBorders>
            <w:shd w:val="clear" w:color="auto" w:fill="auto"/>
            <w:noWrap/>
            <w:vAlign w:val="center"/>
          </w:tcPr>
          <w:p w14:paraId="7A69FF51">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7.1</w:t>
            </w:r>
          </w:p>
        </w:tc>
        <w:tc>
          <w:tcPr>
            <w:tcW w:w="284" w:type="pct"/>
            <w:tcBorders>
              <w:tl2br w:val="nil"/>
              <w:tr2bl w:val="nil"/>
            </w:tcBorders>
            <w:shd w:val="clear" w:color="auto" w:fill="auto"/>
            <w:noWrap/>
            <w:vAlign w:val="center"/>
          </w:tcPr>
          <w:p w14:paraId="0E299517">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7.2</w:t>
            </w:r>
          </w:p>
        </w:tc>
        <w:tc>
          <w:tcPr>
            <w:tcW w:w="284" w:type="pct"/>
            <w:tcBorders>
              <w:tl2br w:val="nil"/>
              <w:tr2bl w:val="nil"/>
            </w:tcBorders>
            <w:shd w:val="clear" w:color="auto" w:fill="auto"/>
            <w:noWrap/>
            <w:vAlign w:val="center"/>
          </w:tcPr>
          <w:p w14:paraId="34DEB465">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6.9</w:t>
            </w:r>
          </w:p>
        </w:tc>
        <w:tc>
          <w:tcPr>
            <w:tcW w:w="284" w:type="pct"/>
            <w:tcBorders>
              <w:tl2br w:val="nil"/>
              <w:tr2bl w:val="nil"/>
            </w:tcBorders>
            <w:shd w:val="clear" w:color="auto" w:fill="auto"/>
            <w:noWrap/>
            <w:vAlign w:val="center"/>
          </w:tcPr>
          <w:p w14:paraId="6A7D33F1">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6.9</w:t>
            </w:r>
          </w:p>
        </w:tc>
        <w:tc>
          <w:tcPr>
            <w:tcW w:w="284" w:type="pct"/>
            <w:tcBorders>
              <w:tl2br w:val="nil"/>
              <w:tr2bl w:val="nil"/>
            </w:tcBorders>
            <w:shd w:val="clear" w:color="auto" w:fill="auto"/>
            <w:noWrap/>
            <w:vAlign w:val="center"/>
          </w:tcPr>
          <w:p w14:paraId="62E5551C">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6.9</w:t>
            </w:r>
          </w:p>
        </w:tc>
        <w:tc>
          <w:tcPr>
            <w:tcW w:w="284" w:type="pct"/>
            <w:tcBorders>
              <w:tl2br w:val="nil"/>
              <w:tr2bl w:val="nil"/>
            </w:tcBorders>
            <w:shd w:val="clear" w:color="auto" w:fill="auto"/>
            <w:noWrap/>
            <w:vAlign w:val="center"/>
          </w:tcPr>
          <w:p w14:paraId="4EA8DC23">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6.9</w:t>
            </w:r>
          </w:p>
        </w:tc>
        <w:tc>
          <w:tcPr>
            <w:tcW w:w="284" w:type="pct"/>
            <w:tcBorders>
              <w:tl2br w:val="nil"/>
              <w:tr2bl w:val="nil"/>
            </w:tcBorders>
            <w:shd w:val="clear" w:color="auto" w:fill="auto"/>
            <w:noWrap/>
            <w:vAlign w:val="center"/>
          </w:tcPr>
          <w:p w14:paraId="0F419BB6">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6.8</w:t>
            </w:r>
          </w:p>
        </w:tc>
        <w:tc>
          <w:tcPr>
            <w:tcW w:w="284" w:type="pct"/>
            <w:tcBorders>
              <w:tl2br w:val="nil"/>
              <w:tr2bl w:val="nil"/>
            </w:tcBorders>
            <w:shd w:val="clear" w:color="auto" w:fill="auto"/>
            <w:noWrap/>
            <w:vAlign w:val="center"/>
          </w:tcPr>
          <w:p w14:paraId="59C40F17">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6.9</w:t>
            </w:r>
          </w:p>
        </w:tc>
        <w:tc>
          <w:tcPr>
            <w:tcW w:w="284" w:type="pct"/>
            <w:tcBorders>
              <w:tl2br w:val="nil"/>
              <w:tr2bl w:val="nil"/>
            </w:tcBorders>
            <w:shd w:val="clear" w:color="auto" w:fill="auto"/>
            <w:noWrap/>
            <w:vAlign w:val="center"/>
          </w:tcPr>
          <w:p w14:paraId="54B47B87">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w:t>
            </w:r>
          </w:p>
        </w:tc>
        <w:tc>
          <w:tcPr>
            <w:tcW w:w="285" w:type="pct"/>
            <w:tcBorders>
              <w:tl2br w:val="nil"/>
              <w:tr2bl w:val="nil"/>
            </w:tcBorders>
            <w:shd w:val="clear" w:color="auto" w:fill="auto"/>
            <w:noWrap/>
            <w:vAlign w:val="center"/>
          </w:tcPr>
          <w:p w14:paraId="6A1E5963">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w:t>
            </w:r>
          </w:p>
        </w:tc>
        <w:tc>
          <w:tcPr>
            <w:tcW w:w="285" w:type="pct"/>
            <w:tcBorders>
              <w:tl2br w:val="nil"/>
              <w:tr2bl w:val="nil"/>
            </w:tcBorders>
            <w:shd w:val="clear" w:color="auto" w:fill="auto"/>
            <w:noWrap/>
            <w:vAlign w:val="center"/>
          </w:tcPr>
          <w:p w14:paraId="0BD02231">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7.3</w:t>
            </w:r>
          </w:p>
        </w:tc>
        <w:tc>
          <w:tcPr>
            <w:tcW w:w="285" w:type="pct"/>
            <w:tcBorders>
              <w:tl2br w:val="nil"/>
              <w:tr2bl w:val="nil"/>
            </w:tcBorders>
            <w:shd w:val="clear" w:color="auto" w:fill="auto"/>
            <w:noWrap/>
            <w:vAlign w:val="center"/>
          </w:tcPr>
          <w:p w14:paraId="0AEBEA7F">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7.2</w:t>
            </w:r>
          </w:p>
        </w:tc>
        <w:tc>
          <w:tcPr>
            <w:tcW w:w="261" w:type="pct"/>
            <w:tcBorders>
              <w:tl2br w:val="nil"/>
              <w:tr2bl w:val="nil"/>
            </w:tcBorders>
            <w:shd w:val="clear" w:color="auto" w:fill="auto"/>
            <w:noWrap/>
            <w:vAlign w:val="center"/>
          </w:tcPr>
          <w:p w14:paraId="77D09221">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w:t>
            </w:r>
          </w:p>
        </w:tc>
        <w:tc>
          <w:tcPr>
            <w:tcW w:w="267" w:type="pct"/>
            <w:tcBorders>
              <w:tl2br w:val="nil"/>
              <w:tr2bl w:val="nil"/>
            </w:tcBorders>
            <w:shd w:val="clear" w:color="auto" w:fill="auto"/>
            <w:noWrap/>
            <w:vAlign w:val="center"/>
          </w:tcPr>
          <w:p w14:paraId="5915E38A">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7.1</w:t>
            </w:r>
          </w:p>
        </w:tc>
        <w:tc>
          <w:tcPr>
            <w:tcW w:w="249" w:type="pct"/>
            <w:tcBorders>
              <w:tl2br w:val="nil"/>
              <w:tr2bl w:val="nil"/>
            </w:tcBorders>
            <w:shd w:val="clear" w:color="auto" w:fill="auto"/>
            <w:noWrap/>
            <w:vAlign w:val="center"/>
          </w:tcPr>
          <w:p w14:paraId="6863A66D">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7</w:t>
            </w:r>
          </w:p>
        </w:tc>
        <w:tc>
          <w:tcPr>
            <w:tcW w:w="329" w:type="pct"/>
            <w:tcBorders>
              <w:tl2br w:val="nil"/>
              <w:tr2bl w:val="nil"/>
            </w:tcBorders>
            <w:shd w:val="clear" w:color="auto" w:fill="auto"/>
            <w:noWrap/>
            <w:vAlign w:val="center"/>
          </w:tcPr>
          <w:p w14:paraId="476FF5C6">
            <w:pPr>
              <w:pStyle w:val="30"/>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color w:val="auto"/>
                <w:sz w:val="21"/>
                <w:szCs w:val="21"/>
                <w:highlight w:val="none"/>
              </w:rPr>
              <w:t>6.5≤pH≤8.5</w:t>
            </w:r>
          </w:p>
        </w:tc>
      </w:tr>
      <w:tr w14:paraId="541760E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475" w:type="pct"/>
            <w:tcBorders>
              <w:tl2br w:val="nil"/>
              <w:tr2bl w:val="nil"/>
            </w:tcBorders>
            <w:shd w:val="clear" w:color="auto" w:fill="auto"/>
            <w:vAlign w:val="center"/>
          </w:tcPr>
          <w:p w14:paraId="13EE2C26">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色度（度）</w:t>
            </w:r>
          </w:p>
        </w:tc>
        <w:tc>
          <w:tcPr>
            <w:tcW w:w="284" w:type="pct"/>
            <w:tcBorders>
              <w:tl2br w:val="nil"/>
              <w:tr2bl w:val="nil"/>
            </w:tcBorders>
            <w:shd w:val="clear" w:color="auto" w:fill="auto"/>
            <w:noWrap/>
            <w:vAlign w:val="center"/>
          </w:tcPr>
          <w:p w14:paraId="19C8BC1C">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2L</w:t>
            </w:r>
          </w:p>
        </w:tc>
        <w:tc>
          <w:tcPr>
            <w:tcW w:w="284" w:type="pct"/>
            <w:tcBorders>
              <w:tl2br w:val="nil"/>
              <w:tr2bl w:val="nil"/>
            </w:tcBorders>
            <w:shd w:val="clear" w:color="auto" w:fill="auto"/>
            <w:noWrap/>
            <w:vAlign w:val="center"/>
          </w:tcPr>
          <w:p w14:paraId="14A32A37">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2L</w:t>
            </w:r>
          </w:p>
        </w:tc>
        <w:tc>
          <w:tcPr>
            <w:tcW w:w="284" w:type="pct"/>
            <w:tcBorders>
              <w:tl2br w:val="nil"/>
              <w:tr2bl w:val="nil"/>
            </w:tcBorders>
            <w:shd w:val="clear" w:color="auto" w:fill="auto"/>
            <w:noWrap/>
            <w:vAlign w:val="center"/>
          </w:tcPr>
          <w:p w14:paraId="5E05A4F2">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2L</w:t>
            </w:r>
          </w:p>
        </w:tc>
        <w:tc>
          <w:tcPr>
            <w:tcW w:w="284" w:type="pct"/>
            <w:tcBorders>
              <w:tl2br w:val="nil"/>
              <w:tr2bl w:val="nil"/>
            </w:tcBorders>
            <w:shd w:val="clear" w:color="auto" w:fill="auto"/>
            <w:noWrap/>
            <w:vAlign w:val="center"/>
          </w:tcPr>
          <w:p w14:paraId="5F6C3B38">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2L</w:t>
            </w:r>
          </w:p>
        </w:tc>
        <w:tc>
          <w:tcPr>
            <w:tcW w:w="284" w:type="pct"/>
            <w:tcBorders>
              <w:tl2br w:val="nil"/>
              <w:tr2bl w:val="nil"/>
            </w:tcBorders>
            <w:shd w:val="clear" w:color="auto" w:fill="auto"/>
            <w:noWrap/>
            <w:vAlign w:val="center"/>
          </w:tcPr>
          <w:p w14:paraId="7BB94813">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2L</w:t>
            </w:r>
          </w:p>
        </w:tc>
        <w:tc>
          <w:tcPr>
            <w:tcW w:w="284" w:type="pct"/>
            <w:tcBorders>
              <w:tl2br w:val="nil"/>
              <w:tr2bl w:val="nil"/>
            </w:tcBorders>
            <w:shd w:val="clear" w:color="auto" w:fill="auto"/>
            <w:noWrap/>
            <w:vAlign w:val="center"/>
          </w:tcPr>
          <w:p w14:paraId="51FCA4DD">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2L</w:t>
            </w:r>
          </w:p>
        </w:tc>
        <w:tc>
          <w:tcPr>
            <w:tcW w:w="284" w:type="pct"/>
            <w:tcBorders>
              <w:tl2br w:val="nil"/>
              <w:tr2bl w:val="nil"/>
            </w:tcBorders>
            <w:shd w:val="clear" w:color="auto" w:fill="auto"/>
            <w:noWrap/>
            <w:vAlign w:val="center"/>
          </w:tcPr>
          <w:p w14:paraId="009A30B0">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2L</w:t>
            </w:r>
          </w:p>
        </w:tc>
        <w:tc>
          <w:tcPr>
            <w:tcW w:w="284" w:type="pct"/>
            <w:tcBorders>
              <w:tl2br w:val="nil"/>
              <w:tr2bl w:val="nil"/>
            </w:tcBorders>
            <w:shd w:val="clear" w:color="auto" w:fill="auto"/>
            <w:noWrap/>
            <w:vAlign w:val="center"/>
          </w:tcPr>
          <w:p w14:paraId="62A9ABC0">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2L</w:t>
            </w:r>
          </w:p>
        </w:tc>
        <w:tc>
          <w:tcPr>
            <w:tcW w:w="284" w:type="pct"/>
            <w:tcBorders>
              <w:tl2br w:val="nil"/>
              <w:tr2bl w:val="nil"/>
            </w:tcBorders>
            <w:shd w:val="clear" w:color="auto" w:fill="auto"/>
            <w:noWrap/>
            <w:vAlign w:val="center"/>
          </w:tcPr>
          <w:p w14:paraId="30D9DBD7">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2L</w:t>
            </w:r>
          </w:p>
        </w:tc>
        <w:tc>
          <w:tcPr>
            <w:tcW w:w="285" w:type="pct"/>
            <w:tcBorders>
              <w:tl2br w:val="nil"/>
              <w:tr2bl w:val="nil"/>
            </w:tcBorders>
            <w:shd w:val="clear" w:color="auto" w:fill="auto"/>
            <w:noWrap/>
            <w:vAlign w:val="center"/>
          </w:tcPr>
          <w:p w14:paraId="2DAC5B6E">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2L</w:t>
            </w:r>
          </w:p>
        </w:tc>
        <w:tc>
          <w:tcPr>
            <w:tcW w:w="285" w:type="pct"/>
            <w:tcBorders>
              <w:tl2br w:val="nil"/>
              <w:tr2bl w:val="nil"/>
            </w:tcBorders>
            <w:shd w:val="clear" w:color="auto" w:fill="auto"/>
            <w:noWrap/>
            <w:vAlign w:val="center"/>
          </w:tcPr>
          <w:p w14:paraId="277D3504">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2L</w:t>
            </w:r>
          </w:p>
        </w:tc>
        <w:tc>
          <w:tcPr>
            <w:tcW w:w="285" w:type="pct"/>
            <w:tcBorders>
              <w:tl2br w:val="nil"/>
              <w:tr2bl w:val="nil"/>
            </w:tcBorders>
            <w:shd w:val="clear" w:color="auto" w:fill="auto"/>
            <w:noWrap/>
            <w:vAlign w:val="center"/>
          </w:tcPr>
          <w:p w14:paraId="50EDDCC1">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2L</w:t>
            </w:r>
          </w:p>
        </w:tc>
        <w:tc>
          <w:tcPr>
            <w:tcW w:w="261" w:type="pct"/>
            <w:tcBorders>
              <w:tl2br w:val="nil"/>
              <w:tr2bl w:val="nil"/>
            </w:tcBorders>
            <w:shd w:val="clear" w:color="auto" w:fill="auto"/>
            <w:noWrap/>
            <w:vAlign w:val="center"/>
          </w:tcPr>
          <w:p w14:paraId="6E15A89A">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2L</w:t>
            </w:r>
          </w:p>
        </w:tc>
        <w:tc>
          <w:tcPr>
            <w:tcW w:w="267" w:type="pct"/>
            <w:tcBorders>
              <w:tl2br w:val="nil"/>
              <w:tr2bl w:val="nil"/>
            </w:tcBorders>
            <w:shd w:val="clear" w:color="auto" w:fill="auto"/>
            <w:noWrap/>
            <w:vAlign w:val="center"/>
          </w:tcPr>
          <w:p w14:paraId="4F84B2A7">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2L</w:t>
            </w:r>
          </w:p>
        </w:tc>
        <w:tc>
          <w:tcPr>
            <w:tcW w:w="249" w:type="pct"/>
            <w:tcBorders>
              <w:tl2br w:val="nil"/>
              <w:tr2bl w:val="nil"/>
            </w:tcBorders>
            <w:shd w:val="clear" w:color="auto" w:fill="auto"/>
            <w:noWrap/>
            <w:vAlign w:val="center"/>
          </w:tcPr>
          <w:p w14:paraId="0E6DB4BE">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2L</w:t>
            </w:r>
          </w:p>
        </w:tc>
        <w:tc>
          <w:tcPr>
            <w:tcW w:w="329" w:type="pct"/>
            <w:tcBorders>
              <w:tl2br w:val="nil"/>
              <w:tr2bl w:val="nil"/>
            </w:tcBorders>
            <w:shd w:val="clear" w:color="auto" w:fill="auto"/>
            <w:noWrap/>
            <w:vAlign w:val="center"/>
          </w:tcPr>
          <w:p w14:paraId="51F99C36">
            <w:pPr>
              <w:pStyle w:val="30"/>
              <w:ind w:firstLine="0" w:firstLineChars="0"/>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color w:val="auto"/>
                <w:sz w:val="21"/>
                <w:szCs w:val="21"/>
                <w:highlight w:val="none"/>
              </w:rPr>
              <w:t>≤15</w:t>
            </w:r>
          </w:p>
        </w:tc>
      </w:tr>
      <w:tr w14:paraId="73368F6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475" w:type="pct"/>
            <w:tcBorders>
              <w:tl2br w:val="nil"/>
              <w:tr2bl w:val="nil"/>
            </w:tcBorders>
            <w:shd w:val="clear" w:color="auto" w:fill="auto"/>
            <w:vAlign w:val="center"/>
          </w:tcPr>
          <w:p w14:paraId="5876C1A5">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臭和味（无量纲）</w:t>
            </w:r>
          </w:p>
        </w:tc>
        <w:tc>
          <w:tcPr>
            <w:tcW w:w="284" w:type="pct"/>
            <w:tcBorders>
              <w:tl2br w:val="nil"/>
              <w:tr2bl w:val="nil"/>
            </w:tcBorders>
            <w:shd w:val="clear" w:color="auto" w:fill="auto"/>
            <w:noWrap/>
            <w:vAlign w:val="center"/>
          </w:tcPr>
          <w:p w14:paraId="22FFD2D4">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无</w:t>
            </w:r>
          </w:p>
        </w:tc>
        <w:tc>
          <w:tcPr>
            <w:tcW w:w="284" w:type="pct"/>
            <w:tcBorders>
              <w:tl2br w:val="nil"/>
              <w:tr2bl w:val="nil"/>
            </w:tcBorders>
            <w:shd w:val="clear" w:color="auto" w:fill="auto"/>
            <w:noWrap/>
            <w:vAlign w:val="center"/>
          </w:tcPr>
          <w:p w14:paraId="371DFFD2">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无</w:t>
            </w:r>
          </w:p>
        </w:tc>
        <w:tc>
          <w:tcPr>
            <w:tcW w:w="284" w:type="pct"/>
            <w:tcBorders>
              <w:tl2br w:val="nil"/>
              <w:tr2bl w:val="nil"/>
            </w:tcBorders>
            <w:shd w:val="clear" w:color="auto" w:fill="auto"/>
            <w:noWrap/>
            <w:vAlign w:val="center"/>
          </w:tcPr>
          <w:p w14:paraId="37E4B5EA">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无</w:t>
            </w:r>
          </w:p>
        </w:tc>
        <w:tc>
          <w:tcPr>
            <w:tcW w:w="284" w:type="pct"/>
            <w:tcBorders>
              <w:tl2br w:val="nil"/>
              <w:tr2bl w:val="nil"/>
            </w:tcBorders>
            <w:shd w:val="clear" w:color="auto" w:fill="auto"/>
            <w:noWrap/>
            <w:vAlign w:val="center"/>
          </w:tcPr>
          <w:p w14:paraId="2A3636E4">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无</w:t>
            </w:r>
          </w:p>
        </w:tc>
        <w:tc>
          <w:tcPr>
            <w:tcW w:w="284" w:type="pct"/>
            <w:tcBorders>
              <w:tl2br w:val="nil"/>
              <w:tr2bl w:val="nil"/>
            </w:tcBorders>
            <w:shd w:val="clear" w:color="auto" w:fill="auto"/>
            <w:noWrap/>
            <w:vAlign w:val="center"/>
          </w:tcPr>
          <w:p w14:paraId="23433C41">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无</w:t>
            </w:r>
          </w:p>
        </w:tc>
        <w:tc>
          <w:tcPr>
            <w:tcW w:w="284" w:type="pct"/>
            <w:tcBorders>
              <w:tl2br w:val="nil"/>
              <w:tr2bl w:val="nil"/>
            </w:tcBorders>
            <w:shd w:val="clear" w:color="auto" w:fill="auto"/>
            <w:noWrap/>
            <w:vAlign w:val="center"/>
          </w:tcPr>
          <w:p w14:paraId="1C0BAF05">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无</w:t>
            </w:r>
          </w:p>
        </w:tc>
        <w:tc>
          <w:tcPr>
            <w:tcW w:w="284" w:type="pct"/>
            <w:tcBorders>
              <w:tl2br w:val="nil"/>
              <w:tr2bl w:val="nil"/>
            </w:tcBorders>
            <w:shd w:val="clear" w:color="auto" w:fill="auto"/>
            <w:noWrap/>
            <w:vAlign w:val="center"/>
          </w:tcPr>
          <w:p w14:paraId="53F8DB29">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无</w:t>
            </w:r>
          </w:p>
        </w:tc>
        <w:tc>
          <w:tcPr>
            <w:tcW w:w="284" w:type="pct"/>
            <w:tcBorders>
              <w:tl2br w:val="nil"/>
              <w:tr2bl w:val="nil"/>
            </w:tcBorders>
            <w:shd w:val="clear" w:color="auto" w:fill="auto"/>
            <w:noWrap/>
            <w:vAlign w:val="center"/>
          </w:tcPr>
          <w:p w14:paraId="68024BC9">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无</w:t>
            </w:r>
          </w:p>
        </w:tc>
        <w:tc>
          <w:tcPr>
            <w:tcW w:w="284" w:type="pct"/>
            <w:tcBorders>
              <w:tl2br w:val="nil"/>
              <w:tr2bl w:val="nil"/>
            </w:tcBorders>
            <w:shd w:val="clear" w:color="auto" w:fill="auto"/>
            <w:noWrap/>
            <w:vAlign w:val="center"/>
          </w:tcPr>
          <w:p w14:paraId="371E8D84">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无</w:t>
            </w:r>
          </w:p>
        </w:tc>
        <w:tc>
          <w:tcPr>
            <w:tcW w:w="285" w:type="pct"/>
            <w:tcBorders>
              <w:tl2br w:val="nil"/>
              <w:tr2bl w:val="nil"/>
            </w:tcBorders>
            <w:shd w:val="clear" w:color="auto" w:fill="auto"/>
            <w:noWrap/>
            <w:vAlign w:val="center"/>
          </w:tcPr>
          <w:p w14:paraId="3E56FE38">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无</w:t>
            </w:r>
          </w:p>
        </w:tc>
        <w:tc>
          <w:tcPr>
            <w:tcW w:w="285" w:type="pct"/>
            <w:tcBorders>
              <w:tl2br w:val="nil"/>
              <w:tr2bl w:val="nil"/>
            </w:tcBorders>
            <w:shd w:val="clear" w:color="auto" w:fill="auto"/>
            <w:noWrap/>
            <w:vAlign w:val="center"/>
          </w:tcPr>
          <w:p w14:paraId="029B2BE4">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无</w:t>
            </w:r>
          </w:p>
        </w:tc>
        <w:tc>
          <w:tcPr>
            <w:tcW w:w="285" w:type="pct"/>
            <w:tcBorders>
              <w:tl2br w:val="nil"/>
              <w:tr2bl w:val="nil"/>
            </w:tcBorders>
            <w:shd w:val="clear" w:color="auto" w:fill="auto"/>
            <w:noWrap/>
            <w:vAlign w:val="center"/>
          </w:tcPr>
          <w:p w14:paraId="08D39C1D">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无</w:t>
            </w:r>
          </w:p>
        </w:tc>
        <w:tc>
          <w:tcPr>
            <w:tcW w:w="261" w:type="pct"/>
            <w:tcBorders>
              <w:tl2br w:val="nil"/>
              <w:tr2bl w:val="nil"/>
            </w:tcBorders>
            <w:shd w:val="clear" w:color="auto" w:fill="auto"/>
            <w:noWrap/>
            <w:vAlign w:val="center"/>
          </w:tcPr>
          <w:p w14:paraId="5E6F1C27">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无</w:t>
            </w:r>
          </w:p>
        </w:tc>
        <w:tc>
          <w:tcPr>
            <w:tcW w:w="267" w:type="pct"/>
            <w:tcBorders>
              <w:tl2br w:val="nil"/>
              <w:tr2bl w:val="nil"/>
            </w:tcBorders>
            <w:shd w:val="clear" w:color="auto" w:fill="auto"/>
            <w:noWrap/>
            <w:vAlign w:val="center"/>
          </w:tcPr>
          <w:p w14:paraId="36E7568E">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ascii="Times New Roman" w:hAnsi="Times New Roman" w:eastAsia="宋体" w:cs="Times New Roman"/>
                <w:i w:val="0"/>
                <w:iCs w:val="0"/>
                <w:color w:val="auto"/>
                <w:kern w:val="0"/>
                <w:sz w:val="21"/>
                <w:szCs w:val="21"/>
                <w:highlight w:val="none"/>
                <w:u w:val="none"/>
                <w:lang w:val="en-US" w:eastAsia="zh-CN" w:bidi="ar"/>
              </w:rPr>
              <w:t>无</w:t>
            </w:r>
          </w:p>
        </w:tc>
        <w:tc>
          <w:tcPr>
            <w:tcW w:w="249" w:type="pct"/>
            <w:tcBorders>
              <w:tl2br w:val="nil"/>
              <w:tr2bl w:val="nil"/>
            </w:tcBorders>
            <w:shd w:val="clear" w:color="auto" w:fill="auto"/>
            <w:noWrap/>
            <w:vAlign w:val="center"/>
          </w:tcPr>
          <w:p w14:paraId="6BE70491">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无</w:t>
            </w:r>
          </w:p>
        </w:tc>
        <w:tc>
          <w:tcPr>
            <w:tcW w:w="329" w:type="pct"/>
            <w:tcBorders>
              <w:tl2br w:val="nil"/>
              <w:tr2bl w:val="nil"/>
            </w:tcBorders>
            <w:shd w:val="clear" w:color="auto" w:fill="auto"/>
            <w:noWrap/>
            <w:vAlign w:val="center"/>
          </w:tcPr>
          <w:p w14:paraId="10198C88">
            <w:pPr>
              <w:pStyle w:val="30"/>
              <w:ind w:firstLine="0" w:firstLineChars="0"/>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color w:val="auto"/>
                <w:sz w:val="21"/>
                <w:szCs w:val="21"/>
                <w:highlight w:val="none"/>
              </w:rPr>
              <w:t>无</w:t>
            </w:r>
          </w:p>
        </w:tc>
      </w:tr>
      <w:tr w14:paraId="17D4CC4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475" w:type="pct"/>
            <w:tcBorders>
              <w:tl2br w:val="nil"/>
              <w:tr2bl w:val="nil"/>
            </w:tcBorders>
            <w:shd w:val="clear" w:color="auto" w:fill="auto"/>
            <w:vAlign w:val="center"/>
          </w:tcPr>
          <w:p w14:paraId="02E431EE">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浑浊度（</w:t>
            </w:r>
            <w:r>
              <w:rPr>
                <w:rFonts w:hint="default" w:ascii="Times New Roman" w:hAnsi="Times New Roman" w:eastAsia="宋体" w:cs="Times New Roman"/>
                <w:color w:val="auto"/>
                <w:sz w:val="21"/>
                <w:szCs w:val="21"/>
                <w:highlight w:val="none"/>
                <w:u w:val="none"/>
                <w:lang w:val="en-US" w:eastAsia="zh-CN" w:bidi="ar"/>
              </w:rPr>
              <w:t>NTU）</w:t>
            </w:r>
          </w:p>
        </w:tc>
        <w:tc>
          <w:tcPr>
            <w:tcW w:w="284" w:type="pct"/>
            <w:tcBorders>
              <w:tl2br w:val="nil"/>
              <w:tr2bl w:val="nil"/>
            </w:tcBorders>
            <w:shd w:val="clear" w:color="auto" w:fill="auto"/>
            <w:noWrap/>
            <w:vAlign w:val="center"/>
          </w:tcPr>
          <w:p w14:paraId="7B6725FA">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1.65</w:t>
            </w:r>
          </w:p>
        </w:tc>
        <w:tc>
          <w:tcPr>
            <w:tcW w:w="284" w:type="pct"/>
            <w:tcBorders>
              <w:tl2br w:val="nil"/>
              <w:tr2bl w:val="nil"/>
            </w:tcBorders>
            <w:shd w:val="clear" w:color="auto" w:fill="auto"/>
            <w:noWrap/>
            <w:vAlign w:val="center"/>
          </w:tcPr>
          <w:p w14:paraId="61E2A4CA">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1.85</w:t>
            </w:r>
          </w:p>
        </w:tc>
        <w:tc>
          <w:tcPr>
            <w:tcW w:w="284" w:type="pct"/>
            <w:tcBorders>
              <w:tl2br w:val="nil"/>
              <w:tr2bl w:val="nil"/>
            </w:tcBorders>
            <w:shd w:val="clear" w:color="auto" w:fill="auto"/>
            <w:noWrap/>
            <w:vAlign w:val="center"/>
          </w:tcPr>
          <w:p w14:paraId="1E9D68EF">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2.47</w:t>
            </w:r>
          </w:p>
        </w:tc>
        <w:tc>
          <w:tcPr>
            <w:tcW w:w="284" w:type="pct"/>
            <w:tcBorders>
              <w:tl2br w:val="nil"/>
              <w:tr2bl w:val="nil"/>
            </w:tcBorders>
            <w:shd w:val="clear" w:color="auto" w:fill="auto"/>
            <w:noWrap/>
            <w:vAlign w:val="center"/>
          </w:tcPr>
          <w:p w14:paraId="204494FD">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2.3</w:t>
            </w:r>
          </w:p>
        </w:tc>
        <w:tc>
          <w:tcPr>
            <w:tcW w:w="284" w:type="pct"/>
            <w:tcBorders>
              <w:tl2br w:val="nil"/>
              <w:tr2bl w:val="nil"/>
            </w:tcBorders>
            <w:shd w:val="clear" w:color="auto" w:fill="auto"/>
            <w:noWrap/>
            <w:vAlign w:val="center"/>
          </w:tcPr>
          <w:p w14:paraId="06D2F60E">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2.86</w:t>
            </w:r>
          </w:p>
        </w:tc>
        <w:tc>
          <w:tcPr>
            <w:tcW w:w="284" w:type="pct"/>
            <w:tcBorders>
              <w:tl2br w:val="nil"/>
              <w:tr2bl w:val="nil"/>
            </w:tcBorders>
            <w:shd w:val="clear" w:color="auto" w:fill="auto"/>
            <w:noWrap/>
            <w:vAlign w:val="center"/>
          </w:tcPr>
          <w:p w14:paraId="0985935D">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1.21</w:t>
            </w:r>
          </w:p>
        </w:tc>
        <w:tc>
          <w:tcPr>
            <w:tcW w:w="284" w:type="pct"/>
            <w:tcBorders>
              <w:tl2br w:val="nil"/>
              <w:tr2bl w:val="nil"/>
            </w:tcBorders>
            <w:shd w:val="clear" w:color="auto" w:fill="auto"/>
            <w:noWrap/>
            <w:vAlign w:val="center"/>
          </w:tcPr>
          <w:p w14:paraId="702129B9">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1.33</w:t>
            </w:r>
          </w:p>
        </w:tc>
        <w:tc>
          <w:tcPr>
            <w:tcW w:w="284" w:type="pct"/>
            <w:tcBorders>
              <w:tl2br w:val="nil"/>
              <w:tr2bl w:val="nil"/>
            </w:tcBorders>
            <w:shd w:val="clear" w:color="auto" w:fill="auto"/>
            <w:noWrap/>
            <w:vAlign w:val="center"/>
          </w:tcPr>
          <w:p w14:paraId="6AAFBF35">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1.05</w:t>
            </w:r>
          </w:p>
        </w:tc>
        <w:tc>
          <w:tcPr>
            <w:tcW w:w="284" w:type="pct"/>
            <w:tcBorders>
              <w:tl2br w:val="nil"/>
              <w:tr2bl w:val="nil"/>
            </w:tcBorders>
            <w:shd w:val="clear" w:color="auto" w:fill="auto"/>
            <w:noWrap/>
            <w:vAlign w:val="center"/>
          </w:tcPr>
          <w:p w14:paraId="14545649">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2.52</w:t>
            </w:r>
          </w:p>
        </w:tc>
        <w:tc>
          <w:tcPr>
            <w:tcW w:w="285" w:type="pct"/>
            <w:tcBorders>
              <w:tl2br w:val="nil"/>
              <w:tr2bl w:val="nil"/>
            </w:tcBorders>
            <w:shd w:val="clear" w:color="auto" w:fill="auto"/>
            <w:noWrap/>
            <w:vAlign w:val="center"/>
          </w:tcPr>
          <w:p w14:paraId="31108B1E">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1.12</w:t>
            </w:r>
          </w:p>
        </w:tc>
        <w:tc>
          <w:tcPr>
            <w:tcW w:w="285" w:type="pct"/>
            <w:tcBorders>
              <w:tl2br w:val="nil"/>
              <w:tr2bl w:val="nil"/>
            </w:tcBorders>
            <w:shd w:val="clear" w:color="auto" w:fill="auto"/>
            <w:noWrap/>
            <w:vAlign w:val="center"/>
          </w:tcPr>
          <w:p w14:paraId="6A15767B">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1.8</w:t>
            </w:r>
          </w:p>
        </w:tc>
        <w:tc>
          <w:tcPr>
            <w:tcW w:w="285" w:type="pct"/>
            <w:tcBorders>
              <w:tl2br w:val="nil"/>
              <w:tr2bl w:val="nil"/>
            </w:tcBorders>
            <w:shd w:val="clear" w:color="auto" w:fill="auto"/>
            <w:noWrap/>
            <w:vAlign w:val="center"/>
          </w:tcPr>
          <w:p w14:paraId="7B8B209A">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2.32</w:t>
            </w:r>
          </w:p>
        </w:tc>
        <w:tc>
          <w:tcPr>
            <w:tcW w:w="261" w:type="pct"/>
            <w:tcBorders>
              <w:tl2br w:val="nil"/>
              <w:tr2bl w:val="nil"/>
            </w:tcBorders>
            <w:shd w:val="clear" w:color="auto" w:fill="auto"/>
            <w:noWrap/>
            <w:vAlign w:val="center"/>
          </w:tcPr>
          <w:p w14:paraId="703851FA">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2.85</w:t>
            </w:r>
          </w:p>
        </w:tc>
        <w:tc>
          <w:tcPr>
            <w:tcW w:w="267" w:type="pct"/>
            <w:tcBorders>
              <w:tl2br w:val="nil"/>
              <w:tr2bl w:val="nil"/>
            </w:tcBorders>
            <w:shd w:val="clear" w:color="auto" w:fill="auto"/>
            <w:noWrap/>
            <w:vAlign w:val="center"/>
          </w:tcPr>
          <w:p w14:paraId="2EBA9AE2">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1.45</w:t>
            </w:r>
          </w:p>
        </w:tc>
        <w:tc>
          <w:tcPr>
            <w:tcW w:w="249" w:type="pct"/>
            <w:tcBorders>
              <w:tl2br w:val="nil"/>
              <w:tr2bl w:val="nil"/>
            </w:tcBorders>
            <w:shd w:val="clear" w:color="auto" w:fill="auto"/>
            <w:noWrap/>
            <w:vAlign w:val="center"/>
          </w:tcPr>
          <w:p w14:paraId="57360B61">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1.63</w:t>
            </w:r>
          </w:p>
        </w:tc>
        <w:tc>
          <w:tcPr>
            <w:tcW w:w="329" w:type="pct"/>
            <w:tcBorders>
              <w:tl2br w:val="nil"/>
              <w:tr2bl w:val="nil"/>
            </w:tcBorders>
            <w:shd w:val="clear" w:color="auto" w:fill="auto"/>
            <w:noWrap/>
            <w:vAlign w:val="center"/>
          </w:tcPr>
          <w:p w14:paraId="7CEBEB43">
            <w:pPr>
              <w:pStyle w:val="30"/>
              <w:ind w:firstLine="0" w:firstLineChars="0"/>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color w:val="auto"/>
                <w:sz w:val="21"/>
                <w:szCs w:val="21"/>
                <w:highlight w:val="none"/>
              </w:rPr>
              <w:t>≤3</w:t>
            </w:r>
          </w:p>
        </w:tc>
      </w:tr>
      <w:tr w14:paraId="189015C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475" w:type="pct"/>
            <w:tcBorders>
              <w:tl2br w:val="nil"/>
              <w:tr2bl w:val="nil"/>
            </w:tcBorders>
            <w:shd w:val="clear" w:color="auto" w:fill="auto"/>
            <w:vAlign w:val="center"/>
          </w:tcPr>
          <w:p w14:paraId="4A0AB474">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肉眼可见物（无量纲）</w:t>
            </w:r>
          </w:p>
        </w:tc>
        <w:tc>
          <w:tcPr>
            <w:tcW w:w="284" w:type="pct"/>
            <w:tcBorders>
              <w:tl2br w:val="nil"/>
              <w:tr2bl w:val="nil"/>
            </w:tcBorders>
            <w:shd w:val="clear" w:color="auto" w:fill="auto"/>
            <w:noWrap/>
            <w:vAlign w:val="center"/>
          </w:tcPr>
          <w:p w14:paraId="5DC88036">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无</w:t>
            </w:r>
          </w:p>
        </w:tc>
        <w:tc>
          <w:tcPr>
            <w:tcW w:w="284" w:type="pct"/>
            <w:tcBorders>
              <w:tl2br w:val="nil"/>
              <w:tr2bl w:val="nil"/>
            </w:tcBorders>
            <w:shd w:val="clear" w:color="auto" w:fill="auto"/>
            <w:noWrap/>
            <w:vAlign w:val="center"/>
          </w:tcPr>
          <w:p w14:paraId="55997595">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无</w:t>
            </w:r>
          </w:p>
        </w:tc>
        <w:tc>
          <w:tcPr>
            <w:tcW w:w="284" w:type="pct"/>
            <w:tcBorders>
              <w:tl2br w:val="nil"/>
              <w:tr2bl w:val="nil"/>
            </w:tcBorders>
            <w:shd w:val="clear" w:color="auto" w:fill="auto"/>
            <w:noWrap/>
            <w:vAlign w:val="center"/>
          </w:tcPr>
          <w:p w14:paraId="2F4DFFD6">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无</w:t>
            </w:r>
          </w:p>
        </w:tc>
        <w:tc>
          <w:tcPr>
            <w:tcW w:w="284" w:type="pct"/>
            <w:tcBorders>
              <w:tl2br w:val="nil"/>
              <w:tr2bl w:val="nil"/>
            </w:tcBorders>
            <w:shd w:val="clear" w:color="auto" w:fill="auto"/>
            <w:noWrap/>
            <w:vAlign w:val="center"/>
          </w:tcPr>
          <w:p w14:paraId="507DC4A9">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无</w:t>
            </w:r>
          </w:p>
        </w:tc>
        <w:tc>
          <w:tcPr>
            <w:tcW w:w="284" w:type="pct"/>
            <w:tcBorders>
              <w:tl2br w:val="nil"/>
              <w:tr2bl w:val="nil"/>
            </w:tcBorders>
            <w:shd w:val="clear" w:color="auto" w:fill="auto"/>
            <w:noWrap/>
            <w:vAlign w:val="center"/>
          </w:tcPr>
          <w:p w14:paraId="5CCF2AFD">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无</w:t>
            </w:r>
          </w:p>
        </w:tc>
        <w:tc>
          <w:tcPr>
            <w:tcW w:w="284" w:type="pct"/>
            <w:tcBorders>
              <w:tl2br w:val="nil"/>
              <w:tr2bl w:val="nil"/>
            </w:tcBorders>
            <w:shd w:val="clear" w:color="auto" w:fill="auto"/>
            <w:noWrap/>
            <w:vAlign w:val="center"/>
          </w:tcPr>
          <w:p w14:paraId="29F782E8">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无</w:t>
            </w:r>
          </w:p>
        </w:tc>
        <w:tc>
          <w:tcPr>
            <w:tcW w:w="284" w:type="pct"/>
            <w:tcBorders>
              <w:tl2br w:val="nil"/>
              <w:tr2bl w:val="nil"/>
            </w:tcBorders>
            <w:shd w:val="clear" w:color="auto" w:fill="auto"/>
            <w:noWrap/>
            <w:vAlign w:val="center"/>
          </w:tcPr>
          <w:p w14:paraId="402EE723">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无</w:t>
            </w:r>
          </w:p>
        </w:tc>
        <w:tc>
          <w:tcPr>
            <w:tcW w:w="284" w:type="pct"/>
            <w:tcBorders>
              <w:tl2br w:val="nil"/>
              <w:tr2bl w:val="nil"/>
            </w:tcBorders>
            <w:shd w:val="clear" w:color="auto" w:fill="auto"/>
            <w:noWrap/>
            <w:vAlign w:val="center"/>
          </w:tcPr>
          <w:p w14:paraId="2D212147">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无</w:t>
            </w:r>
          </w:p>
        </w:tc>
        <w:tc>
          <w:tcPr>
            <w:tcW w:w="284" w:type="pct"/>
            <w:tcBorders>
              <w:tl2br w:val="nil"/>
              <w:tr2bl w:val="nil"/>
            </w:tcBorders>
            <w:shd w:val="clear" w:color="auto" w:fill="auto"/>
            <w:noWrap/>
            <w:vAlign w:val="center"/>
          </w:tcPr>
          <w:p w14:paraId="03845FCE">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无</w:t>
            </w:r>
          </w:p>
        </w:tc>
        <w:tc>
          <w:tcPr>
            <w:tcW w:w="285" w:type="pct"/>
            <w:tcBorders>
              <w:tl2br w:val="nil"/>
              <w:tr2bl w:val="nil"/>
            </w:tcBorders>
            <w:shd w:val="clear" w:color="auto" w:fill="auto"/>
            <w:noWrap/>
            <w:vAlign w:val="center"/>
          </w:tcPr>
          <w:p w14:paraId="51D870B9">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无</w:t>
            </w:r>
          </w:p>
        </w:tc>
        <w:tc>
          <w:tcPr>
            <w:tcW w:w="285" w:type="pct"/>
            <w:tcBorders>
              <w:tl2br w:val="nil"/>
              <w:tr2bl w:val="nil"/>
            </w:tcBorders>
            <w:shd w:val="clear" w:color="auto" w:fill="auto"/>
            <w:noWrap/>
            <w:vAlign w:val="center"/>
          </w:tcPr>
          <w:p w14:paraId="7C447869">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无</w:t>
            </w:r>
          </w:p>
        </w:tc>
        <w:tc>
          <w:tcPr>
            <w:tcW w:w="285" w:type="pct"/>
            <w:tcBorders>
              <w:tl2br w:val="nil"/>
              <w:tr2bl w:val="nil"/>
            </w:tcBorders>
            <w:shd w:val="clear" w:color="auto" w:fill="auto"/>
            <w:noWrap/>
            <w:vAlign w:val="center"/>
          </w:tcPr>
          <w:p w14:paraId="2929AD44">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无</w:t>
            </w:r>
          </w:p>
        </w:tc>
        <w:tc>
          <w:tcPr>
            <w:tcW w:w="261" w:type="pct"/>
            <w:tcBorders>
              <w:tl2br w:val="nil"/>
              <w:tr2bl w:val="nil"/>
            </w:tcBorders>
            <w:shd w:val="clear" w:color="auto" w:fill="auto"/>
            <w:noWrap/>
            <w:vAlign w:val="center"/>
          </w:tcPr>
          <w:p w14:paraId="41FDD803">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无</w:t>
            </w:r>
          </w:p>
        </w:tc>
        <w:tc>
          <w:tcPr>
            <w:tcW w:w="267" w:type="pct"/>
            <w:tcBorders>
              <w:tl2br w:val="nil"/>
              <w:tr2bl w:val="nil"/>
            </w:tcBorders>
            <w:shd w:val="clear" w:color="auto" w:fill="auto"/>
            <w:noWrap/>
            <w:vAlign w:val="center"/>
          </w:tcPr>
          <w:p w14:paraId="45964CCD">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ascii="Times New Roman" w:hAnsi="Times New Roman" w:eastAsia="宋体" w:cs="Times New Roman"/>
                <w:i w:val="0"/>
                <w:iCs w:val="0"/>
                <w:color w:val="auto"/>
                <w:kern w:val="0"/>
                <w:sz w:val="21"/>
                <w:szCs w:val="21"/>
                <w:highlight w:val="none"/>
                <w:u w:val="none"/>
                <w:lang w:val="en-US" w:eastAsia="zh-CN" w:bidi="ar"/>
              </w:rPr>
              <w:t>无</w:t>
            </w:r>
          </w:p>
        </w:tc>
        <w:tc>
          <w:tcPr>
            <w:tcW w:w="249" w:type="pct"/>
            <w:tcBorders>
              <w:tl2br w:val="nil"/>
              <w:tr2bl w:val="nil"/>
            </w:tcBorders>
            <w:shd w:val="clear" w:color="auto" w:fill="auto"/>
            <w:noWrap/>
            <w:vAlign w:val="center"/>
          </w:tcPr>
          <w:p w14:paraId="7B9DD0C3">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无</w:t>
            </w:r>
          </w:p>
        </w:tc>
        <w:tc>
          <w:tcPr>
            <w:tcW w:w="329" w:type="pct"/>
            <w:tcBorders>
              <w:tl2br w:val="nil"/>
              <w:tr2bl w:val="nil"/>
            </w:tcBorders>
            <w:shd w:val="clear" w:color="auto" w:fill="auto"/>
            <w:noWrap/>
            <w:vAlign w:val="center"/>
          </w:tcPr>
          <w:p w14:paraId="4193D417">
            <w:pPr>
              <w:pStyle w:val="30"/>
              <w:ind w:firstLine="0" w:firstLineChars="0"/>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color w:val="auto"/>
                <w:sz w:val="21"/>
                <w:szCs w:val="21"/>
                <w:highlight w:val="none"/>
              </w:rPr>
              <w:t>无</w:t>
            </w:r>
          </w:p>
        </w:tc>
      </w:tr>
      <w:tr w14:paraId="3BE6394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475" w:type="pct"/>
            <w:tcBorders>
              <w:tl2br w:val="nil"/>
              <w:tr2bl w:val="nil"/>
            </w:tcBorders>
            <w:shd w:val="clear" w:color="auto" w:fill="auto"/>
            <w:vAlign w:val="center"/>
          </w:tcPr>
          <w:p w14:paraId="09B1B839">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硫酸盐（mg/L）</w:t>
            </w:r>
          </w:p>
        </w:tc>
        <w:tc>
          <w:tcPr>
            <w:tcW w:w="284" w:type="pct"/>
            <w:tcBorders>
              <w:tl2br w:val="nil"/>
              <w:tr2bl w:val="nil"/>
            </w:tcBorders>
            <w:shd w:val="clear" w:color="auto" w:fill="auto"/>
            <w:noWrap/>
            <w:vAlign w:val="center"/>
          </w:tcPr>
          <w:p w14:paraId="453A2EC7">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5L</w:t>
            </w:r>
          </w:p>
        </w:tc>
        <w:tc>
          <w:tcPr>
            <w:tcW w:w="284" w:type="pct"/>
            <w:tcBorders>
              <w:tl2br w:val="nil"/>
              <w:tr2bl w:val="nil"/>
            </w:tcBorders>
            <w:shd w:val="clear" w:color="auto" w:fill="auto"/>
            <w:noWrap/>
            <w:vAlign w:val="center"/>
          </w:tcPr>
          <w:p w14:paraId="5178E1D8">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8.3</w:t>
            </w:r>
          </w:p>
        </w:tc>
        <w:tc>
          <w:tcPr>
            <w:tcW w:w="284" w:type="pct"/>
            <w:tcBorders>
              <w:tl2br w:val="nil"/>
              <w:tr2bl w:val="nil"/>
            </w:tcBorders>
            <w:shd w:val="clear" w:color="auto" w:fill="auto"/>
            <w:noWrap/>
            <w:vAlign w:val="center"/>
          </w:tcPr>
          <w:p w14:paraId="171F14C5">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5L</w:t>
            </w:r>
          </w:p>
        </w:tc>
        <w:tc>
          <w:tcPr>
            <w:tcW w:w="284" w:type="pct"/>
            <w:tcBorders>
              <w:tl2br w:val="nil"/>
              <w:tr2bl w:val="nil"/>
            </w:tcBorders>
            <w:shd w:val="clear" w:color="auto" w:fill="auto"/>
            <w:noWrap/>
            <w:vAlign w:val="center"/>
          </w:tcPr>
          <w:p w14:paraId="71FBCDFD">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5L</w:t>
            </w:r>
          </w:p>
        </w:tc>
        <w:tc>
          <w:tcPr>
            <w:tcW w:w="284" w:type="pct"/>
            <w:tcBorders>
              <w:tl2br w:val="nil"/>
              <w:tr2bl w:val="nil"/>
            </w:tcBorders>
            <w:shd w:val="clear" w:color="auto" w:fill="auto"/>
            <w:noWrap/>
            <w:vAlign w:val="center"/>
          </w:tcPr>
          <w:p w14:paraId="0E5F224F">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5L</w:t>
            </w:r>
          </w:p>
        </w:tc>
        <w:tc>
          <w:tcPr>
            <w:tcW w:w="284" w:type="pct"/>
            <w:tcBorders>
              <w:tl2br w:val="nil"/>
              <w:tr2bl w:val="nil"/>
            </w:tcBorders>
            <w:shd w:val="clear" w:color="auto" w:fill="auto"/>
            <w:noWrap/>
            <w:vAlign w:val="center"/>
          </w:tcPr>
          <w:p w14:paraId="3C62609F">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5L</w:t>
            </w:r>
          </w:p>
        </w:tc>
        <w:tc>
          <w:tcPr>
            <w:tcW w:w="284" w:type="pct"/>
            <w:tcBorders>
              <w:tl2br w:val="nil"/>
              <w:tr2bl w:val="nil"/>
            </w:tcBorders>
            <w:shd w:val="clear" w:color="auto" w:fill="auto"/>
            <w:noWrap/>
            <w:vAlign w:val="center"/>
          </w:tcPr>
          <w:p w14:paraId="2BD86089">
            <w:pPr>
              <w:keepNext w:val="0"/>
              <w:keepLines w:val="0"/>
              <w:widowControl/>
              <w:suppressLineNumbers w:val="0"/>
              <w:spacing w:line="240" w:lineRule="auto"/>
              <w:ind w:firstLine="0" w:firstLineChars="0"/>
              <w:jc w:val="center"/>
              <w:textAlignment w:val="bottom"/>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39</w:t>
            </w:r>
          </w:p>
        </w:tc>
        <w:tc>
          <w:tcPr>
            <w:tcW w:w="284" w:type="pct"/>
            <w:tcBorders>
              <w:tl2br w:val="nil"/>
              <w:tr2bl w:val="nil"/>
            </w:tcBorders>
            <w:shd w:val="clear" w:color="auto" w:fill="auto"/>
            <w:noWrap/>
            <w:vAlign w:val="center"/>
          </w:tcPr>
          <w:p w14:paraId="06ED14C8">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5L</w:t>
            </w:r>
          </w:p>
        </w:tc>
        <w:tc>
          <w:tcPr>
            <w:tcW w:w="284" w:type="pct"/>
            <w:tcBorders>
              <w:tl2br w:val="nil"/>
              <w:tr2bl w:val="nil"/>
            </w:tcBorders>
            <w:shd w:val="clear" w:color="auto" w:fill="auto"/>
            <w:noWrap/>
            <w:vAlign w:val="center"/>
          </w:tcPr>
          <w:p w14:paraId="7C7DFB54">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5L</w:t>
            </w:r>
          </w:p>
        </w:tc>
        <w:tc>
          <w:tcPr>
            <w:tcW w:w="285" w:type="pct"/>
            <w:tcBorders>
              <w:tl2br w:val="nil"/>
              <w:tr2bl w:val="nil"/>
            </w:tcBorders>
            <w:shd w:val="clear" w:color="auto" w:fill="auto"/>
            <w:noWrap/>
            <w:vAlign w:val="center"/>
          </w:tcPr>
          <w:p w14:paraId="23F45CAE">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5L</w:t>
            </w:r>
          </w:p>
        </w:tc>
        <w:tc>
          <w:tcPr>
            <w:tcW w:w="285" w:type="pct"/>
            <w:tcBorders>
              <w:tl2br w:val="nil"/>
              <w:tr2bl w:val="nil"/>
            </w:tcBorders>
            <w:shd w:val="clear" w:color="auto" w:fill="auto"/>
            <w:noWrap/>
            <w:vAlign w:val="center"/>
          </w:tcPr>
          <w:p w14:paraId="7B614106">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5L</w:t>
            </w:r>
          </w:p>
        </w:tc>
        <w:tc>
          <w:tcPr>
            <w:tcW w:w="285" w:type="pct"/>
            <w:tcBorders>
              <w:tl2br w:val="nil"/>
              <w:tr2bl w:val="nil"/>
            </w:tcBorders>
            <w:shd w:val="clear" w:color="auto" w:fill="auto"/>
            <w:noWrap/>
            <w:vAlign w:val="center"/>
          </w:tcPr>
          <w:p w14:paraId="543EEF8E">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5L</w:t>
            </w:r>
          </w:p>
        </w:tc>
        <w:tc>
          <w:tcPr>
            <w:tcW w:w="261" w:type="pct"/>
            <w:tcBorders>
              <w:tl2br w:val="nil"/>
              <w:tr2bl w:val="nil"/>
            </w:tcBorders>
            <w:shd w:val="clear" w:color="auto" w:fill="auto"/>
            <w:noWrap/>
            <w:vAlign w:val="center"/>
          </w:tcPr>
          <w:p w14:paraId="32300E1A">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5L</w:t>
            </w:r>
          </w:p>
        </w:tc>
        <w:tc>
          <w:tcPr>
            <w:tcW w:w="267" w:type="pct"/>
            <w:tcBorders>
              <w:tl2br w:val="nil"/>
              <w:tr2bl w:val="nil"/>
            </w:tcBorders>
            <w:shd w:val="clear" w:color="auto" w:fill="auto"/>
            <w:noWrap/>
            <w:vAlign w:val="bottom"/>
          </w:tcPr>
          <w:p w14:paraId="58BCCF9D">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46</w:t>
            </w:r>
          </w:p>
        </w:tc>
        <w:tc>
          <w:tcPr>
            <w:tcW w:w="249" w:type="pct"/>
            <w:tcBorders>
              <w:tl2br w:val="nil"/>
              <w:tr2bl w:val="nil"/>
            </w:tcBorders>
            <w:shd w:val="clear" w:color="auto" w:fill="auto"/>
            <w:noWrap/>
            <w:vAlign w:val="bottom"/>
          </w:tcPr>
          <w:p w14:paraId="3FFBD3C2">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38.5</w:t>
            </w:r>
          </w:p>
        </w:tc>
        <w:tc>
          <w:tcPr>
            <w:tcW w:w="329" w:type="pct"/>
            <w:tcBorders>
              <w:tl2br w:val="nil"/>
              <w:tr2bl w:val="nil"/>
            </w:tcBorders>
            <w:shd w:val="clear" w:color="auto" w:fill="auto"/>
            <w:noWrap/>
            <w:vAlign w:val="center"/>
          </w:tcPr>
          <w:p w14:paraId="1B2E0AA2">
            <w:pPr>
              <w:pStyle w:val="30"/>
              <w:ind w:firstLine="0" w:firstLineChars="0"/>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color w:val="auto"/>
                <w:sz w:val="21"/>
                <w:szCs w:val="21"/>
                <w:highlight w:val="none"/>
              </w:rPr>
              <w:t>≤250</w:t>
            </w:r>
          </w:p>
        </w:tc>
      </w:tr>
      <w:tr w14:paraId="03AC3D1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475" w:type="pct"/>
            <w:tcBorders>
              <w:tl2br w:val="nil"/>
              <w:tr2bl w:val="nil"/>
            </w:tcBorders>
            <w:shd w:val="clear" w:color="auto" w:fill="auto"/>
            <w:vAlign w:val="center"/>
          </w:tcPr>
          <w:p w14:paraId="3F6E5964">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氯化物（mg/L）</w:t>
            </w:r>
          </w:p>
        </w:tc>
        <w:tc>
          <w:tcPr>
            <w:tcW w:w="284" w:type="pct"/>
            <w:tcBorders>
              <w:tl2br w:val="nil"/>
              <w:tr2bl w:val="nil"/>
            </w:tcBorders>
            <w:shd w:val="clear" w:color="auto" w:fill="auto"/>
            <w:noWrap/>
            <w:vAlign w:val="center"/>
          </w:tcPr>
          <w:p w14:paraId="0537CDBC">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w:t>
            </w:r>
          </w:p>
        </w:tc>
        <w:tc>
          <w:tcPr>
            <w:tcW w:w="284" w:type="pct"/>
            <w:tcBorders>
              <w:tl2br w:val="nil"/>
              <w:tr2bl w:val="nil"/>
            </w:tcBorders>
            <w:shd w:val="clear" w:color="auto" w:fill="auto"/>
            <w:noWrap/>
            <w:vAlign w:val="center"/>
          </w:tcPr>
          <w:p w14:paraId="09566F97">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w:t>
            </w:r>
          </w:p>
        </w:tc>
        <w:tc>
          <w:tcPr>
            <w:tcW w:w="284" w:type="pct"/>
            <w:tcBorders>
              <w:tl2br w:val="nil"/>
              <w:tr2bl w:val="nil"/>
            </w:tcBorders>
            <w:shd w:val="clear" w:color="auto" w:fill="auto"/>
            <w:noWrap/>
            <w:vAlign w:val="center"/>
          </w:tcPr>
          <w:p w14:paraId="0D98899B">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2.5</w:t>
            </w:r>
          </w:p>
        </w:tc>
        <w:tc>
          <w:tcPr>
            <w:tcW w:w="284" w:type="pct"/>
            <w:tcBorders>
              <w:tl2br w:val="nil"/>
              <w:tr2bl w:val="nil"/>
            </w:tcBorders>
            <w:shd w:val="clear" w:color="auto" w:fill="auto"/>
            <w:noWrap/>
            <w:vAlign w:val="center"/>
          </w:tcPr>
          <w:p w14:paraId="0901D241">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2.5</w:t>
            </w:r>
          </w:p>
        </w:tc>
        <w:tc>
          <w:tcPr>
            <w:tcW w:w="284" w:type="pct"/>
            <w:tcBorders>
              <w:tl2br w:val="nil"/>
              <w:tr2bl w:val="nil"/>
            </w:tcBorders>
            <w:shd w:val="clear" w:color="auto" w:fill="auto"/>
            <w:noWrap/>
            <w:vAlign w:val="center"/>
          </w:tcPr>
          <w:p w14:paraId="5F797776">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284" w:type="pct"/>
            <w:tcBorders>
              <w:tl2br w:val="nil"/>
              <w:tr2bl w:val="nil"/>
            </w:tcBorders>
            <w:shd w:val="clear" w:color="auto" w:fill="auto"/>
            <w:noWrap/>
            <w:vAlign w:val="center"/>
          </w:tcPr>
          <w:p w14:paraId="2CE42823">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w:t>
            </w:r>
          </w:p>
        </w:tc>
        <w:tc>
          <w:tcPr>
            <w:tcW w:w="284" w:type="pct"/>
            <w:tcBorders>
              <w:tl2br w:val="nil"/>
              <w:tr2bl w:val="nil"/>
            </w:tcBorders>
            <w:shd w:val="clear" w:color="auto" w:fill="auto"/>
            <w:noWrap/>
            <w:vAlign w:val="center"/>
          </w:tcPr>
          <w:p w14:paraId="63764FE6">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22</w:t>
            </w:r>
          </w:p>
        </w:tc>
        <w:tc>
          <w:tcPr>
            <w:tcW w:w="284" w:type="pct"/>
            <w:tcBorders>
              <w:tl2br w:val="nil"/>
              <w:tr2bl w:val="nil"/>
            </w:tcBorders>
            <w:shd w:val="clear" w:color="auto" w:fill="auto"/>
            <w:noWrap/>
            <w:vAlign w:val="center"/>
          </w:tcPr>
          <w:p w14:paraId="5CD96EF0">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w:t>
            </w:r>
          </w:p>
        </w:tc>
        <w:tc>
          <w:tcPr>
            <w:tcW w:w="284" w:type="pct"/>
            <w:tcBorders>
              <w:tl2br w:val="nil"/>
              <w:tr2bl w:val="nil"/>
            </w:tcBorders>
            <w:shd w:val="clear" w:color="auto" w:fill="auto"/>
            <w:noWrap/>
            <w:vAlign w:val="center"/>
          </w:tcPr>
          <w:p w14:paraId="41A1CBC4">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285" w:type="pct"/>
            <w:tcBorders>
              <w:tl2br w:val="nil"/>
              <w:tr2bl w:val="nil"/>
            </w:tcBorders>
            <w:shd w:val="clear" w:color="auto" w:fill="auto"/>
            <w:noWrap/>
            <w:vAlign w:val="center"/>
          </w:tcPr>
          <w:p w14:paraId="297FF016">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1.0L</w:t>
            </w:r>
          </w:p>
        </w:tc>
        <w:tc>
          <w:tcPr>
            <w:tcW w:w="285" w:type="pct"/>
            <w:tcBorders>
              <w:tl2br w:val="nil"/>
              <w:tr2bl w:val="nil"/>
            </w:tcBorders>
            <w:shd w:val="clear" w:color="auto" w:fill="auto"/>
            <w:noWrap/>
            <w:vAlign w:val="center"/>
          </w:tcPr>
          <w:p w14:paraId="362FE879">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w:t>
            </w:r>
          </w:p>
        </w:tc>
        <w:tc>
          <w:tcPr>
            <w:tcW w:w="285" w:type="pct"/>
            <w:tcBorders>
              <w:tl2br w:val="nil"/>
              <w:tr2bl w:val="nil"/>
            </w:tcBorders>
            <w:shd w:val="clear" w:color="auto" w:fill="auto"/>
            <w:noWrap/>
            <w:vAlign w:val="center"/>
          </w:tcPr>
          <w:p w14:paraId="5F21747A">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261" w:type="pct"/>
            <w:tcBorders>
              <w:tl2br w:val="nil"/>
              <w:tr2bl w:val="nil"/>
            </w:tcBorders>
            <w:shd w:val="clear" w:color="auto" w:fill="auto"/>
            <w:noWrap/>
            <w:vAlign w:val="center"/>
          </w:tcPr>
          <w:p w14:paraId="69C2923A">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12</w:t>
            </w:r>
          </w:p>
        </w:tc>
        <w:tc>
          <w:tcPr>
            <w:tcW w:w="267" w:type="pct"/>
            <w:tcBorders>
              <w:tl2br w:val="nil"/>
              <w:tr2bl w:val="nil"/>
            </w:tcBorders>
            <w:shd w:val="clear" w:color="auto" w:fill="auto"/>
            <w:noWrap/>
            <w:vAlign w:val="center"/>
          </w:tcPr>
          <w:p w14:paraId="1DB1B6E9">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23</w:t>
            </w:r>
          </w:p>
        </w:tc>
        <w:tc>
          <w:tcPr>
            <w:tcW w:w="249" w:type="pct"/>
            <w:tcBorders>
              <w:tl2br w:val="nil"/>
              <w:tr2bl w:val="nil"/>
            </w:tcBorders>
            <w:shd w:val="clear" w:color="auto" w:fill="auto"/>
            <w:noWrap/>
            <w:vAlign w:val="center"/>
          </w:tcPr>
          <w:p w14:paraId="6D6D92D1">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22</w:t>
            </w:r>
          </w:p>
        </w:tc>
        <w:tc>
          <w:tcPr>
            <w:tcW w:w="329" w:type="pct"/>
            <w:tcBorders>
              <w:tl2br w:val="nil"/>
              <w:tr2bl w:val="nil"/>
            </w:tcBorders>
            <w:shd w:val="clear" w:color="auto" w:fill="auto"/>
            <w:noWrap/>
            <w:vAlign w:val="center"/>
          </w:tcPr>
          <w:p w14:paraId="4597ED54">
            <w:pPr>
              <w:pStyle w:val="30"/>
              <w:ind w:firstLine="0" w:firstLineChars="0"/>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color w:val="auto"/>
                <w:sz w:val="21"/>
                <w:szCs w:val="21"/>
                <w:highlight w:val="none"/>
              </w:rPr>
              <w:t>≤250</w:t>
            </w:r>
          </w:p>
        </w:tc>
      </w:tr>
      <w:tr w14:paraId="52041AB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475" w:type="pct"/>
            <w:tcBorders>
              <w:tl2br w:val="nil"/>
              <w:tr2bl w:val="nil"/>
            </w:tcBorders>
            <w:shd w:val="clear" w:color="auto" w:fill="auto"/>
            <w:vAlign w:val="center"/>
          </w:tcPr>
          <w:p w14:paraId="6D5A67A9">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铁（mg/L）</w:t>
            </w:r>
          </w:p>
        </w:tc>
        <w:tc>
          <w:tcPr>
            <w:tcW w:w="284" w:type="pct"/>
            <w:tcBorders>
              <w:tl2br w:val="nil"/>
              <w:tr2bl w:val="nil"/>
            </w:tcBorders>
            <w:shd w:val="clear" w:color="auto" w:fill="auto"/>
            <w:noWrap/>
            <w:vAlign w:val="center"/>
          </w:tcPr>
          <w:p w14:paraId="0650902D">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0.01L</w:t>
            </w:r>
          </w:p>
        </w:tc>
        <w:tc>
          <w:tcPr>
            <w:tcW w:w="284" w:type="pct"/>
            <w:tcBorders>
              <w:tl2br w:val="nil"/>
              <w:tr2bl w:val="nil"/>
            </w:tcBorders>
            <w:shd w:val="clear" w:color="auto" w:fill="auto"/>
            <w:noWrap/>
            <w:vAlign w:val="center"/>
          </w:tcPr>
          <w:p w14:paraId="771B8744">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0.01L</w:t>
            </w:r>
          </w:p>
        </w:tc>
        <w:tc>
          <w:tcPr>
            <w:tcW w:w="284" w:type="pct"/>
            <w:tcBorders>
              <w:tl2br w:val="nil"/>
              <w:tr2bl w:val="nil"/>
            </w:tcBorders>
            <w:shd w:val="clear" w:color="auto" w:fill="auto"/>
            <w:noWrap/>
            <w:vAlign w:val="center"/>
          </w:tcPr>
          <w:p w14:paraId="329B836D">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0.01L</w:t>
            </w:r>
          </w:p>
        </w:tc>
        <w:tc>
          <w:tcPr>
            <w:tcW w:w="284" w:type="pct"/>
            <w:tcBorders>
              <w:tl2br w:val="nil"/>
              <w:tr2bl w:val="nil"/>
            </w:tcBorders>
            <w:shd w:val="clear" w:color="auto" w:fill="auto"/>
            <w:noWrap/>
            <w:vAlign w:val="center"/>
          </w:tcPr>
          <w:p w14:paraId="41AF0C7A">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0.01L</w:t>
            </w:r>
          </w:p>
        </w:tc>
        <w:tc>
          <w:tcPr>
            <w:tcW w:w="284" w:type="pct"/>
            <w:tcBorders>
              <w:tl2br w:val="nil"/>
              <w:tr2bl w:val="nil"/>
            </w:tcBorders>
            <w:shd w:val="clear" w:color="auto" w:fill="auto"/>
            <w:noWrap/>
            <w:vAlign w:val="center"/>
          </w:tcPr>
          <w:p w14:paraId="4136B185">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0.01L</w:t>
            </w:r>
          </w:p>
        </w:tc>
        <w:tc>
          <w:tcPr>
            <w:tcW w:w="284" w:type="pct"/>
            <w:tcBorders>
              <w:tl2br w:val="nil"/>
              <w:tr2bl w:val="nil"/>
            </w:tcBorders>
            <w:shd w:val="clear" w:color="auto" w:fill="auto"/>
            <w:noWrap/>
            <w:vAlign w:val="center"/>
          </w:tcPr>
          <w:p w14:paraId="287ACCFC">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0.02</w:t>
            </w:r>
          </w:p>
        </w:tc>
        <w:tc>
          <w:tcPr>
            <w:tcW w:w="284" w:type="pct"/>
            <w:tcBorders>
              <w:tl2br w:val="nil"/>
              <w:tr2bl w:val="nil"/>
            </w:tcBorders>
            <w:shd w:val="clear" w:color="auto" w:fill="auto"/>
            <w:noWrap/>
            <w:vAlign w:val="center"/>
          </w:tcPr>
          <w:p w14:paraId="069DF8F2">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0.01L</w:t>
            </w:r>
          </w:p>
        </w:tc>
        <w:tc>
          <w:tcPr>
            <w:tcW w:w="284" w:type="pct"/>
            <w:tcBorders>
              <w:tl2br w:val="nil"/>
              <w:tr2bl w:val="nil"/>
            </w:tcBorders>
            <w:shd w:val="clear" w:color="auto" w:fill="auto"/>
            <w:noWrap/>
            <w:vAlign w:val="center"/>
          </w:tcPr>
          <w:p w14:paraId="08C2A33D">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0.02</w:t>
            </w:r>
          </w:p>
        </w:tc>
        <w:tc>
          <w:tcPr>
            <w:tcW w:w="284" w:type="pct"/>
            <w:tcBorders>
              <w:tl2br w:val="nil"/>
              <w:tr2bl w:val="nil"/>
            </w:tcBorders>
            <w:shd w:val="clear" w:color="auto" w:fill="auto"/>
            <w:noWrap/>
            <w:vAlign w:val="center"/>
          </w:tcPr>
          <w:p w14:paraId="258A2573">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0.01L</w:t>
            </w:r>
          </w:p>
        </w:tc>
        <w:tc>
          <w:tcPr>
            <w:tcW w:w="285" w:type="pct"/>
            <w:tcBorders>
              <w:tl2br w:val="nil"/>
              <w:tr2bl w:val="nil"/>
            </w:tcBorders>
            <w:shd w:val="clear" w:color="auto" w:fill="auto"/>
            <w:noWrap/>
            <w:vAlign w:val="center"/>
          </w:tcPr>
          <w:p w14:paraId="1089DB69">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0.01L</w:t>
            </w:r>
          </w:p>
        </w:tc>
        <w:tc>
          <w:tcPr>
            <w:tcW w:w="285" w:type="pct"/>
            <w:tcBorders>
              <w:tl2br w:val="nil"/>
              <w:tr2bl w:val="nil"/>
            </w:tcBorders>
            <w:shd w:val="clear" w:color="auto" w:fill="auto"/>
            <w:noWrap/>
            <w:vAlign w:val="center"/>
          </w:tcPr>
          <w:p w14:paraId="2D0791E8">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0.01L</w:t>
            </w:r>
          </w:p>
        </w:tc>
        <w:tc>
          <w:tcPr>
            <w:tcW w:w="285" w:type="pct"/>
            <w:tcBorders>
              <w:tl2br w:val="nil"/>
              <w:tr2bl w:val="nil"/>
            </w:tcBorders>
            <w:shd w:val="clear" w:color="auto" w:fill="auto"/>
            <w:noWrap/>
            <w:vAlign w:val="center"/>
          </w:tcPr>
          <w:p w14:paraId="5702C2CB">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0.01L</w:t>
            </w:r>
          </w:p>
        </w:tc>
        <w:tc>
          <w:tcPr>
            <w:tcW w:w="261" w:type="pct"/>
            <w:tcBorders>
              <w:tl2br w:val="nil"/>
              <w:tr2bl w:val="nil"/>
            </w:tcBorders>
            <w:shd w:val="clear" w:color="auto" w:fill="auto"/>
            <w:noWrap/>
            <w:vAlign w:val="center"/>
          </w:tcPr>
          <w:p w14:paraId="349E5664">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0.01L</w:t>
            </w:r>
          </w:p>
        </w:tc>
        <w:tc>
          <w:tcPr>
            <w:tcW w:w="267" w:type="pct"/>
            <w:tcBorders>
              <w:tl2br w:val="nil"/>
              <w:tr2bl w:val="nil"/>
            </w:tcBorders>
            <w:shd w:val="clear" w:color="auto" w:fill="auto"/>
            <w:noWrap/>
            <w:vAlign w:val="center"/>
          </w:tcPr>
          <w:p w14:paraId="0993DD7A">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0.01L</w:t>
            </w:r>
          </w:p>
        </w:tc>
        <w:tc>
          <w:tcPr>
            <w:tcW w:w="249" w:type="pct"/>
            <w:tcBorders>
              <w:tl2br w:val="nil"/>
              <w:tr2bl w:val="nil"/>
            </w:tcBorders>
            <w:shd w:val="clear" w:color="auto" w:fill="auto"/>
            <w:noWrap/>
            <w:vAlign w:val="center"/>
          </w:tcPr>
          <w:p w14:paraId="653BA402">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0.01L</w:t>
            </w:r>
          </w:p>
        </w:tc>
        <w:tc>
          <w:tcPr>
            <w:tcW w:w="329" w:type="pct"/>
            <w:tcBorders>
              <w:tl2br w:val="nil"/>
              <w:tr2bl w:val="nil"/>
            </w:tcBorders>
            <w:shd w:val="clear" w:color="auto" w:fill="auto"/>
            <w:noWrap/>
            <w:vAlign w:val="center"/>
          </w:tcPr>
          <w:p w14:paraId="0E25AADD">
            <w:pPr>
              <w:pStyle w:val="30"/>
              <w:ind w:firstLine="0" w:firstLineChars="0"/>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color w:val="auto"/>
                <w:sz w:val="21"/>
                <w:szCs w:val="21"/>
                <w:highlight w:val="none"/>
              </w:rPr>
              <w:t>≤0.3</w:t>
            </w:r>
          </w:p>
        </w:tc>
      </w:tr>
      <w:tr w14:paraId="477EBF5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475" w:type="pct"/>
            <w:tcBorders>
              <w:tl2br w:val="nil"/>
              <w:tr2bl w:val="nil"/>
            </w:tcBorders>
            <w:shd w:val="clear" w:color="auto" w:fill="auto"/>
            <w:vAlign w:val="center"/>
          </w:tcPr>
          <w:p w14:paraId="7E15D59A">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锰（mg/L）</w:t>
            </w:r>
          </w:p>
        </w:tc>
        <w:tc>
          <w:tcPr>
            <w:tcW w:w="284" w:type="pct"/>
            <w:tcBorders>
              <w:tl2br w:val="nil"/>
              <w:tr2bl w:val="nil"/>
            </w:tcBorders>
            <w:shd w:val="clear" w:color="auto" w:fill="auto"/>
            <w:noWrap/>
            <w:vAlign w:val="center"/>
          </w:tcPr>
          <w:p w14:paraId="2C8233E6">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0.39</w:t>
            </w:r>
          </w:p>
        </w:tc>
        <w:tc>
          <w:tcPr>
            <w:tcW w:w="284" w:type="pct"/>
            <w:tcBorders>
              <w:tl2br w:val="nil"/>
              <w:tr2bl w:val="nil"/>
            </w:tcBorders>
            <w:shd w:val="clear" w:color="auto" w:fill="auto"/>
            <w:noWrap/>
            <w:vAlign w:val="center"/>
          </w:tcPr>
          <w:p w14:paraId="63E11A6C">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0.14</w:t>
            </w:r>
          </w:p>
        </w:tc>
        <w:tc>
          <w:tcPr>
            <w:tcW w:w="284" w:type="pct"/>
            <w:tcBorders>
              <w:tl2br w:val="nil"/>
              <w:tr2bl w:val="nil"/>
            </w:tcBorders>
            <w:shd w:val="clear" w:color="auto" w:fill="auto"/>
            <w:noWrap/>
            <w:vAlign w:val="center"/>
          </w:tcPr>
          <w:p w14:paraId="130D3AAA">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0.28</w:t>
            </w:r>
          </w:p>
        </w:tc>
        <w:tc>
          <w:tcPr>
            <w:tcW w:w="284" w:type="pct"/>
            <w:tcBorders>
              <w:tl2br w:val="nil"/>
              <w:tr2bl w:val="nil"/>
            </w:tcBorders>
            <w:shd w:val="clear" w:color="auto" w:fill="auto"/>
            <w:noWrap/>
            <w:vAlign w:val="center"/>
          </w:tcPr>
          <w:p w14:paraId="34849731">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0.44</w:t>
            </w:r>
          </w:p>
        </w:tc>
        <w:tc>
          <w:tcPr>
            <w:tcW w:w="284" w:type="pct"/>
            <w:tcBorders>
              <w:tl2br w:val="nil"/>
              <w:tr2bl w:val="nil"/>
            </w:tcBorders>
            <w:shd w:val="clear" w:color="auto" w:fill="auto"/>
            <w:noWrap/>
            <w:vAlign w:val="center"/>
          </w:tcPr>
          <w:p w14:paraId="01DCD412">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0.46</w:t>
            </w:r>
          </w:p>
        </w:tc>
        <w:tc>
          <w:tcPr>
            <w:tcW w:w="284" w:type="pct"/>
            <w:tcBorders>
              <w:tl2br w:val="nil"/>
              <w:tr2bl w:val="nil"/>
            </w:tcBorders>
            <w:shd w:val="clear" w:color="auto" w:fill="auto"/>
            <w:noWrap/>
            <w:vAlign w:val="center"/>
          </w:tcPr>
          <w:p w14:paraId="0E56A87C">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0.1</w:t>
            </w:r>
          </w:p>
        </w:tc>
        <w:tc>
          <w:tcPr>
            <w:tcW w:w="284" w:type="pct"/>
            <w:tcBorders>
              <w:tl2br w:val="nil"/>
              <w:tr2bl w:val="nil"/>
            </w:tcBorders>
            <w:shd w:val="clear" w:color="auto" w:fill="auto"/>
            <w:noWrap/>
            <w:vAlign w:val="center"/>
          </w:tcPr>
          <w:p w14:paraId="7FE84D65">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0.77</w:t>
            </w:r>
          </w:p>
        </w:tc>
        <w:tc>
          <w:tcPr>
            <w:tcW w:w="284" w:type="pct"/>
            <w:tcBorders>
              <w:tl2br w:val="nil"/>
              <w:tr2bl w:val="nil"/>
            </w:tcBorders>
            <w:shd w:val="clear" w:color="auto" w:fill="auto"/>
            <w:noWrap/>
            <w:vAlign w:val="center"/>
          </w:tcPr>
          <w:p w14:paraId="74DFC059">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0.28</w:t>
            </w:r>
          </w:p>
        </w:tc>
        <w:tc>
          <w:tcPr>
            <w:tcW w:w="284" w:type="pct"/>
            <w:tcBorders>
              <w:tl2br w:val="nil"/>
              <w:tr2bl w:val="nil"/>
            </w:tcBorders>
            <w:shd w:val="clear" w:color="auto" w:fill="auto"/>
            <w:noWrap/>
            <w:vAlign w:val="center"/>
          </w:tcPr>
          <w:p w14:paraId="6550FD20">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0.4</w:t>
            </w:r>
          </w:p>
        </w:tc>
        <w:tc>
          <w:tcPr>
            <w:tcW w:w="285" w:type="pct"/>
            <w:tcBorders>
              <w:tl2br w:val="nil"/>
              <w:tr2bl w:val="nil"/>
            </w:tcBorders>
            <w:shd w:val="clear" w:color="auto" w:fill="auto"/>
            <w:noWrap/>
            <w:vAlign w:val="center"/>
          </w:tcPr>
          <w:p w14:paraId="40702B8F">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0.17</w:t>
            </w:r>
          </w:p>
        </w:tc>
        <w:tc>
          <w:tcPr>
            <w:tcW w:w="285" w:type="pct"/>
            <w:tcBorders>
              <w:tl2br w:val="nil"/>
              <w:tr2bl w:val="nil"/>
            </w:tcBorders>
            <w:shd w:val="clear" w:color="auto" w:fill="auto"/>
            <w:noWrap/>
            <w:vAlign w:val="center"/>
          </w:tcPr>
          <w:p w14:paraId="1CEB0A9A">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0.65</w:t>
            </w:r>
          </w:p>
        </w:tc>
        <w:tc>
          <w:tcPr>
            <w:tcW w:w="285" w:type="pct"/>
            <w:tcBorders>
              <w:tl2br w:val="nil"/>
              <w:tr2bl w:val="nil"/>
            </w:tcBorders>
            <w:shd w:val="clear" w:color="auto" w:fill="auto"/>
            <w:noWrap/>
            <w:vAlign w:val="center"/>
          </w:tcPr>
          <w:p w14:paraId="056402F7">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0.6</w:t>
            </w:r>
          </w:p>
        </w:tc>
        <w:tc>
          <w:tcPr>
            <w:tcW w:w="261" w:type="pct"/>
            <w:tcBorders>
              <w:tl2br w:val="nil"/>
              <w:tr2bl w:val="nil"/>
            </w:tcBorders>
            <w:shd w:val="clear" w:color="auto" w:fill="auto"/>
            <w:noWrap/>
            <w:vAlign w:val="center"/>
          </w:tcPr>
          <w:p w14:paraId="2D38D975">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0.76</w:t>
            </w:r>
          </w:p>
        </w:tc>
        <w:tc>
          <w:tcPr>
            <w:tcW w:w="267" w:type="pct"/>
            <w:tcBorders>
              <w:tl2br w:val="nil"/>
              <w:tr2bl w:val="nil"/>
            </w:tcBorders>
            <w:shd w:val="clear" w:color="auto" w:fill="auto"/>
            <w:noWrap/>
            <w:vAlign w:val="center"/>
          </w:tcPr>
          <w:p w14:paraId="6D5970A9">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0.67</w:t>
            </w:r>
          </w:p>
        </w:tc>
        <w:tc>
          <w:tcPr>
            <w:tcW w:w="249" w:type="pct"/>
            <w:tcBorders>
              <w:tl2br w:val="nil"/>
              <w:tr2bl w:val="nil"/>
            </w:tcBorders>
            <w:shd w:val="clear" w:color="auto" w:fill="auto"/>
            <w:noWrap/>
            <w:vAlign w:val="center"/>
          </w:tcPr>
          <w:p w14:paraId="405C3C7C">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0.7</w:t>
            </w:r>
          </w:p>
        </w:tc>
        <w:tc>
          <w:tcPr>
            <w:tcW w:w="329" w:type="pct"/>
            <w:tcBorders>
              <w:tl2br w:val="nil"/>
              <w:tr2bl w:val="nil"/>
            </w:tcBorders>
            <w:shd w:val="clear" w:color="auto" w:fill="auto"/>
            <w:noWrap/>
            <w:vAlign w:val="center"/>
          </w:tcPr>
          <w:p w14:paraId="7A95F7E0">
            <w:pPr>
              <w:pStyle w:val="30"/>
              <w:ind w:firstLine="0" w:firstLineChars="0"/>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color w:val="auto"/>
                <w:sz w:val="21"/>
                <w:szCs w:val="21"/>
                <w:highlight w:val="none"/>
              </w:rPr>
              <w:t>≤0.10</w:t>
            </w:r>
          </w:p>
        </w:tc>
      </w:tr>
      <w:tr w14:paraId="1312683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475" w:type="pct"/>
            <w:tcBorders>
              <w:tl2br w:val="nil"/>
              <w:tr2bl w:val="nil"/>
            </w:tcBorders>
            <w:shd w:val="clear" w:color="auto" w:fill="auto"/>
            <w:vAlign w:val="center"/>
          </w:tcPr>
          <w:p w14:paraId="7CE9FAA5">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铜（mg/L）</w:t>
            </w:r>
          </w:p>
        </w:tc>
        <w:tc>
          <w:tcPr>
            <w:tcW w:w="284" w:type="pct"/>
            <w:tcBorders>
              <w:tl2br w:val="nil"/>
              <w:tr2bl w:val="nil"/>
            </w:tcBorders>
            <w:shd w:val="clear" w:color="auto" w:fill="auto"/>
            <w:noWrap/>
            <w:vAlign w:val="center"/>
          </w:tcPr>
          <w:p w14:paraId="53E38A00">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0.04L</w:t>
            </w:r>
          </w:p>
        </w:tc>
        <w:tc>
          <w:tcPr>
            <w:tcW w:w="284" w:type="pct"/>
            <w:tcBorders>
              <w:tl2br w:val="nil"/>
              <w:tr2bl w:val="nil"/>
            </w:tcBorders>
            <w:shd w:val="clear" w:color="auto" w:fill="auto"/>
            <w:noWrap/>
            <w:vAlign w:val="center"/>
          </w:tcPr>
          <w:p w14:paraId="6C254C60">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0.04L</w:t>
            </w:r>
          </w:p>
        </w:tc>
        <w:tc>
          <w:tcPr>
            <w:tcW w:w="284" w:type="pct"/>
            <w:tcBorders>
              <w:tl2br w:val="nil"/>
              <w:tr2bl w:val="nil"/>
            </w:tcBorders>
            <w:shd w:val="clear" w:color="auto" w:fill="auto"/>
            <w:noWrap/>
            <w:vAlign w:val="center"/>
          </w:tcPr>
          <w:p w14:paraId="3DD472B3">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0.04L</w:t>
            </w:r>
          </w:p>
        </w:tc>
        <w:tc>
          <w:tcPr>
            <w:tcW w:w="284" w:type="pct"/>
            <w:tcBorders>
              <w:tl2br w:val="nil"/>
              <w:tr2bl w:val="nil"/>
            </w:tcBorders>
            <w:shd w:val="clear" w:color="auto" w:fill="auto"/>
            <w:noWrap/>
            <w:vAlign w:val="center"/>
          </w:tcPr>
          <w:p w14:paraId="73828B23">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0.04L</w:t>
            </w:r>
          </w:p>
        </w:tc>
        <w:tc>
          <w:tcPr>
            <w:tcW w:w="284" w:type="pct"/>
            <w:tcBorders>
              <w:tl2br w:val="nil"/>
              <w:tr2bl w:val="nil"/>
            </w:tcBorders>
            <w:shd w:val="clear" w:color="auto" w:fill="auto"/>
            <w:noWrap/>
            <w:vAlign w:val="center"/>
          </w:tcPr>
          <w:p w14:paraId="4EFF7A0A">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0.04L</w:t>
            </w:r>
          </w:p>
        </w:tc>
        <w:tc>
          <w:tcPr>
            <w:tcW w:w="284" w:type="pct"/>
            <w:tcBorders>
              <w:tl2br w:val="nil"/>
              <w:tr2bl w:val="nil"/>
            </w:tcBorders>
            <w:shd w:val="clear" w:color="auto" w:fill="auto"/>
            <w:noWrap/>
            <w:vAlign w:val="center"/>
          </w:tcPr>
          <w:p w14:paraId="169CF254">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0.04L</w:t>
            </w:r>
          </w:p>
        </w:tc>
        <w:tc>
          <w:tcPr>
            <w:tcW w:w="284" w:type="pct"/>
            <w:tcBorders>
              <w:tl2br w:val="nil"/>
              <w:tr2bl w:val="nil"/>
            </w:tcBorders>
            <w:shd w:val="clear" w:color="auto" w:fill="auto"/>
            <w:noWrap/>
            <w:vAlign w:val="center"/>
          </w:tcPr>
          <w:p w14:paraId="11A07B7D">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0.04L</w:t>
            </w:r>
          </w:p>
        </w:tc>
        <w:tc>
          <w:tcPr>
            <w:tcW w:w="284" w:type="pct"/>
            <w:tcBorders>
              <w:tl2br w:val="nil"/>
              <w:tr2bl w:val="nil"/>
            </w:tcBorders>
            <w:shd w:val="clear" w:color="auto" w:fill="auto"/>
            <w:noWrap/>
            <w:vAlign w:val="center"/>
          </w:tcPr>
          <w:p w14:paraId="6AB041CA">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0.04L</w:t>
            </w:r>
          </w:p>
        </w:tc>
        <w:tc>
          <w:tcPr>
            <w:tcW w:w="284" w:type="pct"/>
            <w:tcBorders>
              <w:tl2br w:val="nil"/>
              <w:tr2bl w:val="nil"/>
            </w:tcBorders>
            <w:shd w:val="clear" w:color="auto" w:fill="auto"/>
            <w:noWrap/>
            <w:vAlign w:val="center"/>
          </w:tcPr>
          <w:p w14:paraId="54315EAE">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0.04L</w:t>
            </w:r>
          </w:p>
        </w:tc>
        <w:tc>
          <w:tcPr>
            <w:tcW w:w="285" w:type="pct"/>
            <w:tcBorders>
              <w:tl2br w:val="nil"/>
              <w:tr2bl w:val="nil"/>
            </w:tcBorders>
            <w:shd w:val="clear" w:color="auto" w:fill="auto"/>
            <w:noWrap/>
            <w:vAlign w:val="center"/>
          </w:tcPr>
          <w:p w14:paraId="05DB7AC8">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0.04L</w:t>
            </w:r>
          </w:p>
        </w:tc>
        <w:tc>
          <w:tcPr>
            <w:tcW w:w="285" w:type="pct"/>
            <w:tcBorders>
              <w:tl2br w:val="nil"/>
              <w:tr2bl w:val="nil"/>
            </w:tcBorders>
            <w:shd w:val="clear" w:color="auto" w:fill="auto"/>
            <w:noWrap/>
            <w:vAlign w:val="center"/>
          </w:tcPr>
          <w:p w14:paraId="64AB9AF3">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0.04L</w:t>
            </w:r>
          </w:p>
        </w:tc>
        <w:tc>
          <w:tcPr>
            <w:tcW w:w="285" w:type="pct"/>
            <w:tcBorders>
              <w:tl2br w:val="nil"/>
              <w:tr2bl w:val="nil"/>
            </w:tcBorders>
            <w:shd w:val="clear" w:color="auto" w:fill="auto"/>
            <w:noWrap/>
            <w:vAlign w:val="center"/>
          </w:tcPr>
          <w:p w14:paraId="30E0F8AB">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0.04L</w:t>
            </w:r>
          </w:p>
        </w:tc>
        <w:tc>
          <w:tcPr>
            <w:tcW w:w="261" w:type="pct"/>
            <w:tcBorders>
              <w:tl2br w:val="nil"/>
              <w:tr2bl w:val="nil"/>
            </w:tcBorders>
            <w:shd w:val="clear" w:color="auto" w:fill="auto"/>
            <w:noWrap/>
            <w:vAlign w:val="center"/>
          </w:tcPr>
          <w:p w14:paraId="7AA5BE68">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0.04L</w:t>
            </w:r>
          </w:p>
        </w:tc>
        <w:tc>
          <w:tcPr>
            <w:tcW w:w="267" w:type="pct"/>
            <w:tcBorders>
              <w:tl2br w:val="nil"/>
              <w:tr2bl w:val="nil"/>
            </w:tcBorders>
            <w:shd w:val="clear" w:color="auto" w:fill="auto"/>
            <w:noWrap/>
            <w:vAlign w:val="center"/>
          </w:tcPr>
          <w:p w14:paraId="482E141A">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0.04L</w:t>
            </w:r>
          </w:p>
        </w:tc>
        <w:tc>
          <w:tcPr>
            <w:tcW w:w="249" w:type="pct"/>
            <w:tcBorders>
              <w:tl2br w:val="nil"/>
              <w:tr2bl w:val="nil"/>
            </w:tcBorders>
            <w:shd w:val="clear" w:color="auto" w:fill="auto"/>
            <w:noWrap/>
            <w:vAlign w:val="center"/>
          </w:tcPr>
          <w:p w14:paraId="46AC5055">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0.04L</w:t>
            </w:r>
          </w:p>
        </w:tc>
        <w:tc>
          <w:tcPr>
            <w:tcW w:w="329" w:type="pct"/>
            <w:tcBorders>
              <w:tl2br w:val="nil"/>
              <w:tr2bl w:val="nil"/>
            </w:tcBorders>
            <w:shd w:val="clear" w:color="auto" w:fill="auto"/>
            <w:noWrap/>
            <w:vAlign w:val="center"/>
          </w:tcPr>
          <w:p w14:paraId="02395674">
            <w:pPr>
              <w:pStyle w:val="30"/>
              <w:ind w:firstLine="0" w:firstLineChars="0"/>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color w:val="auto"/>
                <w:sz w:val="21"/>
                <w:szCs w:val="21"/>
                <w:highlight w:val="none"/>
              </w:rPr>
              <w:t>≤1.00</w:t>
            </w:r>
          </w:p>
        </w:tc>
      </w:tr>
      <w:tr w14:paraId="6C50BC9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475" w:type="pct"/>
            <w:tcBorders>
              <w:tl2br w:val="nil"/>
              <w:tr2bl w:val="nil"/>
            </w:tcBorders>
            <w:shd w:val="clear" w:color="auto" w:fill="auto"/>
            <w:vAlign w:val="center"/>
          </w:tcPr>
          <w:p w14:paraId="503FC9B2">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锌（mg/L）</w:t>
            </w:r>
          </w:p>
        </w:tc>
        <w:tc>
          <w:tcPr>
            <w:tcW w:w="284" w:type="pct"/>
            <w:tcBorders>
              <w:tl2br w:val="nil"/>
              <w:tr2bl w:val="nil"/>
            </w:tcBorders>
            <w:shd w:val="clear" w:color="auto" w:fill="auto"/>
            <w:noWrap/>
            <w:vAlign w:val="center"/>
          </w:tcPr>
          <w:p w14:paraId="1965CE1D">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0.009L</w:t>
            </w:r>
          </w:p>
        </w:tc>
        <w:tc>
          <w:tcPr>
            <w:tcW w:w="284" w:type="pct"/>
            <w:tcBorders>
              <w:tl2br w:val="nil"/>
              <w:tr2bl w:val="nil"/>
            </w:tcBorders>
            <w:shd w:val="clear" w:color="auto" w:fill="auto"/>
            <w:noWrap/>
            <w:vAlign w:val="center"/>
          </w:tcPr>
          <w:p w14:paraId="4FA2D49C">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0.009L</w:t>
            </w:r>
          </w:p>
        </w:tc>
        <w:tc>
          <w:tcPr>
            <w:tcW w:w="284" w:type="pct"/>
            <w:tcBorders>
              <w:tl2br w:val="nil"/>
              <w:tr2bl w:val="nil"/>
            </w:tcBorders>
            <w:shd w:val="clear" w:color="auto" w:fill="auto"/>
            <w:noWrap/>
            <w:vAlign w:val="center"/>
          </w:tcPr>
          <w:p w14:paraId="697B9F27">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0.009L</w:t>
            </w:r>
          </w:p>
        </w:tc>
        <w:tc>
          <w:tcPr>
            <w:tcW w:w="284" w:type="pct"/>
            <w:tcBorders>
              <w:tl2br w:val="nil"/>
              <w:tr2bl w:val="nil"/>
            </w:tcBorders>
            <w:shd w:val="clear" w:color="auto" w:fill="auto"/>
            <w:noWrap/>
            <w:vAlign w:val="center"/>
          </w:tcPr>
          <w:p w14:paraId="579EEC83">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0.009L</w:t>
            </w:r>
          </w:p>
        </w:tc>
        <w:tc>
          <w:tcPr>
            <w:tcW w:w="284" w:type="pct"/>
            <w:tcBorders>
              <w:tl2br w:val="nil"/>
              <w:tr2bl w:val="nil"/>
            </w:tcBorders>
            <w:shd w:val="clear" w:color="auto" w:fill="auto"/>
            <w:noWrap/>
            <w:vAlign w:val="center"/>
          </w:tcPr>
          <w:p w14:paraId="7F7688C8">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0.009L</w:t>
            </w:r>
          </w:p>
        </w:tc>
        <w:tc>
          <w:tcPr>
            <w:tcW w:w="284" w:type="pct"/>
            <w:tcBorders>
              <w:tl2br w:val="nil"/>
              <w:tr2bl w:val="nil"/>
            </w:tcBorders>
            <w:shd w:val="clear" w:color="auto" w:fill="auto"/>
            <w:noWrap/>
            <w:vAlign w:val="center"/>
          </w:tcPr>
          <w:p w14:paraId="608DF033">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0.009L</w:t>
            </w:r>
          </w:p>
        </w:tc>
        <w:tc>
          <w:tcPr>
            <w:tcW w:w="284" w:type="pct"/>
            <w:tcBorders>
              <w:tl2br w:val="nil"/>
              <w:tr2bl w:val="nil"/>
            </w:tcBorders>
            <w:shd w:val="clear" w:color="auto" w:fill="auto"/>
            <w:noWrap/>
            <w:vAlign w:val="center"/>
          </w:tcPr>
          <w:p w14:paraId="7DE51AA9">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0.009L</w:t>
            </w:r>
          </w:p>
        </w:tc>
        <w:tc>
          <w:tcPr>
            <w:tcW w:w="284" w:type="pct"/>
            <w:tcBorders>
              <w:tl2br w:val="nil"/>
              <w:tr2bl w:val="nil"/>
            </w:tcBorders>
            <w:shd w:val="clear" w:color="auto" w:fill="auto"/>
            <w:noWrap/>
            <w:vAlign w:val="center"/>
          </w:tcPr>
          <w:p w14:paraId="749E9218">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0.009L</w:t>
            </w:r>
          </w:p>
        </w:tc>
        <w:tc>
          <w:tcPr>
            <w:tcW w:w="284" w:type="pct"/>
            <w:tcBorders>
              <w:tl2br w:val="nil"/>
              <w:tr2bl w:val="nil"/>
            </w:tcBorders>
            <w:shd w:val="clear" w:color="auto" w:fill="auto"/>
            <w:noWrap/>
            <w:vAlign w:val="center"/>
          </w:tcPr>
          <w:p w14:paraId="554FBA12">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0.009L</w:t>
            </w:r>
          </w:p>
        </w:tc>
        <w:tc>
          <w:tcPr>
            <w:tcW w:w="285" w:type="pct"/>
            <w:tcBorders>
              <w:tl2br w:val="nil"/>
              <w:tr2bl w:val="nil"/>
            </w:tcBorders>
            <w:shd w:val="clear" w:color="auto" w:fill="auto"/>
            <w:noWrap/>
            <w:vAlign w:val="center"/>
          </w:tcPr>
          <w:p w14:paraId="1AEDCAA4">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0.009L</w:t>
            </w:r>
          </w:p>
        </w:tc>
        <w:tc>
          <w:tcPr>
            <w:tcW w:w="285" w:type="pct"/>
            <w:tcBorders>
              <w:tl2br w:val="nil"/>
              <w:tr2bl w:val="nil"/>
            </w:tcBorders>
            <w:shd w:val="clear" w:color="auto" w:fill="auto"/>
            <w:noWrap/>
            <w:vAlign w:val="center"/>
          </w:tcPr>
          <w:p w14:paraId="57F983C9">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0.009L</w:t>
            </w:r>
          </w:p>
        </w:tc>
        <w:tc>
          <w:tcPr>
            <w:tcW w:w="285" w:type="pct"/>
            <w:tcBorders>
              <w:tl2br w:val="nil"/>
              <w:tr2bl w:val="nil"/>
            </w:tcBorders>
            <w:shd w:val="clear" w:color="auto" w:fill="auto"/>
            <w:noWrap/>
            <w:vAlign w:val="center"/>
          </w:tcPr>
          <w:p w14:paraId="28DAAE3E">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0.009L</w:t>
            </w:r>
          </w:p>
        </w:tc>
        <w:tc>
          <w:tcPr>
            <w:tcW w:w="261" w:type="pct"/>
            <w:tcBorders>
              <w:tl2br w:val="nil"/>
              <w:tr2bl w:val="nil"/>
            </w:tcBorders>
            <w:shd w:val="clear" w:color="auto" w:fill="auto"/>
            <w:noWrap/>
            <w:vAlign w:val="center"/>
          </w:tcPr>
          <w:p w14:paraId="1DABA27F">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0.009L</w:t>
            </w:r>
          </w:p>
        </w:tc>
        <w:tc>
          <w:tcPr>
            <w:tcW w:w="267" w:type="pct"/>
            <w:tcBorders>
              <w:tl2br w:val="nil"/>
              <w:tr2bl w:val="nil"/>
            </w:tcBorders>
            <w:shd w:val="clear" w:color="auto" w:fill="auto"/>
            <w:noWrap/>
            <w:vAlign w:val="center"/>
          </w:tcPr>
          <w:p w14:paraId="0113494D">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0.009L</w:t>
            </w:r>
          </w:p>
        </w:tc>
        <w:tc>
          <w:tcPr>
            <w:tcW w:w="249" w:type="pct"/>
            <w:tcBorders>
              <w:tl2br w:val="nil"/>
              <w:tr2bl w:val="nil"/>
            </w:tcBorders>
            <w:shd w:val="clear" w:color="auto" w:fill="auto"/>
            <w:noWrap/>
            <w:vAlign w:val="center"/>
          </w:tcPr>
          <w:p w14:paraId="66612D18">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0.009L</w:t>
            </w:r>
          </w:p>
        </w:tc>
        <w:tc>
          <w:tcPr>
            <w:tcW w:w="329" w:type="pct"/>
            <w:tcBorders>
              <w:tl2br w:val="nil"/>
              <w:tr2bl w:val="nil"/>
            </w:tcBorders>
            <w:shd w:val="clear" w:color="auto" w:fill="auto"/>
            <w:noWrap/>
            <w:vAlign w:val="center"/>
          </w:tcPr>
          <w:p w14:paraId="04AFB315">
            <w:pPr>
              <w:pStyle w:val="30"/>
              <w:ind w:firstLine="0" w:firstLineChars="0"/>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color w:val="auto"/>
                <w:sz w:val="21"/>
                <w:szCs w:val="21"/>
                <w:highlight w:val="none"/>
              </w:rPr>
              <w:t>≤1.00</w:t>
            </w:r>
          </w:p>
        </w:tc>
      </w:tr>
      <w:tr w14:paraId="5975740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475" w:type="pct"/>
            <w:tcBorders>
              <w:tl2br w:val="nil"/>
              <w:tr2bl w:val="nil"/>
            </w:tcBorders>
            <w:shd w:val="clear" w:color="auto" w:fill="auto"/>
            <w:vAlign w:val="center"/>
          </w:tcPr>
          <w:p w14:paraId="7F94BBFC">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铝（mg/L）</w:t>
            </w:r>
          </w:p>
        </w:tc>
        <w:tc>
          <w:tcPr>
            <w:tcW w:w="284" w:type="pct"/>
            <w:tcBorders>
              <w:tl2br w:val="nil"/>
              <w:tr2bl w:val="nil"/>
            </w:tcBorders>
            <w:shd w:val="clear" w:color="auto" w:fill="auto"/>
            <w:noWrap/>
            <w:vAlign w:val="center"/>
          </w:tcPr>
          <w:p w14:paraId="6189F11F">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0.009L</w:t>
            </w:r>
          </w:p>
        </w:tc>
        <w:tc>
          <w:tcPr>
            <w:tcW w:w="284" w:type="pct"/>
            <w:tcBorders>
              <w:tl2br w:val="nil"/>
              <w:tr2bl w:val="nil"/>
            </w:tcBorders>
            <w:shd w:val="clear" w:color="auto" w:fill="auto"/>
            <w:noWrap/>
            <w:vAlign w:val="center"/>
          </w:tcPr>
          <w:p w14:paraId="0436D734">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0.009L</w:t>
            </w:r>
          </w:p>
        </w:tc>
        <w:tc>
          <w:tcPr>
            <w:tcW w:w="284" w:type="pct"/>
            <w:tcBorders>
              <w:tl2br w:val="nil"/>
              <w:tr2bl w:val="nil"/>
            </w:tcBorders>
            <w:shd w:val="clear" w:color="auto" w:fill="auto"/>
            <w:noWrap/>
            <w:vAlign w:val="center"/>
          </w:tcPr>
          <w:p w14:paraId="07F9C61D">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0.009L</w:t>
            </w:r>
          </w:p>
        </w:tc>
        <w:tc>
          <w:tcPr>
            <w:tcW w:w="284" w:type="pct"/>
            <w:tcBorders>
              <w:tl2br w:val="nil"/>
              <w:tr2bl w:val="nil"/>
            </w:tcBorders>
            <w:shd w:val="clear" w:color="auto" w:fill="auto"/>
            <w:noWrap/>
            <w:vAlign w:val="center"/>
          </w:tcPr>
          <w:p w14:paraId="1E0AB4B9">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0.009L</w:t>
            </w:r>
          </w:p>
        </w:tc>
        <w:tc>
          <w:tcPr>
            <w:tcW w:w="284" w:type="pct"/>
            <w:tcBorders>
              <w:tl2br w:val="nil"/>
              <w:tr2bl w:val="nil"/>
            </w:tcBorders>
            <w:shd w:val="clear" w:color="auto" w:fill="auto"/>
            <w:noWrap/>
            <w:vAlign w:val="center"/>
          </w:tcPr>
          <w:p w14:paraId="42441F9C">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0.009L</w:t>
            </w:r>
          </w:p>
        </w:tc>
        <w:tc>
          <w:tcPr>
            <w:tcW w:w="284" w:type="pct"/>
            <w:tcBorders>
              <w:tl2br w:val="nil"/>
              <w:tr2bl w:val="nil"/>
            </w:tcBorders>
            <w:shd w:val="clear" w:color="auto" w:fill="auto"/>
            <w:noWrap/>
            <w:vAlign w:val="center"/>
          </w:tcPr>
          <w:p w14:paraId="7848183F">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0.009L</w:t>
            </w:r>
          </w:p>
        </w:tc>
        <w:tc>
          <w:tcPr>
            <w:tcW w:w="284" w:type="pct"/>
            <w:tcBorders>
              <w:tl2br w:val="nil"/>
              <w:tr2bl w:val="nil"/>
            </w:tcBorders>
            <w:shd w:val="clear" w:color="auto" w:fill="auto"/>
            <w:noWrap/>
            <w:vAlign w:val="center"/>
          </w:tcPr>
          <w:p w14:paraId="7848E112">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0.009L</w:t>
            </w:r>
          </w:p>
        </w:tc>
        <w:tc>
          <w:tcPr>
            <w:tcW w:w="284" w:type="pct"/>
            <w:tcBorders>
              <w:tl2br w:val="nil"/>
              <w:tr2bl w:val="nil"/>
            </w:tcBorders>
            <w:shd w:val="clear" w:color="auto" w:fill="auto"/>
            <w:noWrap/>
            <w:vAlign w:val="center"/>
          </w:tcPr>
          <w:p w14:paraId="7F384A49">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0.009L</w:t>
            </w:r>
          </w:p>
        </w:tc>
        <w:tc>
          <w:tcPr>
            <w:tcW w:w="284" w:type="pct"/>
            <w:tcBorders>
              <w:tl2br w:val="nil"/>
              <w:tr2bl w:val="nil"/>
            </w:tcBorders>
            <w:shd w:val="clear" w:color="auto" w:fill="auto"/>
            <w:noWrap/>
            <w:vAlign w:val="center"/>
          </w:tcPr>
          <w:p w14:paraId="52F02F87">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0.009L</w:t>
            </w:r>
          </w:p>
        </w:tc>
        <w:tc>
          <w:tcPr>
            <w:tcW w:w="285" w:type="pct"/>
            <w:tcBorders>
              <w:tl2br w:val="nil"/>
              <w:tr2bl w:val="nil"/>
            </w:tcBorders>
            <w:shd w:val="clear" w:color="auto" w:fill="auto"/>
            <w:noWrap/>
            <w:vAlign w:val="center"/>
          </w:tcPr>
          <w:p w14:paraId="33E44141">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0.009L</w:t>
            </w:r>
          </w:p>
        </w:tc>
        <w:tc>
          <w:tcPr>
            <w:tcW w:w="285" w:type="pct"/>
            <w:tcBorders>
              <w:tl2br w:val="nil"/>
              <w:tr2bl w:val="nil"/>
            </w:tcBorders>
            <w:shd w:val="clear" w:color="auto" w:fill="auto"/>
            <w:noWrap/>
            <w:vAlign w:val="center"/>
          </w:tcPr>
          <w:p w14:paraId="5D95E109">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0.009L</w:t>
            </w:r>
          </w:p>
        </w:tc>
        <w:tc>
          <w:tcPr>
            <w:tcW w:w="285" w:type="pct"/>
            <w:tcBorders>
              <w:tl2br w:val="nil"/>
              <w:tr2bl w:val="nil"/>
            </w:tcBorders>
            <w:shd w:val="clear" w:color="auto" w:fill="auto"/>
            <w:noWrap/>
            <w:vAlign w:val="center"/>
          </w:tcPr>
          <w:p w14:paraId="29C35DA2">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0.009L</w:t>
            </w:r>
          </w:p>
        </w:tc>
        <w:tc>
          <w:tcPr>
            <w:tcW w:w="261" w:type="pct"/>
            <w:tcBorders>
              <w:tl2br w:val="nil"/>
              <w:tr2bl w:val="nil"/>
            </w:tcBorders>
            <w:shd w:val="clear" w:color="auto" w:fill="auto"/>
            <w:noWrap/>
            <w:vAlign w:val="center"/>
          </w:tcPr>
          <w:p w14:paraId="3483656F">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0.012</w:t>
            </w:r>
          </w:p>
        </w:tc>
        <w:tc>
          <w:tcPr>
            <w:tcW w:w="267" w:type="pct"/>
            <w:tcBorders>
              <w:tl2br w:val="nil"/>
              <w:tr2bl w:val="nil"/>
            </w:tcBorders>
            <w:shd w:val="clear" w:color="auto" w:fill="auto"/>
            <w:noWrap/>
            <w:vAlign w:val="center"/>
          </w:tcPr>
          <w:p w14:paraId="38E6DF2E">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0.009L</w:t>
            </w:r>
          </w:p>
        </w:tc>
        <w:tc>
          <w:tcPr>
            <w:tcW w:w="249" w:type="pct"/>
            <w:tcBorders>
              <w:tl2br w:val="nil"/>
              <w:tr2bl w:val="nil"/>
            </w:tcBorders>
            <w:shd w:val="clear" w:color="auto" w:fill="auto"/>
            <w:noWrap/>
            <w:vAlign w:val="center"/>
          </w:tcPr>
          <w:p w14:paraId="25407FB4">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0.009L</w:t>
            </w:r>
          </w:p>
        </w:tc>
        <w:tc>
          <w:tcPr>
            <w:tcW w:w="329" w:type="pct"/>
            <w:tcBorders>
              <w:tl2br w:val="nil"/>
              <w:tr2bl w:val="nil"/>
            </w:tcBorders>
            <w:shd w:val="clear" w:color="auto" w:fill="auto"/>
            <w:noWrap/>
            <w:vAlign w:val="center"/>
          </w:tcPr>
          <w:p w14:paraId="5CE1F653">
            <w:pPr>
              <w:pStyle w:val="30"/>
              <w:ind w:firstLine="0" w:firstLineChars="0"/>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color w:val="auto"/>
                <w:sz w:val="21"/>
                <w:szCs w:val="21"/>
                <w:highlight w:val="none"/>
              </w:rPr>
              <w:t>≤0.20</w:t>
            </w:r>
          </w:p>
        </w:tc>
      </w:tr>
      <w:tr w14:paraId="35119B2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475" w:type="pct"/>
            <w:tcBorders>
              <w:tl2br w:val="nil"/>
              <w:tr2bl w:val="nil"/>
            </w:tcBorders>
            <w:shd w:val="clear" w:color="auto" w:fill="auto"/>
            <w:vAlign w:val="center"/>
          </w:tcPr>
          <w:p w14:paraId="1C819DB0">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挥发酚</w:t>
            </w:r>
            <w:r>
              <w:rPr>
                <w:rFonts w:hint="default" w:ascii="Times New Roman" w:hAnsi="Times New Roman" w:eastAsia="宋体" w:cs="Times New Roman"/>
                <w:color w:val="auto"/>
                <w:sz w:val="21"/>
                <w:szCs w:val="21"/>
                <w:highlight w:val="none"/>
                <w:u w:val="none"/>
                <w:lang w:val="en-US" w:eastAsia="zh-CN" w:bidi="ar"/>
              </w:rPr>
              <w:t>（mg/L）</w:t>
            </w:r>
          </w:p>
        </w:tc>
        <w:tc>
          <w:tcPr>
            <w:tcW w:w="284" w:type="pct"/>
            <w:tcBorders>
              <w:tl2br w:val="nil"/>
              <w:tr2bl w:val="nil"/>
            </w:tcBorders>
            <w:shd w:val="clear" w:color="auto" w:fill="auto"/>
            <w:noWrap/>
            <w:vAlign w:val="center"/>
          </w:tcPr>
          <w:p w14:paraId="60CFB78C">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0.0003L</w:t>
            </w:r>
          </w:p>
        </w:tc>
        <w:tc>
          <w:tcPr>
            <w:tcW w:w="284" w:type="pct"/>
            <w:tcBorders>
              <w:tl2br w:val="nil"/>
              <w:tr2bl w:val="nil"/>
            </w:tcBorders>
            <w:shd w:val="clear" w:color="auto" w:fill="auto"/>
            <w:noWrap/>
            <w:vAlign w:val="center"/>
          </w:tcPr>
          <w:p w14:paraId="23D3FB49">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0.0003L</w:t>
            </w:r>
          </w:p>
        </w:tc>
        <w:tc>
          <w:tcPr>
            <w:tcW w:w="284" w:type="pct"/>
            <w:tcBorders>
              <w:tl2br w:val="nil"/>
              <w:tr2bl w:val="nil"/>
            </w:tcBorders>
            <w:shd w:val="clear" w:color="auto" w:fill="auto"/>
            <w:noWrap/>
            <w:vAlign w:val="center"/>
          </w:tcPr>
          <w:p w14:paraId="2E30779A">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0.0003L</w:t>
            </w:r>
          </w:p>
        </w:tc>
        <w:tc>
          <w:tcPr>
            <w:tcW w:w="284" w:type="pct"/>
            <w:tcBorders>
              <w:tl2br w:val="nil"/>
              <w:tr2bl w:val="nil"/>
            </w:tcBorders>
            <w:shd w:val="clear" w:color="auto" w:fill="auto"/>
            <w:noWrap/>
            <w:vAlign w:val="center"/>
          </w:tcPr>
          <w:p w14:paraId="3D56313F">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0.0003L</w:t>
            </w:r>
          </w:p>
        </w:tc>
        <w:tc>
          <w:tcPr>
            <w:tcW w:w="284" w:type="pct"/>
            <w:tcBorders>
              <w:tl2br w:val="nil"/>
              <w:tr2bl w:val="nil"/>
            </w:tcBorders>
            <w:shd w:val="clear" w:color="auto" w:fill="auto"/>
            <w:noWrap/>
            <w:vAlign w:val="center"/>
          </w:tcPr>
          <w:p w14:paraId="70E8D93F">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0.0003L</w:t>
            </w:r>
          </w:p>
        </w:tc>
        <w:tc>
          <w:tcPr>
            <w:tcW w:w="284" w:type="pct"/>
            <w:tcBorders>
              <w:tl2br w:val="nil"/>
              <w:tr2bl w:val="nil"/>
            </w:tcBorders>
            <w:shd w:val="clear" w:color="auto" w:fill="auto"/>
            <w:noWrap/>
            <w:vAlign w:val="center"/>
          </w:tcPr>
          <w:p w14:paraId="306A4469">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0.0003L</w:t>
            </w:r>
          </w:p>
        </w:tc>
        <w:tc>
          <w:tcPr>
            <w:tcW w:w="284" w:type="pct"/>
            <w:tcBorders>
              <w:tl2br w:val="nil"/>
              <w:tr2bl w:val="nil"/>
            </w:tcBorders>
            <w:shd w:val="clear" w:color="auto" w:fill="auto"/>
            <w:noWrap/>
            <w:vAlign w:val="center"/>
          </w:tcPr>
          <w:p w14:paraId="3E404DDF">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0.0003L</w:t>
            </w:r>
          </w:p>
        </w:tc>
        <w:tc>
          <w:tcPr>
            <w:tcW w:w="284" w:type="pct"/>
            <w:tcBorders>
              <w:tl2br w:val="nil"/>
              <w:tr2bl w:val="nil"/>
            </w:tcBorders>
            <w:shd w:val="clear" w:color="auto" w:fill="auto"/>
            <w:noWrap/>
            <w:vAlign w:val="center"/>
          </w:tcPr>
          <w:p w14:paraId="15E6BEF4">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0.0003L</w:t>
            </w:r>
          </w:p>
        </w:tc>
        <w:tc>
          <w:tcPr>
            <w:tcW w:w="284" w:type="pct"/>
            <w:tcBorders>
              <w:tl2br w:val="nil"/>
              <w:tr2bl w:val="nil"/>
            </w:tcBorders>
            <w:shd w:val="clear" w:color="auto" w:fill="auto"/>
            <w:noWrap/>
            <w:vAlign w:val="center"/>
          </w:tcPr>
          <w:p w14:paraId="57CAA02A">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0.0003L</w:t>
            </w:r>
          </w:p>
        </w:tc>
        <w:tc>
          <w:tcPr>
            <w:tcW w:w="285" w:type="pct"/>
            <w:tcBorders>
              <w:tl2br w:val="nil"/>
              <w:tr2bl w:val="nil"/>
            </w:tcBorders>
            <w:shd w:val="clear" w:color="auto" w:fill="auto"/>
            <w:noWrap/>
            <w:vAlign w:val="center"/>
          </w:tcPr>
          <w:p w14:paraId="4BFB5354">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0.0003L</w:t>
            </w:r>
          </w:p>
        </w:tc>
        <w:tc>
          <w:tcPr>
            <w:tcW w:w="285" w:type="pct"/>
            <w:tcBorders>
              <w:tl2br w:val="nil"/>
              <w:tr2bl w:val="nil"/>
            </w:tcBorders>
            <w:shd w:val="clear" w:color="auto" w:fill="auto"/>
            <w:noWrap/>
            <w:vAlign w:val="center"/>
          </w:tcPr>
          <w:p w14:paraId="1BC08F99">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0.0003L</w:t>
            </w:r>
          </w:p>
        </w:tc>
        <w:tc>
          <w:tcPr>
            <w:tcW w:w="285" w:type="pct"/>
            <w:tcBorders>
              <w:tl2br w:val="nil"/>
              <w:tr2bl w:val="nil"/>
            </w:tcBorders>
            <w:shd w:val="clear" w:color="auto" w:fill="auto"/>
            <w:noWrap/>
            <w:vAlign w:val="center"/>
          </w:tcPr>
          <w:p w14:paraId="577C8C70">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0.0003L</w:t>
            </w:r>
          </w:p>
        </w:tc>
        <w:tc>
          <w:tcPr>
            <w:tcW w:w="261" w:type="pct"/>
            <w:tcBorders>
              <w:tl2br w:val="nil"/>
              <w:tr2bl w:val="nil"/>
            </w:tcBorders>
            <w:shd w:val="clear" w:color="auto" w:fill="auto"/>
            <w:noWrap/>
            <w:vAlign w:val="center"/>
          </w:tcPr>
          <w:p w14:paraId="684A4CFE">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0.0003L</w:t>
            </w:r>
          </w:p>
        </w:tc>
        <w:tc>
          <w:tcPr>
            <w:tcW w:w="267" w:type="pct"/>
            <w:tcBorders>
              <w:tl2br w:val="nil"/>
              <w:tr2bl w:val="nil"/>
            </w:tcBorders>
            <w:shd w:val="clear" w:color="auto" w:fill="auto"/>
            <w:noWrap/>
            <w:vAlign w:val="center"/>
          </w:tcPr>
          <w:p w14:paraId="5C2FFD54">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0.0003L</w:t>
            </w:r>
          </w:p>
        </w:tc>
        <w:tc>
          <w:tcPr>
            <w:tcW w:w="249" w:type="pct"/>
            <w:tcBorders>
              <w:tl2br w:val="nil"/>
              <w:tr2bl w:val="nil"/>
            </w:tcBorders>
            <w:shd w:val="clear" w:color="auto" w:fill="auto"/>
            <w:noWrap/>
            <w:vAlign w:val="center"/>
          </w:tcPr>
          <w:p w14:paraId="7030C323">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0.0003L</w:t>
            </w:r>
          </w:p>
        </w:tc>
        <w:tc>
          <w:tcPr>
            <w:tcW w:w="329" w:type="pct"/>
            <w:tcBorders>
              <w:tl2br w:val="nil"/>
              <w:tr2bl w:val="nil"/>
            </w:tcBorders>
            <w:shd w:val="clear" w:color="auto" w:fill="auto"/>
            <w:noWrap/>
            <w:vAlign w:val="center"/>
          </w:tcPr>
          <w:p w14:paraId="2D58A26A">
            <w:pPr>
              <w:pStyle w:val="30"/>
              <w:ind w:firstLine="0" w:firstLineChars="0"/>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color w:val="auto"/>
                <w:sz w:val="21"/>
                <w:szCs w:val="21"/>
                <w:highlight w:val="none"/>
              </w:rPr>
              <w:t>≤0.002</w:t>
            </w:r>
          </w:p>
        </w:tc>
      </w:tr>
      <w:tr w14:paraId="5DF7183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475" w:type="pct"/>
            <w:tcBorders>
              <w:tl2br w:val="nil"/>
              <w:tr2bl w:val="nil"/>
            </w:tcBorders>
            <w:shd w:val="clear" w:color="auto" w:fill="auto"/>
            <w:vAlign w:val="center"/>
          </w:tcPr>
          <w:p w14:paraId="4477BF9D">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阴离子表面活性剂</w:t>
            </w:r>
            <w:r>
              <w:rPr>
                <w:rFonts w:hint="default" w:ascii="Times New Roman" w:hAnsi="Times New Roman" w:eastAsia="宋体" w:cs="Times New Roman"/>
                <w:color w:val="auto"/>
                <w:sz w:val="21"/>
                <w:szCs w:val="21"/>
                <w:highlight w:val="none"/>
                <w:u w:val="none"/>
                <w:lang w:val="en-US" w:eastAsia="zh-CN" w:bidi="ar"/>
              </w:rPr>
              <w:t>（mg/L）</w:t>
            </w:r>
          </w:p>
        </w:tc>
        <w:tc>
          <w:tcPr>
            <w:tcW w:w="284" w:type="pct"/>
            <w:tcBorders>
              <w:tl2br w:val="nil"/>
              <w:tr2bl w:val="nil"/>
            </w:tcBorders>
            <w:shd w:val="clear" w:color="auto" w:fill="auto"/>
            <w:noWrap/>
            <w:vAlign w:val="center"/>
          </w:tcPr>
          <w:p w14:paraId="666A5608">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0.05L</w:t>
            </w:r>
          </w:p>
        </w:tc>
        <w:tc>
          <w:tcPr>
            <w:tcW w:w="284" w:type="pct"/>
            <w:tcBorders>
              <w:tl2br w:val="nil"/>
              <w:tr2bl w:val="nil"/>
            </w:tcBorders>
            <w:shd w:val="clear" w:color="auto" w:fill="auto"/>
            <w:noWrap/>
            <w:vAlign w:val="center"/>
          </w:tcPr>
          <w:p w14:paraId="7F1C8701">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0.05L</w:t>
            </w:r>
          </w:p>
        </w:tc>
        <w:tc>
          <w:tcPr>
            <w:tcW w:w="284" w:type="pct"/>
            <w:tcBorders>
              <w:tl2br w:val="nil"/>
              <w:tr2bl w:val="nil"/>
            </w:tcBorders>
            <w:shd w:val="clear" w:color="auto" w:fill="auto"/>
            <w:noWrap/>
            <w:vAlign w:val="center"/>
          </w:tcPr>
          <w:p w14:paraId="77EDF081">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0.05L</w:t>
            </w:r>
          </w:p>
        </w:tc>
        <w:tc>
          <w:tcPr>
            <w:tcW w:w="284" w:type="pct"/>
            <w:tcBorders>
              <w:tl2br w:val="nil"/>
              <w:tr2bl w:val="nil"/>
            </w:tcBorders>
            <w:shd w:val="clear" w:color="auto" w:fill="auto"/>
            <w:noWrap/>
            <w:vAlign w:val="center"/>
          </w:tcPr>
          <w:p w14:paraId="44D37D06">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0.05L</w:t>
            </w:r>
          </w:p>
        </w:tc>
        <w:tc>
          <w:tcPr>
            <w:tcW w:w="284" w:type="pct"/>
            <w:tcBorders>
              <w:tl2br w:val="nil"/>
              <w:tr2bl w:val="nil"/>
            </w:tcBorders>
            <w:shd w:val="clear" w:color="auto" w:fill="auto"/>
            <w:noWrap/>
            <w:vAlign w:val="center"/>
          </w:tcPr>
          <w:p w14:paraId="2940688A">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0.05L</w:t>
            </w:r>
          </w:p>
        </w:tc>
        <w:tc>
          <w:tcPr>
            <w:tcW w:w="284" w:type="pct"/>
            <w:tcBorders>
              <w:tl2br w:val="nil"/>
              <w:tr2bl w:val="nil"/>
            </w:tcBorders>
            <w:shd w:val="clear" w:color="auto" w:fill="auto"/>
            <w:noWrap/>
            <w:vAlign w:val="center"/>
          </w:tcPr>
          <w:p w14:paraId="46B7B28C">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0.05L</w:t>
            </w:r>
          </w:p>
        </w:tc>
        <w:tc>
          <w:tcPr>
            <w:tcW w:w="284" w:type="pct"/>
            <w:tcBorders>
              <w:tl2br w:val="nil"/>
              <w:tr2bl w:val="nil"/>
            </w:tcBorders>
            <w:shd w:val="clear" w:color="auto" w:fill="auto"/>
            <w:noWrap/>
            <w:vAlign w:val="center"/>
          </w:tcPr>
          <w:p w14:paraId="595C163F">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0.05L</w:t>
            </w:r>
          </w:p>
        </w:tc>
        <w:tc>
          <w:tcPr>
            <w:tcW w:w="284" w:type="pct"/>
            <w:tcBorders>
              <w:tl2br w:val="nil"/>
              <w:tr2bl w:val="nil"/>
            </w:tcBorders>
            <w:shd w:val="clear" w:color="auto" w:fill="auto"/>
            <w:noWrap/>
            <w:vAlign w:val="center"/>
          </w:tcPr>
          <w:p w14:paraId="552DAE83">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0.05L</w:t>
            </w:r>
          </w:p>
        </w:tc>
        <w:tc>
          <w:tcPr>
            <w:tcW w:w="284" w:type="pct"/>
            <w:tcBorders>
              <w:tl2br w:val="nil"/>
              <w:tr2bl w:val="nil"/>
            </w:tcBorders>
            <w:shd w:val="clear" w:color="auto" w:fill="auto"/>
            <w:noWrap/>
            <w:vAlign w:val="center"/>
          </w:tcPr>
          <w:p w14:paraId="35E56E68">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0.05L</w:t>
            </w:r>
          </w:p>
        </w:tc>
        <w:tc>
          <w:tcPr>
            <w:tcW w:w="285" w:type="pct"/>
            <w:tcBorders>
              <w:tl2br w:val="nil"/>
              <w:tr2bl w:val="nil"/>
            </w:tcBorders>
            <w:shd w:val="clear" w:color="auto" w:fill="auto"/>
            <w:noWrap/>
            <w:vAlign w:val="center"/>
          </w:tcPr>
          <w:p w14:paraId="7FABBB82">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0.05L</w:t>
            </w:r>
          </w:p>
        </w:tc>
        <w:tc>
          <w:tcPr>
            <w:tcW w:w="285" w:type="pct"/>
            <w:tcBorders>
              <w:tl2br w:val="nil"/>
              <w:tr2bl w:val="nil"/>
            </w:tcBorders>
            <w:shd w:val="clear" w:color="auto" w:fill="auto"/>
            <w:noWrap/>
            <w:vAlign w:val="center"/>
          </w:tcPr>
          <w:p w14:paraId="48136575">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0.05L</w:t>
            </w:r>
          </w:p>
        </w:tc>
        <w:tc>
          <w:tcPr>
            <w:tcW w:w="285" w:type="pct"/>
            <w:tcBorders>
              <w:tl2br w:val="nil"/>
              <w:tr2bl w:val="nil"/>
            </w:tcBorders>
            <w:shd w:val="clear" w:color="auto" w:fill="auto"/>
            <w:noWrap/>
            <w:vAlign w:val="center"/>
          </w:tcPr>
          <w:p w14:paraId="661E7F15">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0.05L</w:t>
            </w:r>
          </w:p>
        </w:tc>
        <w:tc>
          <w:tcPr>
            <w:tcW w:w="261" w:type="pct"/>
            <w:tcBorders>
              <w:tl2br w:val="nil"/>
              <w:tr2bl w:val="nil"/>
            </w:tcBorders>
            <w:shd w:val="clear" w:color="auto" w:fill="auto"/>
            <w:noWrap/>
            <w:vAlign w:val="center"/>
          </w:tcPr>
          <w:p w14:paraId="47E42119">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0.05L</w:t>
            </w:r>
          </w:p>
        </w:tc>
        <w:tc>
          <w:tcPr>
            <w:tcW w:w="267" w:type="pct"/>
            <w:tcBorders>
              <w:tl2br w:val="nil"/>
              <w:tr2bl w:val="nil"/>
            </w:tcBorders>
            <w:shd w:val="clear" w:color="auto" w:fill="auto"/>
            <w:noWrap/>
            <w:vAlign w:val="center"/>
          </w:tcPr>
          <w:p w14:paraId="6B03F8F6">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0.05L</w:t>
            </w:r>
          </w:p>
        </w:tc>
        <w:tc>
          <w:tcPr>
            <w:tcW w:w="249" w:type="pct"/>
            <w:tcBorders>
              <w:tl2br w:val="nil"/>
              <w:tr2bl w:val="nil"/>
            </w:tcBorders>
            <w:shd w:val="clear" w:color="auto" w:fill="auto"/>
            <w:noWrap/>
            <w:vAlign w:val="center"/>
          </w:tcPr>
          <w:p w14:paraId="449F5B6C">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0.05L</w:t>
            </w:r>
          </w:p>
        </w:tc>
        <w:tc>
          <w:tcPr>
            <w:tcW w:w="329" w:type="pct"/>
            <w:tcBorders>
              <w:tl2br w:val="nil"/>
              <w:tr2bl w:val="nil"/>
            </w:tcBorders>
            <w:shd w:val="clear" w:color="auto" w:fill="auto"/>
            <w:noWrap/>
            <w:vAlign w:val="center"/>
          </w:tcPr>
          <w:p w14:paraId="797CE9D0">
            <w:pPr>
              <w:pStyle w:val="30"/>
              <w:ind w:firstLine="0" w:firstLineChars="0"/>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color w:val="auto"/>
                <w:sz w:val="21"/>
                <w:szCs w:val="21"/>
                <w:highlight w:val="none"/>
              </w:rPr>
              <w:t>≤0.3</w:t>
            </w:r>
          </w:p>
        </w:tc>
      </w:tr>
      <w:tr w14:paraId="737D583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475" w:type="pct"/>
            <w:tcBorders>
              <w:tl2br w:val="nil"/>
              <w:tr2bl w:val="nil"/>
            </w:tcBorders>
            <w:shd w:val="clear" w:color="auto" w:fill="auto"/>
            <w:vAlign w:val="center"/>
          </w:tcPr>
          <w:p w14:paraId="5FFAAF20">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高锰酸盐指数/耗氧量</w:t>
            </w:r>
            <w:r>
              <w:rPr>
                <w:rFonts w:hint="default" w:ascii="Times New Roman" w:hAnsi="Times New Roman" w:eastAsia="宋体" w:cs="Times New Roman"/>
                <w:color w:val="auto"/>
                <w:sz w:val="21"/>
                <w:szCs w:val="21"/>
                <w:highlight w:val="none"/>
                <w:u w:val="none"/>
                <w:lang w:val="en-US" w:eastAsia="zh-CN" w:bidi="ar"/>
              </w:rPr>
              <w:t>（Mn法以O</w:t>
            </w:r>
            <w:r>
              <w:rPr>
                <w:rFonts w:hint="default" w:ascii="Times New Roman" w:hAnsi="Times New Roman" w:eastAsia="宋体" w:cs="Times New Roman"/>
                <w:color w:val="auto"/>
                <w:sz w:val="21"/>
                <w:szCs w:val="21"/>
                <w:highlight w:val="none"/>
                <w:u w:val="none"/>
                <w:vertAlign w:val="subscript"/>
                <w:lang w:val="en-US" w:eastAsia="zh-CN" w:bidi="ar"/>
              </w:rPr>
              <w:t>2</w:t>
            </w:r>
            <w:r>
              <w:rPr>
                <w:rFonts w:hint="default" w:ascii="Times New Roman" w:hAnsi="Times New Roman" w:eastAsia="宋体" w:cs="Times New Roman"/>
                <w:color w:val="auto"/>
                <w:sz w:val="21"/>
                <w:szCs w:val="21"/>
                <w:highlight w:val="none"/>
                <w:u w:val="none"/>
                <w:lang w:val="en-US" w:eastAsia="zh-CN" w:bidi="ar"/>
              </w:rPr>
              <w:t>计）（mg/L）</w:t>
            </w:r>
          </w:p>
        </w:tc>
        <w:tc>
          <w:tcPr>
            <w:tcW w:w="284" w:type="pct"/>
            <w:tcBorders>
              <w:tl2br w:val="nil"/>
              <w:tr2bl w:val="nil"/>
            </w:tcBorders>
            <w:shd w:val="clear" w:color="auto" w:fill="auto"/>
            <w:noWrap/>
            <w:vAlign w:val="center"/>
          </w:tcPr>
          <w:p w14:paraId="45469AE4">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1.38</w:t>
            </w:r>
          </w:p>
        </w:tc>
        <w:tc>
          <w:tcPr>
            <w:tcW w:w="284" w:type="pct"/>
            <w:tcBorders>
              <w:tl2br w:val="nil"/>
              <w:tr2bl w:val="nil"/>
            </w:tcBorders>
            <w:shd w:val="clear" w:color="auto" w:fill="auto"/>
            <w:noWrap/>
            <w:vAlign w:val="center"/>
          </w:tcPr>
          <w:p w14:paraId="3115773C">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2.43</w:t>
            </w:r>
          </w:p>
        </w:tc>
        <w:tc>
          <w:tcPr>
            <w:tcW w:w="284" w:type="pct"/>
            <w:tcBorders>
              <w:tl2br w:val="nil"/>
              <w:tr2bl w:val="nil"/>
            </w:tcBorders>
            <w:shd w:val="clear" w:color="auto" w:fill="auto"/>
            <w:noWrap/>
            <w:vAlign w:val="center"/>
          </w:tcPr>
          <w:p w14:paraId="1B58659D">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1.18</w:t>
            </w:r>
          </w:p>
        </w:tc>
        <w:tc>
          <w:tcPr>
            <w:tcW w:w="284" w:type="pct"/>
            <w:tcBorders>
              <w:tl2br w:val="nil"/>
              <w:tr2bl w:val="nil"/>
            </w:tcBorders>
            <w:shd w:val="clear" w:color="auto" w:fill="auto"/>
            <w:noWrap/>
            <w:vAlign w:val="center"/>
          </w:tcPr>
          <w:p w14:paraId="0851ECAC">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1.54</w:t>
            </w:r>
          </w:p>
        </w:tc>
        <w:tc>
          <w:tcPr>
            <w:tcW w:w="284" w:type="pct"/>
            <w:tcBorders>
              <w:tl2br w:val="nil"/>
              <w:tr2bl w:val="nil"/>
            </w:tcBorders>
            <w:shd w:val="clear" w:color="auto" w:fill="auto"/>
            <w:noWrap/>
            <w:vAlign w:val="center"/>
          </w:tcPr>
          <w:p w14:paraId="13A14CC1">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1.62</w:t>
            </w:r>
          </w:p>
        </w:tc>
        <w:tc>
          <w:tcPr>
            <w:tcW w:w="284" w:type="pct"/>
            <w:tcBorders>
              <w:tl2br w:val="nil"/>
              <w:tr2bl w:val="nil"/>
            </w:tcBorders>
            <w:shd w:val="clear" w:color="auto" w:fill="auto"/>
            <w:noWrap/>
            <w:vAlign w:val="center"/>
          </w:tcPr>
          <w:p w14:paraId="2B14A4EC">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2.64</w:t>
            </w:r>
          </w:p>
        </w:tc>
        <w:tc>
          <w:tcPr>
            <w:tcW w:w="284" w:type="pct"/>
            <w:tcBorders>
              <w:tl2br w:val="nil"/>
              <w:tr2bl w:val="nil"/>
            </w:tcBorders>
            <w:shd w:val="clear" w:color="auto" w:fill="auto"/>
            <w:noWrap/>
            <w:vAlign w:val="center"/>
          </w:tcPr>
          <w:p w14:paraId="2158688D">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2.76</w:t>
            </w:r>
          </w:p>
        </w:tc>
        <w:tc>
          <w:tcPr>
            <w:tcW w:w="284" w:type="pct"/>
            <w:tcBorders>
              <w:tl2br w:val="nil"/>
              <w:tr2bl w:val="nil"/>
            </w:tcBorders>
            <w:shd w:val="clear" w:color="auto" w:fill="auto"/>
            <w:noWrap/>
            <w:vAlign w:val="center"/>
          </w:tcPr>
          <w:p w14:paraId="0649B1A6">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2.03</w:t>
            </w:r>
          </w:p>
        </w:tc>
        <w:tc>
          <w:tcPr>
            <w:tcW w:w="284" w:type="pct"/>
            <w:tcBorders>
              <w:tl2br w:val="nil"/>
              <w:tr2bl w:val="nil"/>
            </w:tcBorders>
            <w:shd w:val="clear" w:color="auto" w:fill="auto"/>
            <w:noWrap/>
            <w:vAlign w:val="center"/>
          </w:tcPr>
          <w:p w14:paraId="010D2A0F">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1.87</w:t>
            </w:r>
          </w:p>
        </w:tc>
        <w:tc>
          <w:tcPr>
            <w:tcW w:w="285" w:type="pct"/>
            <w:tcBorders>
              <w:tl2br w:val="nil"/>
              <w:tr2bl w:val="nil"/>
            </w:tcBorders>
            <w:shd w:val="clear" w:color="auto" w:fill="auto"/>
            <w:noWrap/>
            <w:vAlign w:val="center"/>
          </w:tcPr>
          <w:p w14:paraId="4B965CB1">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1.87</w:t>
            </w:r>
          </w:p>
        </w:tc>
        <w:tc>
          <w:tcPr>
            <w:tcW w:w="285" w:type="pct"/>
            <w:tcBorders>
              <w:tl2br w:val="nil"/>
              <w:tr2bl w:val="nil"/>
            </w:tcBorders>
            <w:shd w:val="clear" w:color="auto" w:fill="auto"/>
            <w:noWrap/>
            <w:vAlign w:val="center"/>
          </w:tcPr>
          <w:p w14:paraId="68720C55">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2.03</w:t>
            </w:r>
          </w:p>
        </w:tc>
        <w:tc>
          <w:tcPr>
            <w:tcW w:w="285" w:type="pct"/>
            <w:tcBorders>
              <w:tl2br w:val="nil"/>
              <w:tr2bl w:val="nil"/>
            </w:tcBorders>
            <w:shd w:val="clear" w:color="auto" w:fill="auto"/>
            <w:noWrap/>
            <w:vAlign w:val="center"/>
          </w:tcPr>
          <w:p w14:paraId="4725A89E">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1.87</w:t>
            </w:r>
          </w:p>
        </w:tc>
        <w:tc>
          <w:tcPr>
            <w:tcW w:w="261" w:type="pct"/>
            <w:tcBorders>
              <w:tl2br w:val="nil"/>
              <w:tr2bl w:val="nil"/>
            </w:tcBorders>
            <w:shd w:val="clear" w:color="auto" w:fill="auto"/>
            <w:noWrap/>
            <w:vAlign w:val="center"/>
          </w:tcPr>
          <w:p w14:paraId="69609904">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2.07</w:t>
            </w:r>
          </w:p>
        </w:tc>
        <w:tc>
          <w:tcPr>
            <w:tcW w:w="267" w:type="pct"/>
            <w:tcBorders>
              <w:tl2br w:val="nil"/>
              <w:tr2bl w:val="nil"/>
            </w:tcBorders>
            <w:shd w:val="clear" w:color="auto" w:fill="auto"/>
            <w:noWrap/>
            <w:vAlign w:val="center"/>
          </w:tcPr>
          <w:p w14:paraId="3B3E7D1E">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2.92</w:t>
            </w:r>
          </w:p>
        </w:tc>
        <w:tc>
          <w:tcPr>
            <w:tcW w:w="249" w:type="pct"/>
            <w:tcBorders>
              <w:tl2br w:val="nil"/>
              <w:tr2bl w:val="nil"/>
            </w:tcBorders>
            <w:shd w:val="clear" w:color="auto" w:fill="auto"/>
            <w:noWrap/>
            <w:vAlign w:val="center"/>
          </w:tcPr>
          <w:p w14:paraId="77E612DA">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2.64</w:t>
            </w:r>
          </w:p>
        </w:tc>
        <w:tc>
          <w:tcPr>
            <w:tcW w:w="329" w:type="pct"/>
            <w:tcBorders>
              <w:tl2br w:val="nil"/>
              <w:tr2bl w:val="nil"/>
            </w:tcBorders>
            <w:shd w:val="clear" w:color="auto" w:fill="auto"/>
            <w:noWrap/>
            <w:vAlign w:val="center"/>
          </w:tcPr>
          <w:p w14:paraId="08BB24AD">
            <w:pPr>
              <w:pStyle w:val="30"/>
              <w:ind w:firstLine="0" w:firstLineChars="0"/>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color w:val="auto"/>
                <w:sz w:val="21"/>
                <w:szCs w:val="21"/>
                <w:highlight w:val="none"/>
              </w:rPr>
              <w:t>≤3</w:t>
            </w:r>
          </w:p>
        </w:tc>
      </w:tr>
      <w:tr w14:paraId="20477F4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475" w:type="pct"/>
            <w:tcBorders>
              <w:tl2br w:val="nil"/>
              <w:tr2bl w:val="nil"/>
            </w:tcBorders>
            <w:shd w:val="clear" w:color="auto" w:fill="auto"/>
            <w:vAlign w:val="center"/>
          </w:tcPr>
          <w:p w14:paraId="450A9463">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氨氮（</w:t>
            </w:r>
            <w:r>
              <w:rPr>
                <w:rFonts w:hint="default" w:ascii="Times New Roman" w:hAnsi="Times New Roman" w:eastAsia="宋体" w:cs="Times New Roman"/>
                <w:color w:val="auto"/>
                <w:sz w:val="21"/>
                <w:szCs w:val="21"/>
                <w:highlight w:val="none"/>
                <w:u w:val="none"/>
                <w:lang w:val="en-US" w:eastAsia="zh-CN" w:bidi="ar"/>
              </w:rPr>
              <w:t>mg/L）</w:t>
            </w:r>
          </w:p>
        </w:tc>
        <w:tc>
          <w:tcPr>
            <w:tcW w:w="284" w:type="pct"/>
            <w:tcBorders>
              <w:tl2br w:val="nil"/>
              <w:tr2bl w:val="nil"/>
            </w:tcBorders>
            <w:shd w:val="clear" w:color="auto" w:fill="auto"/>
            <w:noWrap/>
            <w:vAlign w:val="center"/>
          </w:tcPr>
          <w:p w14:paraId="4272FAB3">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0.248</w:t>
            </w:r>
          </w:p>
        </w:tc>
        <w:tc>
          <w:tcPr>
            <w:tcW w:w="284" w:type="pct"/>
            <w:tcBorders>
              <w:tl2br w:val="nil"/>
              <w:tr2bl w:val="nil"/>
            </w:tcBorders>
            <w:shd w:val="clear" w:color="auto" w:fill="auto"/>
            <w:noWrap/>
            <w:vAlign w:val="center"/>
          </w:tcPr>
          <w:p w14:paraId="6A7D8764">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0.332</w:t>
            </w:r>
          </w:p>
        </w:tc>
        <w:tc>
          <w:tcPr>
            <w:tcW w:w="284" w:type="pct"/>
            <w:tcBorders>
              <w:tl2br w:val="nil"/>
              <w:tr2bl w:val="nil"/>
            </w:tcBorders>
            <w:shd w:val="clear" w:color="auto" w:fill="auto"/>
            <w:noWrap/>
            <w:vAlign w:val="center"/>
          </w:tcPr>
          <w:p w14:paraId="78AD9D61">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0.184</w:t>
            </w:r>
          </w:p>
        </w:tc>
        <w:tc>
          <w:tcPr>
            <w:tcW w:w="284" w:type="pct"/>
            <w:tcBorders>
              <w:tl2br w:val="nil"/>
              <w:tr2bl w:val="nil"/>
            </w:tcBorders>
            <w:shd w:val="clear" w:color="auto" w:fill="auto"/>
            <w:noWrap/>
            <w:vAlign w:val="center"/>
          </w:tcPr>
          <w:p w14:paraId="7A1A2786">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0.15</w:t>
            </w:r>
          </w:p>
        </w:tc>
        <w:tc>
          <w:tcPr>
            <w:tcW w:w="284" w:type="pct"/>
            <w:tcBorders>
              <w:tl2br w:val="nil"/>
              <w:tr2bl w:val="nil"/>
            </w:tcBorders>
            <w:shd w:val="clear" w:color="auto" w:fill="auto"/>
            <w:noWrap/>
            <w:vAlign w:val="center"/>
          </w:tcPr>
          <w:p w14:paraId="306B675F">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0.138</w:t>
            </w:r>
          </w:p>
        </w:tc>
        <w:tc>
          <w:tcPr>
            <w:tcW w:w="284" w:type="pct"/>
            <w:tcBorders>
              <w:tl2br w:val="nil"/>
              <w:tr2bl w:val="nil"/>
            </w:tcBorders>
            <w:shd w:val="clear" w:color="auto" w:fill="auto"/>
            <w:noWrap/>
            <w:vAlign w:val="center"/>
          </w:tcPr>
          <w:p w14:paraId="607062ED">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0.466</w:t>
            </w:r>
          </w:p>
        </w:tc>
        <w:tc>
          <w:tcPr>
            <w:tcW w:w="284" w:type="pct"/>
            <w:tcBorders>
              <w:tl2br w:val="nil"/>
              <w:tr2bl w:val="nil"/>
            </w:tcBorders>
            <w:shd w:val="clear" w:color="auto" w:fill="auto"/>
            <w:noWrap/>
            <w:vAlign w:val="center"/>
          </w:tcPr>
          <w:p w14:paraId="5BD6CB8D">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0.225</w:t>
            </w:r>
          </w:p>
        </w:tc>
        <w:tc>
          <w:tcPr>
            <w:tcW w:w="284" w:type="pct"/>
            <w:tcBorders>
              <w:tl2br w:val="nil"/>
              <w:tr2bl w:val="nil"/>
            </w:tcBorders>
            <w:shd w:val="clear" w:color="auto" w:fill="auto"/>
            <w:noWrap/>
            <w:vAlign w:val="center"/>
          </w:tcPr>
          <w:p w14:paraId="2BB932AD">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0.202</w:t>
            </w:r>
          </w:p>
        </w:tc>
        <w:tc>
          <w:tcPr>
            <w:tcW w:w="284" w:type="pct"/>
            <w:tcBorders>
              <w:tl2br w:val="nil"/>
              <w:tr2bl w:val="nil"/>
            </w:tcBorders>
            <w:shd w:val="clear" w:color="auto" w:fill="auto"/>
            <w:noWrap/>
            <w:vAlign w:val="center"/>
          </w:tcPr>
          <w:p w14:paraId="3A10F4AE">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0.251</w:t>
            </w:r>
          </w:p>
        </w:tc>
        <w:tc>
          <w:tcPr>
            <w:tcW w:w="285" w:type="pct"/>
            <w:tcBorders>
              <w:tl2br w:val="nil"/>
              <w:tr2bl w:val="nil"/>
            </w:tcBorders>
            <w:shd w:val="clear" w:color="auto" w:fill="auto"/>
            <w:noWrap/>
            <w:vAlign w:val="center"/>
          </w:tcPr>
          <w:p w14:paraId="3EC02734">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0.213</w:t>
            </w:r>
          </w:p>
        </w:tc>
        <w:tc>
          <w:tcPr>
            <w:tcW w:w="285" w:type="pct"/>
            <w:tcBorders>
              <w:tl2br w:val="nil"/>
              <w:tr2bl w:val="nil"/>
            </w:tcBorders>
            <w:shd w:val="clear" w:color="auto" w:fill="auto"/>
            <w:noWrap/>
            <w:vAlign w:val="center"/>
          </w:tcPr>
          <w:p w14:paraId="2830354D">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0.35</w:t>
            </w:r>
          </w:p>
        </w:tc>
        <w:tc>
          <w:tcPr>
            <w:tcW w:w="285" w:type="pct"/>
            <w:tcBorders>
              <w:tl2br w:val="nil"/>
              <w:tr2bl w:val="nil"/>
            </w:tcBorders>
            <w:shd w:val="clear" w:color="auto" w:fill="auto"/>
            <w:noWrap/>
            <w:vAlign w:val="center"/>
          </w:tcPr>
          <w:p w14:paraId="2BA151E5">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0.489</w:t>
            </w:r>
          </w:p>
        </w:tc>
        <w:tc>
          <w:tcPr>
            <w:tcW w:w="261" w:type="pct"/>
            <w:tcBorders>
              <w:tl2br w:val="nil"/>
              <w:tr2bl w:val="nil"/>
            </w:tcBorders>
            <w:shd w:val="clear" w:color="auto" w:fill="auto"/>
            <w:noWrap/>
            <w:vAlign w:val="center"/>
          </w:tcPr>
          <w:p w14:paraId="4BAFF638">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0.442</w:t>
            </w:r>
          </w:p>
        </w:tc>
        <w:tc>
          <w:tcPr>
            <w:tcW w:w="267" w:type="pct"/>
            <w:tcBorders>
              <w:tl2br w:val="nil"/>
              <w:tr2bl w:val="nil"/>
            </w:tcBorders>
            <w:shd w:val="clear" w:color="auto" w:fill="auto"/>
            <w:noWrap/>
            <w:vAlign w:val="center"/>
          </w:tcPr>
          <w:p w14:paraId="6A9520DC">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0.489</w:t>
            </w:r>
          </w:p>
        </w:tc>
        <w:tc>
          <w:tcPr>
            <w:tcW w:w="249" w:type="pct"/>
            <w:tcBorders>
              <w:tl2br w:val="nil"/>
              <w:tr2bl w:val="nil"/>
            </w:tcBorders>
            <w:shd w:val="clear" w:color="auto" w:fill="auto"/>
            <w:noWrap/>
            <w:vAlign w:val="center"/>
          </w:tcPr>
          <w:p w14:paraId="3DBF79E3">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0.448</w:t>
            </w:r>
          </w:p>
        </w:tc>
        <w:tc>
          <w:tcPr>
            <w:tcW w:w="329" w:type="pct"/>
            <w:tcBorders>
              <w:tl2br w:val="nil"/>
              <w:tr2bl w:val="nil"/>
            </w:tcBorders>
            <w:shd w:val="clear" w:color="auto" w:fill="auto"/>
            <w:noWrap/>
            <w:vAlign w:val="center"/>
          </w:tcPr>
          <w:p w14:paraId="3655A15C">
            <w:pPr>
              <w:pStyle w:val="30"/>
              <w:ind w:firstLine="0" w:firstLineChars="0"/>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color w:val="auto"/>
                <w:sz w:val="21"/>
                <w:szCs w:val="21"/>
                <w:highlight w:val="none"/>
              </w:rPr>
              <w:t>≤0.50</w:t>
            </w:r>
          </w:p>
        </w:tc>
      </w:tr>
      <w:tr w14:paraId="649EABD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475" w:type="pct"/>
            <w:tcBorders>
              <w:tl2br w:val="nil"/>
              <w:tr2bl w:val="nil"/>
            </w:tcBorders>
            <w:shd w:val="clear" w:color="auto" w:fill="auto"/>
            <w:vAlign w:val="center"/>
          </w:tcPr>
          <w:p w14:paraId="02B42A86">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color w:val="auto"/>
                <w:sz w:val="21"/>
                <w:szCs w:val="21"/>
                <w:highlight w:val="none"/>
              </w:rPr>
              <w:t>亚硝酸盐（以N计）</w:t>
            </w:r>
            <w:r>
              <w:rPr>
                <w:rFonts w:hint="default" w:ascii="Times New Roman" w:hAnsi="Times New Roman" w:eastAsia="宋体" w:cs="Times New Roman"/>
                <w:i w:val="0"/>
                <w:iCs w:val="0"/>
                <w:color w:val="auto"/>
                <w:kern w:val="0"/>
                <w:sz w:val="21"/>
                <w:szCs w:val="21"/>
                <w:highlight w:val="none"/>
                <w:u w:val="none"/>
                <w:lang w:val="en-US" w:eastAsia="zh-CN" w:bidi="ar"/>
              </w:rPr>
              <w:t>（</w:t>
            </w:r>
            <w:r>
              <w:rPr>
                <w:rFonts w:hint="default" w:ascii="Times New Roman" w:hAnsi="Times New Roman" w:eastAsia="宋体" w:cs="Times New Roman"/>
                <w:color w:val="auto"/>
                <w:sz w:val="21"/>
                <w:szCs w:val="21"/>
                <w:highlight w:val="none"/>
                <w:u w:val="none"/>
                <w:lang w:val="en-US" w:eastAsia="zh-CN" w:bidi="ar"/>
              </w:rPr>
              <w:t>mg/L）</w:t>
            </w:r>
          </w:p>
        </w:tc>
        <w:tc>
          <w:tcPr>
            <w:tcW w:w="284" w:type="pct"/>
            <w:tcBorders>
              <w:tl2br w:val="nil"/>
              <w:tr2bl w:val="nil"/>
            </w:tcBorders>
            <w:shd w:val="clear" w:color="auto" w:fill="auto"/>
            <w:noWrap/>
            <w:vAlign w:val="center"/>
          </w:tcPr>
          <w:p w14:paraId="27C7434C">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0.005</w:t>
            </w:r>
          </w:p>
        </w:tc>
        <w:tc>
          <w:tcPr>
            <w:tcW w:w="284" w:type="pct"/>
            <w:tcBorders>
              <w:tl2br w:val="nil"/>
              <w:tr2bl w:val="nil"/>
            </w:tcBorders>
            <w:shd w:val="clear" w:color="auto" w:fill="auto"/>
            <w:noWrap/>
            <w:vAlign w:val="center"/>
          </w:tcPr>
          <w:p w14:paraId="79DB783B">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0.003L</w:t>
            </w:r>
          </w:p>
        </w:tc>
        <w:tc>
          <w:tcPr>
            <w:tcW w:w="284" w:type="pct"/>
            <w:tcBorders>
              <w:tl2br w:val="nil"/>
              <w:tr2bl w:val="nil"/>
            </w:tcBorders>
            <w:shd w:val="clear" w:color="auto" w:fill="auto"/>
            <w:noWrap/>
            <w:vAlign w:val="center"/>
          </w:tcPr>
          <w:p w14:paraId="2A963357">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0.009</w:t>
            </w:r>
          </w:p>
        </w:tc>
        <w:tc>
          <w:tcPr>
            <w:tcW w:w="284" w:type="pct"/>
            <w:tcBorders>
              <w:tl2br w:val="nil"/>
              <w:tr2bl w:val="nil"/>
            </w:tcBorders>
            <w:shd w:val="clear" w:color="auto" w:fill="auto"/>
            <w:noWrap/>
            <w:vAlign w:val="center"/>
          </w:tcPr>
          <w:p w14:paraId="73645008">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0.01</w:t>
            </w:r>
          </w:p>
        </w:tc>
        <w:tc>
          <w:tcPr>
            <w:tcW w:w="284" w:type="pct"/>
            <w:tcBorders>
              <w:tl2br w:val="nil"/>
              <w:tr2bl w:val="nil"/>
            </w:tcBorders>
            <w:shd w:val="clear" w:color="auto" w:fill="auto"/>
            <w:noWrap/>
            <w:vAlign w:val="center"/>
          </w:tcPr>
          <w:p w14:paraId="63049749">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0.011</w:t>
            </w:r>
          </w:p>
        </w:tc>
        <w:tc>
          <w:tcPr>
            <w:tcW w:w="284" w:type="pct"/>
            <w:tcBorders>
              <w:tl2br w:val="nil"/>
              <w:tr2bl w:val="nil"/>
            </w:tcBorders>
            <w:shd w:val="clear" w:color="auto" w:fill="auto"/>
            <w:noWrap/>
            <w:vAlign w:val="center"/>
          </w:tcPr>
          <w:p w14:paraId="361603E0">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0.003L</w:t>
            </w:r>
          </w:p>
        </w:tc>
        <w:tc>
          <w:tcPr>
            <w:tcW w:w="284" w:type="pct"/>
            <w:tcBorders>
              <w:tl2br w:val="nil"/>
              <w:tr2bl w:val="nil"/>
            </w:tcBorders>
            <w:shd w:val="clear" w:color="auto" w:fill="auto"/>
            <w:noWrap/>
            <w:vAlign w:val="center"/>
          </w:tcPr>
          <w:p w14:paraId="39BE3D0C">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0.003L</w:t>
            </w:r>
          </w:p>
        </w:tc>
        <w:tc>
          <w:tcPr>
            <w:tcW w:w="284" w:type="pct"/>
            <w:tcBorders>
              <w:tl2br w:val="nil"/>
              <w:tr2bl w:val="nil"/>
            </w:tcBorders>
            <w:shd w:val="clear" w:color="auto" w:fill="auto"/>
            <w:noWrap/>
            <w:vAlign w:val="center"/>
          </w:tcPr>
          <w:p w14:paraId="5431B79A">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0.003L</w:t>
            </w:r>
          </w:p>
        </w:tc>
        <w:tc>
          <w:tcPr>
            <w:tcW w:w="284" w:type="pct"/>
            <w:tcBorders>
              <w:tl2br w:val="nil"/>
              <w:tr2bl w:val="nil"/>
            </w:tcBorders>
            <w:shd w:val="clear" w:color="auto" w:fill="auto"/>
            <w:noWrap/>
            <w:vAlign w:val="center"/>
          </w:tcPr>
          <w:p w14:paraId="786088EE">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0.003L</w:t>
            </w:r>
          </w:p>
        </w:tc>
        <w:tc>
          <w:tcPr>
            <w:tcW w:w="285" w:type="pct"/>
            <w:tcBorders>
              <w:tl2br w:val="nil"/>
              <w:tr2bl w:val="nil"/>
            </w:tcBorders>
            <w:shd w:val="clear" w:color="auto" w:fill="auto"/>
            <w:noWrap/>
            <w:vAlign w:val="center"/>
          </w:tcPr>
          <w:p w14:paraId="4D4FD48A">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0.003L</w:t>
            </w:r>
          </w:p>
        </w:tc>
        <w:tc>
          <w:tcPr>
            <w:tcW w:w="285" w:type="pct"/>
            <w:tcBorders>
              <w:tl2br w:val="nil"/>
              <w:tr2bl w:val="nil"/>
            </w:tcBorders>
            <w:shd w:val="clear" w:color="auto" w:fill="auto"/>
            <w:noWrap/>
            <w:vAlign w:val="center"/>
          </w:tcPr>
          <w:p w14:paraId="302E6D9C">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0.003L</w:t>
            </w:r>
          </w:p>
        </w:tc>
        <w:tc>
          <w:tcPr>
            <w:tcW w:w="285" w:type="pct"/>
            <w:tcBorders>
              <w:tl2br w:val="nil"/>
              <w:tr2bl w:val="nil"/>
            </w:tcBorders>
            <w:shd w:val="clear" w:color="auto" w:fill="auto"/>
            <w:noWrap/>
            <w:vAlign w:val="center"/>
          </w:tcPr>
          <w:p w14:paraId="05137DF6">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0.003L</w:t>
            </w:r>
          </w:p>
        </w:tc>
        <w:tc>
          <w:tcPr>
            <w:tcW w:w="261" w:type="pct"/>
            <w:tcBorders>
              <w:tl2br w:val="nil"/>
              <w:tr2bl w:val="nil"/>
            </w:tcBorders>
            <w:shd w:val="clear" w:color="auto" w:fill="auto"/>
            <w:noWrap/>
            <w:vAlign w:val="center"/>
          </w:tcPr>
          <w:p w14:paraId="5171C56D">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0.003L</w:t>
            </w:r>
          </w:p>
        </w:tc>
        <w:tc>
          <w:tcPr>
            <w:tcW w:w="267" w:type="pct"/>
            <w:tcBorders>
              <w:tl2br w:val="nil"/>
              <w:tr2bl w:val="nil"/>
            </w:tcBorders>
            <w:shd w:val="clear" w:color="auto" w:fill="auto"/>
            <w:noWrap/>
            <w:vAlign w:val="center"/>
          </w:tcPr>
          <w:p w14:paraId="1A316C00">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0.003</w:t>
            </w:r>
          </w:p>
        </w:tc>
        <w:tc>
          <w:tcPr>
            <w:tcW w:w="249" w:type="pct"/>
            <w:tcBorders>
              <w:tl2br w:val="nil"/>
              <w:tr2bl w:val="nil"/>
            </w:tcBorders>
            <w:shd w:val="clear" w:color="auto" w:fill="auto"/>
            <w:noWrap/>
            <w:vAlign w:val="center"/>
          </w:tcPr>
          <w:p w14:paraId="6CB6248E">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0.003L</w:t>
            </w:r>
          </w:p>
        </w:tc>
        <w:tc>
          <w:tcPr>
            <w:tcW w:w="329" w:type="pct"/>
            <w:tcBorders>
              <w:tl2br w:val="nil"/>
              <w:tr2bl w:val="nil"/>
            </w:tcBorders>
            <w:shd w:val="clear" w:color="auto" w:fill="auto"/>
            <w:noWrap/>
            <w:vAlign w:val="center"/>
          </w:tcPr>
          <w:p w14:paraId="5CD21AC5">
            <w:pPr>
              <w:pStyle w:val="30"/>
              <w:ind w:firstLine="0" w:firstLineChars="0"/>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color w:val="auto"/>
                <w:sz w:val="21"/>
                <w:szCs w:val="21"/>
                <w:highlight w:val="none"/>
              </w:rPr>
              <w:t>≤1.0</w:t>
            </w:r>
          </w:p>
        </w:tc>
      </w:tr>
      <w:tr w14:paraId="040C2F2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475" w:type="pct"/>
            <w:tcBorders>
              <w:tl2br w:val="nil"/>
              <w:tr2bl w:val="nil"/>
            </w:tcBorders>
            <w:shd w:val="clear" w:color="auto" w:fill="auto"/>
            <w:vAlign w:val="center"/>
          </w:tcPr>
          <w:p w14:paraId="61F036F8">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硝酸盐氮（mg/L）</w:t>
            </w:r>
          </w:p>
        </w:tc>
        <w:tc>
          <w:tcPr>
            <w:tcW w:w="284" w:type="pct"/>
            <w:tcBorders>
              <w:tl2br w:val="nil"/>
              <w:tr2bl w:val="nil"/>
            </w:tcBorders>
            <w:shd w:val="clear" w:color="auto" w:fill="auto"/>
            <w:noWrap/>
            <w:vAlign w:val="center"/>
          </w:tcPr>
          <w:p w14:paraId="6A38CB88">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0.3</w:t>
            </w:r>
          </w:p>
        </w:tc>
        <w:tc>
          <w:tcPr>
            <w:tcW w:w="284" w:type="pct"/>
            <w:tcBorders>
              <w:tl2br w:val="nil"/>
              <w:tr2bl w:val="nil"/>
            </w:tcBorders>
            <w:shd w:val="clear" w:color="auto" w:fill="auto"/>
            <w:noWrap/>
            <w:vAlign w:val="center"/>
          </w:tcPr>
          <w:p w14:paraId="45FCC05C">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0.32</w:t>
            </w:r>
          </w:p>
        </w:tc>
        <w:tc>
          <w:tcPr>
            <w:tcW w:w="284" w:type="pct"/>
            <w:tcBorders>
              <w:tl2br w:val="nil"/>
              <w:tr2bl w:val="nil"/>
            </w:tcBorders>
            <w:shd w:val="clear" w:color="auto" w:fill="auto"/>
            <w:noWrap/>
            <w:vAlign w:val="center"/>
          </w:tcPr>
          <w:p w14:paraId="4C73B3AA">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0.4</w:t>
            </w:r>
          </w:p>
        </w:tc>
        <w:tc>
          <w:tcPr>
            <w:tcW w:w="284" w:type="pct"/>
            <w:tcBorders>
              <w:tl2br w:val="nil"/>
              <w:tr2bl w:val="nil"/>
            </w:tcBorders>
            <w:shd w:val="clear" w:color="auto" w:fill="auto"/>
            <w:noWrap/>
            <w:vAlign w:val="center"/>
          </w:tcPr>
          <w:p w14:paraId="22CF12BE">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0.27</w:t>
            </w:r>
          </w:p>
        </w:tc>
        <w:tc>
          <w:tcPr>
            <w:tcW w:w="284" w:type="pct"/>
            <w:tcBorders>
              <w:tl2br w:val="nil"/>
              <w:tr2bl w:val="nil"/>
            </w:tcBorders>
            <w:shd w:val="clear" w:color="auto" w:fill="auto"/>
            <w:noWrap/>
            <w:vAlign w:val="center"/>
          </w:tcPr>
          <w:p w14:paraId="0EC03B0B">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0.49</w:t>
            </w:r>
          </w:p>
        </w:tc>
        <w:tc>
          <w:tcPr>
            <w:tcW w:w="284" w:type="pct"/>
            <w:tcBorders>
              <w:tl2br w:val="nil"/>
              <w:tr2bl w:val="nil"/>
            </w:tcBorders>
            <w:shd w:val="clear" w:color="auto" w:fill="auto"/>
            <w:noWrap/>
            <w:vAlign w:val="center"/>
          </w:tcPr>
          <w:p w14:paraId="29F1BCB9">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0.37</w:t>
            </w:r>
          </w:p>
        </w:tc>
        <w:tc>
          <w:tcPr>
            <w:tcW w:w="284" w:type="pct"/>
            <w:tcBorders>
              <w:tl2br w:val="nil"/>
              <w:tr2bl w:val="nil"/>
            </w:tcBorders>
            <w:shd w:val="clear" w:color="auto" w:fill="auto"/>
            <w:noWrap/>
            <w:vAlign w:val="center"/>
          </w:tcPr>
          <w:p w14:paraId="72981D0E">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0.08L</w:t>
            </w:r>
          </w:p>
        </w:tc>
        <w:tc>
          <w:tcPr>
            <w:tcW w:w="284" w:type="pct"/>
            <w:tcBorders>
              <w:tl2br w:val="nil"/>
              <w:tr2bl w:val="nil"/>
            </w:tcBorders>
            <w:shd w:val="clear" w:color="auto" w:fill="auto"/>
            <w:noWrap/>
            <w:vAlign w:val="center"/>
          </w:tcPr>
          <w:p w14:paraId="1694026E">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0.28</w:t>
            </w:r>
          </w:p>
        </w:tc>
        <w:tc>
          <w:tcPr>
            <w:tcW w:w="284" w:type="pct"/>
            <w:tcBorders>
              <w:tl2br w:val="nil"/>
              <w:tr2bl w:val="nil"/>
            </w:tcBorders>
            <w:shd w:val="clear" w:color="auto" w:fill="auto"/>
            <w:noWrap/>
            <w:vAlign w:val="center"/>
          </w:tcPr>
          <w:p w14:paraId="7FF1A49A">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0.25</w:t>
            </w:r>
          </w:p>
        </w:tc>
        <w:tc>
          <w:tcPr>
            <w:tcW w:w="285" w:type="pct"/>
            <w:tcBorders>
              <w:tl2br w:val="nil"/>
              <w:tr2bl w:val="nil"/>
            </w:tcBorders>
            <w:shd w:val="clear" w:color="auto" w:fill="auto"/>
            <w:noWrap/>
            <w:vAlign w:val="center"/>
          </w:tcPr>
          <w:p w14:paraId="34CDEA87">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0.7</w:t>
            </w:r>
          </w:p>
        </w:tc>
        <w:tc>
          <w:tcPr>
            <w:tcW w:w="285" w:type="pct"/>
            <w:tcBorders>
              <w:tl2br w:val="nil"/>
              <w:tr2bl w:val="nil"/>
            </w:tcBorders>
            <w:shd w:val="clear" w:color="auto" w:fill="auto"/>
            <w:noWrap/>
            <w:vAlign w:val="center"/>
          </w:tcPr>
          <w:p w14:paraId="1B244C31">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0.4</w:t>
            </w:r>
          </w:p>
        </w:tc>
        <w:tc>
          <w:tcPr>
            <w:tcW w:w="285" w:type="pct"/>
            <w:tcBorders>
              <w:tl2br w:val="nil"/>
              <w:tr2bl w:val="nil"/>
            </w:tcBorders>
            <w:shd w:val="clear" w:color="auto" w:fill="auto"/>
            <w:noWrap/>
            <w:vAlign w:val="center"/>
          </w:tcPr>
          <w:p w14:paraId="79DC9FF0">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0.49</w:t>
            </w:r>
          </w:p>
        </w:tc>
        <w:tc>
          <w:tcPr>
            <w:tcW w:w="261" w:type="pct"/>
            <w:tcBorders>
              <w:tl2br w:val="nil"/>
              <w:tr2bl w:val="nil"/>
            </w:tcBorders>
            <w:shd w:val="clear" w:color="auto" w:fill="auto"/>
            <w:noWrap/>
            <w:vAlign w:val="center"/>
          </w:tcPr>
          <w:p w14:paraId="4BFFDA59">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0.33</w:t>
            </w:r>
          </w:p>
        </w:tc>
        <w:tc>
          <w:tcPr>
            <w:tcW w:w="267" w:type="pct"/>
            <w:tcBorders>
              <w:tl2br w:val="nil"/>
              <w:tr2bl w:val="nil"/>
            </w:tcBorders>
            <w:shd w:val="clear" w:color="auto" w:fill="auto"/>
            <w:noWrap/>
            <w:vAlign w:val="center"/>
          </w:tcPr>
          <w:p w14:paraId="21352225">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0.96</w:t>
            </w:r>
          </w:p>
        </w:tc>
        <w:tc>
          <w:tcPr>
            <w:tcW w:w="249" w:type="pct"/>
            <w:tcBorders>
              <w:tl2br w:val="nil"/>
              <w:tr2bl w:val="nil"/>
            </w:tcBorders>
            <w:shd w:val="clear" w:color="auto" w:fill="auto"/>
            <w:noWrap/>
            <w:vAlign w:val="center"/>
          </w:tcPr>
          <w:p w14:paraId="14962440">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0.95</w:t>
            </w:r>
          </w:p>
        </w:tc>
        <w:tc>
          <w:tcPr>
            <w:tcW w:w="329" w:type="pct"/>
            <w:tcBorders>
              <w:tl2br w:val="nil"/>
              <w:tr2bl w:val="nil"/>
            </w:tcBorders>
            <w:shd w:val="clear" w:color="auto" w:fill="auto"/>
            <w:noWrap/>
            <w:vAlign w:val="center"/>
          </w:tcPr>
          <w:p w14:paraId="7FA3E2D7">
            <w:pPr>
              <w:pStyle w:val="30"/>
              <w:ind w:firstLine="0" w:firstLineChars="0"/>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color w:val="auto"/>
                <w:sz w:val="21"/>
                <w:szCs w:val="21"/>
                <w:highlight w:val="none"/>
              </w:rPr>
              <w:t>≤20.0</w:t>
            </w:r>
          </w:p>
        </w:tc>
      </w:tr>
      <w:tr w14:paraId="4B82A7A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475" w:type="pct"/>
            <w:tcBorders>
              <w:tl2br w:val="nil"/>
              <w:tr2bl w:val="nil"/>
            </w:tcBorders>
            <w:shd w:val="clear" w:color="auto" w:fill="auto"/>
            <w:vAlign w:val="center"/>
          </w:tcPr>
          <w:p w14:paraId="58423BDC">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氰化物</w:t>
            </w:r>
            <w:r>
              <w:rPr>
                <w:rFonts w:hint="default" w:ascii="Times New Roman" w:hAnsi="Times New Roman" w:eastAsia="宋体" w:cs="Times New Roman"/>
                <w:color w:val="auto"/>
                <w:sz w:val="21"/>
                <w:szCs w:val="21"/>
                <w:highlight w:val="none"/>
                <w:u w:val="none"/>
                <w:lang w:val="en-US" w:eastAsia="zh-CN" w:bidi="ar"/>
              </w:rPr>
              <w:t>（mg/L）</w:t>
            </w:r>
          </w:p>
        </w:tc>
        <w:tc>
          <w:tcPr>
            <w:tcW w:w="284" w:type="pct"/>
            <w:tcBorders>
              <w:tl2br w:val="nil"/>
              <w:tr2bl w:val="nil"/>
            </w:tcBorders>
            <w:shd w:val="clear" w:color="auto" w:fill="auto"/>
            <w:noWrap/>
            <w:vAlign w:val="center"/>
          </w:tcPr>
          <w:p w14:paraId="39A22D00">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0.002L</w:t>
            </w:r>
          </w:p>
        </w:tc>
        <w:tc>
          <w:tcPr>
            <w:tcW w:w="284" w:type="pct"/>
            <w:tcBorders>
              <w:tl2br w:val="nil"/>
              <w:tr2bl w:val="nil"/>
            </w:tcBorders>
            <w:shd w:val="clear" w:color="auto" w:fill="auto"/>
            <w:noWrap/>
            <w:vAlign w:val="center"/>
          </w:tcPr>
          <w:p w14:paraId="1C773DBA">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0.002L</w:t>
            </w:r>
          </w:p>
        </w:tc>
        <w:tc>
          <w:tcPr>
            <w:tcW w:w="284" w:type="pct"/>
            <w:tcBorders>
              <w:tl2br w:val="nil"/>
              <w:tr2bl w:val="nil"/>
            </w:tcBorders>
            <w:shd w:val="clear" w:color="auto" w:fill="auto"/>
            <w:noWrap/>
            <w:vAlign w:val="center"/>
          </w:tcPr>
          <w:p w14:paraId="7626F0D1">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0.002L</w:t>
            </w:r>
          </w:p>
        </w:tc>
        <w:tc>
          <w:tcPr>
            <w:tcW w:w="284" w:type="pct"/>
            <w:tcBorders>
              <w:tl2br w:val="nil"/>
              <w:tr2bl w:val="nil"/>
            </w:tcBorders>
            <w:shd w:val="clear" w:color="auto" w:fill="auto"/>
            <w:noWrap/>
            <w:vAlign w:val="center"/>
          </w:tcPr>
          <w:p w14:paraId="7EAA4961">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0.002L</w:t>
            </w:r>
          </w:p>
        </w:tc>
        <w:tc>
          <w:tcPr>
            <w:tcW w:w="284" w:type="pct"/>
            <w:tcBorders>
              <w:tl2br w:val="nil"/>
              <w:tr2bl w:val="nil"/>
            </w:tcBorders>
            <w:shd w:val="clear" w:color="auto" w:fill="auto"/>
            <w:noWrap/>
            <w:vAlign w:val="center"/>
          </w:tcPr>
          <w:p w14:paraId="0D4069AD">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0.002L</w:t>
            </w:r>
          </w:p>
        </w:tc>
        <w:tc>
          <w:tcPr>
            <w:tcW w:w="284" w:type="pct"/>
            <w:tcBorders>
              <w:tl2br w:val="nil"/>
              <w:tr2bl w:val="nil"/>
            </w:tcBorders>
            <w:shd w:val="clear" w:color="auto" w:fill="auto"/>
            <w:noWrap/>
            <w:vAlign w:val="center"/>
          </w:tcPr>
          <w:p w14:paraId="17B1CF7B">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0.002L</w:t>
            </w:r>
          </w:p>
        </w:tc>
        <w:tc>
          <w:tcPr>
            <w:tcW w:w="284" w:type="pct"/>
            <w:tcBorders>
              <w:tl2br w:val="nil"/>
              <w:tr2bl w:val="nil"/>
            </w:tcBorders>
            <w:shd w:val="clear" w:color="auto" w:fill="auto"/>
            <w:noWrap/>
            <w:vAlign w:val="center"/>
          </w:tcPr>
          <w:p w14:paraId="523A72F6">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0.002L</w:t>
            </w:r>
          </w:p>
        </w:tc>
        <w:tc>
          <w:tcPr>
            <w:tcW w:w="284" w:type="pct"/>
            <w:tcBorders>
              <w:tl2br w:val="nil"/>
              <w:tr2bl w:val="nil"/>
            </w:tcBorders>
            <w:shd w:val="clear" w:color="auto" w:fill="auto"/>
            <w:noWrap/>
            <w:vAlign w:val="center"/>
          </w:tcPr>
          <w:p w14:paraId="0E597D49">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0.002L</w:t>
            </w:r>
          </w:p>
        </w:tc>
        <w:tc>
          <w:tcPr>
            <w:tcW w:w="284" w:type="pct"/>
            <w:tcBorders>
              <w:tl2br w:val="nil"/>
              <w:tr2bl w:val="nil"/>
            </w:tcBorders>
            <w:shd w:val="clear" w:color="auto" w:fill="auto"/>
            <w:noWrap/>
            <w:vAlign w:val="center"/>
          </w:tcPr>
          <w:p w14:paraId="5029764B">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0.002L</w:t>
            </w:r>
          </w:p>
        </w:tc>
        <w:tc>
          <w:tcPr>
            <w:tcW w:w="285" w:type="pct"/>
            <w:tcBorders>
              <w:tl2br w:val="nil"/>
              <w:tr2bl w:val="nil"/>
            </w:tcBorders>
            <w:shd w:val="clear" w:color="auto" w:fill="auto"/>
            <w:noWrap/>
            <w:vAlign w:val="center"/>
          </w:tcPr>
          <w:p w14:paraId="001B0CB4">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0.002L</w:t>
            </w:r>
          </w:p>
        </w:tc>
        <w:tc>
          <w:tcPr>
            <w:tcW w:w="285" w:type="pct"/>
            <w:tcBorders>
              <w:tl2br w:val="nil"/>
              <w:tr2bl w:val="nil"/>
            </w:tcBorders>
            <w:shd w:val="clear" w:color="auto" w:fill="auto"/>
            <w:noWrap/>
            <w:vAlign w:val="center"/>
          </w:tcPr>
          <w:p w14:paraId="7208FF91">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0.002L</w:t>
            </w:r>
          </w:p>
        </w:tc>
        <w:tc>
          <w:tcPr>
            <w:tcW w:w="285" w:type="pct"/>
            <w:tcBorders>
              <w:tl2br w:val="nil"/>
              <w:tr2bl w:val="nil"/>
            </w:tcBorders>
            <w:shd w:val="clear" w:color="auto" w:fill="auto"/>
            <w:noWrap/>
            <w:vAlign w:val="center"/>
          </w:tcPr>
          <w:p w14:paraId="0A543D19">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0.002L</w:t>
            </w:r>
          </w:p>
        </w:tc>
        <w:tc>
          <w:tcPr>
            <w:tcW w:w="261" w:type="pct"/>
            <w:tcBorders>
              <w:tl2br w:val="nil"/>
              <w:tr2bl w:val="nil"/>
            </w:tcBorders>
            <w:shd w:val="clear" w:color="auto" w:fill="auto"/>
            <w:noWrap/>
            <w:vAlign w:val="center"/>
          </w:tcPr>
          <w:p w14:paraId="0EAC0EC5">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0.002L</w:t>
            </w:r>
          </w:p>
        </w:tc>
        <w:tc>
          <w:tcPr>
            <w:tcW w:w="267" w:type="pct"/>
            <w:tcBorders>
              <w:tl2br w:val="nil"/>
              <w:tr2bl w:val="nil"/>
            </w:tcBorders>
            <w:shd w:val="clear" w:color="auto" w:fill="auto"/>
            <w:noWrap/>
            <w:vAlign w:val="center"/>
          </w:tcPr>
          <w:p w14:paraId="5C03D36A">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0.002L</w:t>
            </w:r>
          </w:p>
        </w:tc>
        <w:tc>
          <w:tcPr>
            <w:tcW w:w="249" w:type="pct"/>
            <w:tcBorders>
              <w:tl2br w:val="nil"/>
              <w:tr2bl w:val="nil"/>
            </w:tcBorders>
            <w:shd w:val="clear" w:color="auto" w:fill="auto"/>
            <w:noWrap/>
            <w:vAlign w:val="center"/>
          </w:tcPr>
          <w:p w14:paraId="1A377F5B">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0.002L</w:t>
            </w:r>
          </w:p>
        </w:tc>
        <w:tc>
          <w:tcPr>
            <w:tcW w:w="329" w:type="pct"/>
            <w:tcBorders>
              <w:tl2br w:val="nil"/>
              <w:tr2bl w:val="nil"/>
            </w:tcBorders>
            <w:shd w:val="clear" w:color="auto" w:fill="auto"/>
            <w:noWrap/>
            <w:vAlign w:val="center"/>
          </w:tcPr>
          <w:p w14:paraId="442900A9">
            <w:pPr>
              <w:pStyle w:val="30"/>
              <w:ind w:firstLine="0" w:firstLineChars="0"/>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color w:val="auto"/>
                <w:sz w:val="21"/>
                <w:szCs w:val="21"/>
                <w:highlight w:val="none"/>
              </w:rPr>
              <w:t>≤0.05</w:t>
            </w:r>
          </w:p>
        </w:tc>
      </w:tr>
      <w:tr w14:paraId="505604E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475" w:type="pct"/>
            <w:tcBorders>
              <w:tl2br w:val="nil"/>
              <w:tr2bl w:val="nil"/>
            </w:tcBorders>
            <w:shd w:val="clear" w:color="auto" w:fill="auto"/>
            <w:vAlign w:val="center"/>
          </w:tcPr>
          <w:p w14:paraId="71E91D37">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氟化物</w:t>
            </w:r>
            <w:r>
              <w:rPr>
                <w:rFonts w:hint="default" w:ascii="Times New Roman" w:hAnsi="Times New Roman" w:eastAsia="宋体" w:cs="Times New Roman"/>
                <w:color w:val="auto"/>
                <w:sz w:val="21"/>
                <w:szCs w:val="21"/>
                <w:highlight w:val="none"/>
                <w:u w:val="none"/>
                <w:lang w:val="en-US" w:eastAsia="zh-CN" w:bidi="ar"/>
              </w:rPr>
              <w:t>（mg/L）</w:t>
            </w:r>
          </w:p>
        </w:tc>
        <w:tc>
          <w:tcPr>
            <w:tcW w:w="284" w:type="pct"/>
            <w:tcBorders>
              <w:tl2br w:val="nil"/>
              <w:tr2bl w:val="nil"/>
            </w:tcBorders>
            <w:shd w:val="clear" w:color="auto" w:fill="auto"/>
            <w:noWrap/>
            <w:vAlign w:val="center"/>
          </w:tcPr>
          <w:p w14:paraId="545E7E09">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0.1</w:t>
            </w:r>
          </w:p>
        </w:tc>
        <w:tc>
          <w:tcPr>
            <w:tcW w:w="284" w:type="pct"/>
            <w:tcBorders>
              <w:tl2br w:val="nil"/>
              <w:tr2bl w:val="nil"/>
            </w:tcBorders>
            <w:shd w:val="clear" w:color="auto" w:fill="auto"/>
            <w:noWrap/>
            <w:vAlign w:val="center"/>
          </w:tcPr>
          <w:p w14:paraId="7E0465DF">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0.08</w:t>
            </w:r>
          </w:p>
        </w:tc>
        <w:tc>
          <w:tcPr>
            <w:tcW w:w="284" w:type="pct"/>
            <w:tcBorders>
              <w:tl2br w:val="nil"/>
              <w:tr2bl w:val="nil"/>
            </w:tcBorders>
            <w:shd w:val="clear" w:color="auto" w:fill="auto"/>
            <w:noWrap/>
            <w:vAlign w:val="center"/>
          </w:tcPr>
          <w:p w14:paraId="7CA66B0D">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0.12</w:t>
            </w:r>
          </w:p>
        </w:tc>
        <w:tc>
          <w:tcPr>
            <w:tcW w:w="284" w:type="pct"/>
            <w:tcBorders>
              <w:tl2br w:val="nil"/>
              <w:tr2bl w:val="nil"/>
            </w:tcBorders>
            <w:shd w:val="clear" w:color="auto" w:fill="auto"/>
            <w:noWrap/>
            <w:vAlign w:val="center"/>
          </w:tcPr>
          <w:p w14:paraId="4CB541CD">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0.12</w:t>
            </w:r>
          </w:p>
        </w:tc>
        <w:tc>
          <w:tcPr>
            <w:tcW w:w="284" w:type="pct"/>
            <w:tcBorders>
              <w:tl2br w:val="nil"/>
              <w:tr2bl w:val="nil"/>
            </w:tcBorders>
            <w:shd w:val="clear" w:color="auto" w:fill="auto"/>
            <w:noWrap/>
            <w:vAlign w:val="center"/>
          </w:tcPr>
          <w:p w14:paraId="2E2B62D1">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0.12</w:t>
            </w:r>
          </w:p>
        </w:tc>
        <w:tc>
          <w:tcPr>
            <w:tcW w:w="284" w:type="pct"/>
            <w:tcBorders>
              <w:tl2br w:val="nil"/>
              <w:tr2bl w:val="nil"/>
            </w:tcBorders>
            <w:shd w:val="clear" w:color="auto" w:fill="auto"/>
            <w:noWrap/>
            <w:vAlign w:val="center"/>
          </w:tcPr>
          <w:p w14:paraId="1D56D0D4">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0.06</w:t>
            </w:r>
          </w:p>
        </w:tc>
        <w:tc>
          <w:tcPr>
            <w:tcW w:w="284" w:type="pct"/>
            <w:tcBorders>
              <w:tl2br w:val="nil"/>
              <w:tr2bl w:val="nil"/>
            </w:tcBorders>
            <w:shd w:val="clear" w:color="auto" w:fill="auto"/>
            <w:noWrap/>
            <w:vAlign w:val="center"/>
          </w:tcPr>
          <w:p w14:paraId="2115FE8B">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0.13</w:t>
            </w:r>
          </w:p>
        </w:tc>
        <w:tc>
          <w:tcPr>
            <w:tcW w:w="284" w:type="pct"/>
            <w:tcBorders>
              <w:tl2br w:val="nil"/>
              <w:tr2bl w:val="nil"/>
            </w:tcBorders>
            <w:shd w:val="clear" w:color="auto" w:fill="auto"/>
            <w:noWrap/>
            <w:vAlign w:val="center"/>
          </w:tcPr>
          <w:p w14:paraId="297482B7">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0.08</w:t>
            </w:r>
          </w:p>
        </w:tc>
        <w:tc>
          <w:tcPr>
            <w:tcW w:w="284" w:type="pct"/>
            <w:tcBorders>
              <w:tl2br w:val="nil"/>
              <w:tr2bl w:val="nil"/>
            </w:tcBorders>
            <w:shd w:val="clear" w:color="auto" w:fill="auto"/>
            <w:noWrap/>
            <w:vAlign w:val="center"/>
          </w:tcPr>
          <w:p w14:paraId="00D3DFE5">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0.08</w:t>
            </w:r>
          </w:p>
        </w:tc>
        <w:tc>
          <w:tcPr>
            <w:tcW w:w="285" w:type="pct"/>
            <w:tcBorders>
              <w:tl2br w:val="nil"/>
              <w:tr2bl w:val="nil"/>
            </w:tcBorders>
            <w:shd w:val="clear" w:color="auto" w:fill="auto"/>
            <w:noWrap/>
            <w:vAlign w:val="center"/>
          </w:tcPr>
          <w:p w14:paraId="7659DEAC">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0.1</w:t>
            </w:r>
          </w:p>
        </w:tc>
        <w:tc>
          <w:tcPr>
            <w:tcW w:w="285" w:type="pct"/>
            <w:tcBorders>
              <w:tl2br w:val="nil"/>
              <w:tr2bl w:val="nil"/>
            </w:tcBorders>
            <w:shd w:val="clear" w:color="auto" w:fill="auto"/>
            <w:noWrap/>
            <w:vAlign w:val="center"/>
          </w:tcPr>
          <w:p w14:paraId="5015D202">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0.07</w:t>
            </w:r>
          </w:p>
        </w:tc>
        <w:tc>
          <w:tcPr>
            <w:tcW w:w="285" w:type="pct"/>
            <w:tcBorders>
              <w:tl2br w:val="nil"/>
              <w:tr2bl w:val="nil"/>
            </w:tcBorders>
            <w:shd w:val="clear" w:color="auto" w:fill="auto"/>
            <w:noWrap/>
            <w:vAlign w:val="center"/>
          </w:tcPr>
          <w:p w14:paraId="02915A39">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0.06</w:t>
            </w:r>
          </w:p>
        </w:tc>
        <w:tc>
          <w:tcPr>
            <w:tcW w:w="261" w:type="pct"/>
            <w:tcBorders>
              <w:tl2br w:val="nil"/>
              <w:tr2bl w:val="nil"/>
            </w:tcBorders>
            <w:shd w:val="clear" w:color="auto" w:fill="auto"/>
            <w:noWrap/>
            <w:vAlign w:val="center"/>
          </w:tcPr>
          <w:p w14:paraId="5C0CC0FE">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0.1</w:t>
            </w:r>
          </w:p>
        </w:tc>
        <w:tc>
          <w:tcPr>
            <w:tcW w:w="267" w:type="pct"/>
            <w:tcBorders>
              <w:tl2br w:val="nil"/>
              <w:tr2bl w:val="nil"/>
            </w:tcBorders>
            <w:shd w:val="clear" w:color="auto" w:fill="auto"/>
            <w:noWrap/>
            <w:vAlign w:val="center"/>
          </w:tcPr>
          <w:p w14:paraId="18DF8684">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0.15</w:t>
            </w:r>
          </w:p>
        </w:tc>
        <w:tc>
          <w:tcPr>
            <w:tcW w:w="249" w:type="pct"/>
            <w:tcBorders>
              <w:tl2br w:val="nil"/>
              <w:tr2bl w:val="nil"/>
            </w:tcBorders>
            <w:shd w:val="clear" w:color="auto" w:fill="auto"/>
            <w:noWrap/>
            <w:vAlign w:val="center"/>
          </w:tcPr>
          <w:p w14:paraId="27FBD7FF">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0.15</w:t>
            </w:r>
          </w:p>
        </w:tc>
        <w:tc>
          <w:tcPr>
            <w:tcW w:w="329" w:type="pct"/>
            <w:tcBorders>
              <w:tl2br w:val="nil"/>
              <w:tr2bl w:val="nil"/>
            </w:tcBorders>
            <w:shd w:val="clear" w:color="auto" w:fill="auto"/>
            <w:noWrap/>
            <w:vAlign w:val="center"/>
          </w:tcPr>
          <w:p w14:paraId="46A7DCE3">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color w:val="auto"/>
                <w:kern w:val="2"/>
                <w:sz w:val="21"/>
                <w:szCs w:val="21"/>
                <w:highlight w:val="none"/>
                <w:lang w:val="en-US" w:eastAsia="zh-CN" w:bidi="ar-SA"/>
              </w:rPr>
              <w:t>≤</w:t>
            </w:r>
            <w:r>
              <w:rPr>
                <w:color w:val="auto"/>
                <w:sz w:val="21"/>
                <w:szCs w:val="21"/>
                <w:highlight w:val="none"/>
              </w:rPr>
              <w:t>1.0</w:t>
            </w:r>
          </w:p>
        </w:tc>
      </w:tr>
      <w:tr w14:paraId="527FB8A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475" w:type="pct"/>
            <w:tcBorders>
              <w:tl2br w:val="nil"/>
              <w:tr2bl w:val="nil"/>
            </w:tcBorders>
            <w:shd w:val="clear" w:color="auto" w:fill="auto"/>
            <w:vAlign w:val="center"/>
          </w:tcPr>
          <w:p w14:paraId="5BBEBCF6">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砷（mg/L）</w:t>
            </w:r>
          </w:p>
        </w:tc>
        <w:tc>
          <w:tcPr>
            <w:tcW w:w="284" w:type="pct"/>
            <w:tcBorders>
              <w:tl2br w:val="nil"/>
              <w:tr2bl w:val="nil"/>
            </w:tcBorders>
            <w:shd w:val="clear" w:color="auto" w:fill="auto"/>
            <w:noWrap/>
            <w:vAlign w:val="center"/>
          </w:tcPr>
          <w:p w14:paraId="7EA15D6D">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0.0075</w:t>
            </w:r>
          </w:p>
        </w:tc>
        <w:tc>
          <w:tcPr>
            <w:tcW w:w="284" w:type="pct"/>
            <w:tcBorders>
              <w:tl2br w:val="nil"/>
              <w:tr2bl w:val="nil"/>
            </w:tcBorders>
            <w:shd w:val="clear" w:color="auto" w:fill="auto"/>
            <w:noWrap/>
            <w:vAlign w:val="center"/>
          </w:tcPr>
          <w:p w14:paraId="42134E83">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0.007</w:t>
            </w:r>
          </w:p>
        </w:tc>
        <w:tc>
          <w:tcPr>
            <w:tcW w:w="284" w:type="pct"/>
            <w:tcBorders>
              <w:tl2br w:val="nil"/>
              <w:tr2bl w:val="nil"/>
            </w:tcBorders>
            <w:shd w:val="clear" w:color="auto" w:fill="auto"/>
            <w:noWrap/>
            <w:vAlign w:val="center"/>
          </w:tcPr>
          <w:p w14:paraId="11DAE137">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0.0076</w:t>
            </w:r>
          </w:p>
        </w:tc>
        <w:tc>
          <w:tcPr>
            <w:tcW w:w="284" w:type="pct"/>
            <w:tcBorders>
              <w:tl2br w:val="nil"/>
              <w:tr2bl w:val="nil"/>
            </w:tcBorders>
            <w:shd w:val="clear" w:color="auto" w:fill="auto"/>
            <w:noWrap/>
            <w:vAlign w:val="center"/>
          </w:tcPr>
          <w:p w14:paraId="565B4E19">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0.0072</w:t>
            </w:r>
          </w:p>
        </w:tc>
        <w:tc>
          <w:tcPr>
            <w:tcW w:w="284" w:type="pct"/>
            <w:tcBorders>
              <w:tl2br w:val="nil"/>
              <w:tr2bl w:val="nil"/>
            </w:tcBorders>
            <w:shd w:val="clear" w:color="auto" w:fill="auto"/>
            <w:noWrap/>
            <w:vAlign w:val="center"/>
          </w:tcPr>
          <w:p w14:paraId="30FF3D07">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0.009</w:t>
            </w:r>
          </w:p>
        </w:tc>
        <w:tc>
          <w:tcPr>
            <w:tcW w:w="284" w:type="pct"/>
            <w:tcBorders>
              <w:tl2br w:val="nil"/>
              <w:tr2bl w:val="nil"/>
            </w:tcBorders>
            <w:shd w:val="clear" w:color="auto" w:fill="auto"/>
            <w:noWrap/>
            <w:vAlign w:val="center"/>
          </w:tcPr>
          <w:p w14:paraId="7E23F1E8">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0.0054</w:t>
            </w:r>
          </w:p>
        </w:tc>
        <w:tc>
          <w:tcPr>
            <w:tcW w:w="284" w:type="pct"/>
            <w:tcBorders>
              <w:tl2br w:val="nil"/>
              <w:tr2bl w:val="nil"/>
            </w:tcBorders>
            <w:shd w:val="clear" w:color="auto" w:fill="auto"/>
            <w:noWrap/>
            <w:vAlign w:val="center"/>
          </w:tcPr>
          <w:p w14:paraId="3D61CFB3">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0.009</w:t>
            </w:r>
          </w:p>
        </w:tc>
        <w:tc>
          <w:tcPr>
            <w:tcW w:w="284" w:type="pct"/>
            <w:tcBorders>
              <w:tl2br w:val="nil"/>
              <w:tr2bl w:val="nil"/>
            </w:tcBorders>
            <w:shd w:val="clear" w:color="auto" w:fill="auto"/>
            <w:noWrap/>
            <w:vAlign w:val="center"/>
          </w:tcPr>
          <w:p w14:paraId="5FAA3FC8">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0.0072</w:t>
            </w:r>
          </w:p>
        </w:tc>
        <w:tc>
          <w:tcPr>
            <w:tcW w:w="284" w:type="pct"/>
            <w:tcBorders>
              <w:tl2br w:val="nil"/>
              <w:tr2bl w:val="nil"/>
            </w:tcBorders>
            <w:shd w:val="clear" w:color="auto" w:fill="auto"/>
            <w:noWrap/>
            <w:vAlign w:val="center"/>
          </w:tcPr>
          <w:p w14:paraId="547F042A">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0.0084</w:t>
            </w:r>
          </w:p>
        </w:tc>
        <w:tc>
          <w:tcPr>
            <w:tcW w:w="285" w:type="pct"/>
            <w:tcBorders>
              <w:tl2br w:val="nil"/>
              <w:tr2bl w:val="nil"/>
            </w:tcBorders>
            <w:shd w:val="clear" w:color="auto" w:fill="auto"/>
            <w:noWrap/>
            <w:vAlign w:val="center"/>
          </w:tcPr>
          <w:p w14:paraId="12C2C8C5">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0.0064</w:t>
            </w:r>
          </w:p>
        </w:tc>
        <w:tc>
          <w:tcPr>
            <w:tcW w:w="285" w:type="pct"/>
            <w:tcBorders>
              <w:tl2br w:val="nil"/>
              <w:tr2bl w:val="nil"/>
            </w:tcBorders>
            <w:shd w:val="clear" w:color="auto" w:fill="auto"/>
            <w:noWrap/>
            <w:vAlign w:val="center"/>
          </w:tcPr>
          <w:p w14:paraId="7BDC4327">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0.0097</w:t>
            </w:r>
          </w:p>
        </w:tc>
        <w:tc>
          <w:tcPr>
            <w:tcW w:w="285" w:type="pct"/>
            <w:tcBorders>
              <w:tl2br w:val="nil"/>
              <w:tr2bl w:val="nil"/>
            </w:tcBorders>
            <w:shd w:val="clear" w:color="auto" w:fill="auto"/>
            <w:noWrap/>
            <w:vAlign w:val="center"/>
          </w:tcPr>
          <w:p w14:paraId="76026DC3">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0.0084</w:t>
            </w:r>
          </w:p>
        </w:tc>
        <w:tc>
          <w:tcPr>
            <w:tcW w:w="261" w:type="pct"/>
            <w:tcBorders>
              <w:tl2br w:val="nil"/>
              <w:tr2bl w:val="nil"/>
            </w:tcBorders>
            <w:shd w:val="clear" w:color="auto" w:fill="auto"/>
            <w:noWrap/>
            <w:vAlign w:val="center"/>
          </w:tcPr>
          <w:p w14:paraId="5B10C8E1">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0.0099</w:t>
            </w:r>
          </w:p>
        </w:tc>
        <w:tc>
          <w:tcPr>
            <w:tcW w:w="267" w:type="pct"/>
            <w:tcBorders>
              <w:tl2br w:val="nil"/>
              <w:tr2bl w:val="nil"/>
            </w:tcBorders>
            <w:shd w:val="clear" w:color="auto" w:fill="auto"/>
            <w:noWrap/>
            <w:vAlign w:val="center"/>
          </w:tcPr>
          <w:p w14:paraId="6E466994">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0.0091</w:t>
            </w:r>
          </w:p>
        </w:tc>
        <w:tc>
          <w:tcPr>
            <w:tcW w:w="249" w:type="pct"/>
            <w:tcBorders>
              <w:tl2br w:val="nil"/>
              <w:tr2bl w:val="nil"/>
            </w:tcBorders>
            <w:shd w:val="clear" w:color="auto" w:fill="auto"/>
            <w:noWrap/>
            <w:vAlign w:val="center"/>
          </w:tcPr>
          <w:p w14:paraId="316B74DE">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0.0085</w:t>
            </w:r>
          </w:p>
        </w:tc>
        <w:tc>
          <w:tcPr>
            <w:tcW w:w="329" w:type="pct"/>
            <w:tcBorders>
              <w:tl2br w:val="nil"/>
              <w:tr2bl w:val="nil"/>
            </w:tcBorders>
            <w:shd w:val="clear" w:color="auto" w:fill="auto"/>
            <w:noWrap/>
            <w:vAlign w:val="center"/>
          </w:tcPr>
          <w:p w14:paraId="4098A93D">
            <w:pPr>
              <w:pStyle w:val="30"/>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color w:val="auto"/>
                <w:sz w:val="21"/>
                <w:szCs w:val="21"/>
                <w:highlight w:val="none"/>
              </w:rPr>
              <w:t>≤0.01</w:t>
            </w:r>
          </w:p>
        </w:tc>
      </w:tr>
      <w:tr w14:paraId="2B931D7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475" w:type="pct"/>
            <w:tcBorders>
              <w:tl2br w:val="nil"/>
              <w:tr2bl w:val="nil"/>
            </w:tcBorders>
            <w:shd w:val="clear" w:color="auto" w:fill="auto"/>
            <w:vAlign w:val="center"/>
          </w:tcPr>
          <w:p w14:paraId="25839C31">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汞（mg/L）</w:t>
            </w:r>
          </w:p>
        </w:tc>
        <w:tc>
          <w:tcPr>
            <w:tcW w:w="284" w:type="pct"/>
            <w:tcBorders>
              <w:tl2br w:val="nil"/>
              <w:tr2bl w:val="nil"/>
            </w:tcBorders>
            <w:shd w:val="clear" w:color="auto" w:fill="auto"/>
            <w:noWrap/>
            <w:vAlign w:val="center"/>
          </w:tcPr>
          <w:p w14:paraId="322C3F74">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0.00063</w:t>
            </w:r>
          </w:p>
        </w:tc>
        <w:tc>
          <w:tcPr>
            <w:tcW w:w="284" w:type="pct"/>
            <w:tcBorders>
              <w:tl2br w:val="nil"/>
              <w:tr2bl w:val="nil"/>
            </w:tcBorders>
            <w:shd w:val="clear" w:color="auto" w:fill="auto"/>
            <w:noWrap/>
            <w:vAlign w:val="center"/>
          </w:tcPr>
          <w:p w14:paraId="10035E40">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0.0003</w:t>
            </w:r>
          </w:p>
        </w:tc>
        <w:tc>
          <w:tcPr>
            <w:tcW w:w="284" w:type="pct"/>
            <w:tcBorders>
              <w:tl2br w:val="nil"/>
              <w:tr2bl w:val="nil"/>
            </w:tcBorders>
            <w:shd w:val="clear" w:color="auto" w:fill="auto"/>
            <w:noWrap/>
            <w:vAlign w:val="center"/>
          </w:tcPr>
          <w:p w14:paraId="5D904F77">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0.0005</w:t>
            </w:r>
          </w:p>
        </w:tc>
        <w:tc>
          <w:tcPr>
            <w:tcW w:w="284" w:type="pct"/>
            <w:tcBorders>
              <w:tl2br w:val="nil"/>
              <w:tr2bl w:val="nil"/>
            </w:tcBorders>
            <w:shd w:val="clear" w:color="auto" w:fill="auto"/>
            <w:noWrap/>
            <w:vAlign w:val="center"/>
          </w:tcPr>
          <w:p w14:paraId="644B6998">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0.0006</w:t>
            </w:r>
          </w:p>
        </w:tc>
        <w:tc>
          <w:tcPr>
            <w:tcW w:w="284" w:type="pct"/>
            <w:tcBorders>
              <w:tl2br w:val="nil"/>
              <w:tr2bl w:val="nil"/>
            </w:tcBorders>
            <w:shd w:val="clear" w:color="auto" w:fill="auto"/>
            <w:noWrap/>
            <w:vAlign w:val="center"/>
          </w:tcPr>
          <w:p w14:paraId="344AF918">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0.00043</w:t>
            </w:r>
          </w:p>
        </w:tc>
        <w:tc>
          <w:tcPr>
            <w:tcW w:w="284" w:type="pct"/>
            <w:tcBorders>
              <w:tl2br w:val="nil"/>
              <w:tr2bl w:val="nil"/>
            </w:tcBorders>
            <w:shd w:val="clear" w:color="auto" w:fill="auto"/>
            <w:noWrap/>
            <w:vAlign w:val="center"/>
          </w:tcPr>
          <w:p w14:paraId="431379FA">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0.00044</w:t>
            </w:r>
          </w:p>
        </w:tc>
        <w:tc>
          <w:tcPr>
            <w:tcW w:w="284" w:type="pct"/>
            <w:tcBorders>
              <w:tl2br w:val="nil"/>
              <w:tr2bl w:val="nil"/>
            </w:tcBorders>
            <w:shd w:val="clear" w:color="auto" w:fill="auto"/>
            <w:noWrap/>
            <w:vAlign w:val="center"/>
          </w:tcPr>
          <w:p w14:paraId="59E2C421">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0.00052</w:t>
            </w:r>
          </w:p>
        </w:tc>
        <w:tc>
          <w:tcPr>
            <w:tcW w:w="284" w:type="pct"/>
            <w:tcBorders>
              <w:tl2br w:val="nil"/>
              <w:tr2bl w:val="nil"/>
            </w:tcBorders>
            <w:shd w:val="clear" w:color="auto" w:fill="auto"/>
            <w:noWrap/>
            <w:vAlign w:val="center"/>
          </w:tcPr>
          <w:p w14:paraId="2153A127">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0.00066</w:t>
            </w:r>
          </w:p>
        </w:tc>
        <w:tc>
          <w:tcPr>
            <w:tcW w:w="284" w:type="pct"/>
            <w:tcBorders>
              <w:tl2br w:val="nil"/>
              <w:tr2bl w:val="nil"/>
            </w:tcBorders>
            <w:shd w:val="clear" w:color="auto" w:fill="auto"/>
            <w:noWrap/>
            <w:vAlign w:val="center"/>
          </w:tcPr>
          <w:p w14:paraId="145BE892">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0.00063</w:t>
            </w:r>
          </w:p>
        </w:tc>
        <w:tc>
          <w:tcPr>
            <w:tcW w:w="285" w:type="pct"/>
            <w:tcBorders>
              <w:tl2br w:val="nil"/>
              <w:tr2bl w:val="nil"/>
            </w:tcBorders>
            <w:shd w:val="clear" w:color="auto" w:fill="auto"/>
            <w:noWrap/>
            <w:vAlign w:val="center"/>
          </w:tcPr>
          <w:p w14:paraId="09F3E0A9">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0.00083</w:t>
            </w:r>
          </w:p>
        </w:tc>
        <w:tc>
          <w:tcPr>
            <w:tcW w:w="285" w:type="pct"/>
            <w:tcBorders>
              <w:tl2br w:val="nil"/>
              <w:tr2bl w:val="nil"/>
            </w:tcBorders>
            <w:shd w:val="clear" w:color="auto" w:fill="auto"/>
            <w:noWrap/>
            <w:vAlign w:val="center"/>
          </w:tcPr>
          <w:p w14:paraId="5D769E60">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0.00069</w:t>
            </w:r>
          </w:p>
        </w:tc>
        <w:tc>
          <w:tcPr>
            <w:tcW w:w="285" w:type="pct"/>
            <w:tcBorders>
              <w:tl2br w:val="nil"/>
              <w:tr2bl w:val="nil"/>
            </w:tcBorders>
            <w:shd w:val="clear" w:color="auto" w:fill="auto"/>
            <w:noWrap/>
            <w:vAlign w:val="center"/>
          </w:tcPr>
          <w:p w14:paraId="0E7D0416">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0.00071</w:t>
            </w:r>
          </w:p>
        </w:tc>
        <w:tc>
          <w:tcPr>
            <w:tcW w:w="261" w:type="pct"/>
            <w:tcBorders>
              <w:tl2br w:val="nil"/>
              <w:tr2bl w:val="nil"/>
            </w:tcBorders>
            <w:shd w:val="clear" w:color="auto" w:fill="auto"/>
            <w:noWrap/>
            <w:vAlign w:val="center"/>
          </w:tcPr>
          <w:p w14:paraId="422D9A5B">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0.00096</w:t>
            </w:r>
          </w:p>
        </w:tc>
        <w:tc>
          <w:tcPr>
            <w:tcW w:w="267" w:type="pct"/>
            <w:tcBorders>
              <w:tl2br w:val="nil"/>
              <w:tr2bl w:val="nil"/>
            </w:tcBorders>
            <w:shd w:val="clear" w:color="auto" w:fill="auto"/>
            <w:noWrap/>
            <w:vAlign w:val="center"/>
          </w:tcPr>
          <w:p w14:paraId="2D8CBB74">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0.00051</w:t>
            </w:r>
          </w:p>
        </w:tc>
        <w:tc>
          <w:tcPr>
            <w:tcW w:w="249" w:type="pct"/>
            <w:tcBorders>
              <w:tl2br w:val="nil"/>
              <w:tr2bl w:val="nil"/>
            </w:tcBorders>
            <w:shd w:val="clear" w:color="auto" w:fill="auto"/>
            <w:noWrap/>
            <w:vAlign w:val="center"/>
          </w:tcPr>
          <w:p w14:paraId="61183FAA">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0.00046</w:t>
            </w:r>
          </w:p>
        </w:tc>
        <w:tc>
          <w:tcPr>
            <w:tcW w:w="329" w:type="pct"/>
            <w:tcBorders>
              <w:tl2br w:val="nil"/>
              <w:tr2bl w:val="nil"/>
            </w:tcBorders>
            <w:shd w:val="clear" w:color="auto" w:fill="auto"/>
            <w:noWrap/>
            <w:vAlign w:val="center"/>
          </w:tcPr>
          <w:p w14:paraId="071FE7EF">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color w:val="auto"/>
                <w:kern w:val="2"/>
                <w:sz w:val="21"/>
                <w:szCs w:val="21"/>
                <w:highlight w:val="none"/>
                <w:lang w:val="en-US" w:eastAsia="zh-CN" w:bidi="ar-SA"/>
              </w:rPr>
              <w:t>≤</w:t>
            </w:r>
            <w:r>
              <w:rPr>
                <w:rFonts w:hint="default" w:ascii="Times New Roman" w:hAnsi="Times New Roman" w:eastAsia="宋体" w:cs="Times New Roman"/>
                <w:i w:val="0"/>
                <w:iCs w:val="0"/>
                <w:color w:val="auto"/>
                <w:kern w:val="0"/>
                <w:sz w:val="21"/>
                <w:szCs w:val="21"/>
                <w:highlight w:val="none"/>
                <w:u w:val="none"/>
                <w:lang w:val="en-US" w:eastAsia="zh-CN" w:bidi="ar"/>
              </w:rPr>
              <w:t>0.0</w:t>
            </w:r>
            <w:r>
              <w:rPr>
                <w:rFonts w:hint="eastAsia" w:ascii="Times New Roman" w:hAnsi="Times New Roman" w:cs="Times New Roman"/>
                <w:i w:val="0"/>
                <w:iCs w:val="0"/>
                <w:color w:val="auto"/>
                <w:kern w:val="0"/>
                <w:sz w:val="21"/>
                <w:szCs w:val="21"/>
                <w:highlight w:val="none"/>
                <w:u w:val="none"/>
                <w:lang w:val="en-US" w:eastAsia="zh-CN" w:bidi="ar"/>
              </w:rPr>
              <w:t>0</w:t>
            </w:r>
            <w:r>
              <w:rPr>
                <w:rFonts w:hint="default" w:ascii="Times New Roman" w:hAnsi="Times New Roman" w:eastAsia="宋体" w:cs="Times New Roman"/>
                <w:i w:val="0"/>
                <w:iCs w:val="0"/>
                <w:color w:val="auto"/>
                <w:kern w:val="0"/>
                <w:sz w:val="21"/>
                <w:szCs w:val="21"/>
                <w:highlight w:val="none"/>
                <w:u w:val="none"/>
                <w:lang w:val="en-US" w:eastAsia="zh-CN" w:bidi="ar"/>
              </w:rPr>
              <w:t>1</w:t>
            </w:r>
          </w:p>
        </w:tc>
      </w:tr>
      <w:tr w14:paraId="41C6CA0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475" w:type="pct"/>
            <w:tcBorders>
              <w:tl2br w:val="nil"/>
              <w:tr2bl w:val="nil"/>
            </w:tcBorders>
            <w:shd w:val="clear" w:color="auto" w:fill="auto"/>
            <w:vAlign w:val="center"/>
          </w:tcPr>
          <w:p w14:paraId="04078364">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硒（mg/L）</w:t>
            </w:r>
          </w:p>
        </w:tc>
        <w:tc>
          <w:tcPr>
            <w:tcW w:w="284" w:type="pct"/>
            <w:tcBorders>
              <w:tl2br w:val="nil"/>
              <w:tr2bl w:val="nil"/>
            </w:tcBorders>
            <w:shd w:val="clear" w:color="auto" w:fill="auto"/>
            <w:noWrap/>
            <w:vAlign w:val="center"/>
          </w:tcPr>
          <w:p w14:paraId="0895058E">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0.0004L</w:t>
            </w:r>
          </w:p>
        </w:tc>
        <w:tc>
          <w:tcPr>
            <w:tcW w:w="284" w:type="pct"/>
            <w:tcBorders>
              <w:tl2br w:val="nil"/>
              <w:tr2bl w:val="nil"/>
            </w:tcBorders>
            <w:shd w:val="clear" w:color="auto" w:fill="auto"/>
            <w:noWrap/>
            <w:vAlign w:val="center"/>
          </w:tcPr>
          <w:p w14:paraId="236757AC">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0.0004L</w:t>
            </w:r>
          </w:p>
        </w:tc>
        <w:tc>
          <w:tcPr>
            <w:tcW w:w="284" w:type="pct"/>
            <w:tcBorders>
              <w:tl2br w:val="nil"/>
              <w:tr2bl w:val="nil"/>
            </w:tcBorders>
            <w:shd w:val="clear" w:color="auto" w:fill="auto"/>
            <w:noWrap/>
            <w:vAlign w:val="center"/>
          </w:tcPr>
          <w:p w14:paraId="29443571">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0.0004L</w:t>
            </w:r>
          </w:p>
        </w:tc>
        <w:tc>
          <w:tcPr>
            <w:tcW w:w="284" w:type="pct"/>
            <w:tcBorders>
              <w:tl2br w:val="nil"/>
              <w:tr2bl w:val="nil"/>
            </w:tcBorders>
            <w:shd w:val="clear" w:color="auto" w:fill="auto"/>
            <w:noWrap/>
            <w:vAlign w:val="center"/>
          </w:tcPr>
          <w:p w14:paraId="6E027705">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0.0008</w:t>
            </w:r>
          </w:p>
        </w:tc>
        <w:tc>
          <w:tcPr>
            <w:tcW w:w="284" w:type="pct"/>
            <w:tcBorders>
              <w:tl2br w:val="nil"/>
              <w:tr2bl w:val="nil"/>
            </w:tcBorders>
            <w:shd w:val="clear" w:color="auto" w:fill="auto"/>
            <w:noWrap/>
            <w:vAlign w:val="center"/>
          </w:tcPr>
          <w:p w14:paraId="4282825A">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0.0011</w:t>
            </w:r>
          </w:p>
        </w:tc>
        <w:tc>
          <w:tcPr>
            <w:tcW w:w="284" w:type="pct"/>
            <w:tcBorders>
              <w:tl2br w:val="nil"/>
              <w:tr2bl w:val="nil"/>
            </w:tcBorders>
            <w:shd w:val="clear" w:color="auto" w:fill="auto"/>
            <w:noWrap/>
            <w:vAlign w:val="center"/>
          </w:tcPr>
          <w:p w14:paraId="6613D25C">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0.0004L</w:t>
            </w:r>
          </w:p>
        </w:tc>
        <w:tc>
          <w:tcPr>
            <w:tcW w:w="284" w:type="pct"/>
            <w:tcBorders>
              <w:tl2br w:val="nil"/>
              <w:tr2bl w:val="nil"/>
            </w:tcBorders>
            <w:shd w:val="clear" w:color="auto" w:fill="auto"/>
            <w:noWrap/>
            <w:vAlign w:val="center"/>
          </w:tcPr>
          <w:p w14:paraId="0CC26D56">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0.0004L</w:t>
            </w:r>
          </w:p>
        </w:tc>
        <w:tc>
          <w:tcPr>
            <w:tcW w:w="284" w:type="pct"/>
            <w:tcBorders>
              <w:tl2br w:val="nil"/>
              <w:tr2bl w:val="nil"/>
            </w:tcBorders>
            <w:shd w:val="clear" w:color="auto" w:fill="auto"/>
            <w:noWrap/>
            <w:vAlign w:val="center"/>
          </w:tcPr>
          <w:p w14:paraId="2000A338">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0.0004L</w:t>
            </w:r>
          </w:p>
        </w:tc>
        <w:tc>
          <w:tcPr>
            <w:tcW w:w="284" w:type="pct"/>
            <w:tcBorders>
              <w:tl2br w:val="nil"/>
              <w:tr2bl w:val="nil"/>
            </w:tcBorders>
            <w:shd w:val="clear" w:color="auto" w:fill="auto"/>
            <w:noWrap/>
            <w:vAlign w:val="center"/>
          </w:tcPr>
          <w:p w14:paraId="5C86BF9B">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0.0013</w:t>
            </w:r>
          </w:p>
        </w:tc>
        <w:tc>
          <w:tcPr>
            <w:tcW w:w="285" w:type="pct"/>
            <w:tcBorders>
              <w:tl2br w:val="nil"/>
              <w:tr2bl w:val="nil"/>
            </w:tcBorders>
            <w:shd w:val="clear" w:color="auto" w:fill="auto"/>
            <w:noWrap/>
            <w:vAlign w:val="center"/>
          </w:tcPr>
          <w:p w14:paraId="6E464EE7">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0.0004L</w:t>
            </w:r>
          </w:p>
        </w:tc>
        <w:tc>
          <w:tcPr>
            <w:tcW w:w="285" w:type="pct"/>
            <w:tcBorders>
              <w:tl2br w:val="nil"/>
              <w:tr2bl w:val="nil"/>
            </w:tcBorders>
            <w:shd w:val="clear" w:color="auto" w:fill="auto"/>
            <w:noWrap/>
            <w:vAlign w:val="center"/>
          </w:tcPr>
          <w:p w14:paraId="6DC1AB48">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0.0004L</w:t>
            </w:r>
          </w:p>
        </w:tc>
        <w:tc>
          <w:tcPr>
            <w:tcW w:w="285" w:type="pct"/>
            <w:tcBorders>
              <w:tl2br w:val="nil"/>
              <w:tr2bl w:val="nil"/>
            </w:tcBorders>
            <w:shd w:val="clear" w:color="auto" w:fill="auto"/>
            <w:noWrap/>
            <w:vAlign w:val="center"/>
          </w:tcPr>
          <w:p w14:paraId="26F43F27">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0.0004L</w:t>
            </w:r>
          </w:p>
        </w:tc>
        <w:tc>
          <w:tcPr>
            <w:tcW w:w="261" w:type="pct"/>
            <w:tcBorders>
              <w:tl2br w:val="nil"/>
              <w:tr2bl w:val="nil"/>
            </w:tcBorders>
            <w:shd w:val="clear" w:color="auto" w:fill="auto"/>
            <w:noWrap/>
            <w:vAlign w:val="center"/>
          </w:tcPr>
          <w:p w14:paraId="6DCEF430">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0.003</w:t>
            </w:r>
          </w:p>
        </w:tc>
        <w:tc>
          <w:tcPr>
            <w:tcW w:w="267" w:type="pct"/>
            <w:tcBorders>
              <w:tl2br w:val="nil"/>
              <w:tr2bl w:val="nil"/>
            </w:tcBorders>
            <w:shd w:val="clear" w:color="auto" w:fill="auto"/>
            <w:noWrap/>
            <w:vAlign w:val="center"/>
          </w:tcPr>
          <w:p w14:paraId="051A9737">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0.0004L</w:t>
            </w:r>
          </w:p>
        </w:tc>
        <w:tc>
          <w:tcPr>
            <w:tcW w:w="249" w:type="pct"/>
            <w:tcBorders>
              <w:tl2br w:val="nil"/>
              <w:tr2bl w:val="nil"/>
            </w:tcBorders>
            <w:shd w:val="clear" w:color="auto" w:fill="auto"/>
            <w:noWrap/>
            <w:vAlign w:val="center"/>
          </w:tcPr>
          <w:p w14:paraId="1BDF3A7E">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0.0025</w:t>
            </w:r>
          </w:p>
        </w:tc>
        <w:tc>
          <w:tcPr>
            <w:tcW w:w="329" w:type="pct"/>
            <w:tcBorders>
              <w:tl2br w:val="nil"/>
              <w:tr2bl w:val="nil"/>
            </w:tcBorders>
            <w:shd w:val="clear" w:color="auto" w:fill="auto"/>
            <w:noWrap/>
            <w:vAlign w:val="center"/>
          </w:tcPr>
          <w:p w14:paraId="057F7B13">
            <w:pPr>
              <w:pStyle w:val="30"/>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color w:val="auto"/>
                <w:sz w:val="21"/>
                <w:szCs w:val="21"/>
                <w:highlight w:val="none"/>
              </w:rPr>
              <w:t>≤0.01</w:t>
            </w:r>
          </w:p>
        </w:tc>
      </w:tr>
      <w:tr w14:paraId="1ECFAE5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475" w:type="pct"/>
            <w:tcBorders>
              <w:tl2br w:val="nil"/>
              <w:tr2bl w:val="nil"/>
            </w:tcBorders>
            <w:shd w:val="clear" w:color="auto" w:fill="auto"/>
            <w:vAlign w:val="center"/>
          </w:tcPr>
          <w:p w14:paraId="7AC443AD">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铅</w:t>
            </w:r>
            <w:r>
              <w:rPr>
                <w:rFonts w:hint="default" w:ascii="Times New Roman" w:hAnsi="Times New Roman" w:eastAsia="宋体" w:cs="Times New Roman"/>
                <w:color w:val="auto"/>
                <w:sz w:val="21"/>
                <w:szCs w:val="21"/>
                <w:highlight w:val="none"/>
                <w:u w:val="none"/>
                <w:lang w:val="en-US" w:eastAsia="zh-CN" w:bidi="ar"/>
              </w:rPr>
              <w:t>（mg/L）</w:t>
            </w:r>
          </w:p>
        </w:tc>
        <w:tc>
          <w:tcPr>
            <w:tcW w:w="284" w:type="pct"/>
            <w:tcBorders>
              <w:tl2br w:val="nil"/>
              <w:tr2bl w:val="nil"/>
            </w:tcBorders>
            <w:shd w:val="clear" w:color="auto" w:fill="auto"/>
            <w:noWrap/>
            <w:vAlign w:val="center"/>
          </w:tcPr>
          <w:p w14:paraId="2BBB2AAE">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0.00009L</w:t>
            </w:r>
          </w:p>
        </w:tc>
        <w:tc>
          <w:tcPr>
            <w:tcW w:w="284" w:type="pct"/>
            <w:tcBorders>
              <w:tl2br w:val="nil"/>
              <w:tr2bl w:val="nil"/>
            </w:tcBorders>
            <w:shd w:val="clear" w:color="auto" w:fill="auto"/>
            <w:noWrap/>
            <w:vAlign w:val="center"/>
          </w:tcPr>
          <w:p w14:paraId="2C09DE75">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0.00009L</w:t>
            </w:r>
          </w:p>
        </w:tc>
        <w:tc>
          <w:tcPr>
            <w:tcW w:w="284" w:type="pct"/>
            <w:tcBorders>
              <w:tl2br w:val="nil"/>
              <w:tr2bl w:val="nil"/>
            </w:tcBorders>
            <w:shd w:val="clear" w:color="auto" w:fill="auto"/>
            <w:noWrap/>
            <w:vAlign w:val="center"/>
          </w:tcPr>
          <w:p w14:paraId="3D602A21">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0.00009L</w:t>
            </w:r>
          </w:p>
        </w:tc>
        <w:tc>
          <w:tcPr>
            <w:tcW w:w="284" w:type="pct"/>
            <w:tcBorders>
              <w:tl2br w:val="nil"/>
              <w:tr2bl w:val="nil"/>
            </w:tcBorders>
            <w:shd w:val="clear" w:color="auto" w:fill="auto"/>
            <w:noWrap/>
            <w:vAlign w:val="center"/>
          </w:tcPr>
          <w:p w14:paraId="716C283D">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0.00009L</w:t>
            </w:r>
          </w:p>
        </w:tc>
        <w:tc>
          <w:tcPr>
            <w:tcW w:w="284" w:type="pct"/>
            <w:tcBorders>
              <w:tl2br w:val="nil"/>
              <w:tr2bl w:val="nil"/>
            </w:tcBorders>
            <w:shd w:val="clear" w:color="auto" w:fill="auto"/>
            <w:noWrap/>
            <w:vAlign w:val="center"/>
          </w:tcPr>
          <w:p w14:paraId="49BF5A38">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0.00009L</w:t>
            </w:r>
          </w:p>
        </w:tc>
        <w:tc>
          <w:tcPr>
            <w:tcW w:w="284" w:type="pct"/>
            <w:tcBorders>
              <w:tl2br w:val="nil"/>
              <w:tr2bl w:val="nil"/>
            </w:tcBorders>
            <w:shd w:val="clear" w:color="auto" w:fill="auto"/>
            <w:noWrap/>
            <w:vAlign w:val="center"/>
          </w:tcPr>
          <w:p w14:paraId="68C4DAA3">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0.00009L</w:t>
            </w:r>
          </w:p>
        </w:tc>
        <w:tc>
          <w:tcPr>
            <w:tcW w:w="284" w:type="pct"/>
            <w:tcBorders>
              <w:tl2br w:val="nil"/>
              <w:tr2bl w:val="nil"/>
            </w:tcBorders>
            <w:shd w:val="clear" w:color="auto" w:fill="auto"/>
            <w:noWrap/>
            <w:vAlign w:val="center"/>
          </w:tcPr>
          <w:p w14:paraId="71B578AF">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0.00009L</w:t>
            </w:r>
          </w:p>
        </w:tc>
        <w:tc>
          <w:tcPr>
            <w:tcW w:w="284" w:type="pct"/>
            <w:tcBorders>
              <w:tl2br w:val="nil"/>
              <w:tr2bl w:val="nil"/>
            </w:tcBorders>
            <w:shd w:val="clear" w:color="auto" w:fill="auto"/>
            <w:noWrap/>
            <w:vAlign w:val="center"/>
          </w:tcPr>
          <w:p w14:paraId="70252028">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0.00009L</w:t>
            </w:r>
          </w:p>
        </w:tc>
        <w:tc>
          <w:tcPr>
            <w:tcW w:w="284" w:type="pct"/>
            <w:tcBorders>
              <w:tl2br w:val="nil"/>
              <w:tr2bl w:val="nil"/>
            </w:tcBorders>
            <w:shd w:val="clear" w:color="auto" w:fill="auto"/>
            <w:noWrap/>
            <w:vAlign w:val="center"/>
          </w:tcPr>
          <w:p w14:paraId="2E43BF99">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0.00009L</w:t>
            </w:r>
          </w:p>
        </w:tc>
        <w:tc>
          <w:tcPr>
            <w:tcW w:w="285" w:type="pct"/>
            <w:tcBorders>
              <w:tl2br w:val="nil"/>
              <w:tr2bl w:val="nil"/>
            </w:tcBorders>
            <w:shd w:val="clear" w:color="auto" w:fill="auto"/>
            <w:noWrap/>
            <w:vAlign w:val="center"/>
          </w:tcPr>
          <w:p w14:paraId="259D64EE">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0.00009L</w:t>
            </w:r>
          </w:p>
        </w:tc>
        <w:tc>
          <w:tcPr>
            <w:tcW w:w="285" w:type="pct"/>
            <w:tcBorders>
              <w:tl2br w:val="nil"/>
              <w:tr2bl w:val="nil"/>
            </w:tcBorders>
            <w:shd w:val="clear" w:color="auto" w:fill="auto"/>
            <w:noWrap/>
            <w:vAlign w:val="center"/>
          </w:tcPr>
          <w:p w14:paraId="22C0D386">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0.00009L</w:t>
            </w:r>
          </w:p>
        </w:tc>
        <w:tc>
          <w:tcPr>
            <w:tcW w:w="285" w:type="pct"/>
            <w:tcBorders>
              <w:tl2br w:val="nil"/>
              <w:tr2bl w:val="nil"/>
            </w:tcBorders>
            <w:shd w:val="clear" w:color="auto" w:fill="auto"/>
            <w:noWrap/>
            <w:vAlign w:val="center"/>
          </w:tcPr>
          <w:p w14:paraId="7EF2ACFA">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0.00009L</w:t>
            </w:r>
          </w:p>
        </w:tc>
        <w:tc>
          <w:tcPr>
            <w:tcW w:w="261" w:type="pct"/>
            <w:tcBorders>
              <w:tl2br w:val="nil"/>
              <w:tr2bl w:val="nil"/>
            </w:tcBorders>
            <w:shd w:val="clear" w:color="auto" w:fill="auto"/>
            <w:noWrap/>
            <w:vAlign w:val="center"/>
          </w:tcPr>
          <w:p w14:paraId="04DCEA35">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0.00009L</w:t>
            </w:r>
          </w:p>
        </w:tc>
        <w:tc>
          <w:tcPr>
            <w:tcW w:w="267" w:type="pct"/>
            <w:tcBorders>
              <w:tl2br w:val="nil"/>
              <w:tr2bl w:val="nil"/>
            </w:tcBorders>
            <w:shd w:val="clear" w:color="auto" w:fill="auto"/>
            <w:noWrap/>
            <w:vAlign w:val="center"/>
          </w:tcPr>
          <w:p w14:paraId="4C1D5EE6">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0.00009L</w:t>
            </w:r>
          </w:p>
        </w:tc>
        <w:tc>
          <w:tcPr>
            <w:tcW w:w="249" w:type="pct"/>
            <w:tcBorders>
              <w:tl2br w:val="nil"/>
              <w:tr2bl w:val="nil"/>
            </w:tcBorders>
            <w:shd w:val="clear" w:color="auto" w:fill="auto"/>
            <w:noWrap/>
            <w:vAlign w:val="center"/>
          </w:tcPr>
          <w:p w14:paraId="4AB317C9">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0.00009L</w:t>
            </w:r>
          </w:p>
        </w:tc>
        <w:tc>
          <w:tcPr>
            <w:tcW w:w="329" w:type="pct"/>
            <w:tcBorders>
              <w:tl2br w:val="nil"/>
              <w:tr2bl w:val="nil"/>
            </w:tcBorders>
            <w:shd w:val="clear" w:color="auto" w:fill="auto"/>
            <w:noWrap/>
            <w:vAlign w:val="center"/>
          </w:tcPr>
          <w:p w14:paraId="3749CD8C">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color w:val="auto"/>
                <w:kern w:val="2"/>
                <w:sz w:val="21"/>
                <w:szCs w:val="21"/>
                <w:highlight w:val="none"/>
                <w:lang w:val="en-US" w:eastAsia="zh-CN" w:bidi="ar-SA"/>
              </w:rPr>
              <w:t>≤</w:t>
            </w:r>
            <w:r>
              <w:rPr>
                <w:color w:val="auto"/>
                <w:sz w:val="21"/>
                <w:szCs w:val="21"/>
                <w:highlight w:val="none"/>
              </w:rPr>
              <w:t>0.01</w:t>
            </w:r>
          </w:p>
        </w:tc>
      </w:tr>
      <w:tr w14:paraId="380BCA7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475" w:type="pct"/>
            <w:tcBorders>
              <w:tl2br w:val="nil"/>
              <w:tr2bl w:val="nil"/>
            </w:tcBorders>
            <w:shd w:val="clear" w:color="auto" w:fill="auto"/>
            <w:vAlign w:val="center"/>
          </w:tcPr>
          <w:p w14:paraId="0E8F9A2C">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镉（mg/L）</w:t>
            </w:r>
          </w:p>
        </w:tc>
        <w:tc>
          <w:tcPr>
            <w:tcW w:w="284" w:type="pct"/>
            <w:tcBorders>
              <w:tl2br w:val="nil"/>
              <w:tr2bl w:val="nil"/>
            </w:tcBorders>
            <w:shd w:val="clear" w:color="auto" w:fill="auto"/>
            <w:noWrap/>
            <w:vAlign w:val="center"/>
          </w:tcPr>
          <w:p w14:paraId="64971C6C">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0.00005L</w:t>
            </w:r>
          </w:p>
        </w:tc>
        <w:tc>
          <w:tcPr>
            <w:tcW w:w="284" w:type="pct"/>
            <w:tcBorders>
              <w:tl2br w:val="nil"/>
              <w:tr2bl w:val="nil"/>
            </w:tcBorders>
            <w:shd w:val="clear" w:color="auto" w:fill="auto"/>
            <w:noWrap/>
            <w:vAlign w:val="center"/>
          </w:tcPr>
          <w:p w14:paraId="35442C90">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0.00005L</w:t>
            </w:r>
          </w:p>
        </w:tc>
        <w:tc>
          <w:tcPr>
            <w:tcW w:w="284" w:type="pct"/>
            <w:tcBorders>
              <w:tl2br w:val="nil"/>
              <w:tr2bl w:val="nil"/>
            </w:tcBorders>
            <w:shd w:val="clear" w:color="auto" w:fill="auto"/>
            <w:noWrap/>
            <w:vAlign w:val="center"/>
          </w:tcPr>
          <w:p w14:paraId="173DCDDA">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0.00005L</w:t>
            </w:r>
          </w:p>
        </w:tc>
        <w:tc>
          <w:tcPr>
            <w:tcW w:w="284" w:type="pct"/>
            <w:tcBorders>
              <w:tl2br w:val="nil"/>
              <w:tr2bl w:val="nil"/>
            </w:tcBorders>
            <w:shd w:val="clear" w:color="auto" w:fill="auto"/>
            <w:noWrap/>
            <w:vAlign w:val="center"/>
          </w:tcPr>
          <w:p w14:paraId="393B5B9D">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0.00005L</w:t>
            </w:r>
          </w:p>
        </w:tc>
        <w:tc>
          <w:tcPr>
            <w:tcW w:w="284" w:type="pct"/>
            <w:tcBorders>
              <w:tl2br w:val="nil"/>
              <w:tr2bl w:val="nil"/>
            </w:tcBorders>
            <w:shd w:val="clear" w:color="auto" w:fill="auto"/>
            <w:noWrap/>
            <w:vAlign w:val="center"/>
          </w:tcPr>
          <w:p w14:paraId="3E9519ED">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0.00005L</w:t>
            </w:r>
          </w:p>
        </w:tc>
        <w:tc>
          <w:tcPr>
            <w:tcW w:w="284" w:type="pct"/>
            <w:tcBorders>
              <w:tl2br w:val="nil"/>
              <w:tr2bl w:val="nil"/>
            </w:tcBorders>
            <w:shd w:val="clear" w:color="auto" w:fill="auto"/>
            <w:noWrap/>
            <w:vAlign w:val="center"/>
          </w:tcPr>
          <w:p w14:paraId="6237CB6B">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0.00005L</w:t>
            </w:r>
          </w:p>
        </w:tc>
        <w:tc>
          <w:tcPr>
            <w:tcW w:w="284" w:type="pct"/>
            <w:tcBorders>
              <w:tl2br w:val="nil"/>
              <w:tr2bl w:val="nil"/>
            </w:tcBorders>
            <w:shd w:val="clear" w:color="auto" w:fill="auto"/>
            <w:noWrap/>
            <w:vAlign w:val="center"/>
          </w:tcPr>
          <w:p w14:paraId="5EDF5E37">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0.00005L</w:t>
            </w:r>
          </w:p>
        </w:tc>
        <w:tc>
          <w:tcPr>
            <w:tcW w:w="284" w:type="pct"/>
            <w:tcBorders>
              <w:tl2br w:val="nil"/>
              <w:tr2bl w:val="nil"/>
            </w:tcBorders>
            <w:shd w:val="clear" w:color="auto" w:fill="auto"/>
            <w:noWrap/>
            <w:vAlign w:val="center"/>
          </w:tcPr>
          <w:p w14:paraId="6987DA00">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0.00005L</w:t>
            </w:r>
          </w:p>
        </w:tc>
        <w:tc>
          <w:tcPr>
            <w:tcW w:w="284" w:type="pct"/>
            <w:tcBorders>
              <w:tl2br w:val="nil"/>
              <w:tr2bl w:val="nil"/>
            </w:tcBorders>
            <w:shd w:val="clear" w:color="auto" w:fill="auto"/>
            <w:noWrap/>
            <w:vAlign w:val="center"/>
          </w:tcPr>
          <w:p w14:paraId="57225AEC">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0.00005L</w:t>
            </w:r>
          </w:p>
        </w:tc>
        <w:tc>
          <w:tcPr>
            <w:tcW w:w="285" w:type="pct"/>
            <w:tcBorders>
              <w:tl2br w:val="nil"/>
              <w:tr2bl w:val="nil"/>
            </w:tcBorders>
            <w:shd w:val="clear" w:color="auto" w:fill="auto"/>
            <w:noWrap/>
            <w:vAlign w:val="center"/>
          </w:tcPr>
          <w:p w14:paraId="74AB8188">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0.00005L</w:t>
            </w:r>
          </w:p>
        </w:tc>
        <w:tc>
          <w:tcPr>
            <w:tcW w:w="285" w:type="pct"/>
            <w:tcBorders>
              <w:tl2br w:val="nil"/>
              <w:tr2bl w:val="nil"/>
            </w:tcBorders>
            <w:shd w:val="clear" w:color="auto" w:fill="auto"/>
            <w:noWrap/>
            <w:vAlign w:val="center"/>
          </w:tcPr>
          <w:p w14:paraId="268D4F8B">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0.00005L</w:t>
            </w:r>
          </w:p>
        </w:tc>
        <w:tc>
          <w:tcPr>
            <w:tcW w:w="285" w:type="pct"/>
            <w:tcBorders>
              <w:tl2br w:val="nil"/>
              <w:tr2bl w:val="nil"/>
            </w:tcBorders>
            <w:shd w:val="clear" w:color="auto" w:fill="auto"/>
            <w:noWrap/>
            <w:vAlign w:val="center"/>
          </w:tcPr>
          <w:p w14:paraId="47EA0FD3">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0.00005L</w:t>
            </w:r>
          </w:p>
        </w:tc>
        <w:tc>
          <w:tcPr>
            <w:tcW w:w="261" w:type="pct"/>
            <w:tcBorders>
              <w:tl2br w:val="nil"/>
              <w:tr2bl w:val="nil"/>
            </w:tcBorders>
            <w:shd w:val="clear" w:color="auto" w:fill="auto"/>
            <w:noWrap/>
            <w:vAlign w:val="center"/>
          </w:tcPr>
          <w:p w14:paraId="5E7FAF36">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0.00005L</w:t>
            </w:r>
          </w:p>
        </w:tc>
        <w:tc>
          <w:tcPr>
            <w:tcW w:w="267" w:type="pct"/>
            <w:tcBorders>
              <w:tl2br w:val="nil"/>
              <w:tr2bl w:val="nil"/>
            </w:tcBorders>
            <w:shd w:val="clear" w:color="auto" w:fill="auto"/>
            <w:noWrap/>
            <w:vAlign w:val="center"/>
          </w:tcPr>
          <w:p w14:paraId="4D14165C">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0.00005L</w:t>
            </w:r>
          </w:p>
        </w:tc>
        <w:tc>
          <w:tcPr>
            <w:tcW w:w="249" w:type="pct"/>
            <w:tcBorders>
              <w:tl2br w:val="nil"/>
              <w:tr2bl w:val="nil"/>
            </w:tcBorders>
            <w:shd w:val="clear" w:color="auto" w:fill="auto"/>
            <w:noWrap/>
            <w:vAlign w:val="center"/>
          </w:tcPr>
          <w:p w14:paraId="0AA10086">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0.00005L</w:t>
            </w:r>
          </w:p>
        </w:tc>
        <w:tc>
          <w:tcPr>
            <w:tcW w:w="329" w:type="pct"/>
            <w:tcBorders>
              <w:tl2br w:val="nil"/>
              <w:tr2bl w:val="nil"/>
            </w:tcBorders>
            <w:shd w:val="clear" w:color="auto" w:fill="auto"/>
            <w:noWrap/>
            <w:vAlign w:val="center"/>
          </w:tcPr>
          <w:p w14:paraId="54728DD8">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color w:val="auto"/>
                <w:kern w:val="2"/>
                <w:sz w:val="21"/>
                <w:szCs w:val="21"/>
                <w:highlight w:val="none"/>
                <w:lang w:val="en-US" w:eastAsia="zh-CN" w:bidi="ar-SA"/>
              </w:rPr>
              <w:t>≤</w:t>
            </w:r>
            <w:r>
              <w:rPr>
                <w:color w:val="auto"/>
                <w:sz w:val="21"/>
                <w:szCs w:val="21"/>
                <w:highlight w:val="none"/>
              </w:rPr>
              <w:t>0.005</w:t>
            </w:r>
          </w:p>
        </w:tc>
      </w:tr>
      <w:tr w14:paraId="6D0F1ED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475" w:type="pct"/>
            <w:tcBorders>
              <w:tl2br w:val="nil"/>
              <w:tr2bl w:val="nil"/>
            </w:tcBorders>
            <w:shd w:val="clear" w:color="auto" w:fill="auto"/>
            <w:vAlign w:val="center"/>
          </w:tcPr>
          <w:p w14:paraId="2A6875C3">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铬（六价）</w:t>
            </w:r>
            <w:r>
              <w:rPr>
                <w:rFonts w:hint="default" w:ascii="Times New Roman" w:hAnsi="Times New Roman" w:eastAsia="宋体" w:cs="Times New Roman"/>
                <w:color w:val="auto"/>
                <w:sz w:val="21"/>
                <w:szCs w:val="21"/>
                <w:highlight w:val="none"/>
                <w:u w:val="none"/>
                <w:lang w:val="en-US" w:eastAsia="zh-CN" w:bidi="ar"/>
              </w:rPr>
              <w:t>（mg/L）</w:t>
            </w:r>
          </w:p>
        </w:tc>
        <w:tc>
          <w:tcPr>
            <w:tcW w:w="284" w:type="pct"/>
            <w:tcBorders>
              <w:tl2br w:val="nil"/>
              <w:tr2bl w:val="nil"/>
            </w:tcBorders>
            <w:shd w:val="clear" w:color="auto" w:fill="auto"/>
            <w:noWrap/>
            <w:vAlign w:val="center"/>
          </w:tcPr>
          <w:p w14:paraId="702BB71A">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0.004L</w:t>
            </w:r>
          </w:p>
        </w:tc>
        <w:tc>
          <w:tcPr>
            <w:tcW w:w="284" w:type="pct"/>
            <w:tcBorders>
              <w:tl2br w:val="nil"/>
              <w:tr2bl w:val="nil"/>
            </w:tcBorders>
            <w:shd w:val="clear" w:color="auto" w:fill="auto"/>
            <w:noWrap/>
            <w:vAlign w:val="center"/>
          </w:tcPr>
          <w:p w14:paraId="51705C3E">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0.004L</w:t>
            </w:r>
          </w:p>
        </w:tc>
        <w:tc>
          <w:tcPr>
            <w:tcW w:w="284" w:type="pct"/>
            <w:tcBorders>
              <w:tl2br w:val="nil"/>
              <w:tr2bl w:val="nil"/>
            </w:tcBorders>
            <w:shd w:val="clear" w:color="auto" w:fill="auto"/>
            <w:noWrap/>
            <w:vAlign w:val="center"/>
          </w:tcPr>
          <w:p w14:paraId="3F394540">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0.004L</w:t>
            </w:r>
          </w:p>
        </w:tc>
        <w:tc>
          <w:tcPr>
            <w:tcW w:w="284" w:type="pct"/>
            <w:tcBorders>
              <w:tl2br w:val="nil"/>
              <w:tr2bl w:val="nil"/>
            </w:tcBorders>
            <w:shd w:val="clear" w:color="auto" w:fill="auto"/>
            <w:noWrap/>
            <w:vAlign w:val="center"/>
          </w:tcPr>
          <w:p w14:paraId="0FD21299">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0.004L</w:t>
            </w:r>
          </w:p>
        </w:tc>
        <w:tc>
          <w:tcPr>
            <w:tcW w:w="284" w:type="pct"/>
            <w:tcBorders>
              <w:tl2br w:val="nil"/>
              <w:tr2bl w:val="nil"/>
            </w:tcBorders>
            <w:shd w:val="clear" w:color="auto" w:fill="auto"/>
            <w:noWrap/>
            <w:vAlign w:val="center"/>
          </w:tcPr>
          <w:p w14:paraId="4D2D25CD">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0.004L</w:t>
            </w:r>
          </w:p>
        </w:tc>
        <w:tc>
          <w:tcPr>
            <w:tcW w:w="284" w:type="pct"/>
            <w:tcBorders>
              <w:tl2br w:val="nil"/>
              <w:tr2bl w:val="nil"/>
            </w:tcBorders>
            <w:shd w:val="clear" w:color="auto" w:fill="auto"/>
            <w:noWrap/>
            <w:vAlign w:val="center"/>
          </w:tcPr>
          <w:p w14:paraId="4D06920A">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0.004L</w:t>
            </w:r>
          </w:p>
        </w:tc>
        <w:tc>
          <w:tcPr>
            <w:tcW w:w="284" w:type="pct"/>
            <w:tcBorders>
              <w:tl2br w:val="nil"/>
              <w:tr2bl w:val="nil"/>
            </w:tcBorders>
            <w:shd w:val="clear" w:color="auto" w:fill="auto"/>
            <w:noWrap/>
            <w:vAlign w:val="center"/>
          </w:tcPr>
          <w:p w14:paraId="5E36E2D6">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0.004L</w:t>
            </w:r>
          </w:p>
        </w:tc>
        <w:tc>
          <w:tcPr>
            <w:tcW w:w="284" w:type="pct"/>
            <w:tcBorders>
              <w:tl2br w:val="nil"/>
              <w:tr2bl w:val="nil"/>
            </w:tcBorders>
            <w:shd w:val="clear" w:color="auto" w:fill="auto"/>
            <w:noWrap/>
            <w:vAlign w:val="center"/>
          </w:tcPr>
          <w:p w14:paraId="2D588939">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0.004L</w:t>
            </w:r>
          </w:p>
        </w:tc>
        <w:tc>
          <w:tcPr>
            <w:tcW w:w="284" w:type="pct"/>
            <w:tcBorders>
              <w:tl2br w:val="nil"/>
              <w:tr2bl w:val="nil"/>
            </w:tcBorders>
            <w:shd w:val="clear" w:color="auto" w:fill="auto"/>
            <w:noWrap/>
            <w:vAlign w:val="center"/>
          </w:tcPr>
          <w:p w14:paraId="3ADFB5C9">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0.004L</w:t>
            </w:r>
          </w:p>
        </w:tc>
        <w:tc>
          <w:tcPr>
            <w:tcW w:w="285" w:type="pct"/>
            <w:tcBorders>
              <w:tl2br w:val="nil"/>
              <w:tr2bl w:val="nil"/>
            </w:tcBorders>
            <w:shd w:val="clear" w:color="auto" w:fill="auto"/>
            <w:noWrap/>
            <w:vAlign w:val="center"/>
          </w:tcPr>
          <w:p w14:paraId="2DDA4DA4">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0.004L</w:t>
            </w:r>
          </w:p>
        </w:tc>
        <w:tc>
          <w:tcPr>
            <w:tcW w:w="285" w:type="pct"/>
            <w:tcBorders>
              <w:tl2br w:val="nil"/>
              <w:tr2bl w:val="nil"/>
            </w:tcBorders>
            <w:shd w:val="clear" w:color="auto" w:fill="auto"/>
            <w:noWrap/>
            <w:vAlign w:val="center"/>
          </w:tcPr>
          <w:p w14:paraId="60ECFD02">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0.004L</w:t>
            </w:r>
          </w:p>
        </w:tc>
        <w:tc>
          <w:tcPr>
            <w:tcW w:w="285" w:type="pct"/>
            <w:tcBorders>
              <w:tl2br w:val="nil"/>
              <w:tr2bl w:val="nil"/>
            </w:tcBorders>
            <w:shd w:val="clear" w:color="auto" w:fill="auto"/>
            <w:noWrap/>
            <w:vAlign w:val="center"/>
          </w:tcPr>
          <w:p w14:paraId="00F70917">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0.004L</w:t>
            </w:r>
          </w:p>
        </w:tc>
        <w:tc>
          <w:tcPr>
            <w:tcW w:w="261" w:type="pct"/>
            <w:tcBorders>
              <w:tl2br w:val="nil"/>
              <w:tr2bl w:val="nil"/>
            </w:tcBorders>
            <w:shd w:val="clear" w:color="auto" w:fill="auto"/>
            <w:noWrap/>
            <w:vAlign w:val="center"/>
          </w:tcPr>
          <w:p w14:paraId="2F5F1397">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0.004L</w:t>
            </w:r>
          </w:p>
        </w:tc>
        <w:tc>
          <w:tcPr>
            <w:tcW w:w="267" w:type="pct"/>
            <w:tcBorders>
              <w:tl2br w:val="nil"/>
              <w:tr2bl w:val="nil"/>
            </w:tcBorders>
            <w:shd w:val="clear" w:color="auto" w:fill="auto"/>
            <w:noWrap/>
            <w:vAlign w:val="center"/>
          </w:tcPr>
          <w:p w14:paraId="573D8FB5">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0.004L</w:t>
            </w:r>
          </w:p>
        </w:tc>
        <w:tc>
          <w:tcPr>
            <w:tcW w:w="249" w:type="pct"/>
            <w:tcBorders>
              <w:tl2br w:val="nil"/>
              <w:tr2bl w:val="nil"/>
            </w:tcBorders>
            <w:shd w:val="clear" w:color="auto" w:fill="auto"/>
            <w:noWrap/>
            <w:vAlign w:val="center"/>
          </w:tcPr>
          <w:p w14:paraId="3826DBDA">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0.004L</w:t>
            </w:r>
          </w:p>
        </w:tc>
        <w:tc>
          <w:tcPr>
            <w:tcW w:w="329" w:type="pct"/>
            <w:tcBorders>
              <w:tl2br w:val="nil"/>
              <w:tr2bl w:val="nil"/>
            </w:tcBorders>
            <w:shd w:val="clear" w:color="auto" w:fill="auto"/>
            <w:noWrap/>
            <w:vAlign w:val="center"/>
          </w:tcPr>
          <w:p w14:paraId="461836FD">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color w:val="auto"/>
                <w:kern w:val="2"/>
                <w:sz w:val="21"/>
                <w:szCs w:val="21"/>
                <w:highlight w:val="none"/>
                <w:lang w:val="en-US" w:eastAsia="zh-CN" w:bidi="ar-SA"/>
              </w:rPr>
              <w:t>≤</w:t>
            </w:r>
            <w:r>
              <w:rPr>
                <w:color w:val="auto"/>
                <w:sz w:val="21"/>
                <w:szCs w:val="21"/>
                <w:highlight w:val="none"/>
              </w:rPr>
              <w:t>0.05</w:t>
            </w:r>
          </w:p>
        </w:tc>
      </w:tr>
      <w:tr w14:paraId="590C809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475" w:type="pct"/>
            <w:tcBorders>
              <w:tl2br w:val="nil"/>
              <w:tr2bl w:val="nil"/>
            </w:tcBorders>
            <w:shd w:val="clear" w:color="auto" w:fill="auto"/>
            <w:vAlign w:val="center"/>
          </w:tcPr>
          <w:p w14:paraId="20C0BB8E">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总硬度</w:t>
            </w:r>
            <w:r>
              <w:rPr>
                <w:rFonts w:hint="default" w:ascii="Times New Roman" w:hAnsi="Times New Roman" w:eastAsia="宋体" w:cs="Times New Roman"/>
                <w:color w:val="auto"/>
                <w:sz w:val="21"/>
                <w:szCs w:val="21"/>
                <w:highlight w:val="none"/>
                <w:u w:val="none"/>
                <w:lang w:val="en-US" w:eastAsia="zh-CN" w:bidi="ar"/>
              </w:rPr>
              <w:t>（mg/L）</w:t>
            </w:r>
          </w:p>
        </w:tc>
        <w:tc>
          <w:tcPr>
            <w:tcW w:w="284" w:type="pct"/>
            <w:tcBorders>
              <w:tl2br w:val="nil"/>
              <w:tr2bl w:val="nil"/>
            </w:tcBorders>
            <w:shd w:val="clear" w:color="auto" w:fill="auto"/>
            <w:noWrap/>
            <w:vAlign w:val="center"/>
          </w:tcPr>
          <w:p w14:paraId="5177F308">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237</w:t>
            </w:r>
          </w:p>
        </w:tc>
        <w:tc>
          <w:tcPr>
            <w:tcW w:w="284" w:type="pct"/>
            <w:tcBorders>
              <w:tl2br w:val="nil"/>
              <w:tr2bl w:val="nil"/>
            </w:tcBorders>
            <w:shd w:val="clear" w:color="auto" w:fill="auto"/>
            <w:noWrap/>
            <w:vAlign w:val="center"/>
          </w:tcPr>
          <w:p w14:paraId="7514ED02">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288</w:t>
            </w:r>
          </w:p>
        </w:tc>
        <w:tc>
          <w:tcPr>
            <w:tcW w:w="284" w:type="pct"/>
            <w:tcBorders>
              <w:tl2br w:val="nil"/>
              <w:tr2bl w:val="nil"/>
            </w:tcBorders>
            <w:shd w:val="clear" w:color="auto" w:fill="auto"/>
            <w:noWrap/>
            <w:vAlign w:val="center"/>
          </w:tcPr>
          <w:p w14:paraId="3451F117">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236</w:t>
            </w:r>
          </w:p>
        </w:tc>
        <w:tc>
          <w:tcPr>
            <w:tcW w:w="284" w:type="pct"/>
            <w:tcBorders>
              <w:tl2br w:val="nil"/>
              <w:tr2bl w:val="nil"/>
            </w:tcBorders>
            <w:shd w:val="clear" w:color="auto" w:fill="auto"/>
            <w:noWrap/>
            <w:vAlign w:val="center"/>
          </w:tcPr>
          <w:p w14:paraId="4BFC47B2">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244</w:t>
            </w:r>
          </w:p>
        </w:tc>
        <w:tc>
          <w:tcPr>
            <w:tcW w:w="284" w:type="pct"/>
            <w:tcBorders>
              <w:tl2br w:val="nil"/>
              <w:tr2bl w:val="nil"/>
            </w:tcBorders>
            <w:shd w:val="clear" w:color="auto" w:fill="auto"/>
            <w:noWrap/>
            <w:vAlign w:val="center"/>
          </w:tcPr>
          <w:p w14:paraId="382D194A">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230</w:t>
            </w:r>
          </w:p>
        </w:tc>
        <w:tc>
          <w:tcPr>
            <w:tcW w:w="284" w:type="pct"/>
            <w:tcBorders>
              <w:tl2br w:val="nil"/>
              <w:tr2bl w:val="nil"/>
            </w:tcBorders>
            <w:shd w:val="clear" w:color="auto" w:fill="auto"/>
            <w:noWrap/>
            <w:vAlign w:val="center"/>
          </w:tcPr>
          <w:p w14:paraId="6C6931A3">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284</w:t>
            </w:r>
          </w:p>
        </w:tc>
        <w:tc>
          <w:tcPr>
            <w:tcW w:w="284" w:type="pct"/>
            <w:tcBorders>
              <w:tl2br w:val="nil"/>
              <w:tr2bl w:val="nil"/>
            </w:tcBorders>
            <w:shd w:val="clear" w:color="auto" w:fill="auto"/>
            <w:noWrap/>
            <w:vAlign w:val="center"/>
          </w:tcPr>
          <w:p w14:paraId="19E982B9">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236</w:t>
            </w:r>
          </w:p>
        </w:tc>
        <w:tc>
          <w:tcPr>
            <w:tcW w:w="284" w:type="pct"/>
            <w:tcBorders>
              <w:tl2br w:val="nil"/>
              <w:tr2bl w:val="nil"/>
            </w:tcBorders>
            <w:shd w:val="clear" w:color="auto" w:fill="auto"/>
            <w:noWrap/>
            <w:vAlign w:val="center"/>
          </w:tcPr>
          <w:p w14:paraId="5D642534">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248</w:t>
            </w:r>
          </w:p>
        </w:tc>
        <w:tc>
          <w:tcPr>
            <w:tcW w:w="284" w:type="pct"/>
            <w:tcBorders>
              <w:tl2br w:val="nil"/>
              <w:tr2bl w:val="nil"/>
            </w:tcBorders>
            <w:shd w:val="clear" w:color="auto" w:fill="auto"/>
            <w:noWrap/>
            <w:vAlign w:val="center"/>
          </w:tcPr>
          <w:p w14:paraId="6DAC4881">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284</w:t>
            </w:r>
          </w:p>
        </w:tc>
        <w:tc>
          <w:tcPr>
            <w:tcW w:w="285" w:type="pct"/>
            <w:tcBorders>
              <w:tl2br w:val="nil"/>
              <w:tr2bl w:val="nil"/>
            </w:tcBorders>
            <w:shd w:val="clear" w:color="auto" w:fill="auto"/>
            <w:noWrap/>
            <w:vAlign w:val="center"/>
          </w:tcPr>
          <w:p w14:paraId="6D1DBDB0">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295</w:t>
            </w:r>
          </w:p>
        </w:tc>
        <w:tc>
          <w:tcPr>
            <w:tcW w:w="285" w:type="pct"/>
            <w:tcBorders>
              <w:tl2br w:val="nil"/>
              <w:tr2bl w:val="nil"/>
            </w:tcBorders>
            <w:shd w:val="clear" w:color="auto" w:fill="auto"/>
            <w:noWrap/>
            <w:vAlign w:val="center"/>
          </w:tcPr>
          <w:p w14:paraId="36F7BCFA">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212</w:t>
            </w:r>
          </w:p>
        </w:tc>
        <w:tc>
          <w:tcPr>
            <w:tcW w:w="285" w:type="pct"/>
            <w:tcBorders>
              <w:tl2br w:val="nil"/>
              <w:tr2bl w:val="nil"/>
            </w:tcBorders>
            <w:shd w:val="clear" w:color="auto" w:fill="auto"/>
            <w:noWrap/>
            <w:vAlign w:val="center"/>
          </w:tcPr>
          <w:p w14:paraId="12E025A1">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202</w:t>
            </w:r>
          </w:p>
        </w:tc>
        <w:tc>
          <w:tcPr>
            <w:tcW w:w="261" w:type="pct"/>
            <w:tcBorders>
              <w:tl2br w:val="nil"/>
              <w:tr2bl w:val="nil"/>
            </w:tcBorders>
            <w:shd w:val="clear" w:color="auto" w:fill="auto"/>
            <w:noWrap/>
            <w:vAlign w:val="center"/>
          </w:tcPr>
          <w:p w14:paraId="5C3F21E1">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190</w:t>
            </w:r>
          </w:p>
        </w:tc>
        <w:tc>
          <w:tcPr>
            <w:tcW w:w="267" w:type="pct"/>
            <w:tcBorders>
              <w:tl2br w:val="nil"/>
              <w:tr2bl w:val="nil"/>
            </w:tcBorders>
            <w:shd w:val="clear" w:color="auto" w:fill="auto"/>
            <w:noWrap/>
            <w:vAlign w:val="center"/>
          </w:tcPr>
          <w:p w14:paraId="7B1DD25C">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277</w:t>
            </w:r>
          </w:p>
        </w:tc>
        <w:tc>
          <w:tcPr>
            <w:tcW w:w="249" w:type="pct"/>
            <w:tcBorders>
              <w:tl2br w:val="nil"/>
              <w:tr2bl w:val="nil"/>
            </w:tcBorders>
            <w:shd w:val="clear" w:color="auto" w:fill="auto"/>
            <w:noWrap/>
            <w:vAlign w:val="center"/>
          </w:tcPr>
          <w:p w14:paraId="21CFF481">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277</w:t>
            </w:r>
          </w:p>
        </w:tc>
        <w:tc>
          <w:tcPr>
            <w:tcW w:w="329" w:type="pct"/>
            <w:tcBorders>
              <w:tl2br w:val="nil"/>
              <w:tr2bl w:val="nil"/>
            </w:tcBorders>
            <w:shd w:val="clear" w:color="auto" w:fill="auto"/>
            <w:noWrap/>
            <w:vAlign w:val="center"/>
          </w:tcPr>
          <w:p w14:paraId="7CF36B61">
            <w:pPr>
              <w:pStyle w:val="30"/>
              <w:ind w:firstLine="0" w:firstLineChars="0"/>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color w:val="auto"/>
                <w:sz w:val="21"/>
                <w:szCs w:val="21"/>
                <w:highlight w:val="none"/>
              </w:rPr>
              <w:t>≤450</w:t>
            </w:r>
          </w:p>
        </w:tc>
      </w:tr>
      <w:tr w14:paraId="18E6C25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475" w:type="pct"/>
            <w:tcBorders>
              <w:tl2br w:val="nil"/>
              <w:tr2bl w:val="nil"/>
            </w:tcBorders>
            <w:shd w:val="clear" w:color="auto" w:fill="auto"/>
            <w:vAlign w:val="center"/>
          </w:tcPr>
          <w:p w14:paraId="44057F4E">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溶解性总固体</w:t>
            </w:r>
            <w:r>
              <w:rPr>
                <w:rFonts w:hint="default" w:ascii="Times New Roman" w:hAnsi="Times New Roman" w:eastAsia="宋体" w:cs="Times New Roman"/>
                <w:color w:val="auto"/>
                <w:sz w:val="21"/>
                <w:szCs w:val="21"/>
                <w:highlight w:val="none"/>
                <w:u w:val="none"/>
                <w:lang w:val="en-US" w:eastAsia="zh-CN" w:bidi="ar"/>
              </w:rPr>
              <w:t>（mg/L）</w:t>
            </w:r>
          </w:p>
        </w:tc>
        <w:tc>
          <w:tcPr>
            <w:tcW w:w="284" w:type="pct"/>
            <w:tcBorders>
              <w:tl2br w:val="nil"/>
              <w:tr2bl w:val="nil"/>
            </w:tcBorders>
            <w:shd w:val="clear" w:color="auto" w:fill="auto"/>
            <w:noWrap/>
            <w:vAlign w:val="center"/>
          </w:tcPr>
          <w:p w14:paraId="7D5C7ADF">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419</w:t>
            </w:r>
          </w:p>
        </w:tc>
        <w:tc>
          <w:tcPr>
            <w:tcW w:w="284" w:type="pct"/>
            <w:tcBorders>
              <w:tl2br w:val="nil"/>
              <w:tr2bl w:val="nil"/>
            </w:tcBorders>
            <w:shd w:val="clear" w:color="auto" w:fill="auto"/>
            <w:noWrap/>
            <w:vAlign w:val="center"/>
          </w:tcPr>
          <w:p w14:paraId="63C3A86A">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476</w:t>
            </w:r>
          </w:p>
        </w:tc>
        <w:tc>
          <w:tcPr>
            <w:tcW w:w="284" w:type="pct"/>
            <w:tcBorders>
              <w:tl2br w:val="nil"/>
              <w:tr2bl w:val="nil"/>
            </w:tcBorders>
            <w:shd w:val="clear" w:color="auto" w:fill="auto"/>
            <w:noWrap/>
            <w:vAlign w:val="center"/>
          </w:tcPr>
          <w:p w14:paraId="1D065E91">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541</w:t>
            </w:r>
          </w:p>
        </w:tc>
        <w:tc>
          <w:tcPr>
            <w:tcW w:w="284" w:type="pct"/>
            <w:tcBorders>
              <w:tl2br w:val="nil"/>
              <w:tr2bl w:val="nil"/>
            </w:tcBorders>
            <w:shd w:val="clear" w:color="auto" w:fill="auto"/>
            <w:noWrap/>
            <w:vAlign w:val="center"/>
          </w:tcPr>
          <w:p w14:paraId="36BFEA51">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466</w:t>
            </w:r>
          </w:p>
        </w:tc>
        <w:tc>
          <w:tcPr>
            <w:tcW w:w="284" w:type="pct"/>
            <w:tcBorders>
              <w:tl2br w:val="nil"/>
              <w:tr2bl w:val="nil"/>
            </w:tcBorders>
            <w:shd w:val="clear" w:color="auto" w:fill="auto"/>
            <w:noWrap/>
            <w:vAlign w:val="center"/>
          </w:tcPr>
          <w:p w14:paraId="3437DE4D">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452</w:t>
            </w:r>
          </w:p>
        </w:tc>
        <w:tc>
          <w:tcPr>
            <w:tcW w:w="284" w:type="pct"/>
            <w:tcBorders>
              <w:tl2br w:val="nil"/>
              <w:tr2bl w:val="nil"/>
            </w:tcBorders>
            <w:shd w:val="clear" w:color="auto" w:fill="auto"/>
            <w:noWrap/>
            <w:vAlign w:val="center"/>
          </w:tcPr>
          <w:p w14:paraId="08AC9B60">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517</w:t>
            </w:r>
          </w:p>
        </w:tc>
        <w:tc>
          <w:tcPr>
            <w:tcW w:w="284" w:type="pct"/>
            <w:tcBorders>
              <w:tl2br w:val="nil"/>
              <w:tr2bl w:val="nil"/>
            </w:tcBorders>
            <w:shd w:val="clear" w:color="auto" w:fill="auto"/>
            <w:noWrap/>
            <w:vAlign w:val="center"/>
          </w:tcPr>
          <w:p w14:paraId="4648B85B">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356</w:t>
            </w:r>
          </w:p>
        </w:tc>
        <w:tc>
          <w:tcPr>
            <w:tcW w:w="284" w:type="pct"/>
            <w:tcBorders>
              <w:tl2br w:val="nil"/>
              <w:tr2bl w:val="nil"/>
            </w:tcBorders>
            <w:shd w:val="clear" w:color="auto" w:fill="auto"/>
            <w:noWrap/>
            <w:vAlign w:val="center"/>
          </w:tcPr>
          <w:p w14:paraId="3248B05E">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477</w:t>
            </w:r>
          </w:p>
        </w:tc>
        <w:tc>
          <w:tcPr>
            <w:tcW w:w="284" w:type="pct"/>
            <w:tcBorders>
              <w:tl2br w:val="nil"/>
              <w:tr2bl w:val="nil"/>
            </w:tcBorders>
            <w:shd w:val="clear" w:color="auto" w:fill="auto"/>
            <w:noWrap/>
            <w:vAlign w:val="center"/>
          </w:tcPr>
          <w:p w14:paraId="755FD6C7">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459</w:t>
            </w:r>
          </w:p>
        </w:tc>
        <w:tc>
          <w:tcPr>
            <w:tcW w:w="285" w:type="pct"/>
            <w:tcBorders>
              <w:tl2br w:val="nil"/>
              <w:tr2bl w:val="nil"/>
            </w:tcBorders>
            <w:shd w:val="clear" w:color="auto" w:fill="auto"/>
            <w:noWrap/>
            <w:vAlign w:val="center"/>
          </w:tcPr>
          <w:p w14:paraId="07F6F6FF">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443</w:t>
            </w:r>
          </w:p>
        </w:tc>
        <w:tc>
          <w:tcPr>
            <w:tcW w:w="285" w:type="pct"/>
            <w:tcBorders>
              <w:tl2br w:val="nil"/>
              <w:tr2bl w:val="nil"/>
            </w:tcBorders>
            <w:shd w:val="clear" w:color="auto" w:fill="auto"/>
            <w:noWrap/>
            <w:vAlign w:val="center"/>
          </w:tcPr>
          <w:p w14:paraId="63A57514">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331</w:t>
            </w:r>
          </w:p>
        </w:tc>
        <w:tc>
          <w:tcPr>
            <w:tcW w:w="285" w:type="pct"/>
            <w:tcBorders>
              <w:tl2br w:val="nil"/>
              <w:tr2bl w:val="nil"/>
            </w:tcBorders>
            <w:shd w:val="clear" w:color="auto" w:fill="auto"/>
            <w:noWrap/>
            <w:vAlign w:val="center"/>
          </w:tcPr>
          <w:p w14:paraId="217971D1">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371</w:t>
            </w:r>
          </w:p>
        </w:tc>
        <w:tc>
          <w:tcPr>
            <w:tcW w:w="261" w:type="pct"/>
            <w:tcBorders>
              <w:tl2br w:val="nil"/>
              <w:tr2bl w:val="nil"/>
            </w:tcBorders>
            <w:shd w:val="clear" w:color="auto" w:fill="auto"/>
            <w:noWrap/>
            <w:vAlign w:val="center"/>
          </w:tcPr>
          <w:p w14:paraId="430037A3">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341</w:t>
            </w:r>
          </w:p>
        </w:tc>
        <w:tc>
          <w:tcPr>
            <w:tcW w:w="267" w:type="pct"/>
            <w:tcBorders>
              <w:tl2br w:val="nil"/>
              <w:tr2bl w:val="nil"/>
            </w:tcBorders>
            <w:shd w:val="clear" w:color="auto" w:fill="auto"/>
            <w:noWrap/>
            <w:vAlign w:val="center"/>
          </w:tcPr>
          <w:p w14:paraId="25EAE931">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335</w:t>
            </w:r>
          </w:p>
        </w:tc>
        <w:tc>
          <w:tcPr>
            <w:tcW w:w="249" w:type="pct"/>
            <w:tcBorders>
              <w:tl2br w:val="nil"/>
              <w:tr2bl w:val="nil"/>
            </w:tcBorders>
            <w:shd w:val="clear" w:color="auto" w:fill="auto"/>
            <w:noWrap/>
            <w:vAlign w:val="center"/>
          </w:tcPr>
          <w:p w14:paraId="54B41FF0">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334</w:t>
            </w:r>
          </w:p>
        </w:tc>
        <w:tc>
          <w:tcPr>
            <w:tcW w:w="329" w:type="pct"/>
            <w:tcBorders>
              <w:tl2br w:val="nil"/>
              <w:tr2bl w:val="nil"/>
            </w:tcBorders>
            <w:shd w:val="clear" w:color="auto" w:fill="auto"/>
            <w:noWrap/>
            <w:vAlign w:val="center"/>
          </w:tcPr>
          <w:p w14:paraId="47F73928">
            <w:pPr>
              <w:pStyle w:val="30"/>
              <w:ind w:firstLine="0" w:firstLineChars="0"/>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color w:val="auto"/>
                <w:sz w:val="21"/>
                <w:szCs w:val="21"/>
                <w:highlight w:val="none"/>
              </w:rPr>
              <w:t>≤1000</w:t>
            </w:r>
          </w:p>
        </w:tc>
      </w:tr>
      <w:tr w14:paraId="3F85046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475" w:type="pct"/>
            <w:tcBorders>
              <w:tl2br w:val="nil"/>
              <w:tr2bl w:val="nil"/>
            </w:tcBorders>
            <w:shd w:val="clear" w:color="auto" w:fill="auto"/>
            <w:vAlign w:val="center"/>
          </w:tcPr>
          <w:p w14:paraId="44247417">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总大肠菌群（</w:t>
            </w:r>
            <w:r>
              <w:rPr>
                <w:rFonts w:hint="default" w:ascii="Times New Roman" w:hAnsi="Times New Roman" w:eastAsia="宋体" w:cs="Times New Roman"/>
                <w:color w:val="auto"/>
                <w:sz w:val="21"/>
                <w:szCs w:val="21"/>
                <w:highlight w:val="none"/>
                <w:u w:val="none"/>
                <w:lang w:val="en-US" w:eastAsia="zh-CN" w:bidi="ar"/>
              </w:rPr>
              <w:t>MPN/100mL）</w:t>
            </w:r>
          </w:p>
        </w:tc>
        <w:tc>
          <w:tcPr>
            <w:tcW w:w="284" w:type="pct"/>
            <w:tcBorders>
              <w:tl2br w:val="nil"/>
              <w:tr2bl w:val="nil"/>
            </w:tcBorders>
            <w:shd w:val="clear" w:color="auto" w:fill="auto"/>
            <w:noWrap/>
            <w:vAlign w:val="center"/>
          </w:tcPr>
          <w:p w14:paraId="07DFC03A">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284" w:type="pct"/>
            <w:tcBorders>
              <w:tl2br w:val="nil"/>
              <w:tr2bl w:val="nil"/>
            </w:tcBorders>
            <w:shd w:val="clear" w:color="auto" w:fill="auto"/>
            <w:noWrap/>
            <w:vAlign w:val="center"/>
          </w:tcPr>
          <w:p w14:paraId="097755FF">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284" w:type="pct"/>
            <w:tcBorders>
              <w:tl2br w:val="nil"/>
              <w:tr2bl w:val="nil"/>
            </w:tcBorders>
            <w:shd w:val="clear" w:color="auto" w:fill="auto"/>
            <w:noWrap/>
            <w:vAlign w:val="center"/>
          </w:tcPr>
          <w:p w14:paraId="3E1B28D6">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284" w:type="pct"/>
            <w:tcBorders>
              <w:tl2br w:val="nil"/>
              <w:tr2bl w:val="nil"/>
            </w:tcBorders>
            <w:shd w:val="clear" w:color="auto" w:fill="auto"/>
            <w:noWrap/>
            <w:vAlign w:val="center"/>
          </w:tcPr>
          <w:p w14:paraId="2355ACC5">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284" w:type="pct"/>
            <w:tcBorders>
              <w:tl2br w:val="nil"/>
              <w:tr2bl w:val="nil"/>
            </w:tcBorders>
            <w:shd w:val="clear" w:color="auto" w:fill="auto"/>
            <w:noWrap/>
            <w:vAlign w:val="center"/>
          </w:tcPr>
          <w:p w14:paraId="18734D7B">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284" w:type="pct"/>
            <w:tcBorders>
              <w:tl2br w:val="nil"/>
              <w:tr2bl w:val="nil"/>
            </w:tcBorders>
            <w:shd w:val="clear" w:color="auto" w:fill="auto"/>
            <w:noWrap/>
            <w:vAlign w:val="center"/>
          </w:tcPr>
          <w:p w14:paraId="5B942FE6">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284" w:type="pct"/>
            <w:tcBorders>
              <w:tl2br w:val="nil"/>
              <w:tr2bl w:val="nil"/>
            </w:tcBorders>
            <w:shd w:val="clear" w:color="auto" w:fill="auto"/>
            <w:noWrap/>
            <w:vAlign w:val="center"/>
          </w:tcPr>
          <w:p w14:paraId="09AD16E1">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284" w:type="pct"/>
            <w:tcBorders>
              <w:tl2br w:val="nil"/>
              <w:tr2bl w:val="nil"/>
            </w:tcBorders>
            <w:shd w:val="clear" w:color="auto" w:fill="auto"/>
            <w:noWrap/>
            <w:vAlign w:val="center"/>
          </w:tcPr>
          <w:p w14:paraId="601EA101">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284" w:type="pct"/>
            <w:tcBorders>
              <w:tl2br w:val="nil"/>
              <w:tr2bl w:val="nil"/>
            </w:tcBorders>
            <w:shd w:val="clear" w:color="auto" w:fill="auto"/>
            <w:noWrap/>
            <w:vAlign w:val="center"/>
          </w:tcPr>
          <w:p w14:paraId="5FE8EA02">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285" w:type="pct"/>
            <w:tcBorders>
              <w:tl2br w:val="nil"/>
              <w:tr2bl w:val="nil"/>
            </w:tcBorders>
            <w:shd w:val="clear" w:color="auto" w:fill="auto"/>
            <w:noWrap/>
            <w:vAlign w:val="center"/>
          </w:tcPr>
          <w:p w14:paraId="4A5530F8">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285" w:type="pct"/>
            <w:tcBorders>
              <w:tl2br w:val="nil"/>
              <w:tr2bl w:val="nil"/>
            </w:tcBorders>
            <w:shd w:val="clear" w:color="auto" w:fill="auto"/>
            <w:noWrap/>
            <w:vAlign w:val="center"/>
          </w:tcPr>
          <w:p w14:paraId="6D25940B">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285" w:type="pct"/>
            <w:tcBorders>
              <w:tl2br w:val="nil"/>
              <w:tr2bl w:val="nil"/>
            </w:tcBorders>
            <w:shd w:val="clear" w:color="auto" w:fill="auto"/>
            <w:noWrap/>
            <w:vAlign w:val="center"/>
          </w:tcPr>
          <w:p w14:paraId="08D6FAC2">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261" w:type="pct"/>
            <w:tcBorders>
              <w:tl2br w:val="nil"/>
              <w:tr2bl w:val="nil"/>
            </w:tcBorders>
            <w:shd w:val="clear" w:color="auto" w:fill="auto"/>
            <w:noWrap/>
            <w:vAlign w:val="center"/>
          </w:tcPr>
          <w:p w14:paraId="782CF248">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267" w:type="pct"/>
            <w:tcBorders>
              <w:tl2br w:val="nil"/>
              <w:tr2bl w:val="nil"/>
            </w:tcBorders>
            <w:shd w:val="clear" w:color="auto" w:fill="auto"/>
            <w:noWrap/>
            <w:vAlign w:val="center"/>
          </w:tcPr>
          <w:p w14:paraId="4714156F">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ascii="Times New Roman" w:hAnsi="Times New Roman" w:eastAsia="宋体" w:cs="Times New Roman"/>
                <w:i w:val="0"/>
                <w:iCs w:val="0"/>
                <w:color w:val="auto"/>
                <w:kern w:val="0"/>
                <w:sz w:val="21"/>
                <w:szCs w:val="21"/>
                <w:highlight w:val="none"/>
                <w:u w:val="none"/>
                <w:lang w:val="en-US" w:eastAsia="zh-CN" w:bidi="ar"/>
              </w:rPr>
              <w:t>未检出</w:t>
            </w:r>
          </w:p>
        </w:tc>
        <w:tc>
          <w:tcPr>
            <w:tcW w:w="249" w:type="pct"/>
            <w:tcBorders>
              <w:tl2br w:val="nil"/>
              <w:tr2bl w:val="nil"/>
            </w:tcBorders>
            <w:shd w:val="clear" w:color="auto" w:fill="auto"/>
            <w:noWrap/>
            <w:vAlign w:val="center"/>
          </w:tcPr>
          <w:p w14:paraId="5F089C06">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未检出</w:t>
            </w:r>
          </w:p>
        </w:tc>
        <w:tc>
          <w:tcPr>
            <w:tcW w:w="329" w:type="pct"/>
            <w:tcBorders>
              <w:tl2br w:val="nil"/>
              <w:tr2bl w:val="nil"/>
            </w:tcBorders>
            <w:shd w:val="clear" w:color="auto" w:fill="auto"/>
            <w:noWrap/>
            <w:vAlign w:val="center"/>
          </w:tcPr>
          <w:p w14:paraId="346D843E">
            <w:pPr>
              <w:pStyle w:val="30"/>
              <w:ind w:firstLine="0" w:firstLineChars="0"/>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color w:val="auto"/>
                <w:sz w:val="21"/>
                <w:szCs w:val="21"/>
                <w:highlight w:val="none"/>
              </w:rPr>
              <w:t>≤3.0</w:t>
            </w:r>
          </w:p>
        </w:tc>
      </w:tr>
      <w:tr w14:paraId="512496F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475" w:type="pct"/>
            <w:tcBorders>
              <w:tl2br w:val="nil"/>
              <w:tr2bl w:val="nil"/>
            </w:tcBorders>
            <w:shd w:val="clear" w:color="auto" w:fill="auto"/>
            <w:vAlign w:val="center"/>
          </w:tcPr>
          <w:p w14:paraId="484FCDD2">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菌落总数（CFU/mL）</w:t>
            </w:r>
          </w:p>
        </w:tc>
        <w:tc>
          <w:tcPr>
            <w:tcW w:w="284" w:type="pct"/>
            <w:tcBorders>
              <w:tl2br w:val="nil"/>
              <w:tr2bl w:val="nil"/>
            </w:tcBorders>
            <w:shd w:val="clear" w:color="auto" w:fill="auto"/>
            <w:noWrap/>
            <w:vAlign w:val="center"/>
          </w:tcPr>
          <w:p w14:paraId="53E6151C">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74</w:t>
            </w:r>
          </w:p>
        </w:tc>
        <w:tc>
          <w:tcPr>
            <w:tcW w:w="284" w:type="pct"/>
            <w:tcBorders>
              <w:tl2br w:val="nil"/>
              <w:tr2bl w:val="nil"/>
            </w:tcBorders>
            <w:shd w:val="clear" w:color="auto" w:fill="auto"/>
            <w:noWrap/>
            <w:vAlign w:val="center"/>
          </w:tcPr>
          <w:p w14:paraId="095BD7FA">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81</w:t>
            </w:r>
          </w:p>
        </w:tc>
        <w:tc>
          <w:tcPr>
            <w:tcW w:w="284" w:type="pct"/>
            <w:tcBorders>
              <w:tl2br w:val="nil"/>
              <w:tr2bl w:val="nil"/>
            </w:tcBorders>
            <w:shd w:val="clear" w:color="auto" w:fill="auto"/>
            <w:noWrap/>
            <w:vAlign w:val="center"/>
          </w:tcPr>
          <w:p w14:paraId="057C06C7">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46</w:t>
            </w:r>
          </w:p>
        </w:tc>
        <w:tc>
          <w:tcPr>
            <w:tcW w:w="284" w:type="pct"/>
            <w:tcBorders>
              <w:tl2br w:val="nil"/>
              <w:tr2bl w:val="nil"/>
            </w:tcBorders>
            <w:shd w:val="clear" w:color="auto" w:fill="auto"/>
            <w:noWrap/>
            <w:vAlign w:val="center"/>
          </w:tcPr>
          <w:p w14:paraId="42A5326A">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44</w:t>
            </w:r>
          </w:p>
        </w:tc>
        <w:tc>
          <w:tcPr>
            <w:tcW w:w="284" w:type="pct"/>
            <w:tcBorders>
              <w:tl2br w:val="nil"/>
              <w:tr2bl w:val="nil"/>
            </w:tcBorders>
            <w:shd w:val="clear" w:color="auto" w:fill="auto"/>
            <w:noWrap/>
            <w:vAlign w:val="center"/>
          </w:tcPr>
          <w:p w14:paraId="3B36826F">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49</w:t>
            </w:r>
          </w:p>
        </w:tc>
        <w:tc>
          <w:tcPr>
            <w:tcW w:w="284" w:type="pct"/>
            <w:tcBorders>
              <w:tl2br w:val="nil"/>
              <w:tr2bl w:val="nil"/>
            </w:tcBorders>
            <w:shd w:val="clear" w:color="auto" w:fill="auto"/>
            <w:noWrap/>
            <w:vAlign w:val="center"/>
          </w:tcPr>
          <w:p w14:paraId="1C0D74E2">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28</w:t>
            </w:r>
          </w:p>
        </w:tc>
        <w:tc>
          <w:tcPr>
            <w:tcW w:w="284" w:type="pct"/>
            <w:tcBorders>
              <w:tl2br w:val="nil"/>
              <w:tr2bl w:val="nil"/>
            </w:tcBorders>
            <w:shd w:val="clear" w:color="auto" w:fill="auto"/>
            <w:noWrap/>
            <w:vAlign w:val="center"/>
          </w:tcPr>
          <w:p w14:paraId="6C49BBFB">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46</w:t>
            </w:r>
          </w:p>
        </w:tc>
        <w:tc>
          <w:tcPr>
            <w:tcW w:w="284" w:type="pct"/>
            <w:tcBorders>
              <w:tl2br w:val="nil"/>
              <w:tr2bl w:val="nil"/>
            </w:tcBorders>
            <w:shd w:val="clear" w:color="auto" w:fill="auto"/>
            <w:noWrap/>
            <w:vAlign w:val="center"/>
          </w:tcPr>
          <w:p w14:paraId="7845820D">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43</w:t>
            </w:r>
          </w:p>
        </w:tc>
        <w:tc>
          <w:tcPr>
            <w:tcW w:w="284" w:type="pct"/>
            <w:tcBorders>
              <w:tl2br w:val="nil"/>
              <w:tr2bl w:val="nil"/>
            </w:tcBorders>
            <w:shd w:val="clear" w:color="auto" w:fill="auto"/>
            <w:noWrap/>
            <w:vAlign w:val="center"/>
          </w:tcPr>
          <w:p w14:paraId="18581522">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65</w:t>
            </w:r>
          </w:p>
        </w:tc>
        <w:tc>
          <w:tcPr>
            <w:tcW w:w="285" w:type="pct"/>
            <w:tcBorders>
              <w:tl2br w:val="nil"/>
              <w:tr2bl w:val="nil"/>
            </w:tcBorders>
            <w:shd w:val="clear" w:color="auto" w:fill="auto"/>
            <w:noWrap/>
            <w:vAlign w:val="center"/>
          </w:tcPr>
          <w:p w14:paraId="32D6C2F4">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87</w:t>
            </w:r>
          </w:p>
        </w:tc>
        <w:tc>
          <w:tcPr>
            <w:tcW w:w="285" w:type="pct"/>
            <w:tcBorders>
              <w:tl2br w:val="nil"/>
              <w:tr2bl w:val="nil"/>
            </w:tcBorders>
            <w:shd w:val="clear" w:color="auto" w:fill="auto"/>
            <w:noWrap/>
            <w:vAlign w:val="center"/>
          </w:tcPr>
          <w:p w14:paraId="3F5F9E9C">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56</w:t>
            </w:r>
          </w:p>
        </w:tc>
        <w:tc>
          <w:tcPr>
            <w:tcW w:w="285" w:type="pct"/>
            <w:tcBorders>
              <w:tl2br w:val="nil"/>
              <w:tr2bl w:val="nil"/>
            </w:tcBorders>
            <w:shd w:val="clear" w:color="auto" w:fill="auto"/>
            <w:noWrap/>
            <w:vAlign w:val="center"/>
          </w:tcPr>
          <w:p w14:paraId="36E0F7B0">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63</w:t>
            </w:r>
          </w:p>
        </w:tc>
        <w:tc>
          <w:tcPr>
            <w:tcW w:w="261" w:type="pct"/>
            <w:tcBorders>
              <w:tl2br w:val="nil"/>
              <w:tr2bl w:val="nil"/>
            </w:tcBorders>
            <w:shd w:val="clear" w:color="auto" w:fill="auto"/>
            <w:noWrap/>
            <w:vAlign w:val="center"/>
          </w:tcPr>
          <w:p w14:paraId="145BEAE1">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74</w:t>
            </w:r>
          </w:p>
        </w:tc>
        <w:tc>
          <w:tcPr>
            <w:tcW w:w="267" w:type="pct"/>
            <w:tcBorders>
              <w:tl2br w:val="nil"/>
              <w:tr2bl w:val="nil"/>
            </w:tcBorders>
            <w:shd w:val="clear" w:color="auto" w:fill="auto"/>
            <w:noWrap/>
            <w:vAlign w:val="center"/>
          </w:tcPr>
          <w:p w14:paraId="2320102C">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21</w:t>
            </w:r>
          </w:p>
        </w:tc>
        <w:tc>
          <w:tcPr>
            <w:tcW w:w="249" w:type="pct"/>
            <w:tcBorders>
              <w:tl2br w:val="nil"/>
              <w:tr2bl w:val="nil"/>
            </w:tcBorders>
            <w:shd w:val="clear" w:color="auto" w:fill="auto"/>
            <w:noWrap/>
            <w:vAlign w:val="center"/>
          </w:tcPr>
          <w:p w14:paraId="442954B2">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18</w:t>
            </w:r>
          </w:p>
        </w:tc>
        <w:tc>
          <w:tcPr>
            <w:tcW w:w="329" w:type="pct"/>
            <w:tcBorders>
              <w:tl2br w:val="nil"/>
              <w:tr2bl w:val="nil"/>
            </w:tcBorders>
            <w:shd w:val="clear" w:color="auto" w:fill="auto"/>
            <w:noWrap/>
            <w:vAlign w:val="center"/>
          </w:tcPr>
          <w:p w14:paraId="0CD2A4B8">
            <w:pPr>
              <w:pStyle w:val="30"/>
              <w:ind w:firstLine="0" w:firstLineChars="0"/>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color w:val="auto"/>
                <w:sz w:val="21"/>
                <w:szCs w:val="21"/>
                <w:highlight w:val="none"/>
              </w:rPr>
              <w:t>≤100</w:t>
            </w:r>
          </w:p>
        </w:tc>
      </w:tr>
    </w:tbl>
    <w:p w14:paraId="79B9FEA8">
      <w:pPr>
        <w:pStyle w:val="13"/>
        <w:rPr>
          <w:color w:val="auto"/>
          <w:highlight w:val="none"/>
        </w:rPr>
        <w:sectPr>
          <w:pgSz w:w="23811" w:h="16838" w:orient="landscape"/>
          <w:pgMar w:top="1474" w:right="1474" w:bottom="1474" w:left="1474" w:header="964" w:footer="992" w:gutter="0"/>
          <w:pgBorders>
            <w:top w:val="none" w:sz="0" w:space="0"/>
            <w:left w:val="none" w:sz="0" w:space="0"/>
            <w:bottom w:val="none" w:sz="0" w:space="0"/>
            <w:right w:val="none" w:sz="0" w:space="0"/>
          </w:pgBorders>
          <w:pgNumType w:fmt="decimal"/>
          <w:cols w:space="720" w:num="1"/>
          <w:docGrid w:type="linesAndChars" w:linePitch="347" w:charSpace="-1024"/>
        </w:sectPr>
      </w:pPr>
    </w:p>
    <w:p w14:paraId="5FD1148C">
      <w:pPr>
        <w:ind w:firstLine="470"/>
        <w:rPr>
          <w:color w:val="auto"/>
          <w:highlight w:val="none"/>
        </w:rPr>
      </w:pPr>
      <w:r>
        <w:rPr>
          <w:rFonts w:hint="eastAsia"/>
          <w:color w:val="auto"/>
          <w:highlight w:val="none"/>
          <w:lang w:eastAsia="zh-CN"/>
        </w:rPr>
        <w:t>（</w:t>
      </w:r>
      <w:r>
        <w:rPr>
          <w:rFonts w:hint="eastAsia"/>
          <w:color w:val="auto"/>
          <w:highlight w:val="none"/>
          <w:lang w:val="en-US" w:eastAsia="zh-CN"/>
        </w:rPr>
        <w:t>2</w:t>
      </w:r>
      <w:r>
        <w:rPr>
          <w:rFonts w:hint="eastAsia"/>
          <w:color w:val="auto"/>
          <w:highlight w:val="none"/>
          <w:lang w:eastAsia="zh-CN"/>
        </w:rPr>
        <w:t>）</w:t>
      </w:r>
      <w:r>
        <w:rPr>
          <w:rFonts w:hint="eastAsia"/>
          <w:color w:val="auto"/>
          <w:highlight w:val="none"/>
        </w:rPr>
        <w:t>评价方法</w:t>
      </w:r>
    </w:p>
    <w:p w14:paraId="1C7743C1">
      <w:pPr>
        <w:ind w:firstLine="470"/>
        <w:rPr>
          <w:color w:val="auto"/>
          <w:highlight w:val="none"/>
        </w:rPr>
      </w:pPr>
      <w:r>
        <w:rPr>
          <w:color w:val="auto"/>
          <w:highlight w:val="none"/>
        </w:rPr>
        <w:t>评价方法采用单项</w:t>
      </w:r>
      <w:r>
        <w:rPr>
          <w:rFonts w:hint="eastAsia"/>
          <w:color w:val="auto"/>
          <w:highlight w:val="none"/>
        </w:rPr>
        <w:t>标准</w:t>
      </w:r>
      <w:r>
        <w:rPr>
          <w:color w:val="auto"/>
          <w:highlight w:val="none"/>
        </w:rPr>
        <w:t>指数法，其计算公式如下：</w:t>
      </w:r>
    </w:p>
    <w:p w14:paraId="080EF239">
      <w:pPr>
        <w:pStyle w:val="28"/>
        <w:rPr>
          <w:rFonts w:hint="default"/>
          <w:color w:val="auto"/>
          <w:highlight w:val="none"/>
        </w:rPr>
      </w:pPr>
      <w:r>
        <w:rPr>
          <w:color w:val="auto"/>
          <w:highlight w:val="none"/>
        </w:rPr>
        <w:drawing>
          <wp:inline distT="0" distB="0" distL="0" distR="0">
            <wp:extent cx="655320" cy="525780"/>
            <wp:effectExtent l="19050" t="0" r="0" b="0"/>
            <wp:docPr id="48"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20"/>
                    <pic:cNvPicPr>
                      <a:picLocks noChangeAspect="1" noChangeArrowheads="1"/>
                    </pic:cNvPicPr>
                  </pic:nvPicPr>
                  <pic:blipFill>
                    <a:blip r:embed="rId76" cstate="print"/>
                    <a:srcRect/>
                    <a:stretch>
                      <a:fillRect/>
                    </a:stretch>
                  </pic:blipFill>
                  <pic:spPr>
                    <a:xfrm>
                      <a:off x="0" y="0"/>
                      <a:ext cx="655320" cy="525780"/>
                    </a:xfrm>
                    <a:prstGeom prst="rect">
                      <a:avLst/>
                    </a:prstGeom>
                    <a:noFill/>
                    <a:ln w="9525">
                      <a:noFill/>
                      <a:miter lim="800000"/>
                      <a:headEnd/>
                      <a:tailEnd/>
                    </a:ln>
                    <a:effectLst/>
                  </pic:spPr>
                </pic:pic>
              </a:graphicData>
            </a:graphic>
          </wp:inline>
        </w:drawing>
      </w:r>
    </w:p>
    <w:p w14:paraId="6D1B2D47">
      <w:pPr>
        <w:ind w:firstLine="470"/>
        <w:rPr>
          <w:color w:val="auto"/>
          <w:highlight w:val="none"/>
        </w:rPr>
      </w:pPr>
      <w:r>
        <w:rPr>
          <w:color w:val="auto"/>
          <w:highlight w:val="none"/>
        </w:rPr>
        <w:t>式中：P</w:t>
      </w:r>
      <w:r>
        <w:rPr>
          <w:i/>
          <w:iCs/>
          <w:color w:val="auto"/>
          <w:highlight w:val="none"/>
          <w:vertAlign w:val="subscript"/>
        </w:rPr>
        <w:t>i</w:t>
      </w:r>
      <w:r>
        <w:rPr>
          <w:color w:val="auto"/>
          <w:highlight w:val="none"/>
        </w:rPr>
        <w:t>为污染物i的单项</w:t>
      </w:r>
      <w:r>
        <w:rPr>
          <w:rFonts w:hint="eastAsia"/>
          <w:color w:val="auto"/>
          <w:highlight w:val="none"/>
        </w:rPr>
        <w:t>标准</w:t>
      </w:r>
      <w:r>
        <w:rPr>
          <w:color w:val="auto"/>
          <w:highlight w:val="none"/>
        </w:rPr>
        <w:t>指数；</w:t>
      </w:r>
    </w:p>
    <w:p w14:paraId="459F6DCC">
      <w:pPr>
        <w:ind w:firstLine="1180" w:firstLineChars="500"/>
        <w:rPr>
          <w:color w:val="auto"/>
          <w:highlight w:val="none"/>
        </w:rPr>
      </w:pPr>
      <w:r>
        <w:rPr>
          <w:color w:val="auto"/>
          <w:highlight w:val="none"/>
        </w:rPr>
        <w:t>C</w:t>
      </w:r>
      <w:r>
        <w:rPr>
          <w:i/>
          <w:iCs/>
          <w:color w:val="auto"/>
          <w:highlight w:val="none"/>
          <w:vertAlign w:val="subscript"/>
        </w:rPr>
        <w:t>i</w:t>
      </w:r>
      <w:r>
        <w:rPr>
          <w:color w:val="auto"/>
          <w:highlight w:val="none"/>
        </w:rPr>
        <w:t>为污染物i的实测浓度，</w:t>
      </w:r>
      <w:r>
        <w:rPr>
          <w:rFonts w:hint="eastAsia"/>
          <w:color w:val="auto"/>
          <w:highlight w:val="none"/>
        </w:rPr>
        <w:t>mg/L</w:t>
      </w:r>
      <w:r>
        <w:rPr>
          <w:color w:val="auto"/>
          <w:highlight w:val="none"/>
        </w:rPr>
        <w:t>；</w:t>
      </w:r>
    </w:p>
    <w:p w14:paraId="4B37DA66">
      <w:pPr>
        <w:ind w:firstLine="1180" w:firstLineChars="500"/>
        <w:rPr>
          <w:color w:val="auto"/>
          <w:highlight w:val="none"/>
        </w:rPr>
      </w:pPr>
      <w:r>
        <w:rPr>
          <w:color w:val="auto"/>
          <w:highlight w:val="none"/>
        </w:rPr>
        <w:t>C</w:t>
      </w:r>
      <w:r>
        <w:rPr>
          <w:i/>
          <w:iCs/>
          <w:color w:val="auto"/>
          <w:highlight w:val="none"/>
          <w:vertAlign w:val="subscript"/>
        </w:rPr>
        <w:t>s</w:t>
      </w:r>
      <w:r>
        <w:rPr>
          <w:color w:val="auto"/>
          <w:highlight w:val="none"/>
        </w:rPr>
        <w:t>为污染物i的评价标准，</w:t>
      </w:r>
      <w:r>
        <w:rPr>
          <w:rFonts w:hint="eastAsia"/>
          <w:color w:val="auto"/>
          <w:highlight w:val="none"/>
        </w:rPr>
        <w:t>mg/L</w:t>
      </w:r>
      <w:r>
        <w:rPr>
          <w:color w:val="auto"/>
          <w:highlight w:val="none"/>
        </w:rPr>
        <w:t>。</w:t>
      </w:r>
    </w:p>
    <w:p w14:paraId="5AB5A2A6">
      <w:pPr>
        <w:ind w:firstLine="470"/>
        <w:rPr>
          <w:color w:val="auto"/>
          <w:highlight w:val="none"/>
        </w:rPr>
      </w:pPr>
      <w:r>
        <w:rPr>
          <w:color w:val="auto"/>
          <w:highlight w:val="none"/>
        </w:rPr>
        <w:t>pH的</w:t>
      </w:r>
      <w:r>
        <w:rPr>
          <w:rFonts w:hint="eastAsia"/>
          <w:color w:val="auto"/>
          <w:highlight w:val="none"/>
        </w:rPr>
        <w:t>标准</w:t>
      </w:r>
      <w:r>
        <w:rPr>
          <w:color w:val="auto"/>
          <w:highlight w:val="none"/>
        </w:rPr>
        <w:t>指数P</w:t>
      </w:r>
      <w:r>
        <w:rPr>
          <w:i/>
          <w:iCs/>
          <w:color w:val="auto"/>
          <w:highlight w:val="none"/>
          <w:vertAlign w:val="subscript"/>
        </w:rPr>
        <w:t xml:space="preserve"> pH</w:t>
      </w:r>
      <w:r>
        <w:rPr>
          <w:color w:val="auto"/>
          <w:highlight w:val="none"/>
        </w:rPr>
        <w:t>的计算公式为：</w:t>
      </w:r>
    </w:p>
    <w:p w14:paraId="148CA2F2">
      <w:pPr>
        <w:pStyle w:val="28"/>
        <w:rPr>
          <w:rFonts w:hint="default"/>
          <w:color w:val="auto"/>
          <w:highlight w:val="none"/>
        </w:rPr>
      </w:pPr>
      <w:r>
        <w:rPr>
          <w:color w:val="auto"/>
          <w:highlight w:val="none"/>
        </w:rPr>
        <w:drawing>
          <wp:inline distT="0" distB="0" distL="0" distR="0">
            <wp:extent cx="2674620" cy="464820"/>
            <wp:effectExtent l="19050" t="0" r="0" b="0"/>
            <wp:docPr id="49"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21"/>
                    <pic:cNvPicPr>
                      <a:picLocks noChangeAspect="1" noChangeArrowheads="1"/>
                    </pic:cNvPicPr>
                  </pic:nvPicPr>
                  <pic:blipFill>
                    <a:blip r:embed="rId77" cstate="print"/>
                    <a:srcRect/>
                    <a:stretch>
                      <a:fillRect/>
                    </a:stretch>
                  </pic:blipFill>
                  <pic:spPr>
                    <a:xfrm>
                      <a:off x="0" y="0"/>
                      <a:ext cx="2674620" cy="464820"/>
                    </a:xfrm>
                    <a:prstGeom prst="rect">
                      <a:avLst/>
                    </a:prstGeom>
                    <a:noFill/>
                    <a:ln w="9525">
                      <a:noFill/>
                      <a:miter lim="800000"/>
                      <a:headEnd/>
                      <a:tailEnd/>
                    </a:ln>
                    <a:effectLst/>
                  </pic:spPr>
                </pic:pic>
              </a:graphicData>
            </a:graphic>
          </wp:inline>
        </w:drawing>
      </w:r>
    </w:p>
    <w:p w14:paraId="22CEDB85">
      <w:pPr>
        <w:pStyle w:val="28"/>
        <w:rPr>
          <w:rFonts w:hint="default"/>
          <w:color w:val="auto"/>
          <w:highlight w:val="none"/>
        </w:rPr>
      </w:pPr>
      <w:r>
        <w:rPr>
          <w:color w:val="auto"/>
          <w:highlight w:val="none"/>
        </w:rPr>
        <w:drawing>
          <wp:inline distT="0" distB="0" distL="0" distR="0">
            <wp:extent cx="2750820" cy="464820"/>
            <wp:effectExtent l="0" t="0" r="11430" b="11430"/>
            <wp:docPr id="50" name="图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213"/>
                    <pic:cNvPicPr>
                      <a:picLocks noChangeAspect="1" noChangeArrowheads="1"/>
                    </pic:cNvPicPr>
                  </pic:nvPicPr>
                  <pic:blipFill>
                    <a:blip r:embed="rId78" cstate="print"/>
                    <a:srcRect l="1299"/>
                    <a:stretch>
                      <a:fillRect/>
                    </a:stretch>
                  </pic:blipFill>
                  <pic:spPr>
                    <a:xfrm>
                      <a:off x="0" y="0"/>
                      <a:ext cx="2750820" cy="464820"/>
                    </a:xfrm>
                    <a:prstGeom prst="rect">
                      <a:avLst/>
                    </a:prstGeom>
                    <a:noFill/>
                    <a:ln w="9525">
                      <a:noFill/>
                      <a:miter lim="800000"/>
                      <a:headEnd/>
                      <a:tailEnd/>
                    </a:ln>
                  </pic:spPr>
                </pic:pic>
              </a:graphicData>
            </a:graphic>
          </wp:inline>
        </w:drawing>
      </w:r>
    </w:p>
    <w:p w14:paraId="3AE4A842">
      <w:pPr>
        <w:ind w:firstLine="470"/>
        <w:rPr>
          <w:color w:val="auto"/>
          <w:highlight w:val="none"/>
        </w:rPr>
      </w:pPr>
      <w:r>
        <w:rPr>
          <w:color w:val="auto"/>
          <w:highlight w:val="none"/>
        </w:rPr>
        <w:t>式中：</w:t>
      </w:r>
      <w:r>
        <w:rPr>
          <w:i/>
          <w:iCs/>
          <w:color w:val="auto"/>
          <w:highlight w:val="none"/>
        </w:rPr>
        <w:t>pH</w:t>
      </w:r>
      <w:r>
        <w:rPr>
          <w:color w:val="auto"/>
          <w:highlight w:val="none"/>
        </w:rPr>
        <w:t>为pH的实测值；</w:t>
      </w:r>
    </w:p>
    <w:p w14:paraId="7D90EFC4">
      <w:pPr>
        <w:ind w:firstLine="1180" w:firstLineChars="500"/>
        <w:rPr>
          <w:color w:val="auto"/>
          <w:highlight w:val="none"/>
        </w:rPr>
      </w:pPr>
      <w:r>
        <w:rPr>
          <w:i/>
          <w:iCs/>
          <w:color w:val="auto"/>
          <w:highlight w:val="none"/>
        </w:rPr>
        <w:t>pH</w:t>
      </w:r>
      <w:r>
        <w:rPr>
          <w:i/>
          <w:iCs/>
          <w:color w:val="auto"/>
          <w:highlight w:val="none"/>
          <w:vertAlign w:val="subscript"/>
        </w:rPr>
        <w:t>1</w:t>
      </w:r>
      <w:r>
        <w:rPr>
          <w:color w:val="auto"/>
          <w:highlight w:val="none"/>
        </w:rPr>
        <w:t>为《地下水质量标准》Ⅲ类标准规定的pH下限值；</w:t>
      </w:r>
    </w:p>
    <w:p w14:paraId="7DE08E1A">
      <w:pPr>
        <w:ind w:firstLine="1180" w:firstLineChars="500"/>
        <w:rPr>
          <w:color w:val="auto"/>
          <w:highlight w:val="none"/>
        </w:rPr>
      </w:pPr>
      <w:r>
        <w:rPr>
          <w:color w:val="auto"/>
          <w:highlight w:val="none"/>
        </w:rPr>
        <w:t>p</w:t>
      </w:r>
      <w:r>
        <w:rPr>
          <w:i/>
          <w:iCs/>
          <w:color w:val="auto"/>
          <w:highlight w:val="none"/>
        </w:rPr>
        <w:t>H</w:t>
      </w:r>
      <w:r>
        <w:rPr>
          <w:i/>
          <w:iCs/>
          <w:color w:val="auto"/>
          <w:highlight w:val="none"/>
          <w:vertAlign w:val="subscript"/>
        </w:rPr>
        <w:t>2</w:t>
      </w:r>
      <w:r>
        <w:rPr>
          <w:color w:val="auto"/>
          <w:highlight w:val="none"/>
        </w:rPr>
        <w:t>为《地下水质量标准》Ⅲ类标准规定的pH上限值。</w:t>
      </w:r>
    </w:p>
    <w:p w14:paraId="104D796C">
      <w:pPr>
        <w:ind w:firstLine="470"/>
        <w:rPr>
          <w:color w:val="auto"/>
          <w:highlight w:val="none"/>
        </w:rPr>
      </w:pPr>
      <w:r>
        <w:rPr>
          <w:color w:val="auto"/>
          <w:highlight w:val="none"/>
        </w:rPr>
        <w:t>P</w:t>
      </w:r>
      <w:r>
        <w:rPr>
          <w:i/>
          <w:iCs/>
          <w:color w:val="auto"/>
          <w:highlight w:val="none"/>
          <w:vertAlign w:val="subscript"/>
        </w:rPr>
        <w:t>i</w:t>
      </w:r>
      <w:r>
        <w:rPr>
          <w:rFonts w:hint="eastAsia"/>
          <w:color w:val="auto"/>
          <w:highlight w:val="none"/>
        </w:rPr>
        <w:t>≤</w:t>
      </w:r>
      <w:r>
        <w:rPr>
          <w:color w:val="auto"/>
          <w:highlight w:val="none"/>
        </w:rPr>
        <w:t>1，水质达标；P</w:t>
      </w:r>
      <w:r>
        <w:rPr>
          <w:i/>
          <w:iCs/>
          <w:color w:val="auto"/>
          <w:highlight w:val="none"/>
          <w:vertAlign w:val="subscript"/>
        </w:rPr>
        <w:t>i</w:t>
      </w:r>
      <w:r>
        <w:rPr>
          <w:color w:val="auto"/>
          <w:highlight w:val="none"/>
        </w:rPr>
        <w:t>＞1，水质超标。</w:t>
      </w:r>
    </w:p>
    <w:p w14:paraId="21EE65E1">
      <w:pPr>
        <w:ind w:firstLine="470"/>
        <w:rPr>
          <w:color w:val="auto"/>
          <w:highlight w:val="none"/>
        </w:rPr>
      </w:pPr>
      <w:r>
        <w:rPr>
          <w:rFonts w:hint="eastAsia"/>
          <w:color w:val="auto"/>
          <w:highlight w:val="none"/>
          <w:lang w:eastAsia="zh-CN"/>
        </w:rPr>
        <w:t>（</w:t>
      </w:r>
      <w:r>
        <w:rPr>
          <w:rFonts w:hint="eastAsia"/>
          <w:color w:val="auto"/>
          <w:highlight w:val="none"/>
          <w:lang w:val="en-US" w:eastAsia="zh-CN"/>
        </w:rPr>
        <w:t>3</w:t>
      </w:r>
      <w:r>
        <w:rPr>
          <w:rFonts w:hint="eastAsia"/>
          <w:color w:val="auto"/>
          <w:highlight w:val="none"/>
          <w:lang w:eastAsia="zh-CN"/>
        </w:rPr>
        <w:t>）</w:t>
      </w:r>
      <w:r>
        <w:rPr>
          <w:rFonts w:hint="eastAsia"/>
          <w:color w:val="auto"/>
          <w:highlight w:val="none"/>
        </w:rPr>
        <w:t>评价结果</w:t>
      </w:r>
    </w:p>
    <w:p w14:paraId="7DD6BC37">
      <w:pPr>
        <w:ind w:firstLine="470"/>
        <w:rPr>
          <w:color w:val="auto"/>
          <w:highlight w:val="none"/>
        </w:rPr>
      </w:pPr>
      <w:r>
        <w:rPr>
          <w:rFonts w:hint="eastAsia"/>
          <w:color w:val="auto"/>
          <w:highlight w:val="none"/>
          <w:lang w:eastAsia="zh-CN"/>
        </w:rPr>
        <w:t>各水井</w:t>
      </w:r>
      <w:r>
        <w:rPr>
          <w:rFonts w:hint="eastAsia"/>
          <w:color w:val="auto"/>
          <w:highlight w:val="none"/>
        </w:rPr>
        <w:t>低于检出限</w:t>
      </w:r>
      <w:r>
        <w:rPr>
          <w:rFonts w:hint="eastAsia"/>
          <w:color w:val="auto"/>
          <w:highlight w:val="none"/>
          <w:lang w:val="en-US" w:eastAsia="zh-CN"/>
        </w:rPr>
        <w:t>指标</w:t>
      </w:r>
      <w:r>
        <w:rPr>
          <w:rFonts w:hint="eastAsia"/>
          <w:color w:val="auto"/>
          <w:highlight w:val="none"/>
        </w:rPr>
        <w:t>不进行单项标准指数评价，剩余水质指标评价结果见表2-</w:t>
      </w:r>
      <w:r>
        <w:rPr>
          <w:rFonts w:hint="eastAsia"/>
          <w:color w:val="auto"/>
          <w:highlight w:val="none"/>
          <w:lang w:val="en-US" w:eastAsia="zh-CN"/>
        </w:rPr>
        <w:t>8</w:t>
      </w:r>
      <w:r>
        <w:rPr>
          <w:rFonts w:hint="eastAsia"/>
          <w:color w:val="auto"/>
          <w:highlight w:val="none"/>
        </w:rPr>
        <w:t>。</w:t>
      </w:r>
    </w:p>
    <w:p w14:paraId="238CD2B8">
      <w:pPr>
        <w:pStyle w:val="28"/>
        <w:rPr>
          <w:rFonts w:hint="default"/>
          <w:color w:val="auto"/>
          <w:highlight w:val="none"/>
        </w:rPr>
        <w:sectPr>
          <w:pgSz w:w="11905" w:h="16838"/>
          <w:pgMar w:top="1474" w:right="1474" w:bottom="1474" w:left="1474" w:header="964" w:footer="992" w:gutter="0"/>
          <w:pgBorders>
            <w:top w:val="none" w:sz="0" w:space="0"/>
            <w:left w:val="none" w:sz="0" w:space="0"/>
            <w:bottom w:val="none" w:sz="0" w:space="0"/>
            <w:right w:val="none" w:sz="0" w:space="0"/>
          </w:pgBorders>
          <w:pgNumType w:fmt="decimal"/>
          <w:cols w:space="720" w:num="1"/>
          <w:docGrid w:type="linesAndChars" w:linePitch="347" w:charSpace="-1024"/>
        </w:sectPr>
      </w:pPr>
    </w:p>
    <w:p w14:paraId="215D33BE">
      <w:pPr>
        <w:pStyle w:val="28"/>
        <w:rPr>
          <w:color w:val="auto"/>
          <w:highlight w:val="none"/>
        </w:rPr>
      </w:pPr>
      <w:r>
        <w:rPr>
          <w:color w:val="auto"/>
          <w:highlight w:val="none"/>
        </w:rPr>
        <w:t>表2-</w:t>
      </w:r>
      <w:r>
        <w:rPr>
          <w:rFonts w:hint="eastAsia"/>
          <w:color w:val="auto"/>
          <w:highlight w:val="none"/>
          <w:lang w:val="en-US" w:eastAsia="zh-CN"/>
        </w:rPr>
        <w:t xml:space="preserve">8  </w:t>
      </w:r>
      <w:r>
        <w:rPr>
          <w:rFonts w:hint="eastAsia"/>
          <w:color w:val="auto"/>
          <w:highlight w:val="none"/>
          <w:lang w:eastAsia="zh-CN"/>
        </w:rPr>
        <w:t>各</w:t>
      </w:r>
      <w:r>
        <w:rPr>
          <w:color w:val="auto"/>
          <w:highlight w:val="none"/>
        </w:rPr>
        <w:t>水井原水水质评价结果</w:t>
      </w:r>
    </w:p>
    <w:tbl>
      <w:tblPr>
        <w:tblStyle w:val="21"/>
        <w:tblW w:w="4995"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Layout w:type="autofit"/>
        <w:tblCellMar>
          <w:top w:w="0" w:type="dxa"/>
          <w:left w:w="108" w:type="dxa"/>
          <w:bottom w:w="0" w:type="dxa"/>
          <w:right w:w="108" w:type="dxa"/>
        </w:tblCellMar>
      </w:tblPr>
      <w:tblGrid>
        <w:gridCol w:w="1567"/>
        <w:gridCol w:w="1185"/>
        <w:gridCol w:w="1303"/>
        <w:gridCol w:w="1294"/>
        <w:gridCol w:w="1307"/>
        <w:gridCol w:w="1391"/>
        <w:gridCol w:w="1223"/>
        <w:gridCol w:w="1307"/>
        <w:gridCol w:w="1307"/>
        <w:gridCol w:w="1307"/>
        <w:gridCol w:w="1307"/>
        <w:gridCol w:w="1307"/>
        <w:gridCol w:w="1307"/>
        <w:gridCol w:w="1307"/>
        <w:gridCol w:w="1330"/>
        <w:gridCol w:w="1309"/>
      </w:tblGrid>
      <w:tr w14:paraId="0A381FF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54" w:hRule="atLeast"/>
        </w:trPr>
        <w:tc>
          <w:tcPr>
            <w:tcW w:w="372" w:type="pct"/>
            <w:tcBorders>
              <w:tl2br w:val="nil"/>
              <w:tr2bl w:val="nil"/>
            </w:tcBorders>
            <w:shd w:val="clear" w:color="auto" w:fill="auto"/>
            <w:vAlign w:val="center"/>
          </w:tcPr>
          <w:p w14:paraId="2E72E2BF">
            <w:pPr>
              <w:pStyle w:val="28"/>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点位名称</w:t>
            </w:r>
          </w:p>
        </w:tc>
        <w:tc>
          <w:tcPr>
            <w:tcW w:w="281" w:type="pct"/>
            <w:tcBorders>
              <w:tl2br w:val="nil"/>
              <w:tr2bl w:val="nil"/>
            </w:tcBorders>
            <w:shd w:val="clear" w:color="auto" w:fill="auto"/>
            <w:vAlign w:val="center"/>
          </w:tcPr>
          <w:p w14:paraId="7227D24D">
            <w:pPr>
              <w:keepNext w:val="0"/>
              <w:keepLines w:val="0"/>
              <w:widowControl/>
              <w:suppressLineNumbers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绥化市庆安县同乐镇饮用水水源地</w:t>
            </w:r>
            <w:r>
              <w:rPr>
                <w:rFonts w:hint="default" w:ascii="Times New Roman" w:hAnsi="Times New Roman" w:eastAsia="宋体" w:cs="Times New Roman"/>
                <w:color w:val="auto"/>
                <w:sz w:val="21"/>
                <w:szCs w:val="21"/>
                <w:highlight w:val="none"/>
                <w:u w:val="none"/>
                <w:lang w:val="en-US" w:eastAsia="zh-CN" w:bidi="ar"/>
              </w:rPr>
              <w:t>1#</w:t>
            </w:r>
            <w:r>
              <w:rPr>
                <w:rFonts w:hint="eastAsia" w:ascii="宋体" w:hAnsi="宋体" w:eastAsia="宋体" w:cs="宋体"/>
                <w:color w:val="auto"/>
                <w:sz w:val="21"/>
                <w:szCs w:val="21"/>
                <w:highlight w:val="none"/>
                <w:u w:val="none"/>
                <w:lang w:val="en-US" w:eastAsia="zh-CN" w:bidi="ar"/>
              </w:rPr>
              <w:t>取水井</w:t>
            </w:r>
          </w:p>
        </w:tc>
        <w:tc>
          <w:tcPr>
            <w:tcW w:w="309" w:type="pct"/>
            <w:tcBorders>
              <w:tl2br w:val="nil"/>
              <w:tr2bl w:val="nil"/>
            </w:tcBorders>
            <w:shd w:val="clear" w:color="auto" w:fill="auto"/>
            <w:vAlign w:val="center"/>
          </w:tcPr>
          <w:p w14:paraId="6308A3B8">
            <w:pPr>
              <w:keepNext w:val="0"/>
              <w:keepLines w:val="0"/>
              <w:widowControl/>
              <w:suppressLineNumbers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绥化市庆安县同乐镇饮用水水源地</w:t>
            </w:r>
            <w:r>
              <w:rPr>
                <w:rFonts w:hint="default" w:ascii="Times New Roman" w:hAnsi="Times New Roman" w:eastAsia="宋体" w:cs="Times New Roman"/>
                <w:color w:val="auto"/>
                <w:sz w:val="21"/>
                <w:szCs w:val="21"/>
                <w:highlight w:val="none"/>
                <w:u w:val="none"/>
                <w:lang w:val="en-US" w:eastAsia="zh-CN" w:bidi="ar"/>
              </w:rPr>
              <w:t>2#</w:t>
            </w:r>
            <w:r>
              <w:rPr>
                <w:rFonts w:hint="eastAsia" w:ascii="宋体" w:hAnsi="宋体" w:eastAsia="宋体" w:cs="宋体"/>
                <w:color w:val="auto"/>
                <w:sz w:val="21"/>
                <w:szCs w:val="21"/>
                <w:highlight w:val="none"/>
                <w:u w:val="none"/>
                <w:lang w:val="en-US" w:eastAsia="zh-CN" w:bidi="ar"/>
              </w:rPr>
              <w:t>取水井</w:t>
            </w:r>
          </w:p>
        </w:tc>
        <w:tc>
          <w:tcPr>
            <w:tcW w:w="307" w:type="pct"/>
            <w:tcBorders>
              <w:tl2br w:val="nil"/>
              <w:tr2bl w:val="nil"/>
            </w:tcBorders>
            <w:shd w:val="clear" w:color="auto" w:fill="auto"/>
            <w:vAlign w:val="center"/>
          </w:tcPr>
          <w:p w14:paraId="2F572AD1">
            <w:pPr>
              <w:keepNext w:val="0"/>
              <w:keepLines w:val="0"/>
              <w:widowControl/>
              <w:suppressLineNumbers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绥化市庆安县同乐镇饮用水水源地</w:t>
            </w:r>
            <w:r>
              <w:rPr>
                <w:rFonts w:hint="default" w:ascii="Times New Roman" w:hAnsi="Times New Roman" w:eastAsia="宋体" w:cs="Times New Roman"/>
                <w:color w:val="auto"/>
                <w:sz w:val="21"/>
                <w:szCs w:val="21"/>
                <w:highlight w:val="none"/>
                <w:u w:val="none"/>
                <w:lang w:val="en-US" w:eastAsia="zh-CN" w:bidi="ar"/>
              </w:rPr>
              <w:t>3#</w:t>
            </w:r>
            <w:r>
              <w:rPr>
                <w:rFonts w:hint="eastAsia" w:ascii="宋体" w:hAnsi="宋体" w:eastAsia="宋体" w:cs="宋体"/>
                <w:color w:val="auto"/>
                <w:sz w:val="21"/>
                <w:szCs w:val="21"/>
                <w:highlight w:val="none"/>
                <w:u w:val="none"/>
                <w:lang w:val="en-US" w:eastAsia="zh-CN" w:bidi="ar"/>
              </w:rPr>
              <w:t>取水井</w:t>
            </w:r>
          </w:p>
        </w:tc>
        <w:tc>
          <w:tcPr>
            <w:tcW w:w="310" w:type="pct"/>
            <w:tcBorders>
              <w:tl2br w:val="nil"/>
              <w:tr2bl w:val="nil"/>
            </w:tcBorders>
            <w:shd w:val="clear" w:color="auto" w:fill="auto"/>
            <w:vAlign w:val="center"/>
          </w:tcPr>
          <w:p w14:paraId="2EFBD7ED">
            <w:pPr>
              <w:keepNext w:val="0"/>
              <w:keepLines w:val="0"/>
              <w:widowControl/>
              <w:suppressLineNumbers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绥化市庆安县丰收乡饮用水水源地</w:t>
            </w:r>
            <w:r>
              <w:rPr>
                <w:rFonts w:hint="default" w:ascii="Times New Roman" w:hAnsi="Times New Roman" w:eastAsia="宋体" w:cs="Times New Roman"/>
                <w:color w:val="auto"/>
                <w:sz w:val="21"/>
                <w:szCs w:val="21"/>
                <w:highlight w:val="none"/>
                <w:u w:val="none"/>
                <w:lang w:val="en-US" w:eastAsia="zh-CN" w:bidi="ar"/>
              </w:rPr>
              <w:t>1#</w:t>
            </w:r>
            <w:r>
              <w:rPr>
                <w:rFonts w:hint="eastAsia" w:ascii="宋体" w:hAnsi="宋体" w:eastAsia="宋体" w:cs="宋体"/>
                <w:color w:val="auto"/>
                <w:sz w:val="21"/>
                <w:szCs w:val="21"/>
                <w:highlight w:val="none"/>
                <w:u w:val="none"/>
                <w:lang w:val="en-US" w:eastAsia="zh-CN" w:bidi="ar"/>
              </w:rPr>
              <w:t>取水井</w:t>
            </w:r>
          </w:p>
        </w:tc>
        <w:tc>
          <w:tcPr>
            <w:tcW w:w="330" w:type="pct"/>
            <w:tcBorders>
              <w:tl2br w:val="nil"/>
              <w:tr2bl w:val="nil"/>
            </w:tcBorders>
            <w:shd w:val="clear" w:color="auto" w:fill="auto"/>
            <w:vAlign w:val="center"/>
          </w:tcPr>
          <w:p w14:paraId="40E58A7C">
            <w:pPr>
              <w:keepNext w:val="0"/>
              <w:keepLines w:val="0"/>
              <w:widowControl/>
              <w:suppressLineNumbers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绥化市庆安县丰收乡饮用水水源地</w:t>
            </w:r>
            <w:r>
              <w:rPr>
                <w:rFonts w:hint="default" w:ascii="Times New Roman" w:hAnsi="Times New Roman" w:eastAsia="宋体" w:cs="Times New Roman"/>
                <w:color w:val="auto"/>
                <w:sz w:val="21"/>
                <w:szCs w:val="21"/>
                <w:highlight w:val="none"/>
                <w:u w:val="none"/>
                <w:lang w:val="en-US" w:eastAsia="zh-CN" w:bidi="ar"/>
              </w:rPr>
              <w:t>2#</w:t>
            </w:r>
            <w:r>
              <w:rPr>
                <w:rFonts w:hint="eastAsia" w:ascii="宋体" w:hAnsi="宋体" w:eastAsia="宋体" w:cs="宋体"/>
                <w:color w:val="auto"/>
                <w:sz w:val="21"/>
                <w:szCs w:val="21"/>
                <w:highlight w:val="none"/>
                <w:u w:val="none"/>
                <w:lang w:val="en-US" w:eastAsia="zh-CN" w:bidi="ar"/>
              </w:rPr>
              <w:t>取水井</w:t>
            </w:r>
          </w:p>
        </w:tc>
        <w:tc>
          <w:tcPr>
            <w:tcW w:w="290" w:type="pct"/>
            <w:tcBorders>
              <w:tl2br w:val="nil"/>
              <w:tr2bl w:val="nil"/>
            </w:tcBorders>
            <w:shd w:val="clear" w:color="auto" w:fill="auto"/>
            <w:vAlign w:val="center"/>
          </w:tcPr>
          <w:p w14:paraId="1D113475">
            <w:pPr>
              <w:keepNext w:val="0"/>
              <w:keepLines w:val="0"/>
              <w:widowControl/>
              <w:suppressLineNumbers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绥化市庆安县丰收乡饮用水水源地</w:t>
            </w:r>
            <w:r>
              <w:rPr>
                <w:rFonts w:hint="default" w:ascii="Times New Roman" w:hAnsi="Times New Roman" w:eastAsia="宋体" w:cs="Times New Roman"/>
                <w:color w:val="auto"/>
                <w:sz w:val="21"/>
                <w:szCs w:val="21"/>
                <w:highlight w:val="none"/>
                <w:u w:val="none"/>
                <w:lang w:val="en-US" w:eastAsia="zh-CN" w:bidi="ar"/>
              </w:rPr>
              <w:t>4#</w:t>
            </w:r>
            <w:r>
              <w:rPr>
                <w:rFonts w:hint="eastAsia" w:ascii="宋体" w:hAnsi="宋体" w:eastAsia="宋体" w:cs="宋体"/>
                <w:color w:val="auto"/>
                <w:sz w:val="21"/>
                <w:szCs w:val="21"/>
                <w:highlight w:val="none"/>
                <w:u w:val="none"/>
                <w:lang w:val="en-US" w:eastAsia="zh-CN" w:bidi="ar"/>
              </w:rPr>
              <w:t>取水井</w:t>
            </w:r>
          </w:p>
        </w:tc>
        <w:tc>
          <w:tcPr>
            <w:tcW w:w="310" w:type="pct"/>
            <w:tcBorders>
              <w:tl2br w:val="nil"/>
              <w:tr2bl w:val="nil"/>
            </w:tcBorders>
            <w:shd w:val="clear" w:color="auto" w:fill="auto"/>
            <w:vAlign w:val="center"/>
          </w:tcPr>
          <w:p w14:paraId="53BCAF24">
            <w:pPr>
              <w:keepNext w:val="0"/>
              <w:keepLines w:val="0"/>
              <w:widowControl/>
              <w:suppressLineNumbers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绥化市庆安县发展乡饮用水水源地</w:t>
            </w:r>
            <w:r>
              <w:rPr>
                <w:rFonts w:hint="default" w:ascii="Times New Roman" w:hAnsi="Times New Roman" w:eastAsia="宋体" w:cs="Times New Roman"/>
                <w:color w:val="auto"/>
                <w:sz w:val="21"/>
                <w:szCs w:val="21"/>
                <w:highlight w:val="none"/>
                <w:u w:val="none"/>
                <w:lang w:val="en-US" w:eastAsia="zh-CN" w:bidi="ar"/>
              </w:rPr>
              <w:t>1#</w:t>
            </w:r>
            <w:r>
              <w:rPr>
                <w:rFonts w:hint="eastAsia" w:ascii="宋体" w:hAnsi="宋体" w:eastAsia="宋体" w:cs="宋体"/>
                <w:color w:val="auto"/>
                <w:sz w:val="21"/>
                <w:szCs w:val="21"/>
                <w:highlight w:val="none"/>
                <w:u w:val="none"/>
                <w:lang w:val="en-US" w:eastAsia="zh-CN" w:bidi="ar"/>
              </w:rPr>
              <w:t>取水井</w:t>
            </w:r>
          </w:p>
        </w:tc>
        <w:tc>
          <w:tcPr>
            <w:tcW w:w="310" w:type="pct"/>
            <w:tcBorders>
              <w:tl2br w:val="nil"/>
              <w:tr2bl w:val="nil"/>
            </w:tcBorders>
            <w:shd w:val="clear" w:color="auto" w:fill="auto"/>
            <w:vAlign w:val="center"/>
          </w:tcPr>
          <w:p w14:paraId="60538167">
            <w:pPr>
              <w:keepNext w:val="0"/>
              <w:keepLines w:val="0"/>
              <w:widowControl/>
              <w:suppressLineNumbers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绥化市庆安县发展乡饮用水水源地</w:t>
            </w:r>
            <w:r>
              <w:rPr>
                <w:rFonts w:hint="default" w:ascii="Times New Roman" w:hAnsi="Times New Roman" w:eastAsia="宋体" w:cs="Times New Roman"/>
                <w:color w:val="auto"/>
                <w:sz w:val="21"/>
                <w:szCs w:val="21"/>
                <w:highlight w:val="none"/>
                <w:u w:val="none"/>
                <w:lang w:val="en-US" w:eastAsia="zh-CN" w:bidi="ar"/>
              </w:rPr>
              <w:t>2#</w:t>
            </w:r>
            <w:r>
              <w:rPr>
                <w:rFonts w:hint="eastAsia" w:ascii="宋体" w:hAnsi="宋体" w:eastAsia="宋体" w:cs="宋体"/>
                <w:color w:val="auto"/>
                <w:sz w:val="21"/>
                <w:szCs w:val="21"/>
                <w:highlight w:val="none"/>
                <w:u w:val="none"/>
                <w:lang w:val="en-US" w:eastAsia="zh-CN" w:bidi="ar"/>
              </w:rPr>
              <w:t>取水井</w:t>
            </w:r>
          </w:p>
        </w:tc>
        <w:tc>
          <w:tcPr>
            <w:tcW w:w="310" w:type="pct"/>
            <w:tcBorders>
              <w:tl2br w:val="nil"/>
              <w:tr2bl w:val="nil"/>
            </w:tcBorders>
            <w:shd w:val="clear" w:color="auto" w:fill="auto"/>
            <w:vAlign w:val="center"/>
          </w:tcPr>
          <w:p w14:paraId="452A97E7">
            <w:pPr>
              <w:keepNext w:val="0"/>
              <w:keepLines w:val="0"/>
              <w:widowControl/>
              <w:suppressLineNumbers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绥化市庆安县发展乡饮用水水源地</w:t>
            </w:r>
            <w:r>
              <w:rPr>
                <w:rFonts w:hint="default" w:ascii="Times New Roman" w:hAnsi="Times New Roman" w:eastAsia="宋体" w:cs="Times New Roman"/>
                <w:color w:val="auto"/>
                <w:sz w:val="21"/>
                <w:szCs w:val="21"/>
                <w:highlight w:val="none"/>
                <w:u w:val="none"/>
                <w:lang w:val="en-US" w:eastAsia="zh-CN" w:bidi="ar"/>
              </w:rPr>
              <w:t>3#</w:t>
            </w:r>
            <w:r>
              <w:rPr>
                <w:rFonts w:hint="eastAsia" w:ascii="宋体" w:hAnsi="宋体" w:eastAsia="宋体" w:cs="宋体"/>
                <w:color w:val="auto"/>
                <w:sz w:val="21"/>
                <w:szCs w:val="21"/>
                <w:highlight w:val="none"/>
                <w:u w:val="none"/>
                <w:lang w:val="en-US" w:eastAsia="zh-CN" w:bidi="ar"/>
              </w:rPr>
              <w:t>取水井</w:t>
            </w:r>
          </w:p>
        </w:tc>
        <w:tc>
          <w:tcPr>
            <w:tcW w:w="310" w:type="pct"/>
            <w:tcBorders>
              <w:tl2br w:val="nil"/>
              <w:tr2bl w:val="nil"/>
            </w:tcBorders>
            <w:shd w:val="clear" w:color="auto" w:fill="auto"/>
            <w:vAlign w:val="center"/>
          </w:tcPr>
          <w:p w14:paraId="07FE05BE">
            <w:pPr>
              <w:keepNext w:val="0"/>
              <w:keepLines w:val="0"/>
              <w:widowControl/>
              <w:suppressLineNumbers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绥化市庆安县发展乡饮用水水源地</w:t>
            </w:r>
            <w:r>
              <w:rPr>
                <w:rFonts w:hint="default" w:ascii="Times New Roman" w:hAnsi="Times New Roman" w:eastAsia="宋体" w:cs="Times New Roman"/>
                <w:color w:val="auto"/>
                <w:sz w:val="21"/>
                <w:szCs w:val="21"/>
                <w:highlight w:val="none"/>
                <w:u w:val="none"/>
                <w:lang w:val="en-US" w:eastAsia="zh-CN" w:bidi="ar"/>
              </w:rPr>
              <w:t>4#</w:t>
            </w:r>
            <w:r>
              <w:rPr>
                <w:rFonts w:hint="eastAsia" w:ascii="宋体" w:hAnsi="宋体" w:eastAsia="宋体" w:cs="宋体"/>
                <w:color w:val="auto"/>
                <w:sz w:val="21"/>
                <w:szCs w:val="21"/>
                <w:highlight w:val="none"/>
                <w:u w:val="none"/>
                <w:lang w:val="en-US" w:eastAsia="zh-CN" w:bidi="ar"/>
              </w:rPr>
              <w:t>取水井</w:t>
            </w:r>
          </w:p>
        </w:tc>
        <w:tc>
          <w:tcPr>
            <w:tcW w:w="310" w:type="pct"/>
            <w:tcBorders>
              <w:tl2br w:val="nil"/>
              <w:tr2bl w:val="nil"/>
            </w:tcBorders>
            <w:shd w:val="clear" w:color="auto" w:fill="auto"/>
            <w:vAlign w:val="center"/>
          </w:tcPr>
          <w:p w14:paraId="147FF472">
            <w:pPr>
              <w:keepNext w:val="0"/>
              <w:keepLines w:val="0"/>
              <w:widowControl/>
              <w:suppressLineNumbers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绥化市庆安县发展乡饮用水水源地</w:t>
            </w:r>
            <w:r>
              <w:rPr>
                <w:rFonts w:hint="default" w:ascii="Times New Roman" w:hAnsi="Times New Roman" w:eastAsia="宋体" w:cs="Times New Roman"/>
                <w:color w:val="auto"/>
                <w:sz w:val="21"/>
                <w:szCs w:val="21"/>
                <w:highlight w:val="none"/>
                <w:u w:val="none"/>
                <w:lang w:val="en-US" w:eastAsia="zh-CN" w:bidi="ar"/>
              </w:rPr>
              <w:t>5#</w:t>
            </w:r>
            <w:r>
              <w:rPr>
                <w:rFonts w:hint="eastAsia" w:ascii="宋体" w:hAnsi="宋体" w:eastAsia="宋体" w:cs="宋体"/>
                <w:color w:val="auto"/>
                <w:sz w:val="21"/>
                <w:szCs w:val="21"/>
                <w:highlight w:val="none"/>
                <w:u w:val="none"/>
                <w:lang w:val="en-US" w:eastAsia="zh-CN" w:bidi="ar"/>
              </w:rPr>
              <w:t>取水井</w:t>
            </w:r>
          </w:p>
        </w:tc>
        <w:tc>
          <w:tcPr>
            <w:tcW w:w="310" w:type="pct"/>
            <w:tcBorders>
              <w:tl2br w:val="nil"/>
              <w:tr2bl w:val="nil"/>
            </w:tcBorders>
            <w:shd w:val="clear" w:color="auto" w:fill="auto"/>
            <w:vAlign w:val="center"/>
          </w:tcPr>
          <w:p w14:paraId="1F4CCC07">
            <w:pPr>
              <w:keepNext w:val="0"/>
              <w:keepLines w:val="0"/>
              <w:widowControl/>
              <w:suppressLineNumbers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绥化市庆安县发展乡饮用水水源地</w:t>
            </w:r>
            <w:r>
              <w:rPr>
                <w:rFonts w:hint="default" w:ascii="Times New Roman" w:hAnsi="Times New Roman" w:eastAsia="宋体" w:cs="Times New Roman"/>
                <w:color w:val="auto"/>
                <w:sz w:val="21"/>
                <w:szCs w:val="21"/>
                <w:highlight w:val="none"/>
                <w:u w:val="none"/>
                <w:lang w:val="en-US" w:eastAsia="zh-CN" w:bidi="ar"/>
              </w:rPr>
              <w:t>6#</w:t>
            </w:r>
            <w:r>
              <w:rPr>
                <w:rFonts w:hint="eastAsia" w:ascii="宋体" w:hAnsi="宋体" w:eastAsia="宋体" w:cs="宋体"/>
                <w:color w:val="auto"/>
                <w:sz w:val="21"/>
                <w:szCs w:val="21"/>
                <w:highlight w:val="none"/>
                <w:u w:val="none"/>
                <w:lang w:val="en-US" w:eastAsia="zh-CN" w:bidi="ar"/>
              </w:rPr>
              <w:t>取水井</w:t>
            </w:r>
          </w:p>
        </w:tc>
        <w:tc>
          <w:tcPr>
            <w:tcW w:w="310" w:type="pct"/>
            <w:tcBorders>
              <w:tl2br w:val="nil"/>
              <w:tr2bl w:val="nil"/>
            </w:tcBorders>
            <w:shd w:val="clear" w:color="auto" w:fill="auto"/>
            <w:vAlign w:val="center"/>
          </w:tcPr>
          <w:p w14:paraId="7BE58726">
            <w:pPr>
              <w:keepNext w:val="0"/>
              <w:keepLines w:val="0"/>
              <w:widowControl/>
              <w:suppressLineNumbers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绥化市庆安县发展乡饮用水水源地</w:t>
            </w:r>
            <w:r>
              <w:rPr>
                <w:rFonts w:hint="default" w:ascii="Times New Roman" w:hAnsi="Times New Roman" w:eastAsia="宋体" w:cs="Times New Roman"/>
                <w:color w:val="auto"/>
                <w:sz w:val="21"/>
                <w:szCs w:val="21"/>
                <w:highlight w:val="none"/>
                <w:u w:val="none"/>
                <w:lang w:val="en-US" w:eastAsia="zh-CN" w:bidi="ar"/>
              </w:rPr>
              <w:t>7#</w:t>
            </w:r>
            <w:r>
              <w:rPr>
                <w:rFonts w:hint="eastAsia" w:ascii="宋体" w:hAnsi="宋体" w:eastAsia="宋体" w:cs="宋体"/>
                <w:color w:val="auto"/>
                <w:sz w:val="21"/>
                <w:szCs w:val="21"/>
                <w:highlight w:val="none"/>
                <w:u w:val="none"/>
                <w:lang w:val="en-US" w:eastAsia="zh-CN" w:bidi="ar"/>
              </w:rPr>
              <w:t>取水井</w:t>
            </w:r>
          </w:p>
        </w:tc>
        <w:tc>
          <w:tcPr>
            <w:tcW w:w="315" w:type="pct"/>
            <w:tcBorders>
              <w:tl2br w:val="nil"/>
              <w:tr2bl w:val="nil"/>
            </w:tcBorders>
            <w:shd w:val="clear" w:color="auto" w:fill="auto"/>
            <w:vAlign w:val="center"/>
          </w:tcPr>
          <w:p w14:paraId="5EF937C6">
            <w:pPr>
              <w:keepNext w:val="0"/>
              <w:keepLines w:val="0"/>
              <w:widowControl/>
              <w:suppressLineNumbers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绥化市庆安县发展乡饮用水水源地</w:t>
            </w:r>
            <w:r>
              <w:rPr>
                <w:rFonts w:hint="default" w:ascii="Times New Roman" w:hAnsi="Times New Roman" w:eastAsia="宋体" w:cs="Times New Roman"/>
                <w:color w:val="auto"/>
                <w:sz w:val="21"/>
                <w:szCs w:val="21"/>
                <w:highlight w:val="none"/>
                <w:u w:val="none"/>
                <w:lang w:val="en-US" w:eastAsia="zh-CN" w:bidi="ar"/>
              </w:rPr>
              <w:t>8#</w:t>
            </w:r>
            <w:r>
              <w:rPr>
                <w:rFonts w:hint="eastAsia" w:ascii="宋体" w:hAnsi="宋体" w:eastAsia="宋体" w:cs="宋体"/>
                <w:color w:val="auto"/>
                <w:sz w:val="21"/>
                <w:szCs w:val="21"/>
                <w:highlight w:val="none"/>
                <w:u w:val="none"/>
                <w:lang w:val="en-US" w:eastAsia="zh-CN" w:bidi="ar"/>
              </w:rPr>
              <w:t>取水井</w:t>
            </w:r>
          </w:p>
        </w:tc>
        <w:tc>
          <w:tcPr>
            <w:tcW w:w="310" w:type="pct"/>
            <w:tcBorders>
              <w:tl2br w:val="nil"/>
              <w:tr2bl w:val="nil"/>
            </w:tcBorders>
            <w:shd w:val="clear" w:color="auto" w:fill="auto"/>
            <w:vAlign w:val="center"/>
          </w:tcPr>
          <w:p w14:paraId="2CE8FD80">
            <w:pPr>
              <w:keepNext w:val="0"/>
              <w:keepLines w:val="0"/>
              <w:widowControl/>
              <w:suppressLineNumbers w:val="0"/>
              <w:spacing w:line="240" w:lineRule="auto"/>
              <w:ind w:firstLine="0" w:firstLineChars="0"/>
              <w:jc w:val="center"/>
              <w:textAlignment w:val="center"/>
              <w:rPr>
                <w:rFonts w:hint="eastAsia" w:ascii="Times New Roman" w:hAnsi="Times New Roman" w:cs="Times New Roman"/>
                <w:i w:val="0"/>
                <w:iCs w:val="0"/>
                <w:color w:val="auto"/>
                <w:sz w:val="21"/>
                <w:szCs w:val="21"/>
                <w:highlight w:val="none"/>
                <w:u w:val="none"/>
                <w:lang w:val="en-US" w:eastAsia="zh-CN"/>
              </w:rPr>
            </w:pPr>
            <w:r>
              <w:rPr>
                <w:rFonts w:hint="eastAsia" w:ascii="Times New Roman" w:hAnsi="Times New Roman" w:cs="Times New Roman"/>
                <w:i w:val="0"/>
                <w:iCs w:val="0"/>
                <w:color w:val="auto"/>
                <w:sz w:val="21"/>
                <w:szCs w:val="21"/>
                <w:highlight w:val="none"/>
                <w:u w:val="none"/>
                <w:lang w:val="en-US" w:eastAsia="zh-CN"/>
              </w:rPr>
              <w:t>/</w:t>
            </w:r>
          </w:p>
        </w:tc>
      </w:tr>
      <w:tr w14:paraId="4F1BFF8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372" w:type="pct"/>
            <w:tcBorders>
              <w:tl2br w:val="nil"/>
              <w:tr2bl w:val="nil"/>
            </w:tcBorders>
            <w:shd w:val="clear" w:color="auto" w:fill="auto"/>
            <w:vAlign w:val="center"/>
          </w:tcPr>
          <w:p w14:paraId="7C3C8E50">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pH</w:t>
            </w:r>
            <w:r>
              <w:rPr>
                <w:rFonts w:hint="eastAsia" w:ascii="宋体" w:hAnsi="宋体" w:eastAsia="宋体" w:cs="宋体"/>
                <w:color w:val="auto"/>
                <w:sz w:val="21"/>
                <w:szCs w:val="21"/>
                <w:highlight w:val="none"/>
                <w:u w:val="none"/>
                <w:lang w:val="en-US" w:eastAsia="zh-CN" w:bidi="ar"/>
              </w:rPr>
              <w:t>（无量纲）</w:t>
            </w:r>
          </w:p>
        </w:tc>
        <w:tc>
          <w:tcPr>
            <w:tcW w:w="281" w:type="pct"/>
            <w:tcBorders>
              <w:tl2br w:val="nil"/>
              <w:tr2bl w:val="nil"/>
            </w:tcBorders>
            <w:shd w:val="clear" w:color="auto" w:fill="auto"/>
            <w:noWrap/>
            <w:vAlign w:val="center"/>
          </w:tcPr>
          <w:p w14:paraId="48010BA2">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w:t>
            </w:r>
          </w:p>
        </w:tc>
        <w:tc>
          <w:tcPr>
            <w:tcW w:w="309" w:type="pct"/>
            <w:tcBorders>
              <w:tl2br w:val="nil"/>
              <w:tr2bl w:val="nil"/>
            </w:tcBorders>
            <w:shd w:val="clear" w:color="auto" w:fill="auto"/>
            <w:noWrap/>
            <w:vAlign w:val="center"/>
          </w:tcPr>
          <w:p w14:paraId="12FB97BA">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0.200</w:t>
            </w:r>
          </w:p>
        </w:tc>
        <w:tc>
          <w:tcPr>
            <w:tcW w:w="307" w:type="pct"/>
            <w:tcBorders>
              <w:tl2br w:val="nil"/>
              <w:tr2bl w:val="nil"/>
            </w:tcBorders>
            <w:shd w:val="clear" w:color="auto" w:fill="auto"/>
            <w:noWrap/>
            <w:vAlign w:val="center"/>
          </w:tcPr>
          <w:p w14:paraId="7477DAD8">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w:t>
            </w:r>
          </w:p>
        </w:tc>
        <w:tc>
          <w:tcPr>
            <w:tcW w:w="310" w:type="pct"/>
            <w:tcBorders>
              <w:tl2br w:val="nil"/>
              <w:tr2bl w:val="nil"/>
            </w:tcBorders>
            <w:shd w:val="clear" w:color="auto" w:fill="auto"/>
            <w:noWrap/>
            <w:vAlign w:val="center"/>
          </w:tcPr>
          <w:p w14:paraId="2B6242F6">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0.200</w:t>
            </w:r>
          </w:p>
        </w:tc>
        <w:tc>
          <w:tcPr>
            <w:tcW w:w="330" w:type="pct"/>
            <w:tcBorders>
              <w:tl2br w:val="nil"/>
              <w:tr2bl w:val="nil"/>
            </w:tcBorders>
            <w:shd w:val="clear" w:color="auto" w:fill="auto"/>
            <w:noWrap/>
            <w:vAlign w:val="center"/>
          </w:tcPr>
          <w:p w14:paraId="67D859CD">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0.067</w:t>
            </w:r>
          </w:p>
        </w:tc>
        <w:tc>
          <w:tcPr>
            <w:tcW w:w="290" w:type="pct"/>
            <w:tcBorders>
              <w:tl2br w:val="nil"/>
              <w:tr2bl w:val="nil"/>
            </w:tcBorders>
            <w:shd w:val="clear" w:color="auto" w:fill="auto"/>
            <w:noWrap/>
            <w:vAlign w:val="center"/>
          </w:tcPr>
          <w:p w14:paraId="35B1BAFF">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w:t>
            </w:r>
          </w:p>
        </w:tc>
        <w:tc>
          <w:tcPr>
            <w:tcW w:w="310" w:type="pct"/>
            <w:tcBorders>
              <w:tl2br w:val="nil"/>
              <w:tr2bl w:val="nil"/>
            </w:tcBorders>
            <w:shd w:val="clear" w:color="auto" w:fill="auto"/>
            <w:noWrap/>
            <w:vAlign w:val="center"/>
          </w:tcPr>
          <w:p w14:paraId="7CA65B34">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0.200</w:t>
            </w:r>
          </w:p>
        </w:tc>
        <w:tc>
          <w:tcPr>
            <w:tcW w:w="310" w:type="pct"/>
            <w:tcBorders>
              <w:tl2br w:val="nil"/>
              <w:tr2bl w:val="nil"/>
            </w:tcBorders>
            <w:shd w:val="clear" w:color="auto" w:fill="auto"/>
            <w:noWrap/>
            <w:vAlign w:val="center"/>
          </w:tcPr>
          <w:p w14:paraId="44A975D2">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w:t>
            </w:r>
          </w:p>
        </w:tc>
        <w:tc>
          <w:tcPr>
            <w:tcW w:w="310" w:type="pct"/>
            <w:tcBorders>
              <w:tl2br w:val="nil"/>
              <w:tr2bl w:val="nil"/>
            </w:tcBorders>
            <w:shd w:val="clear" w:color="auto" w:fill="auto"/>
            <w:noWrap/>
            <w:vAlign w:val="center"/>
          </w:tcPr>
          <w:p w14:paraId="5F9375DB">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0.200</w:t>
            </w:r>
          </w:p>
        </w:tc>
        <w:tc>
          <w:tcPr>
            <w:tcW w:w="310" w:type="pct"/>
            <w:tcBorders>
              <w:tl2br w:val="nil"/>
              <w:tr2bl w:val="nil"/>
            </w:tcBorders>
            <w:shd w:val="clear" w:color="auto" w:fill="auto"/>
            <w:noWrap/>
            <w:vAlign w:val="center"/>
          </w:tcPr>
          <w:p w14:paraId="46BA31AE">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0.400</w:t>
            </w:r>
          </w:p>
        </w:tc>
        <w:tc>
          <w:tcPr>
            <w:tcW w:w="310" w:type="pct"/>
            <w:tcBorders>
              <w:tl2br w:val="nil"/>
              <w:tr2bl w:val="nil"/>
            </w:tcBorders>
            <w:shd w:val="clear" w:color="auto" w:fill="auto"/>
            <w:noWrap/>
            <w:vAlign w:val="center"/>
          </w:tcPr>
          <w:p w14:paraId="116C7E19">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0.200</w:t>
            </w:r>
          </w:p>
        </w:tc>
        <w:tc>
          <w:tcPr>
            <w:tcW w:w="310" w:type="pct"/>
            <w:tcBorders>
              <w:tl2br w:val="nil"/>
              <w:tr2bl w:val="nil"/>
            </w:tcBorders>
            <w:shd w:val="clear" w:color="auto" w:fill="auto"/>
            <w:noWrap/>
            <w:vAlign w:val="center"/>
          </w:tcPr>
          <w:p w14:paraId="59B565F1">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0.200</w:t>
            </w:r>
          </w:p>
        </w:tc>
        <w:tc>
          <w:tcPr>
            <w:tcW w:w="310" w:type="pct"/>
            <w:tcBorders>
              <w:tl2br w:val="nil"/>
              <w:tr2bl w:val="nil"/>
            </w:tcBorders>
            <w:shd w:val="clear" w:color="auto" w:fill="auto"/>
            <w:noWrap/>
            <w:vAlign w:val="center"/>
          </w:tcPr>
          <w:p w14:paraId="0717F76D">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0.200</w:t>
            </w:r>
          </w:p>
        </w:tc>
        <w:tc>
          <w:tcPr>
            <w:tcW w:w="315" w:type="pct"/>
            <w:tcBorders>
              <w:tl2br w:val="nil"/>
              <w:tr2bl w:val="nil"/>
            </w:tcBorders>
            <w:shd w:val="clear" w:color="auto" w:fill="auto"/>
            <w:noWrap/>
            <w:vAlign w:val="center"/>
          </w:tcPr>
          <w:p w14:paraId="5FA04C0D">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0.200</w:t>
            </w:r>
          </w:p>
        </w:tc>
        <w:tc>
          <w:tcPr>
            <w:tcW w:w="310" w:type="pct"/>
            <w:tcBorders>
              <w:tl2br w:val="nil"/>
              <w:tr2bl w:val="nil"/>
            </w:tcBorders>
            <w:shd w:val="clear" w:color="auto" w:fill="auto"/>
            <w:noWrap/>
            <w:vAlign w:val="center"/>
          </w:tcPr>
          <w:p w14:paraId="583A2D7F">
            <w:pPr>
              <w:keepNext w:val="0"/>
              <w:keepLines w:val="0"/>
              <w:widowControl/>
              <w:suppressLineNumbers w:val="0"/>
              <w:spacing w:line="240" w:lineRule="auto"/>
              <w:ind w:firstLine="0" w:firstLineChars="0"/>
              <w:jc w:val="center"/>
              <w:textAlignment w:val="center"/>
              <w:rPr>
                <w:rFonts w:hint="eastAsia" w:ascii="Times New Roman" w:hAnsi="Times New Roman" w:cs="Times New Roman"/>
                <w:i w:val="0"/>
                <w:iCs w:val="0"/>
                <w:color w:val="auto"/>
                <w:sz w:val="21"/>
                <w:szCs w:val="21"/>
                <w:highlight w:val="none"/>
                <w:u w:val="none"/>
                <w:lang w:val="en-US" w:eastAsia="zh-CN"/>
              </w:rPr>
            </w:pPr>
            <w:r>
              <w:rPr>
                <w:rFonts w:hint="eastAsia" w:ascii="Times New Roman" w:hAnsi="Times New Roman" w:cs="Times New Roman"/>
                <w:i w:val="0"/>
                <w:iCs w:val="0"/>
                <w:color w:val="auto"/>
                <w:sz w:val="21"/>
                <w:szCs w:val="21"/>
                <w:highlight w:val="none"/>
                <w:u w:val="none"/>
                <w:lang w:val="en-US" w:eastAsia="zh-CN"/>
              </w:rPr>
              <w:t>/</w:t>
            </w:r>
          </w:p>
        </w:tc>
      </w:tr>
      <w:tr w14:paraId="55056D2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372" w:type="pct"/>
            <w:tcBorders>
              <w:tl2br w:val="nil"/>
              <w:tr2bl w:val="nil"/>
            </w:tcBorders>
            <w:shd w:val="clear" w:color="auto" w:fill="auto"/>
            <w:vAlign w:val="center"/>
          </w:tcPr>
          <w:p w14:paraId="347F72EC">
            <w:pPr>
              <w:keepNext w:val="0"/>
              <w:keepLines w:val="0"/>
              <w:widowControl/>
              <w:suppressLineNumbers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色度（度）</w:t>
            </w:r>
          </w:p>
        </w:tc>
        <w:tc>
          <w:tcPr>
            <w:tcW w:w="281" w:type="pct"/>
            <w:tcBorders>
              <w:tl2br w:val="nil"/>
              <w:tr2bl w:val="nil"/>
            </w:tcBorders>
            <w:shd w:val="clear" w:color="auto" w:fill="auto"/>
            <w:noWrap/>
            <w:vAlign w:val="center"/>
          </w:tcPr>
          <w:p w14:paraId="1902DE23">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09" w:type="pct"/>
            <w:tcBorders>
              <w:tl2br w:val="nil"/>
              <w:tr2bl w:val="nil"/>
            </w:tcBorders>
            <w:shd w:val="clear" w:color="auto" w:fill="auto"/>
            <w:noWrap/>
            <w:vAlign w:val="center"/>
          </w:tcPr>
          <w:p w14:paraId="2E357EF4">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07" w:type="pct"/>
            <w:tcBorders>
              <w:tl2br w:val="nil"/>
              <w:tr2bl w:val="nil"/>
            </w:tcBorders>
            <w:shd w:val="clear" w:color="auto" w:fill="auto"/>
            <w:noWrap/>
            <w:vAlign w:val="center"/>
          </w:tcPr>
          <w:p w14:paraId="6CFD8101">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10" w:type="pct"/>
            <w:tcBorders>
              <w:tl2br w:val="nil"/>
              <w:tr2bl w:val="nil"/>
            </w:tcBorders>
            <w:shd w:val="clear" w:color="auto" w:fill="auto"/>
            <w:noWrap/>
            <w:vAlign w:val="center"/>
          </w:tcPr>
          <w:p w14:paraId="73D548D6">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30" w:type="pct"/>
            <w:tcBorders>
              <w:tl2br w:val="nil"/>
              <w:tr2bl w:val="nil"/>
            </w:tcBorders>
            <w:shd w:val="clear" w:color="auto" w:fill="auto"/>
            <w:noWrap/>
            <w:vAlign w:val="center"/>
          </w:tcPr>
          <w:p w14:paraId="16F9964B">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290" w:type="pct"/>
            <w:tcBorders>
              <w:tl2br w:val="nil"/>
              <w:tr2bl w:val="nil"/>
            </w:tcBorders>
            <w:shd w:val="clear" w:color="auto" w:fill="auto"/>
            <w:noWrap/>
            <w:vAlign w:val="center"/>
          </w:tcPr>
          <w:p w14:paraId="4996C48B">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10" w:type="pct"/>
            <w:tcBorders>
              <w:tl2br w:val="nil"/>
              <w:tr2bl w:val="nil"/>
            </w:tcBorders>
            <w:shd w:val="clear" w:color="auto" w:fill="auto"/>
            <w:noWrap/>
            <w:vAlign w:val="center"/>
          </w:tcPr>
          <w:p w14:paraId="46284EF4">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10" w:type="pct"/>
            <w:tcBorders>
              <w:tl2br w:val="nil"/>
              <w:tr2bl w:val="nil"/>
            </w:tcBorders>
            <w:shd w:val="clear" w:color="auto" w:fill="auto"/>
            <w:noWrap/>
            <w:vAlign w:val="center"/>
          </w:tcPr>
          <w:p w14:paraId="52403450">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10" w:type="pct"/>
            <w:tcBorders>
              <w:tl2br w:val="nil"/>
              <w:tr2bl w:val="nil"/>
            </w:tcBorders>
            <w:shd w:val="clear" w:color="auto" w:fill="auto"/>
            <w:noWrap/>
            <w:vAlign w:val="center"/>
          </w:tcPr>
          <w:p w14:paraId="327342FF">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10" w:type="pct"/>
            <w:tcBorders>
              <w:tl2br w:val="nil"/>
              <w:tr2bl w:val="nil"/>
            </w:tcBorders>
            <w:shd w:val="clear" w:color="auto" w:fill="auto"/>
            <w:noWrap/>
            <w:vAlign w:val="center"/>
          </w:tcPr>
          <w:p w14:paraId="7956E671">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0.667</w:t>
            </w:r>
          </w:p>
        </w:tc>
        <w:tc>
          <w:tcPr>
            <w:tcW w:w="310" w:type="pct"/>
            <w:tcBorders>
              <w:tl2br w:val="nil"/>
              <w:tr2bl w:val="nil"/>
            </w:tcBorders>
            <w:shd w:val="clear" w:color="auto" w:fill="auto"/>
            <w:noWrap/>
            <w:vAlign w:val="center"/>
          </w:tcPr>
          <w:p w14:paraId="40736096">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0.667</w:t>
            </w:r>
          </w:p>
        </w:tc>
        <w:tc>
          <w:tcPr>
            <w:tcW w:w="310" w:type="pct"/>
            <w:tcBorders>
              <w:tl2br w:val="nil"/>
              <w:tr2bl w:val="nil"/>
            </w:tcBorders>
            <w:shd w:val="clear" w:color="auto" w:fill="auto"/>
            <w:noWrap/>
            <w:vAlign w:val="center"/>
          </w:tcPr>
          <w:p w14:paraId="2ACCEB51">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0.667</w:t>
            </w:r>
          </w:p>
        </w:tc>
        <w:tc>
          <w:tcPr>
            <w:tcW w:w="310" w:type="pct"/>
            <w:tcBorders>
              <w:tl2br w:val="nil"/>
              <w:tr2bl w:val="nil"/>
            </w:tcBorders>
            <w:shd w:val="clear" w:color="auto" w:fill="auto"/>
            <w:noWrap/>
            <w:vAlign w:val="center"/>
          </w:tcPr>
          <w:p w14:paraId="3BDB20B3">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15" w:type="pct"/>
            <w:tcBorders>
              <w:tl2br w:val="nil"/>
              <w:tr2bl w:val="nil"/>
            </w:tcBorders>
            <w:shd w:val="clear" w:color="auto" w:fill="auto"/>
            <w:noWrap/>
            <w:vAlign w:val="center"/>
          </w:tcPr>
          <w:p w14:paraId="60205370">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1.000</w:t>
            </w:r>
          </w:p>
        </w:tc>
        <w:tc>
          <w:tcPr>
            <w:tcW w:w="310" w:type="pct"/>
            <w:tcBorders>
              <w:tl2br w:val="nil"/>
              <w:tr2bl w:val="nil"/>
            </w:tcBorders>
            <w:shd w:val="clear" w:color="auto" w:fill="auto"/>
            <w:noWrap/>
            <w:vAlign w:val="center"/>
          </w:tcPr>
          <w:p w14:paraId="3FBD6B5E">
            <w:pPr>
              <w:keepNext w:val="0"/>
              <w:keepLines w:val="0"/>
              <w:widowControl/>
              <w:suppressLineNumbers w:val="0"/>
              <w:spacing w:line="240" w:lineRule="auto"/>
              <w:ind w:firstLine="0" w:firstLineChars="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ascii="Times New Roman" w:hAnsi="Times New Roman" w:cs="Times New Roman"/>
                <w:i w:val="0"/>
                <w:iCs w:val="0"/>
                <w:color w:val="auto"/>
                <w:sz w:val="21"/>
                <w:szCs w:val="21"/>
                <w:highlight w:val="none"/>
                <w:u w:val="none"/>
                <w:lang w:val="en-US" w:eastAsia="zh-CN"/>
              </w:rPr>
              <w:t>/</w:t>
            </w:r>
          </w:p>
        </w:tc>
      </w:tr>
      <w:tr w14:paraId="4990DE1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372" w:type="pct"/>
            <w:tcBorders>
              <w:tl2br w:val="nil"/>
              <w:tr2bl w:val="nil"/>
            </w:tcBorders>
            <w:shd w:val="clear" w:color="auto" w:fill="auto"/>
            <w:vAlign w:val="center"/>
          </w:tcPr>
          <w:p w14:paraId="553F5C3F">
            <w:pPr>
              <w:keepNext w:val="0"/>
              <w:keepLines w:val="0"/>
              <w:widowControl/>
              <w:suppressLineNumbers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浑浊度（</w:t>
            </w:r>
            <w:r>
              <w:rPr>
                <w:rFonts w:hint="default" w:ascii="Times New Roman" w:hAnsi="Times New Roman" w:eastAsia="宋体" w:cs="Times New Roman"/>
                <w:color w:val="auto"/>
                <w:sz w:val="21"/>
                <w:szCs w:val="21"/>
                <w:highlight w:val="none"/>
                <w:u w:val="none"/>
                <w:lang w:val="en-US" w:eastAsia="zh-CN" w:bidi="ar"/>
              </w:rPr>
              <w:t>NTU</w:t>
            </w:r>
            <w:r>
              <w:rPr>
                <w:rFonts w:hint="eastAsia" w:ascii="宋体" w:hAnsi="宋体" w:eastAsia="宋体" w:cs="宋体"/>
                <w:color w:val="auto"/>
                <w:sz w:val="21"/>
                <w:szCs w:val="21"/>
                <w:highlight w:val="none"/>
                <w:u w:val="none"/>
                <w:lang w:val="en-US" w:eastAsia="zh-CN" w:bidi="ar"/>
              </w:rPr>
              <w:t>）</w:t>
            </w:r>
          </w:p>
        </w:tc>
        <w:tc>
          <w:tcPr>
            <w:tcW w:w="281" w:type="pct"/>
            <w:tcBorders>
              <w:tl2br w:val="nil"/>
              <w:tr2bl w:val="nil"/>
            </w:tcBorders>
            <w:shd w:val="clear" w:color="auto" w:fill="auto"/>
            <w:noWrap/>
            <w:vAlign w:val="center"/>
          </w:tcPr>
          <w:p w14:paraId="156E24FB">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0.883</w:t>
            </w:r>
          </w:p>
        </w:tc>
        <w:tc>
          <w:tcPr>
            <w:tcW w:w="309" w:type="pct"/>
            <w:tcBorders>
              <w:tl2br w:val="nil"/>
              <w:tr2bl w:val="nil"/>
            </w:tcBorders>
            <w:shd w:val="clear" w:color="auto" w:fill="auto"/>
            <w:noWrap/>
            <w:vAlign w:val="center"/>
          </w:tcPr>
          <w:p w14:paraId="4E65E538">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0.923</w:t>
            </w:r>
          </w:p>
        </w:tc>
        <w:tc>
          <w:tcPr>
            <w:tcW w:w="307" w:type="pct"/>
            <w:tcBorders>
              <w:tl2br w:val="nil"/>
              <w:tr2bl w:val="nil"/>
            </w:tcBorders>
            <w:shd w:val="clear" w:color="auto" w:fill="auto"/>
            <w:noWrap/>
            <w:vAlign w:val="center"/>
          </w:tcPr>
          <w:p w14:paraId="2EFA3EF7">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0.933</w:t>
            </w:r>
          </w:p>
        </w:tc>
        <w:tc>
          <w:tcPr>
            <w:tcW w:w="310" w:type="pct"/>
            <w:tcBorders>
              <w:tl2br w:val="nil"/>
              <w:tr2bl w:val="nil"/>
            </w:tcBorders>
            <w:shd w:val="clear" w:color="auto" w:fill="auto"/>
            <w:noWrap/>
            <w:vAlign w:val="center"/>
          </w:tcPr>
          <w:p w14:paraId="4BE49BFE">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0.553</w:t>
            </w:r>
          </w:p>
        </w:tc>
        <w:tc>
          <w:tcPr>
            <w:tcW w:w="330" w:type="pct"/>
            <w:tcBorders>
              <w:tl2br w:val="nil"/>
              <w:tr2bl w:val="nil"/>
            </w:tcBorders>
            <w:shd w:val="clear" w:color="auto" w:fill="auto"/>
            <w:noWrap/>
            <w:vAlign w:val="center"/>
          </w:tcPr>
          <w:p w14:paraId="42AE8C09">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0.517</w:t>
            </w:r>
          </w:p>
        </w:tc>
        <w:tc>
          <w:tcPr>
            <w:tcW w:w="290" w:type="pct"/>
            <w:tcBorders>
              <w:tl2br w:val="nil"/>
              <w:tr2bl w:val="nil"/>
            </w:tcBorders>
            <w:shd w:val="clear" w:color="auto" w:fill="auto"/>
            <w:noWrap/>
            <w:vAlign w:val="center"/>
          </w:tcPr>
          <w:p w14:paraId="37A01887">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0.943</w:t>
            </w:r>
          </w:p>
        </w:tc>
        <w:tc>
          <w:tcPr>
            <w:tcW w:w="310" w:type="pct"/>
            <w:tcBorders>
              <w:tl2br w:val="nil"/>
              <w:tr2bl w:val="nil"/>
            </w:tcBorders>
            <w:shd w:val="clear" w:color="auto" w:fill="auto"/>
            <w:noWrap/>
            <w:vAlign w:val="center"/>
          </w:tcPr>
          <w:p w14:paraId="3A8526D1">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0.950</w:t>
            </w:r>
          </w:p>
        </w:tc>
        <w:tc>
          <w:tcPr>
            <w:tcW w:w="310" w:type="pct"/>
            <w:tcBorders>
              <w:tl2br w:val="nil"/>
              <w:tr2bl w:val="nil"/>
            </w:tcBorders>
            <w:shd w:val="clear" w:color="auto" w:fill="auto"/>
            <w:noWrap/>
            <w:vAlign w:val="center"/>
          </w:tcPr>
          <w:p w14:paraId="7D4B6598">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0.633</w:t>
            </w:r>
          </w:p>
        </w:tc>
        <w:tc>
          <w:tcPr>
            <w:tcW w:w="310" w:type="pct"/>
            <w:tcBorders>
              <w:tl2br w:val="nil"/>
              <w:tr2bl w:val="nil"/>
            </w:tcBorders>
            <w:shd w:val="clear" w:color="auto" w:fill="auto"/>
            <w:noWrap/>
            <w:vAlign w:val="center"/>
          </w:tcPr>
          <w:p w14:paraId="2E6361E7">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0.733</w:t>
            </w:r>
          </w:p>
        </w:tc>
        <w:tc>
          <w:tcPr>
            <w:tcW w:w="310" w:type="pct"/>
            <w:tcBorders>
              <w:tl2br w:val="nil"/>
              <w:tr2bl w:val="nil"/>
            </w:tcBorders>
            <w:shd w:val="clear" w:color="auto" w:fill="auto"/>
            <w:noWrap/>
            <w:vAlign w:val="center"/>
          </w:tcPr>
          <w:p w14:paraId="53C21EAE">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0.550</w:t>
            </w:r>
          </w:p>
        </w:tc>
        <w:tc>
          <w:tcPr>
            <w:tcW w:w="310" w:type="pct"/>
            <w:tcBorders>
              <w:tl2br w:val="nil"/>
              <w:tr2bl w:val="nil"/>
            </w:tcBorders>
            <w:shd w:val="clear" w:color="auto" w:fill="auto"/>
            <w:noWrap/>
            <w:vAlign w:val="center"/>
          </w:tcPr>
          <w:p w14:paraId="0DF906B9">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0.580</w:t>
            </w:r>
          </w:p>
        </w:tc>
        <w:tc>
          <w:tcPr>
            <w:tcW w:w="310" w:type="pct"/>
            <w:tcBorders>
              <w:tl2br w:val="nil"/>
              <w:tr2bl w:val="nil"/>
            </w:tcBorders>
            <w:shd w:val="clear" w:color="auto" w:fill="auto"/>
            <w:noWrap/>
            <w:vAlign w:val="center"/>
          </w:tcPr>
          <w:p w14:paraId="7E0EE538">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0.553</w:t>
            </w:r>
          </w:p>
        </w:tc>
        <w:tc>
          <w:tcPr>
            <w:tcW w:w="310" w:type="pct"/>
            <w:tcBorders>
              <w:tl2br w:val="nil"/>
              <w:tr2bl w:val="nil"/>
            </w:tcBorders>
            <w:shd w:val="clear" w:color="auto" w:fill="auto"/>
            <w:noWrap/>
            <w:vAlign w:val="center"/>
          </w:tcPr>
          <w:p w14:paraId="2FB41CEB">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0.850</w:t>
            </w:r>
          </w:p>
        </w:tc>
        <w:tc>
          <w:tcPr>
            <w:tcW w:w="315" w:type="pct"/>
            <w:tcBorders>
              <w:tl2br w:val="nil"/>
              <w:tr2bl w:val="nil"/>
            </w:tcBorders>
            <w:shd w:val="clear" w:color="auto" w:fill="auto"/>
            <w:noWrap/>
            <w:vAlign w:val="center"/>
          </w:tcPr>
          <w:p w14:paraId="22F1E3B1">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0.950</w:t>
            </w:r>
          </w:p>
        </w:tc>
        <w:tc>
          <w:tcPr>
            <w:tcW w:w="310" w:type="pct"/>
            <w:tcBorders>
              <w:tl2br w:val="nil"/>
              <w:tr2bl w:val="nil"/>
            </w:tcBorders>
            <w:shd w:val="clear" w:color="auto" w:fill="auto"/>
            <w:noWrap/>
            <w:vAlign w:val="center"/>
          </w:tcPr>
          <w:p w14:paraId="188D1233">
            <w:pPr>
              <w:keepNext w:val="0"/>
              <w:keepLines w:val="0"/>
              <w:widowControl/>
              <w:suppressLineNumbers w:val="0"/>
              <w:spacing w:line="240" w:lineRule="auto"/>
              <w:ind w:firstLine="0" w:firstLineChars="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ascii="Times New Roman" w:hAnsi="Times New Roman" w:cs="Times New Roman"/>
                <w:i w:val="0"/>
                <w:iCs w:val="0"/>
                <w:color w:val="auto"/>
                <w:sz w:val="21"/>
                <w:szCs w:val="21"/>
                <w:highlight w:val="none"/>
                <w:u w:val="none"/>
                <w:lang w:val="en-US" w:eastAsia="zh-CN"/>
              </w:rPr>
              <w:t>/</w:t>
            </w:r>
          </w:p>
        </w:tc>
      </w:tr>
      <w:tr w14:paraId="0D2EF18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372" w:type="pct"/>
            <w:tcBorders>
              <w:tl2br w:val="nil"/>
              <w:tr2bl w:val="nil"/>
            </w:tcBorders>
            <w:shd w:val="clear" w:color="auto" w:fill="auto"/>
            <w:vAlign w:val="center"/>
          </w:tcPr>
          <w:p w14:paraId="4B692856">
            <w:pPr>
              <w:keepNext w:val="0"/>
              <w:keepLines w:val="0"/>
              <w:widowControl/>
              <w:suppressLineNumbers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硫酸盐（</w:t>
            </w:r>
            <w:r>
              <w:rPr>
                <w:rFonts w:hint="default" w:ascii="Times New Roman" w:hAnsi="Times New Roman" w:eastAsia="宋体" w:cs="Times New Roman"/>
                <w:color w:val="auto"/>
                <w:sz w:val="21"/>
                <w:szCs w:val="21"/>
                <w:highlight w:val="none"/>
                <w:u w:val="none"/>
                <w:lang w:val="en-US" w:eastAsia="zh-CN" w:bidi="ar"/>
              </w:rPr>
              <w:t>mg/L</w:t>
            </w:r>
            <w:r>
              <w:rPr>
                <w:rFonts w:hint="eastAsia" w:ascii="宋体" w:hAnsi="宋体" w:eastAsia="宋体" w:cs="宋体"/>
                <w:color w:val="auto"/>
                <w:sz w:val="21"/>
                <w:szCs w:val="21"/>
                <w:highlight w:val="none"/>
                <w:u w:val="none"/>
                <w:lang w:val="en-US" w:eastAsia="zh-CN" w:bidi="ar"/>
              </w:rPr>
              <w:t>）</w:t>
            </w:r>
          </w:p>
        </w:tc>
        <w:tc>
          <w:tcPr>
            <w:tcW w:w="281" w:type="pct"/>
            <w:tcBorders>
              <w:tl2br w:val="nil"/>
              <w:tr2bl w:val="nil"/>
            </w:tcBorders>
            <w:shd w:val="clear" w:color="auto" w:fill="auto"/>
            <w:noWrap/>
            <w:vAlign w:val="center"/>
          </w:tcPr>
          <w:p w14:paraId="4F0BD60D">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09" w:type="pct"/>
            <w:tcBorders>
              <w:tl2br w:val="nil"/>
              <w:tr2bl w:val="nil"/>
            </w:tcBorders>
            <w:shd w:val="clear" w:color="auto" w:fill="auto"/>
            <w:noWrap/>
            <w:vAlign w:val="center"/>
          </w:tcPr>
          <w:p w14:paraId="56FB0C09">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07" w:type="pct"/>
            <w:tcBorders>
              <w:tl2br w:val="nil"/>
              <w:tr2bl w:val="nil"/>
            </w:tcBorders>
            <w:shd w:val="clear" w:color="auto" w:fill="auto"/>
            <w:noWrap/>
            <w:vAlign w:val="center"/>
          </w:tcPr>
          <w:p w14:paraId="02F8A147">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10" w:type="pct"/>
            <w:tcBorders>
              <w:tl2br w:val="nil"/>
              <w:tr2bl w:val="nil"/>
            </w:tcBorders>
            <w:shd w:val="clear" w:color="auto" w:fill="auto"/>
            <w:noWrap/>
            <w:vAlign w:val="center"/>
          </w:tcPr>
          <w:p w14:paraId="09465238">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30" w:type="pct"/>
            <w:tcBorders>
              <w:tl2br w:val="nil"/>
              <w:tr2bl w:val="nil"/>
            </w:tcBorders>
            <w:shd w:val="clear" w:color="auto" w:fill="auto"/>
            <w:noWrap/>
            <w:vAlign w:val="center"/>
          </w:tcPr>
          <w:p w14:paraId="342CB127">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290" w:type="pct"/>
            <w:tcBorders>
              <w:tl2br w:val="nil"/>
              <w:tr2bl w:val="nil"/>
            </w:tcBorders>
            <w:shd w:val="clear" w:color="auto" w:fill="auto"/>
            <w:noWrap/>
            <w:vAlign w:val="center"/>
          </w:tcPr>
          <w:p w14:paraId="421939E1">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10" w:type="pct"/>
            <w:tcBorders>
              <w:tl2br w:val="nil"/>
              <w:tr2bl w:val="nil"/>
            </w:tcBorders>
            <w:shd w:val="clear" w:color="auto" w:fill="auto"/>
            <w:noWrap/>
            <w:vAlign w:val="center"/>
          </w:tcPr>
          <w:p w14:paraId="6B5FC67B">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10" w:type="pct"/>
            <w:tcBorders>
              <w:tl2br w:val="nil"/>
              <w:tr2bl w:val="nil"/>
            </w:tcBorders>
            <w:shd w:val="clear" w:color="auto" w:fill="auto"/>
            <w:noWrap/>
            <w:vAlign w:val="center"/>
          </w:tcPr>
          <w:p w14:paraId="3F12239B">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10" w:type="pct"/>
            <w:tcBorders>
              <w:tl2br w:val="nil"/>
              <w:tr2bl w:val="nil"/>
            </w:tcBorders>
            <w:shd w:val="clear" w:color="auto" w:fill="auto"/>
            <w:noWrap/>
            <w:vAlign w:val="center"/>
          </w:tcPr>
          <w:p w14:paraId="1FC30D07">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10" w:type="pct"/>
            <w:tcBorders>
              <w:tl2br w:val="nil"/>
              <w:tr2bl w:val="nil"/>
            </w:tcBorders>
            <w:shd w:val="clear" w:color="auto" w:fill="auto"/>
            <w:noWrap/>
            <w:vAlign w:val="center"/>
          </w:tcPr>
          <w:p w14:paraId="2F746F84">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10" w:type="pct"/>
            <w:tcBorders>
              <w:tl2br w:val="nil"/>
              <w:tr2bl w:val="nil"/>
            </w:tcBorders>
            <w:shd w:val="clear" w:color="auto" w:fill="auto"/>
            <w:noWrap/>
            <w:vAlign w:val="center"/>
          </w:tcPr>
          <w:p w14:paraId="27F55754">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10" w:type="pct"/>
            <w:tcBorders>
              <w:tl2br w:val="nil"/>
              <w:tr2bl w:val="nil"/>
            </w:tcBorders>
            <w:shd w:val="clear" w:color="auto" w:fill="auto"/>
            <w:noWrap/>
            <w:vAlign w:val="center"/>
          </w:tcPr>
          <w:p w14:paraId="0D41AB3D">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10" w:type="pct"/>
            <w:tcBorders>
              <w:tl2br w:val="nil"/>
              <w:tr2bl w:val="nil"/>
            </w:tcBorders>
            <w:shd w:val="clear" w:color="auto" w:fill="auto"/>
            <w:noWrap/>
            <w:vAlign w:val="center"/>
          </w:tcPr>
          <w:p w14:paraId="4A8224E0">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0.046</w:t>
            </w:r>
          </w:p>
        </w:tc>
        <w:tc>
          <w:tcPr>
            <w:tcW w:w="315" w:type="pct"/>
            <w:tcBorders>
              <w:tl2br w:val="nil"/>
              <w:tr2bl w:val="nil"/>
            </w:tcBorders>
            <w:shd w:val="clear" w:color="auto" w:fill="auto"/>
            <w:noWrap/>
            <w:vAlign w:val="center"/>
          </w:tcPr>
          <w:p w14:paraId="24DF850C">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10" w:type="pct"/>
            <w:tcBorders>
              <w:tl2br w:val="nil"/>
              <w:tr2bl w:val="nil"/>
            </w:tcBorders>
            <w:shd w:val="clear" w:color="auto" w:fill="auto"/>
            <w:noWrap/>
            <w:vAlign w:val="center"/>
          </w:tcPr>
          <w:p w14:paraId="5B2FD136">
            <w:pPr>
              <w:keepNext w:val="0"/>
              <w:keepLines w:val="0"/>
              <w:widowControl/>
              <w:suppressLineNumbers w:val="0"/>
              <w:spacing w:line="240" w:lineRule="auto"/>
              <w:ind w:firstLine="0" w:firstLineChars="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ascii="Times New Roman" w:hAnsi="Times New Roman" w:cs="Times New Roman"/>
                <w:i w:val="0"/>
                <w:iCs w:val="0"/>
                <w:color w:val="auto"/>
                <w:sz w:val="21"/>
                <w:szCs w:val="21"/>
                <w:highlight w:val="none"/>
                <w:u w:val="none"/>
                <w:lang w:val="en-US" w:eastAsia="zh-CN"/>
              </w:rPr>
              <w:t>/</w:t>
            </w:r>
          </w:p>
        </w:tc>
      </w:tr>
      <w:tr w14:paraId="251F98D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372" w:type="pct"/>
            <w:tcBorders>
              <w:tl2br w:val="nil"/>
              <w:tr2bl w:val="nil"/>
            </w:tcBorders>
            <w:shd w:val="clear" w:color="auto" w:fill="auto"/>
            <w:vAlign w:val="center"/>
          </w:tcPr>
          <w:p w14:paraId="6046B454">
            <w:pPr>
              <w:keepNext w:val="0"/>
              <w:keepLines w:val="0"/>
              <w:widowControl/>
              <w:suppressLineNumbers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氯化物（</w:t>
            </w:r>
            <w:r>
              <w:rPr>
                <w:rFonts w:hint="default" w:ascii="Times New Roman" w:hAnsi="Times New Roman" w:eastAsia="宋体" w:cs="Times New Roman"/>
                <w:color w:val="auto"/>
                <w:sz w:val="21"/>
                <w:szCs w:val="21"/>
                <w:highlight w:val="none"/>
                <w:u w:val="none"/>
                <w:lang w:val="en-US" w:eastAsia="zh-CN" w:bidi="ar"/>
              </w:rPr>
              <w:t>mg/L</w:t>
            </w:r>
            <w:r>
              <w:rPr>
                <w:rFonts w:hint="eastAsia" w:ascii="宋体" w:hAnsi="宋体" w:eastAsia="宋体" w:cs="宋体"/>
                <w:color w:val="auto"/>
                <w:sz w:val="21"/>
                <w:szCs w:val="21"/>
                <w:highlight w:val="none"/>
                <w:u w:val="none"/>
                <w:lang w:val="en-US" w:eastAsia="zh-CN" w:bidi="ar"/>
              </w:rPr>
              <w:t>）</w:t>
            </w:r>
          </w:p>
        </w:tc>
        <w:tc>
          <w:tcPr>
            <w:tcW w:w="281" w:type="pct"/>
            <w:tcBorders>
              <w:tl2br w:val="nil"/>
              <w:tr2bl w:val="nil"/>
            </w:tcBorders>
            <w:shd w:val="clear" w:color="auto" w:fill="auto"/>
            <w:noWrap/>
            <w:vAlign w:val="center"/>
          </w:tcPr>
          <w:p w14:paraId="21095537">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09" w:type="pct"/>
            <w:tcBorders>
              <w:tl2br w:val="nil"/>
              <w:tr2bl w:val="nil"/>
            </w:tcBorders>
            <w:shd w:val="clear" w:color="auto" w:fill="auto"/>
            <w:noWrap/>
            <w:vAlign w:val="center"/>
          </w:tcPr>
          <w:p w14:paraId="12B72E28">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07" w:type="pct"/>
            <w:tcBorders>
              <w:tl2br w:val="nil"/>
              <w:tr2bl w:val="nil"/>
            </w:tcBorders>
            <w:shd w:val="clear" w:color="auto" w:fill="auto"/>
            <w:noWrap/>
            <w:vAlign w:val="center"/>
          </w:tcPr>
          <w:p w14:paraId="23C747E5">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0.010</w:t>
            </w:r>
          </w:p>
        </w:tc>
        <w:tc>
          <w:tcPr>
            <w:tcW w:w="310" w:type="pct"/>
            <w:tcBorders>
              <w:tl2br w:val="nil"/>
              <w:tr2bl w:val="nil"/>
            </w:tcBorders>
            <w:shd w:val="clear" w:color="auto" w:fill="auto"/>
            <w:noWrap/>
            <w:vAlign w:val="center"/>
          </w:tcPr>
          <w:p w14:paraId="10BEE551">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0.148</w:t>
            </w:r>
          </w:p>
        </w:tc>
        <w:tc>
          <w:tcPr>
            <w:tcW w:w="330" w:type="pct"/>
            <w:tcBorders>
              <w:tl2br w:val="nil"/>
              <w:tr2bl w:val="nil"/>
            </w:tcBorders>
            <w:shd w:val="clear" w:color="auto" w:fill="auto"/>
            <w:noWrap/>
            <w:vAlign w:val="center"/>
          </w:tcPr>
          <w:p w14:paraId="1A8A3EF1">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0.020</w:t>
            </w:r>
          </w:p>
        </w:tc>
        <w:tc>
          <w:tcPr>
            <w:tcW w:w="290" w:type="pct"/>
            <w:tcBorders>
              <w:tl2br w:val="nil"/>
              <w:tr2bl w:val="nil"/>
            </w:tcBorders>
            <w:shd w:val="clear" w:color="auto" w:fill="auto"/>
            <w:noWrap/>
            <w:vAlign w:val="center"/>
          </w:tcPr>
          <w:p w14:paraId="164B80CD">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0.012</w:t>
            </w:r>
          </w:p>
        </w:tc>
        <w:tc>
          <w:tcPr>
            <w:tcW w:w="310" w:type="pct"/>
            <w:tcBorders>
              <w:tl2br w:val="nil"/>
              <w:tr2bl w:val="nil"/>
            </w:tcBorders>
            <w:shd w:val="clear" w:color="auto" w:fill="auto"/>
            <w:noWrap/>
            <w:vAlign w:val="center"/>
          </w:tcPr>
          <w:p w14:paraId="3E60850E">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10" w:type="pct"/>
            <w:tcBorders>
              <w:tl2br w:val="nil"/>
              <w:tr2bl w:val="nil"/>
            </w:tcBorders>
            <w:shd w:val="clear" w:color="auto" w:fill="auto"/>
            <w:noWrap/>
            <w:vAlign w:val="center"/>
          </w:tcPr>
          <w:p w14:paraId="4E38CF86">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0.014</w:t>
            </w:r>
          </w:p>
        </w:tc>
        <w:tc>
          <w:tcPr>
            <w:tcW w:w="310" w:type="pct"/>
            <w:tcBorders>
              <w:tl2br w:val="nil"/>
              <w:tr2bl w:val="nil"/>
            </w:tcBorders>
            <w:shd w:val="clear" w:color="auto" w:fill="auto"/>
            <w:noWrap/>
            <w:vAlign w:val="center"/>
          </w:tcPr>
          <w:p w14:paraId="034158EB">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0.012</w:t>
            </w:r>
          </w:p>
        </w:tc>
        <w:tc>
          <w:tcPr>
            <w:tcW w:w="310" w:type="pct"/>
            <w:tcBorders>
              <w:tl2br w:val="nil"/>
              <w:tr2bl w:val="nil"/>
            </w:tcBorders>
            <w:shd w:val="clear" w:color="auto" w:fill="auto"/>
            <w:noWrap/>
            <w:vAlign w:val="center"/>
          </w:tcPr>
          <w:p w14:paraId="2798CA98">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0.004</w:t>
            </w:r>
          </w:p>
        </w:tc>
        <w:tc>
          <w:tcPr>
            <w:tcW w:w="310" w:type="pct"/>
            <w:tcBorders>
              <w:tl2br w:val="nil"/>
              <w:tr2bl w:val="nil"/>
            </w:tcBorders>
            <w:shd w:val="clear" w:color="auto" w:fill="auto"/>
            <w:noWrap/>
            <w:vAlign w:val="center"/>
          </w:tcPr>
          <w:p w14:paraId="124B2345">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10" w:type="pct"/>
            <w:tcBorders>
              <w:tl2br w:val="nil"/>
              <w:tr2bl w:val="nil"/>
            </w:tcBorders>
            <w:shd w:val="clear" w:color="auto" w:fill="auto"/>
            <w:noWrap/>
            <w:vAlign w:val="center"/>
          </w:tcPr>
          <w:p w14:paraId="0C28B39C">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0.024</w:t>
            </w:r>
          </w:p>
        </w:tc>
        <w:tc>
          <w:tcPr>
            <w:tcW w:w="310" w:type="pct"/>
            <w:tcBorders>
              <w:tl2br w:val="nil"/>
              <w:tr2bl w:val="nil"/>
            </w:tcBorders>
            <w:shd w:val="clear" w:color="auto" w:fill="auto"/>
            <w:noWrap/>
            <w:vAlign w:val="center"/>
          </w:tcPr>
          <w:p w14:paraId="3343DBCA">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15" w:type="pct"/>
            <w:tcBorders>
              <w:tl2br w:val="nil"/>
              <w:tr2bl w:val="nil"/>
            </w:tcBorders>
            <w:shd w:val="clear" w:color="auto" w:fill="auto"/>
            <w:noWrap/>
            <w:vAlign w:val="center"/>
          </w:tcPr>
          <w:p w14:paraId="6855D2C2">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10" w:type="pct"/>
            <w:tcBorders>
              <w:tl2br w:val="nil"/>
              <w:tr2bl w:val="nil"/>
            </w:tcBorders>
            <w:shd w:val="clear" w:color="auto" w:fill="auto"/>
            <w:noWrap/>
            <w:vAlign w:val="center"/>
          </w:tcPr>
          <w:p w14:paraId="018C4926">
            <w:pPr>
              <w:keepNext w:val="0"/>
              <w:keepLines w:val="0"/>
              <w:widowControl/>
              <w:suppressLineNumbers w:val="0"/>
              <w:spacing w:line="240" w:lineRule="auto"/>
              <w:ind w:firstLine="0" w:firstLineChars="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ascii="Times New Roman" w:hAnsi="Times New Roman" w:cs="Times New Roman"/>
                <w:i w:val="0"/>
                <w:iCs w:val="0"/>
                <w:color w:val="auto"/>
                <w:sz w:val="21"/>
                <w:szCs w:val="21"/>
                <w:highlight w:val="none"/>
                <w:u w:val="none"/>
                <w:lang w:val="en-US" w:eastAsia="zh-CN"/>
              </w:rPr>
              <w:t>/</w:t>
            </w:r>
          </w:p>
        </w:tc>
      </w:tr>
      <w:tr w14:paraId="35AC5BD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372" w:type="pct"/>
            <w:tcBorders>
              <w:tl2br w:val="nil"/>
              <w:tr2bl w:val="nil"/>
            </w:tcBorders>
            <w:shd w:val="clear" w:color="auto" w:fill="auto"/>
            <w:vAlign w:val="center"/>
          </w:tcPr>
          <w:p w14:paraId="7B80A78D">
            <w:pPr>
              <w:keepNext w:val="0"/>
              <w:keepLines w:val="0"/>
              <w:widowControl/>
              <w:suppressLineNumbers w:val="0"/>
              <w:spacing w:line="240" w:lineRule="auto"/>
              <w:ind w:firstLine="0" w:firstLineChars="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铁（</w:t>
            </w:r>
            <w:r>
              <w:rPr>
                <w:rFonts w:hint="default" w:ascii="Times New Roman" w:hAnsi="Times New Roman" w:eastAsia="宋体" w:cs="Times New Roman"/>
                <w:color w:val="auto"/>
                <w:sz w:val="21"/>
                <w:szCs w:val="21"/>
                <w:highlight w:val="none"/>
                <w:u w:val="none"/>
                <w:lang w:val="en-US" w:eastAsia="zh-CN" w:bidi="ar"/>
              </w:rPr>
              <w:t>mg/L</w:t>
            </w:r>
            <w:r>
              <w:rPr>
                <w:rFonts w:hint="eastAsia" w:ascii="宋体" w:hAnsi="宋体" w:eastAsia="宋体" w:cs="宋体"/>
                <w:color w:val="auto"/>
                <w:sz w:val="21"/>
                <w:szCs w:val="21"/>
                <w:highlight w:val="none"/>
                <w:u w:val="none"/>
                <w:lang w:val="en-US" w:eastAsia="zh-CN" w:bidi="ar"/>
              </w:rPr>
              <w:t>）</w:t>
            </w:r>
          </w:p>
        </w:tc>
        <w:tc>
          <w:tcPr>
            <w:tcW w:w="281" w:type="pct"/>
            <w:tcBorders>
              <w:tl2br w:val="nil"/>
              <w:tr2bl w:val="nil"/>
            </w:tcBorders>
            <w:shd w:val="clear" w:color="auto" w:fill="auto"/>
            <w:noWrap/>
            <w:vAlign w:val="center"/>
          </w:tcPr>
          <w:p w14:paraId="720E1A93">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09" w:type="pct"/>
            <w:tcBorders>
              <w:tl2br w:val="nil"/>
              <w:tr2bl w:val="nil"/>
            </w:tcBorders>
            <w:shd w:val="clear" w:color="auto" w:fill="auto"/>
            <w:noWrap/>
            <w:vAlign w:val="center"/>
          </w:tcPr>
          <w:p w14:paraId="4027DCA4">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07" w:type="pct"/>
            <w:tcBorders>
              <w:tl2br w:val="nil"/>
              <w:tr2bl w:val="nil"/>
            </w:tcBorders>
            <w:shd w:val="clear" w:color="auto" w:fill="auto"/>
            <w:noWrap/>
            <w:vAlign w:val="center"/>
          </w:tcPr>
          <w:p w14:paraId="644E5E23">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10" w:type="pct"/>
            <w:tcBorders>
              <w:tl2br w:val="nil"/>
              <w:tr2bl w:val="nil"/>
            </w:tcBorders>
            <w:shd w:val="clear" w:color="auto" w:fill="auto"/>
            <w:noWrap/>
            <w:vAlign w:val="center"/>
          </w:tcPr>
          <w:p w14:paraId="40CC00A4">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30" w:type="pct"/>
            <w:tcBorders>
              <w:tl2br w:val="nil"/>
              <w:tr2bl w:val="nil"/>
            </w:tcBorders>
            <w:shd w:val="clear" w:color="auto" w:fill="auto"/>
            <w:noWrap/>
            <w:vAlign w:val="center"/>
          </w:tcPr>
          <w:p w14:paraId="48E009D6">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290" w:type="pct"/>
            <w:tcBorders>
              <w:tl2br w:val="nil"/>
              <w:tr2bl w:val="nil"/>
            </w:tcBorders>
            <w:shd w:val="clear" w:color="auto" w:fill="auto"/>
            <w:noWrap/>
            <w:vAlign w:val="center"/>
          </w:tcPr>
          <w:p w14:paraId="6CEFE659">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10" w:type="pct"/>
            <w:tcBorders>
              <w:tl2br w:val="nil"/>
              <w:tr2bl w:val="nil"/>
            </w:tcBorders>
            <w:shd w:val="clear" w:color="auto" w:fill="auto"/>
            <w:noWrap/>
            <w:vAlign w:val="center"/>
          </w:tcPr>
          <w:p w14:paraId="711A55BA">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10" w:type="pct"/>
            <w:tcBorders>
              <w:tl2br w:val="nil"/>
              <w:tr2bl w:val="nil"/>
            </w:tcBorders>
            <w:shd w:val="clear" w:color="auto" w:fill="auto"/>
            <w:noWrap/>
            <w:vAlign w:val="center"/>
          </w:tcPr>
          <w:p w14:paraId="68844FAB">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10" w:type="pct"/>
            <w:tcBorders>
              <w:tl2br w:val="nil"/>
              <w:tr2bl w:val="nil"/>
            </w:tcBorders>
            <w:shd w:val="clear" w:color="auto" w:fill="auto"/>
            <w:noWrap/>
            <w:vAlign w:val="center"/>
          </w:tcPr>
          <w:p w14:paraId="268AC913">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10" w:type="pct"/>
            <w:tcBorders>
              <w:tl2br w:val="nil"/>
              <w:tr2bl w:val="nil"/>
            </w:tcBorders>
            <w:shd w:val="clear" w:color="auto" w:fill="auto"/>
            <w:noWrap/>
            <w:vAlign w:val="center"/>
          </w:tcPr>
          <w:p w14:paraId="66C947DA">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10" w:type="pct"/>
            <w:tcBorders>
              <w:tl2br w:val="nil"/>
              <w:tr2bl w:val="nil"/>
            </w:tcBorders>
            <w:shd w:val="clear" w:color="auto" w:fill="auto"/>
            <w:noWrap/>
            <w:vAlign w:val="center"/>
          </w:tcPr>
          <w:p w14:paraId="2D1A0B4D">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10" w:type="pct"/>
            <w:tcBorders>
              <w:tl2br w:val="nil"/>
              <w:tr2bl w:val="nil"/>
            </w:tcBorders>
            <w:shd w:val="clear" w:color="auto" w:fill="auto"/>
            <w:noWrap/>
            <w:vAlign w:val="center"/>
          </w:tcPr>
          <w:p w14:paraId="1F2176E4">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10" w:type="pct"/>
            <w:tcBorders>
              <w:tl2br w:val="nil"/>
              <w:tr2bl w:val="nil"/>
            </w:tcBorders>
            <w:shd w:val="clear" w:color="auto" w:fill="auto"/>
            <w:noWrap/>
            <w:vAlign w:val="center"/>
          </w:tcPr>
          <w:p w14:paraId="2A0F745D">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15" w:type="pct"/>
            <w:tcBorders>
              <w:tl2br w:val="nil"/>
              <w:tr2bl w:val="nil"/>
            </w:tcBorders>
            <w:shd w:val="clear" w:color="auto" w:fill="auto"/>
            <w:noWrap/>
            <w:vAlign w:val="center"/>
          </w:tcPr>
          <w:p w14:paraId="402E0ED3">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10" w:type="pct"/>
            <w:tcBorders>
              <w:tl2br w:val="nil"/>
              <w:tr2bl w:val="nil"/>
            </w:tcBorders>
            <w:shd w:val="clear" w:color="auto" w:fill="auto"/>
            <w:noWrap/>
            <w:vAlign w:val="center"/>
          </w:tcPr>
          <w:p w14:paraId="4796BF5E">
            <w:pPr>
              <w:keepNext w:val="0"/>
              <w:keepLines w:val="0"/>
              <w:widowControl/>
              <w:suppressLineNumbers w:val="0"/>
              <w:spacing w:line="240" w:lineRule="auto"/>
              <w:ind w:firstLine="0" w:firstLineChars="0"/>
              <w:jc w:val="center"/>
              <w:textAlignment w:val="center"/>
              <w:rPr>
                <w:rFonts w:hint="eastAsia" w:ascii="Times New Roman" w:hAnsi="Times New Roman"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r>
      <w:tr w14:paraId="32FDAEB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372" w:type="pct"/>
            <w:tcBorders>
              <w:tl2br w:val="nil"/>
              <w:tr2bl w:val="nil"/>
            </w:tcBorders>
            <w:shd w:val="clear" w:color="auto" w:fill="auto"/>
            <w:vAlign w:val="center"/>
          </w:tcPr>
          <w:p w14:paraId="56852614">
            <w:pPr>
              <w:keepNext w:val="0"/>
              <w:keepLines w:val="0"/>
              <w:widowControl/>
              <w:suppressLineNumbers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锰（</w:t>
            </w:r>
            <w:r>
              <w:rPr>
                <w:rFonts w:hint="default" w:ascii="Times New Roman" w:hAnsi="Times New Roman" w:eastAsia="宋体" w:cs="Times New Roman"/>
                <w:color w:val="auto"/>
                <w:sz w:val="21"/>
                <w:szCs w:val="21"/>
                <w:highlight w:val="none"/>
                <w:u w:val="none"/>
                <w:lang w:val="en-US" w:eastAsia="zh-CN" w:bidi="ar"/>
              </w:rPr>
              <w:t>mg/L</w:t>
            </w:r>
            <w:r>
              <w:rPr>
                <w:rFonts w:hint="eastAsia" w:ascii="宋体" w:hAnsi="宋体" w:eastAsia="宋体" w:cs="宋体"/>
                <w:color w:val="auto"/>
                <w:sz w:val="21"/>
                <w:szCs w:val="21"/>
                <w:highlight w:val="none"/>
                <w:u w:val="none"/>
                <w:lang w:val="en-US" w:eastAsia="zh-CN" w:bidi="ar"/>
              </w:rPr>
              <w:t>）</w:t>
            </w:r>
          </w:p>
        </w:tc>
        <w:tc>
          <w:tcPr>
            <w:tcW w:w="281" w:type="pct"/>
            <w:tcBorders>
              <w:tl2br w:val="nil"/>
              <w:tr2bl w:val="nil"/>
            </w:tcBorders>
            <w:shd w:val="clear" w:color="auto" w:fill="auto"/>
            <w:noWrap/>
            <w:vAlign w:val="center"/>
          </w:tcPr>
          <w:p w14:paraId="4BE47A53">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1.700</w:t>
            </w:r>
          </w:p>
        </w:tc>
        <w:tc>
          <w:tcPr>
            <w:tcW w:w="309" w:type="pct"/>
            <w:tcBorders>
              <w:tl2br w:val="nil"/>
              <w:tr2bl w:val="nil"/>
            </w:tcBorders>
            <w:shd w:val="clear" w:color="auto" w:fill="auto"/>
            <w:noWrap/>
            <w:vAlign w:val="center"/>
          </w:tcPr>
          <w:p w14:paraId="77FB1127">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1.300</w:t>
            </w:r>
          </w:p>
        </w:tc>
        <w:tc>
          <w:tcPr>
            <w:tcW w:w="307" w:type="pct"/>
            <w:tcBorders>
              <w:tl2br w:val="nil"/>
              <w:tr2bl w:val="nil"/>
            </w:tcBorders>
            <w:shd w:val="clear" w:color="auto" w:fill="auto"/>
            <w:noWrap/>
            <w:vAlign w:val="center"/>
          </w:tcPr>
          <w:p w14:paraId="10763033">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2.200</w:t>
            </w:r>
          </w:p>
        </w:tc>
        <w:tc>
          <w:tcPr>
            <w:tcW w:w="310" w:type="pct"/>
            <w:tcBorders>
              <w:tl2br w:val="nil"/>
              <w:tr2bl w:val="nil"/>
            </w:tcBorders>
            <w:shd w:val="clear" w:color="auto" w:fill="auto"/>
            <w:noWrap/>
            <w:vAlign w:val="center"/>
          </w:tcPr>
          <w:p w14:paraId="43C36D68">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6.600</w:t>
            </w:r>
          </w:p>
        </w:tc>
        <w:tc>
          <w:tcPr>
            <w:tcW w:w="330" w:type="pct"/>
            <w:tcBorders>
              <w:tl2br w:val="nil"/>
              <w:tr2bl w:val="nil"/>
            </w:tcBorders>
            <w:shd w:val="clear" w:color="auto" w:fill="auto"/>
            <w:noWrap/>
            <w:vAlign w:val="center"/>
          </w:tcPr>
          <w:p w14:paraId="19535235">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3.700</w:t>
            </w:r>
          </w:p>
        </w:tc>
        <w:tc>
          <w:tcPr>
            <w:tcW w:w="290" w:type="pct"/>
            <w:tcBorders>
              <w:tl2br w:val="nil"/>
              <w:tr2bl w:val="nil"/>
            </w:tcBorders>
            <w:shd w:val="clear" w:color="auto" w:fill="auto"/>
            <w:noWrap/>
            <w:vAlign w:val="center"/>
          </w:tcPr>
          <w:p w14:paraId="339445B4">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3.700</w:t>
            </w:r>
          </w:p>
        </w:tc>
        <w:tc>
          <w:tcPr>
            <w:tcW w:w="310" w:type="pct"/>
            <w:tcBorders>
              <w:tl2br w:val="nil"/>
              <w:tr2bl w:val="nil"/>
            </w:tcBorders>
            <w:shd w:val="clear" w:color="auto" w:fill="auto"/>
            <w:noWrap/>
            <w:vAlign w:val="center"/>
          </w:tcPr>
          <w:p w14:paraId="7E272C12">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4.100</w:t>
            </w:r>
          </w:p>
        </w:tc>
        <w:tc>
          <w:tcPr>
            <w:tcW w:w="310" w:type="pct"/>
            <w:tcBorders>
              <w:tl2br w:val="nil"/>
              <w:tr2bl w:val="nil"/>
            </w:tcBorders>
            <w:shd w:val="clear" w:color="auto" w:fill="auto"/>
            <w:noWrap/>
            <w:vAlign w:val="center"/>
          </w:tcPr>
          <w:p w14:paraId="03CF64FD">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6.200</w:t>
            </w:r>
          </w:p>
        </w:tc>
        <w:tc>
          <w:tcPr>
            <w:tcW w:w="310" w:type="pct"/>
            <w:tcBorders>
              <w:tl2br w:val="nil"/>
              <w:tr2bl w:val="nil"/>
            </w:tcBorders>
            <w:shd w:val="clear" w:color="auto" w:fill="auto"/>
            <w:noWrap/>
            <w:vAlign w:val="center"/>
          </w:tcPr>
          <w:p w14:paraId="2008134F">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6.500</w:t>
            </w:r>
          </w:p>
        </w:tc>
        <w:tc>
          <w:tcPr>
            <w:tcW w:w="310" w:type="pct"/>
            <w:tcBorders>
              <w:tl2br w:val="nil"/>
              <w:tr2bl w:val="nil"/>
            </w:tcBorders>
            <w:shd w:val="clear" w:color="auto" w:fill="auto"/>
            <w:noWrap/>
            <w:vAlign w:val="center"/>
          </w:tcPr>
          <w:p w14:paraId="445F9EE0">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5.300</w:t>
            </w:r>
          </w:p>
        </w:tc>
        <w:tc>
          <w:tcPr>
            <w:tcW w:w="310" w:type="pct"/>
            <w:tcBorders>
              <w:tl2br w:val="nil"/>
              <w:tr2bl w:val="nil"/>
            </w:tcBorders>
            <w:shd w:val="clear" w:color="auto" w:fill="auto"/>
            <w:noWrap/>
            <w:vAlign w:val="center"/>
          </w:tcPr>
          <w:p w14:paraId="46A3562D">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10.800</w:t>
            </w:r>
          </w:p>
        </w:tc>
        <w:tc>
          <w:tcPr>
            <w:tcW w:w="310" w:type="pct"/>
            <w:tcBorders>
              <w:tl2br w:val="nil"/>
              <w:tr2bl w:val="nil"/>
            </w:tcBorders>
            <w:shd w:val="clear" w:color="auto" w:fill="auto"/>
            <w:noWrap/>
            <w:vAlign w:val="center"/>
          </w:tcPr>
          <w:p w14:paraId="2C0A0DED">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6.000</w:t>
            </w:r>
          </w:p>
        </w:tc>
        <w:tc>
          <w:tcPr>
            <w:tcW w:w="310" w:type="pct"/>
            <w:tcBorders>
              <w:tl2br w:val="nil"/>
              <w:tr2bl w:val="nil"/>
            </w:tcBorders>
            <w:shd w:val="clear" w:color="auto" w:fill="auto"/>
            <w:noWrap/>
            <w:vAlign w:val="center"/>
          </w:tcPr>
          <w:p w14:paraId="7B9C778B">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4.800</w:t>
            </w:r>
          </w:p>
        </w:tc>
        <w:tc>
          <w:tcPr>
            <w:tcW w:w="315" w:type="pct"/>
            <w:tcBorders>
              <w:tl2br w:val="nil"/>
              <w:tr2bl w:val="nil"/>
            </w:tcBorders>
            <w:shd w:val="clear" w:color="auto" w:fill="auto"/>
            <w:noWrap/>
            <w:vAlign w:val="center"/>
          </w:tcPr>
          <w:p w14:paraId="7A1D9680">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7.400</w:t>
            </w:r>
          </w:p>
        </w:tc>
        <w:tc>
          <w:tcPr>
            <w:tcW w:w="310" w:type="pct"/>
            <w:tcBorders>
              <w:tl2br w:val="nil"/>
              <w:tr2bl w:val="nil"/>
            </w:tcBorders>
            <w:shd w:val="clear" w:color="auto" w:fill="auto"/>
            <w:noWrap/>
            <w:vAlign w:val="center"/>
          </w:tcPr>
          <w:p w14:paraId="3C818E24">
            <w:pPr>
              <w:keepNext w:val="0"/>
              <w:keepLines w:val="0"/>
              <w:widowControl/>
              <w:suppressLineNumbers w:val="0"/>
              <w:spacing w:line="240" w:lineRule="auto"/>
              <w:ind w:firstLine="0" w:firstLineChars="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ascii="Times New Roman" w:hAnsi="Times New Roman" w:cs="Times New Roman"/>
                <w:i w:val="0"/>
                <w:iCs w:val="0"/>
                <w:color w:val="auto"/>
                <w:sz w:val="21"/>
                <w:szCs w:val="21"/>
                <w:highlight w:val="none"/>
                <w:u w:val="none"/>
                <w:lang w:val="en-US" w:eastAsia="zh-CN"/>
              </w:rPr>
              <w:t>/</w:t>
            </w:r>
          </w:p>
        </w:tc>
      </w:tr>
      <w:tr w14:paraId="37FC9E6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372" w:type="pct"/>
            <w:tcBorders>
              <w:tl2br w:val="nil"/>
              <w:tr2bl w:val="nil"/>
            </w:tcBorders>
            <w:shd w:val="clear" w:color="auto" w:fill="auto"/>
            <w:vAlign w:val="center"/>
          </w:tcPr>
          <w:p w14:paraId="0D81B79B">
            <w:pPr>
              <w:keepNext w:val="0"/>
              <w:keepLines w:val="0"/>
              <w:widowControl/>
              <w:suppressLineNumbers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锌（</w:t>
            </w:r>
            <w:r>
              <w:rPr>
                <w:rFonts w:hint="default" w:ascii="Times New Roman" w:hAnsi="Times New Roman" w:eastAsia="宋体" w:cs="Times New Roman"/>
                <w:color w:val="auto"/>
                <w:sz w:val="21"/>
                <w:szCs w:val="21"/>
                <w:highlight w:val="none"/>
                <w:u w:val="none"/>
                <w:lang w:val="en-US" w:eastAsia="zh-CN" w:bidi="ar"/>
              </w:rPr>
              <w:t>mg/L</w:t>
            </w:r>
            <w:r>
              <w:rPr>
                <w:rFonts w:hint="eastAsia" w:ascii="宋体" w:hAnsi="宋体" w:eastAsia="宋体" w:cs="宋体"/>
                <w:color w:val="auto"/>
                <w:sz w:val="21"/>
                <w:szCs w:val="21"/>
                <w:highlight w:val="none"/>
                <w:u w:val="none"/>
                <w:lang w:val="en-US" w:eastAsia="zh-CN" w:bidi="ar"/>
              </w:rPr>
              <w:t>）</w:t>
            </w:r>
          </w:p>
        </w:tc>
        <w:tc>
          <w:tcPr>
            <w:tcW w:w="281" w:type="pct"/>
            <w:tcBorders>
              <w:tl2br w:val="nil"/>
              <w:tr2bl w:val="nil"/>
            </w:tcBorders>
            <w:shd w:val="clear" w:color="auto" w:fill="auto"/>
            <w:noWrap/>
            <w:vAlign w:val="center"/>
          </w:tcPr>
          <w:p w14:paraId="68CFF2BF">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09" w:type="pct"/>
            <w:tcBorders>
              <w:tl2br w:val="nil"/>
              <w:tr2bl w:val="nil"/>
            </w:tcBorders>
            <w:shd w:val="clear" w:color="auto" w:fill="auto"/>
            <w:noWrap/>
            <w:vAlign w:val="center"/>
          </w:tcPr>
          <w:p w14:paraId="47EBD363">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07" w:type="pct"/>
            <w:tcBorders>
              <w:tl2br w:val="nil"/>
              <w:tr2bl w:val="nil"/>
            </w:tcBorders>
            <w:shd w:val="clear" w:color="auto" w:fill="auto"/>
            <w:noWrap/>
            <w:vAlign w:val="center"/>
          </w:tcPr>
          <w:p w14:paraId="0578929B">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10" w:type="pct"/>
            <w:tcBorders>
              <w:tl2br w:val="nil"/>
              <w:tr2bl w:val="nil"/>
            </w:tcBorders>
            <w:shd w:val="clear" w:color="auto" w:fill="auto"/>
            <w:noWrap/>
            <w:vAlign w:val="center"/>
          </w:tcPr>
          <w:p w14:paraId="177ADD26">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30" w:type="pct"/>
            <w:tcBorders>
              <w:tl2br w:val="nil"/>
              <w:tr2bl w:val="nil"/>
            </w:tcBorders>
            <w:shd w:val="clear" w:color="auto" w:fill="auto"/>
            <w:noWrap/>
            <w:vAlign w:val="center"/>
          </w:tcPr>
          <w:p w14:paraId="0DD12EFF">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0.018</w:t>
            </w:r>
          </w:p>
        </w:tc>
        <w:tc>
          <w:tcPr>
            <w:tcW w:w="290" w:type="pct"/>
            <w:tcBorders>
              <w:tl2br w:val="nil"/>
              <w:tr2bl w:val="nil"/>
            </w:tcBorders>
            <w:shd w:val="clear" w:color="auto" w:fill="auto"/>
            <w:noWrap/>
            <w:vAlign w:val="center"/>
          </w:tcPr>
          <w:p w14:paraId="5688B513">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10" w:type="pct"/>
            <w:tcBorders>
              <w:tl2br w:val="nil"/>
              <w:tr2bl w:val="nil"/>
            </w:tcBorders>
            <w:shd w:val="clear" w:color="auto" w:fill="auto"/>
            <w:noWrap/>
            <w:vAlign w:val="center"/>
          </w:tcPr>
          <w:p w14:paraId="199C7DF7">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10" w:type="pct"/>
            <w:tcBorders>
              <w:tl2br w:val="nil"/>
              <w:tr2bl w:val="nil"/>
            </w:tcBorders>
            <w:shd w:val="clear" w:color="auto" w:fill="auto"/>
            <w:noWrap/>
            <w:vAlign w:val="center"/>
          </w:tcPr>
          <w:p w14:paraId="2E314969">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10" w:type="pct"/>
            <w:tcBorders>
              <w:tl2br w:val="nil"/>
              <w:tr2bl w:val="nil"/>
            </w:tcBorders>
            <w:shd w:val="clear" w:color="auto" w:fill="auto"/>
            <w:noWrap/>
            <w:vAlign w:val="center"/>
          </w:tcPr>
          <w:p w14:paraId="494D03D4">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10" w:type="pct"/>
            <w:tcBorders>
              <w:tl2br w:val="nil"/>
              <w:tr2bl w:val="nil"/>
            </w:tcBorders>
            <w:shd w:val="clear" w:color="auto" w:fill="auto"/>
            <w:noWrap/>
            <w:vAlign w:val="center"/>
          </w:tcPr>
          <w:p w14:paraId="11651D80">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10" w:type="pct"/>
            <w:tcBorders>
              <w:tl2br w:val="nil"/>
              <w:tr2bl w:val="nil"/>
            </w:tcBorders>
            <w:shd w:val="clear" w:color="auto" w:fill="auto"/>
            <w:noWrap/>
            <w:vAlign w:val="center"/>
          </w:tcPr>
          <w:p w14:paraId="085438DF">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10" w:type="pct"/>
            <w:tcBorders>
              <w:tl2br w:val="nil"/>
              <w:tr2bl w:val="nil"/>
            </w:tcBorders>
            <w:shd w:val="clear" w:color="auto" w:fill="auto"/>
            <w:noWrap/>
            <w:vAlign w:val="center"/>
          </w:tcPr>
          <w:p w14:paraId="1990471E">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10" w:type="pct"/>
            <w:tcBorders>
              <w:tl2br w:val="nil"/>
              <w:tr2bl w:val="nil"/>
            </w:tcBorders>
            <w:shd w:val="clear" w:color="auto" w:fill="auto"/>
            <w:noWrap/>
            <w:vAlign w:val="center"/>
          </w:tcPr>
          <w:p w14:paraId="16E87194">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15" w:type="pct"/>
            <w:tcBorders>
              <w:tl2br w:val="nil"/>
              <w:tr2bl w:val="nil"/>
            </w:tcBorders>
            <w:shd w:val="clear" w:color="auto" w:fill="auto"/>
            <w:noWrap/>
            <w:vAlign w:val="center"/>
          </w:tcPr>
          <w:p w14:paraId="2B84C6E5">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10" w:type="pct"/>
            <w:tcBorders>
              <w:tl2br w:val="nil"/>
              <w:tr2bl w:val="nil"/>
            </w:tcBorders>
            <w:shd w:val="clear" w:color="auto" w:fill="auto"/>
            <w:noWrap/>
            <w:vAlign w:val="center"/>
          </w:tcPr>
          <w:p w14:paraId="5E965FC7">
            <w:pPr>
              <w:keepNext w:val="0"/>
              <w:keepLines w:val="0"/>
              <w:widowControl/>
              <w:suppressLineNumbers w:val="0"/>
              <w:spacing w:line="240" w:lineRule="auto"/>
              <w:ind w:firstLine="0" w:firstLineChars="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ascii="Times New Roman" w:hAnsi="Times New Roman" w:cs="Times New Roman"/>
                <w:i w:val="0"/>
                <w:iCs w:val="0"/>
                <w:color w:val="auto"/>
                <w:sz w:val="21"/>
                <w:szCs w:val="21"/>
                <w:highlight w:val="none"/>
                <w:u w:val="none"/>
                <w:lang w:val="en-US" w:eastAsia="zh-CN"/>
              </w:rPr>
              <w:t>/</w:t>
            </w:r>
          </w:p>
        </w:tc>
      </w:tr>
      <w:tr w14:paraId="08E5C1B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372" w:type="pct"/>
            <w:tcBorders>
              <w:tl2br w:val="nil"/>
              <w:tr2bl w:val="nil"/>
            </w:tcBorders>
            <w:shd w:val="clear" w:color="auto" w:fill="auto"/>
            <w:vAlign w:val="center"/>
          </w:tcPr>
          <w:p w14:paraId="4D0C8010">
            <w:pPr>
              <w:keepNext w:val="0"/>
              <w:keepLines w:val="0"/>
              <w:widowControl/>
              <w:suppressLineNumbers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铝（</w:t>
            </w:r>
            <w:r>
              <w:rPr>
                <w:rFonts w:hint="default" w:ascii="Times New Roman" w:hAnsi="Times New Roman" w:eastAsia="宋体" w:cs="Times New Roman"/>
                <w:color w:val="auto"/>
                <w:sz w:val="21"/>
                <w:szCs w:val="21"/>
                <w:highlight w:val="none"/>
                <w:u w:val="none"/>
                <w:lang w:val="en-US" w:eastAsia="zh-CN" w:bidi="ar"/>
              </w:rPr>
              <w:t>mg/L</w:t>
            </w:r>
            <w:r>
              <w:rPr>
                <w:rFonts w:hint="eastAsia" w:ascii="宋体" w:hAnsi="宋体" w:eastAsia="宋体" w:cs="宋体"/>
                <w:color w:val="auto"/>
                <w:sz w:val="21"/>
                <w:szCs w:val="21"/>
                <w:highlight w:val="none"/>
                <w:u w:val="none"/>
                <w:lang w:val="en-US" w:eastAsia="zh-CN" w:bidi="ar"/>
              </w:rPr>
              <w:t>）</w:t>
            </w:r>
          </w:p>
        </w:tc>
        <w:tc>
          <w:tcPr>
            <w:tcW w:w="281" w:type="pct"/>
            <w:tcBorders>
              <w:tl2br w:val="nil"/>
              <w:tr2bl w:val="nil"/>
            </w:tcBorders>
            <w:shd w:val="clear" w:color="auto" w:fill="auto"/>
            <w:noWrap/>
            <w:vAlign w:val="center"/>
          </w:tcPr>
          <w:p w14:paraId="23E379B0">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0.070</w:t>
            </w:r>
          </w:p>
        </w:tc>
        <w:tc>
          <w:tcPr>
            <w:tcW w:w="309" w:type="pct"/>
            <w:tcBorders>
              <w:tl2br w:val="nil"/>
              <w:tr2bl w:val="nil"/>
            </w:tcBorders>
            <w:shd w:val="clear" w:color="auto" w:fill="auto"/>
            <w:noWrap/>
            <w:vAlign w:val="center"/>
          </w:tcPr>
          <w:p w14:paraId="46310F0E">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07" w:type="pct"/>
            <w:tcBorders>
              <w:tl2br w:val="nil"/>
              <w:tr2bl w:val="nil"/>
            </w:tcBorders>
            <w:shd w:val="clear" w:color="auto" w:fill="auto"/>
            <w:noWrap/>
            <w:vAlign w:val="center"/>
          </w:tcPr>
          <w:p w14:paraId="7FB7E06D">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10" w:type="pct"/>
            <w:tcBorders>
              <w:tl2br w:val="nil"/>
              <w:tr2bl w:val="nil"/>
            </w:tcBorders>
            <w:shd w:val="clear" w:color="auto" w:fill="auto"/>
            <w:noWrap/>
            <w:vAlign w:val="center"/>
          </w:tcPr>
          <w:p w14:paraId="33AF6D5B">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30" w:type="pct"/>
            <w:tcBorders>
              <w:tl2br w:val="nil"/>
              <w:tr2bl w:val="nil"/>
            </w:tcBorders>
            <w:shd w:val="clear" w:color="auto" w:fill="auto"/>
            <w:noWrap/>
            <w:vAlign w:val="center"/>
          </w:tcPr>
          <w:p w14:paraId="2030AB1A">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290" w:type="pct"/>
            <w:tcBorders>
              <w:tl2br w:val="nil"/>
              <w:tr2bl w:val="nil"/>
            </w:tcBorders>
            <w:shd w:val="clear" w:color="auto" w:fill="auto"/>
            <w:noWrap/>
            <w:vAlign w:val="center"/>
          </w:tcPr>
          <w:p w14:paraId="5EFCDD92">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10" w:type="pct"/>
            <w:tcBorders>
              <w:tl2br w:val="nil"/>
              <w:tr2bl w:val="nil"/>
            </w:tcBorders>
            <w:shd w:val="clear" w:color="auto" w:fill="auto"/>
            <w:noWrap/>
            <w:vAlign w:val="center"/>
          </w:tcPr>
          <w:p w14:paraId="5A4AB006">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10" w:type="pct"/>
            <w:tcBorders>
              <w:tl2br w:val="nil"/>
              <w:tr2bl w:val="nil"/>
            </w:tcBorders>
            <w:shd w:val="clear" w:color="auto" w:fill="auto"/>
            <w:noWrap/>
            <w:vAlign w:val="center"/>
          </w:tcPr>
          <w:p w14:paraId="354993CA">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10" w:type="pct"/>
            <w:tcBorders>
              <w:tl2br w:val="nil"/>
              <w:tr2bl w:val="nil"/>
            </w:tcBorders>
            <w:shd w:val="clear" w:color="auto" w:fill="auto"/>
            <w:noWrap/>
            <w:vAlign w:val="center"/>
          </w:tcPr>
          <w:p w14:paraId="50522E88">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10" w:type="pct"/>
            <w:tcBorders>
              <w:tl2br w:val="nil"/>
              <w:tr2bl w:val="nil"/>
            </w:tcBorders>
            <w:shd w:val="clear" w:color="auto" w:fill="auto"/>
            <w:noWrap/>
            <w:vAlign w:val="center"/>
          </w:tcPr>
          <w:p w14:paraId="55D882B1">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10" w:type="pct"/>
            <w:tcBorders>
              <w:tl2br w:val="nil"/>
              <w:tr2bl w:val="nil"/>
            </w:tcBorders>
            <w:shd w:val="clear" w:color="auto" w:fill="auto"/>
            <w:noWrap/>
            <w:vAlign w:val="center"/>
          </w:tcPr>
          <w:p w14:paraId="2A7FF5FB">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10" w:type="pct"/>
            <w:tcBorders>
              <w:tl2br w:val="nil"/>
              <w:tr2bl w:val="nil"/>
            </w:tcBorders>
            <w:shd w:val="clear" w:color="auto" w:fill="auto"/>
            <w:noWrap/>
            <w:vAlign w:val="center"/>
          </w:tcPr>
          <w:p w14:paraId="5BAB5614">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10" w:type="pct"/>
            <w:tcBorders>
              <w:tl2br w:val="nil"/>
              <w:tr2bl w:val="nil"/>
            </w:tcBorders>
            <w:shd w:val="clear" w:color="auto" w:fill="auto"/>
            <w:noWrap/>
            <w:vAlign w:val="center"/>
          </w:tcPr>
          <w:p w14:paraId="0E48838A">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15" w:type="pct"/>
            <w:tcBorders>
              <w:tl2br w:val="nil"/>
              <w:tr2bl w:val="nil"/>
            </w:tcBorders>
            <w:shd w:val="clear" w:color="auto" w:fill="auto"/>
            <w:noWrap/>
            <w:vAlign w:val="center"/>
          </w:tcPr>
          <w:p w14:paraId="0D10A04F">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10" w:type="pct"/>
            <w:tcBorders>
              <w:tl2br w:val="nil"/>
              <w:tr2bl w:val="nil"/>
            </w:tcBorders>
            <w:shd w:val="clear" w:color="auto" w:fill="auto"/>
            <w:noWrap/>
            <w:vAlign w:val="center"/>
          </w:tcPr>
          <w:p w14:paraId="52C1CB80">
            <w:pPr>
              <w:keepNext w:val="0"/>
              <w:keepLines w:val="0"/>
              <w:widowControl/>
              <w:suppressLineNumbers w:val="0"/>
              <w:spacing w:line="240" w:lineRule="auto"/>
              <w:ind w:firstLine="0" w:firstLineChars="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ascii="Times New Roman" w:hAnsi="Times New Roman" w:cs="Times New Roman"/>
                <w:i w:val="0"/>
                <w:iCs w:val="0"/>
                <w:color w:val="auto"/>
                <w:sz w:val="21"/>
                <w:szCs w:val="21"/>
                <w:highlight w:val="none"/>
                <w:u w:val="none"/>
                <w:lang w:val="en-US" w:eastAsia="zh-CN"/>
              </w:rPr>
              <w:t>/</w:t>
            </w:r>
          </w:p>
        </w:tc>
      </w:tr>
      <w:tr w14:paraId="23CC755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372" w:type="pct"/>
            <w:tcBorders>
              <w:tl2br w:val="nil"/>
              <w:tr2bl w:val="nil"/>
            </w:tcBorders>
            <w:shd w:val="clear" w:color="auto" w:fill="auto"/>
            <w:vAlign w:val="center"/>
          </w:tcPr>
          <w:p w14:paraId="215601F0">
            <w:pPr>
              <w:keepNext w:val="0"/>
              <w:keepLines w:val="0"/>
              <w:widowControl/>
              <w:suppressLineNumbers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高锰酸盐指数</w:t>
            </w:r>
            <w:r>
              <w:rPr>
                <w:rFonts w:hint="default" w:ascii="Times New Roman" w:hAnsi="Times New Roman" w:eastAsia="宋体" w:cs="Times New Roman"/>
                <w:color w:val="auto"/>
                <w:sz w:val="21"/>
                <w:szCs w:val="21"/>
                <w:highlight w:val="none"/>
                <w:u w:val="none"/>
                <w:lang w:val="en-US" w:eastAsia="zh-CN" w:bidi="ar"/>
              </w:rPr>
              <w:t>/</w:t>
            </w:r>
            <w:r>
              <w:rPr>
                <w:rFonts w:hint="eastAsia" w:ascii="宋体" w:hAnsi="宋体" w:eastAsia="宋体" w:cs="宋体"/>
                <w:color w:val="auto"/>
                <w:sz w:val="21"/>
                <w:szCs w:val="21"/>
                <w:highlight w:val="none"/>
                <w:u w:val="none"/>
                <w:lang w:val="en-US" w:eastAsia="zh-CN" w:bidi="ar"/>
              </w:rPr>
              <w:t>耗氧量（</w:t>
            </w:r>
            <w:r>
              <w:rPr>
                <w:rFonts w:hint="default" w:ascii="Times New Roman" w:hAnsi="Times New Roman" w:eastAsia="宋体" w:cs="Times New Roman"/>
                <w:color w:val="auto"/>
                <w:sz w:val="21"/>
                <w:szCs w:val="21"/>
                <w:highlight w:val="none"/>
                <w:u w:val="none"/>
                <w:lang w:val="en-US" w:eastAsia="zh-CN" w:bidi="ar"/>
              </w:rPr>
              <w:t>Mn</w:t>
            </w:r>
            <w:r>
              <w:rPr>
                <w:rFonts w:hint="eastAsia" w:ascii="宋体" w:hAnsi="宋体" w:eastAsia="宋体" w:cs="宋体"/>
                <w:color w:val="auto"/>
                <w:sz w:val="21"/>
                <w:szCs w:val="21"/>
                <w:highlight w:val="none"/>
                <w:u w:val="none"/>
                <w:lang w:val="en-US" w:eastAsia="zh-CN" w:bidi="ar"/>
              </w:rPr>
              <w:t>法以</w:t>
            </w:r>
            <w:r>
              <w:rPr>
                <w:rFonts w:hint="default" w:ascii="Times New Roman" w:hAnsi="Times New Roman" w:eastAsia="宋体" w:cs="Times New Roman"/>
                <w:color w:val="auto"/>
                <w:sz w:val="21"/>
                <w:szCs w:val="21"/>
                <w:highlight w:val="none"/>
                <w:u w:val="none"/>
                <w:lang w:val="en-US" w:eastAsia="zh-CN" w:bidi="ar"/>
              </w:rPr>
              <w:t>O</w:t>
            </w:r>
            <w:r>
              <w:rPr>
                <w:rFonts w:hint="default" w:ascii="Times New Roman" w:hAnsi="Times New Roman" w:eastAsia="宋体" w:cs="Times New Roman"/>
                <w:color w:val="auto"/>
                <w:sz w:val="21"/>
                <w:szCs w:val="21"/>
                <w:highlight w:val="none"/>
                <w:u w:val="none"/>
                <w:vertAlign w:val="subscript"/>
                <w:lang w:val="en-US" w:eastAsia="zh-CN" w:bidi="ar"/>
              </w:rPr>
              <w:t>2</w:t>
            </w:r>
            <w:r>
              <w:rPr>
                <w:rFonts w:hint="eastAsia" w:ascii="宋体" w:hAnsi="宋体" w:eastAsia="宋体" w:cs="宋体"/>
                <w:color w:val="auto"/>
                <w:sz w:val="21"/>
                <w:szCs w:val="21"/>
                <w:highlight w:val="none"/>
                <w:u w:val="none"/>
                <w:lang w:val="en-US" w:eastAsia="zh-CN" w:bidi="ar"/>
              </w:rPr>
              <w:t>计）（</w:t>
            </w:r>
            <w:r>
              <w:rPr>
                <w:rFonts w:hint="default" w:ascii="Times New Roman" w:hAnsi="Times New Roman" w:eastAsia="宋体" w:cs="Times New Roman"/>
                <w:color w:val="auto"/>
                <w:sz w:val="21"/>
                <w:szCs w:val="21"/>
                <w:highlight w:val="none"/>
                <w:u w:val="none"/>
                <w:lang w:val="en-US" w:eastAsia="zh-CN" w:bidi="ar"/>
              </w:rPr>
              <w:t>mg/L</w:t>
            </w:r>
            <w:r>
              <w:rPr>
                <w:rFonts w:hint="eastAsia" w:ascii="宋体" w:hAnsi="宋体" w:eastAsia="宋体" w:cs="宋体"/>
                <w:color w:val="auto"/>
                <w:sz w:val="21"/>
                <w:szCs w:val="21"/>
                <w:highlight w:val="none"/>
                <w:u w:val="none"/>
                <w:lang w:val="en-US" w:eastAsia="zh-CN" w:bidi="ar"/>
              </w:rPr>
              <w:t>）</w:t>
            </w:r>
          </w:p>
        </w:tc>
        <w:tc>
          <w:tcPr>
            <w:tcW w:w="281" w:type="pct"/>
            <w:tcBorders>
              <w:tl2br w:val="nil"/>
              <w:tr2bl w:val="nil"/>
            </w:tcBorders>
            <w:shd w:val="clear" w:color="auto" w:fill="auto"/>
            <w:noWrap/>
            <w:vAlign w:val="center"/>
          </w:tcPr>
          <w:p w14:paraId="55FF7CF6">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0.407</w:t>
            </w:r>
          </w:p>
        </w:tc>
        <w:tc>
          <w:tcPr>
            <w:tcW w:w="309" w:type="pct"/>
            <w:tcBorders>
              <w:tl2br w:val="nil"/>
              <w:tr2bl w:val="nil"/>
            </w:tcBorders>
            <w:shd w:val="clear" w:color="auto" w:fill="auto"/>
            <w:noWrap/>
            <w:vAlign w:val="center"/>
          </w:tcPr>
          <w:p w14:paraId="6BFE846B">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0.433</w:t>
            </w:r>
          </w:p>
        </w:tc>
        <w:tc>
          <w:tcPr>
            <w:tcW w:w="307" w:type="pct"/>
            <w:tcBorders>
              <w:tl2br w:val="nil"/>
              <w:tr2bl w:val="nil"/>
            </w:tcBorders>
            <w:shd w:val="clear" w:color="auto" w:fill="auto"/>
            <w:noWrap/>
            <w:vAlign w:val="center"/>
          </w:tcPr>
          <w:p w14:paraId="3D2BE8F5">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0.323</w:t>
            </w:r>
          </w:p>
        </w:tc>
        <w:tc>
          <w:tcPr>
            <w:tcW w:w="310" w:type="pct"/>
            <w:tcBorders>
              <w:tl2br w:val="nil"/>
              <w:tr2bl w:val="nil"/>
            </w:tcBorders>
            <w:shd w:val="clear" w:color="auto" w:fill="auto"/>
            <w:noWrap/>
            <w:vAlign w:val="center"/>
          </w:tcPr>
          <w:p w14:paraId="172F14D6">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0.823</w:t>
            </w:r>
          </w:p>
        </w:tc>
        <w:tc>
          <w:tcPr>
            <w:tcW w:w="330" w:type="pct"/>
            <w:tcBorders>
              <w:tl2br w:val="nil"/>
              <w:tr2bl w:val="nil"/>
            </w:tcBorders>
            <w:shd w:val="clear" w:color="auto" w:fill="auto"/>
            <w:noWrap/>
            <w:vAlign w:val="center"/>
          </w:tcPr>
          <w:p w14:paraId="36AAC5CA">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0.380</w:t>
            </w:r>
          </w:p>
        </w:tc>
        <w:tc>
          <w:tcPr>
            <w:tcW w:w="290" w:type="pct"/>
            <w:tcBorders>
              <w:tl2br w:val="nil"/>
              <w:tr2bl w:val="nil"/>
            </w:tcBorders>
            <w:shd w:val="clear" w:color="auto" w:fill="auto"/>
            <w:noWrap/>
            <w:vAlign w:val="center"/>
          </w:tcPr>
          <w:p w14:paraId="4DDAFEEA">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0.407</w:t>
            </w:r>
          </w:p>
        </w:tc>
        <w:tc>
          <w:tcPr>
            <w:tcW w:w="310" w:type="pct"/>
            <w:tcBorders>
              <w:tl2br w:val="nil"/>
              <w:tr2bl w:val="nil"/>
            </w:tcBorders>
            <w:shd w:val="clear" w:color="auto" w:fill="auto"/>
            <w:noWrap/>
            <w:vAlign w:val="center"/>
          </w:tcPr>
          <w:p w14:paraId="24A6182B">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0.513</w:t>
            </w:r>
          </w:p>
        </w:tc>
        <w:tc>
          <w:tcPr>
            <w:tcW w:w="310" w:type="pct"/>
            <w:tcBorders>
              <w:tl2br w:val="nil"/>
              <w:tr2bl w:val="nil"/>
            </w:tcBorders>
            <w:shd w:val="clear" w:color="auto" w:fill="auto"/>
            <w:noWrap/>
            <w:vAlign w:val="center"/>
          </w:tcPr>
          <w:p w14:paraId="53E07F90">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0.960</w:t>
            </w:r>
          </w:p>
        </w:tc>
        <w:tc>
          <w:tcPr>
            <w:tcW w:w="310" w:type="pct"/>
            <w:tcBorders>
              <w:tl2br w:val="nil"/>
              <w:tr2bl w:val="nil"/>
            </w:tcBorders>
            <w:shd w:val="clear" w:color="auto" w:fill="auto"/>
            <w:noWrap/>
            <w:vAlign w:val="center"/>
          </w:tcPr>
          <w:p w14:paraId="30C11D74">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0.637</w:t>
            </w:r>
          </w:p>
        </w:tc>
        <w:tc>
          <w:tcPr>
            <w:tcW w:w="310" w:type="pct"/>
            <w:tcBorders>
              <w:tl2br w:val="nil"/>
              <w:tr2bl w:val="nil"/>
            </w:tcBorders>
            <w:shd w:val="clear" w:color="auto" w:fill="auto"/>
            <w:noWrap/>
            <w:vAlign w:val="center"/>
          </w:tcPr>
          <w:p w14:paraId="3DBF43EE">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0.947</w:t>
            </w:r>
          </w:p>
        </w:tc>
        <w:tc>
          <w:tcPr>
            <w:tcW w:w="310" w:type="pct"/>
            <w:tcBorders>
              <w:tl2br w:val="nil"/>
              <w:tr2bl w:val="nil"/>
            </w:tcBorders>
            <w:shd w:val="clear" w:color="auto" w:fill="auto"/>
            <w:noWrap/>
            <w:vAlign w:val="center"/>
          </w:tcPr>
          <w:p w14:paraId="0729595F">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0.893</w:t>
            </w:r>
          </w:p>
        </w:tc>
        <w:tc>
          <w:tcPr>
            <w:tcW w:w="310" w:type="pct"/>
            <w:tcBorders>
              <w:tl2br w:val="nil"/>
              <w:tr2bl w:val="nil"/>
            </w:tcBorders>
            <w:shd w:val="clear" w:color="auto" w:fill="auto"/>
            <w:noWrap/>
            <w:vAlign w:val="center"/>
          </w:tcPr>
          <w:p w14:paraId="21F92B0D">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0.947</w:t>
            </w:r>
          </w:p>
        </w:tc>
        <w:tc>
          <w:tcPr>
            <w:tcW w:w="310" w:type="pct"/>
            <w:tcBorders>
              <w:tl2br w:val="nil"/>
              <w:tr2bl w:val="nil"/>
            </w:tcBorders>
            <w:shd w:val="clear" w:color="auto" w:fill="auto"/>
            <w:noWrap/>
            <w:vAlign w:val="center"/>
          </w:tcPr>
          <w:p w14:paraId="2D927352">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0.893</w:t>
            </w:r>
          </w:p>
        </w:tc>
        <w:tc>
          <w:tcPr>
            <w:tcW w:w="315" w:type="pct"/>
            <w:tcBorders>
              <w:tl2br w:val="nil"/>
              <w:tr2bl w:val="nil"/>
            </w:tcBorders>
            <w:shd w:val="clear" w:color="auto" w:fill="auto"/>
            <w:noWrap/>
            <w:vAlign w:val="center"/>
          </w:tcPr>
          <w:p w14:paraId="010C9BA8">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0.893</w:t>
            </w:r>
          </w:p>
        </w:tc>
        <w:tc>
          <w:tcPr>
            <w:tcW w:w="310" w:type="pct"/>
            <w:tcBorders>
              <w:tl2br w:val="nil"/>
              <w:tr2bl w:val="nil"/>
            </w:tcBorders>
            <w:shd w:val="clear" w:color="auto" w:fill="auto"/>
            <w:noWrap/>
            <w:vAlign w:val="center"/>
          </w:tcPr>
          <w:p w14:paraId="2F3A8698">
            <w:pPr>
              <w:keepNext w:val="0"/>
              <w:keepLines w:val="0"/>
              <w:widowControl/>
              <w:suppressLineNumbers w:val="0"/>
              <w:spacing w:line="240" w:lineRule="auto"/>
              <w:ind w:firstLine="0" w:firstLineChars="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ascii="Times New Roman" w:hAnsi="Times New Roman" w:cs="Times New Roman"/>
                <w:i w:val="0"/>
                <w:iCs w:val="0"/>
                <w:color w:val="auto"/>
                <w:sz w:val="21"/>
                <w:szCs w:val="21"/>
                <w:highlight w:val="none"/>
                <w:u w:val="none"/>
                <w:lang w:val="en-US" w:eastAsia="zh-CN"/>
              </w:rPr>
              <w:t>/</w:t>
            </w:r>
          </w:p>
        </w:tc>
      </w:tr>
      <w:tr w14:paraId="2D63F40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372" w:type="pct"/>
            <w:tcBorders>
              <w:tl2br w:val="nil"/>
              <w:tr2bl w:val="nil"/>
            </w:tcBorders>
            <w:shd w:val="clear" w:color="auto" w:fill="auto"/>
            <w:vAlign w:val="center"/>
          </w:tcPr>
          <w:p w14:paraId="0CB4A97D">
            <w:pPr>
              <w:keepNext w:val="0"/>
              <w:keepLines w:val="0"/>
              <w:widowControl/>
              <w:suppressLineNumbers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氨氮（</w:t>
            </w:r>
            <w:r>
              <w:rPr>
                <w:rFonts w:hint="default" w:ascii="Times New Roman" w:hAnsi="Times New Roman" w:eastAsia="宋体" w:cs="Times New Roman"/>
                <w:color w:val="auto"/>
                <w:sz w:val="21"/>
                <w:szCs w:val="21"/>
                <w:highlight w:val="none"/>
                <w:u w:val="none"/>
                <w:lang w:val="en-US" w:eastAsia="zh-CN" w:bidi="ar"/>
              </w:rPr>
              <w:t>mg/L</w:t>
            </w:r>
            <w:r>
              <w:rPr>
                <w:rFonts w:hint="eastAsia" w:ascii="宋体" w:hAnsi="宋体" w:eastAsia="宋体" w:cs="宋体"/>
                <w:color w:val="auto"/>
                <w:sz w:val="21"/>
                <w:szCs w:val="21"/>
                <w:highlight w:val="none"/>
                <w:u w:val="none"/>
                <w:lang w:val="en-US" w:eastAsia="zh-CN" w:bidi="ar"/>
              </w:rPr>
              <w:t>）</w:t>
            </w:r>
          </w:p>
        </w:tc>
        <w:tc>
          <w:tcPr>
            <w:tcW w:w="281" w:type="pct"/>
            <w:tcBorders>
              <w:tl2br w:val="nil"/>
              <w:tr2bl w:val="nil"/>
            </w:tcBorders>
            <w:shd w:val="clear" w:color="auto" w:fill="auto"/>
            <w:noWrap/>
            <w:vAlign w:val="center"/>
          </w:tcPr>
          <w:p w14:paraId="403F3C12">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0.984</w:t>
            </w:r>
          </w:p>
        </w:tc>
        <w:tc>
          <w:tcPr>
            <w:tcW w:w="309" w:type="pct"/>
            <w:tcBorders>
              <w:tl2br w:val="nil"/>
              <w:tr2bl w:val="nil"/>
            </w:tcBorders>
            <w:shd w:val="clear" w:color="auto" w:fill="auto"/>
            <w:noWrap/>
            <w:vAlign w:val="center"/>
          </w:tcPr>
          <w:p w14:paraId="3E50EBD8">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0.914</w:t>
            </w:r>
          </w:p>
        </w:tc>
        <w:tc>
          <w:tcPr>
            <w:tcW w:w="307" w:type="pct"/>
            <w:tcBorders>
              <w:tl2br w:val="nil"/>
              <w:tr2bl w:val="nil"/>
            </w:tcBorders>
            <w:shd w:val="clear" w:color="auto" w:fill="auto"/>
            <w:noWrap/>
            <w:vAlign w:val="center"/>
          </w:tcPr>
          <w:p w14:paraId="4F4B0600">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0.884</w:t>
            </w:r>
          </w:p>
        </w:tc>
        <w:tc>
          <w:tcPr>
            <w:tcW w:w="310" w:type="pct"/>
            <w:tcBorders>
              <w:tl2br w:val="nil"/>
              <w:tr2bl w:val="nil"/>
            </w:tcBorders>
            <w:shd w:val="clear" w:color="auto" w:fill="auto"/>
            <w:noWrap/>
            <w:vAlign w:val="center"/>
          </w:tcPr>
          <w:p w14:paraId="403E37BB">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0.670</w:t>
            </w:r>
          </w:p>
        </w:tc>
        <w:tc>
          <w:tcPr>
            <w:tcW w:w="330" w:type="pct"/>
            <w:tcBorders>
              <w:tl2br w:val="nil"/>
              <w:tr2bl w:val="nil"/>
            </w:tcBorders>
            <w:shd w:val="clear" w:color="auto" w:fill="auto"/>
            <w:noWrap/>
            <w:vAlign w:val="center"/>
          </w:tcPr>
          <w:p w14:paraId="6388563D">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0.954</w:t>
            </w:r>
          </w:p>
        </w:tc>
        <w:tc>
          <w:tcPr>
            <w:tcW w:w="290" w:type="pct"/>
            <w:tcBorders>
              <w:tl2br w:val="nil"/>
              <w:tr2bl w:val="nil"/>
            </w:tcBorders>
            <w:shd w:val="clear" w:color="auto" w:fill="auto"/>
            <w:noWrap/>
            <w:vAlign w:val="center"/>
          </w:tcPr>
          <w:p w14:paraId="3608819D">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0.884</w:t>
            </w:r>
          </w:p>
        </w:tc>
        <w:tc>
          <w:tcPr>
            <w:tcW w:w="310" w:type="pct"/>
            <w:tcBorders>
              <w:tl2br w:val="nil"/>
              <w:tr2bl w:val="nil"/>
            </w:tcBorders>
            <w:shd w:val="clear" w:color="auto" w:fill="auto"/>
            <w:noWrap/>
            <w:vAlign w:val="center"/>
          </w:tcPr>
          <w:p w14:paraId="65438867">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0.960</w:t>
            </w:r>
          </w:p>
        </w:tc>
        <w:tc>
          <w:tcPr>
            <w:tcW w:w="310" w:type="pct"/>
            <w:tcBorders>
              <w:tl2br w:val="nil"/>
              <w:tr2bl w:val="nil"/>
            </w:tcBorders>
            <w:shd w:val="clear" w:color="auto" w:fill="auto"/>
            <w:noWrap/>
            <w:vAlign w:val="center"/>
          </w:tcPr>
          <w:p w14:paraId="2734DBDD">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0.920</w:t>
            </w:r>
          </w:p>
        </w:tc>
        <w:tc>
          <w:tcPr>
            <w:tcW w:w="310" w:type="pct"/>
            <w:tcBorders>
              <w:tl2br w:val="nil"/>
              <w:tr2bl w:val="nil"/>
            </w:tcBorders>
            <w:shd w:val="clear" w:color="auto" w:fill="auto"/>
            <w:noWrap/>
            <w:vAlign w:val="center"/>
          </w:tcPr>
          <w:p w14:paraId="1CBC4F77">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0.884</w:t>
            </w:r>
          </w:p>
        </w:tc>
        <w:tc>
          <w:tcPr>
            <w:tcW w:w="310" w:type="pct"/>
            <w:tcBorders>
              <w:tl2br w:val="nil"/>
              <w:tr2bl w:val="nil"/>
            </w:tcBorders>
            <w:shd w:val="clear" w:color="auto" w:fill="auto"/>
            <w:noWrap/>
            <w:vAlign w:val="center"/>
          </w:tcPr>
          <w:p w14:paraId="206E0FED">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0.762</w:t>
            </w:r>
          </w:p>
        </w:tc>
        <w:tc>
          <w:tcPr>
            <w:tcW w:w="310" w:type="pct"/>
            <w:tcBorders>
              <w:tl2br w:val="nil"/>
              <w:tr2bl w:val="nil"/>
            </w:tcBorders>
            <w:shd w:val="clear" w:color="auto" w:fill="auto"/>
            <w:noWrap/>
            <w:vAlign w:val="center"/>
          </w:tcPr>
          <w:p w14:paraId="478597A4">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0.820</w:t>
            </w:r>
          </w:p>
        </w:tc>
        <w:tc>
          <w:tcPr>
            <w:tcW w:w="310" w:type="pct"/>
            <w:tcBorders>
              <w:tl2br w:val="nil"/>
              <w:tr2bl w:val="nil"/>
            </w:tcBorders>
            <w:shd w:val="clear" w:color="auto" w:fill="auto"/>
            <w:noWrap/>
            <w:vAlign w:val="center"/>
          </w:tcPr>
          <w:p w14:paraId="28247E25">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0.740</w:t>
            </w:r>
          </w:p>
        </w:tc>
        <w:tc>
          <w:tcPr>
            <w:tcW w:w="310" w:type="pct"/>
            <w:tcBorders>
              <w:tl2br w:val="nil"/>
              <w:tr2bl w:val="nil"/>
            </w:tcBorders>
            <w:shd w:val="clear" w:color="auto" w:fill="auto"/>
            <w:noWrap/>
            <w:vAlign w:val="center"/>
          </w:tcPr>
          <w:p w14:paraId="7CC63697">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0.948</w:t>
            </w:r>
          </w:p>
        </w:tc>
        <w:tc>
          <w:tcPr>
            <w:tcW w:w="315" w:type="pct"/>
            <w:tcBorders>
              <w:tl2br w:val="nil"/>
              <w:tr2bl w:val="nil"/>
            </w:tcBorders>
            <w:shd w:val="clear" w:color="auto" w:fill="auto"/>
            <w:noWrap/>
            <w:vAlign w:val="center"/>
          </w:tcPr>
          <w:p w14:paraId="2B1E4F99">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0.694</w:t>
            </w:r>
          </w:p>
        </w:tc>
        <w:tc>
          <w:tcPr>
            <w:tcW w:w="310" w:type="pct"/>
            <w:tcBorders>
              <w:tl2br w:val="nil"/>
              <w:tr2bl w:val="nil"/>
            </w:tcBorders>
            <w:shd w:val="clear" w:color="auto" w:fill="auto"/>
            <w:noWrap/>
            <w:vAlign w:val="center"/>
          </w:tcPr>
          <w:p w14:paraId="599015B1">
            <w:pPr>
              <w:keepNext w:val="0"/>
              <w:keepLines w:val="0"/>
              <w:widowControl/>
              <w:suppressLineNumbers w:val="0"/>
              <w:spacing w:line="240" w:lineRule="auto"/>
              <w:ind w:firstLine="0" w:firstLineChars="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ascii="Times New Roman" w:hAnsi="Times New Roman" w:cs="Times New Roman"/>
                <w:i w:val="0"/>
                <w:iCs w:val="0"/>
                <w:color w:val="auto"/>
                <w:sz w:val="21"/>
                <w:szCs w:val="21"/>
                <w:highlight w:val="none"/>
                <w:u w:val="none"/>
                <w:lang w:val="en-US" w:eastAsia="zh-CN"/>
              </w:rPr>
              <w:t>/</w:t>
            </w:r>
          </w:p>
        </w:tc>
      </w:tr>
      <w:tr w14:paraId="2CCCFAC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372" w:type="pct"/>
            <w:tcBorders>
              <w:tl2br w:val="nil"/>
              <w:tr2bl w:val="nil"/>
            </w:tcBorders>
            <w:shd w:val="clear" w:color="auto" w:fill="auto"/>
            <w:vAlign w:val="center"/>
          </w:tcPr>
          <w:p w14:paraId="16555378">
            <w:pPr>
              <w:keepNext w:val="0"/>
              <w:keepLines w:val="0"/>
              <w:widowControl/>
              <w:suppressLineNumbers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亚硝酸盐（以</w:t>
            </w:r>
            <w:r>
              <w:rPr>
                <w:rFonts w:hint="default" w:ascii="Times New Roman" w:hAnsi="Times New Roman" w:eastAsia="宋体" w:cs="Times New Roman"/>
                <w:color w:val="auto"/>
                <w:sz w:val="21"/>
                <w:szCs w:val="21"/>
                <w:highlight w:val="none"/>
                <w:u w:val="none"/>
                <w:lang w:val="en-US" w:eastAsia="zh-CN" w:bidi="ar"/>
              </w:rPr>
              <w:t>N</w:t>
            </w:r>
            <w:r>
              <w:rPr>
                <w:rFonts w:hint="eastAsia" w:ascii="宋体" w:hAnsi="宋体" w:eastAsia="宋体" w:cs="宋体"/>
                <w:color w:val="auto"/>
                <w:sz w:val="21"/>
                <w:szCs w:val="21"/>
                <w:highlight w:val="none"/>
                <w:u w:val="none"/>
                <w:lang w:val="en-US" w:eastAsia="zh-CN" w:bidi="ar"/>
              </w:rPr>
              <w:t>计）（</w:t>
            </w:r>
            <w:r>
              <w:rPr>
                <w:rFonts w:hint="default" w:ascii="Times New Roman" w:hAnsi="Times New Roman" w:eastAsia="宋体" w:cs="Times New Roman"/>
                <w:color w:val="auto"/>
                <w:sz w:val="21"/>
                <w:szCs w:val="21"/>
                <w:highlight w:val="none"/>
                <w:u w:val="none"/>
                <w:lang w:val="en-US" w:eastAsia="zh-CN" w:bidi="ar"/>
              </w:rPr>
              <w:t>mg/L</w:t>
            </w:r>
            <w:r>
              <w:rPr>
                <w:rFonts w:hint="eastAsia" w:ascii="宋体" w:hAnsi="宋体" w:eastAsia="宋体" w:cs="宋体"/>
                <w:color w:val="auto"/>
                <w:sz w:val="21"/>
                <w:szCs w:val="21"/>
                <w:highlight w:val="none"/>
                <w:u w:val="none"/>
                <w:lang w:val="en-US" w:eastAsia="zh-CN" w:bidi="ar"/>
              </w:rPr>
              <w:t>）</w:t>
            </w:r>
          </w:p>
        </w:tc>
        <w:tc>
          <w:tcPr>
            <w:tcW w:w="281" w:type="pct"/>
            <w:tcBorders>
              <w:tl2br w:val="nil"/>
              <w:tr2bl w:val="nil"/>
            </w:tcBorders>
            <w:shd w:val="clear" w:color="auto" w:fill="auto"/>
            <w:noWrap/>
            <w:vAlign w:val="center"/>
          </w:tcPr>
          <w:p w14:paraId="5B3FF952">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09" w:type="pct"/>
            <w:tcBorders>
              <w:tl2br w:val="nil"/>
              <w:tr2bl w:val="nil"/>
            </w:tcBorders>
            <w:shd w:val="clear" w:color="auto" w:fill="auto"/>
            <w:noWrap/>
            <w:vAlign w:val="center"/>
          </w:tcPr>
          <w:p w14:paraId="677B953B">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07" w:type="pct"/>
            <w:tcBorders>
              <w:tl2br w:val="nil"/>
              <w:tr2bl w:val="nil"/>
            </w:tcBorders>
            <w:shd w:val="clear" w:color="auto" w:fill="auto"/>
            <w:noWrap/>
            <w:vAlign w:val="center"/>
          </w:tcPr>
          <w:p w14:paraId="63509F8A">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10" w:type="pct"/>
            <w:tcBorders>
              <w:tl2br w:val="nil"/>
              <w:tr2bl w:val="nil"/>
            </w:tcBorders>
            <w:shd w:val="clear" w:color="auto" w:fill="auto"/>
            <w:noWrap/>
            <w:vAlign w:val="center"/>
          </w:tcPr>
          <w:p w14:paraId="2452AFD7">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30" w:type="pct"/>
            <w:tcBorders>
              <w:tl2br w:val="nil"/>
              <w:tr2bl w:val="nil"/>
            </w:tcBorders>
            <w:shd w:val="clear" w:color="auto" w:fill="auto"/>
            <w:noWrap/>
            <w:vAlign w:val="center"/>
          </w:tcPr>
          <w:p w14:paraId="291C3DE6">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290" w:type="pct"/>
            <w:tcBorders>
              <w:tl2br w:val="nil"/>
              <w:tr2bl w:val="nil"/>
            </w:tcBorders>
            <w:shd w:val="clear" w:color="auto" w:fill="auto"/>
            <w:noWrap/>
            <w:vAlign w:val="center"/>
          </w:tcPr>
          <w:p w14:paraId="5816157D">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10" w:type="pct"/>
            <w:tcBorders>
              <w:tl2br w:val="nil"/>
              <w:tr2bl w:val="nil"/>
            </w:tcBorders>
            <w:shd w:val="clear" w:color="auto" w:fill="auto"/>
            <w:noWrap/>
            <w:vAlign w:val="center"/>
          </w:tcPr>
          <w:p w14:paraId="7C8E7989">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10" w:type="pct"/>
            <w:tcBorders>
              <w:tl2br w:val="nil"/>
              <w:tr2bl w:val="nil"/>
            </w:tcBorders>
            <w:shd w:val="clear" w:color="auto" w:fill="auto"/>
            <w:noWrap/>
            <w:vAlign w:val="center"/>
          </w:tcPr>
          <w:p w14:paraId="4F9B0904">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0.003</w:t>
            </w:r>
          </w:p>
        </w:tc>
        <w:tc>
          <w:tcPr>
            <w:tcW w:w="310" w:type="pct"/>
            <w:tcBorders>
              <w:tl2br w:val="nil"/>
              <w:tr2bl w:val="nil"/>
            </w:tcBorders>
            <w:shd w:val="clear" w:color="auto" w:fill="auto"/>
            <w:noWrap/>
            <w:vAlign w:val="center"/>
          </w:tcPr>
          <w:p w14:paraId="30D75E30">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10" w:type="pct"/>
            <w:tcBorders>
              <w:tl2br w:val="nil"/>
              <w:tr2bl w:val="nil"/>
            </w:tcBorders>
            <w:shd w:val="clear" w:color="auto" w:fill="auto"/>
            <w:noWrap/>
            <w:vAlign w:val="center"/>
          </w:tcPr>
          <w:p w14:paraId="4DAFE183">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0.012</w:t>
            </w:r>
          </w:p>
        </w:tc>
        <w:tc>
          <w:tcPr>
            <w:tcW w:w="310" w:type="pct"/>
            <w:tcBorders>
              <w:tl2br w:val="nil"/>
              <w:tr2bl w:val="nil"/>
            </w:tcBorders>
            <w:shd w:val="clear" w:color="auto" w:fill="auto"/>
            <w:noWrap/>
            <w:vAlign w:val="center"/>
          </w:tcPr>
          <w:p w14:paraId="65CF4BD6">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0.029</w:t>
            </w:r>
          </w:p>
        </w:tc>
        <w:tc>
          <w:tcPr>
            <w:tcW w:w="310" w:type="pct"/>
            <w:tcBorders>
              <w:tl2br w:val="nil"/>
              <w:tr2bl w:val="nil"/>
            </w:tcBorders>
            <w:shd w:val="clear" w:color="auto" w:fill="auto"/>
            <w:noWrap/>
            <w:vAlign w:val="center"/>
          </w:tcPr>
          <w:p w14:paraId="7ABEDCCB">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0.015</w:t>
            </w:r>
          </w:p>
        </w:tc>
        <w:tc>
          <w:tcPr>
            <w:tcW w:w="310" w:type="pct"/>
            <w:tcBorders>
              <w:tl2br w:val="nil"/>
              <w:tr2bl w:val="nil"/>
            </w:tcBorders>
            <w:shd w:val="clear" w:color="auto" w:fill="auto"/>
            <w:noWrap/>
            <w:vAlign w:val="center"/>
          </w:tcPr>
          <w:p w14:paraId="427AE8EA">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15" w:type="pct"/>
            <w:tcBorders>
              <w:tl2br w:val="nil"/>
              <w:tr2bl w:val="nil"/>
            </w:tcBorders>
            <w:shd w:val="clear" w:color="auto" w:fill="auto"/>
            <w:noWrap/>
            <w:vAlign w:val="center"/>
          </w:tcPr>
          <w:p w14:paraId="311084D3">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0.010</w:t>
            </w:r>
          </w:p>
        </w:tc>
        <w:tc>
          <w:tcPr>
            <w:tcW w:w="310" w:type="pct"/>
            <w:tcBorders>
              <w:tl2br w:val="nil"/>
              <w:tr2bl w:val="nil"/>
            </w:tcBorders>
            <w:shd w:val="clear" w:color="auto" w:fill="auto"/>
            <w:noWrap/>
            <w:vAlign w:val="center"/>
          </w:tcPr>
          <w:p w14:paraId="78F114CF">
            <w:pPr>
              <w:keepNext w:val="0"/>
              <w:keepLines w:val="0"/>
              <w:widowControl/>
              <w:suppressLineNumbers w:val="0"/>
              <w:spacing w:line="240" w:lineRule="auto"/>
              <w:ind w:firstLine="0" w:firstLineChars="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ascii="Times New Roman" w:hAnsi="Times New Roman" w:cs="Times New Roman"/>
                <w:i w:val="0"/>
                <w:iCs w:val="0"/>
                <w:color w:val="auto"/>
                <w:sz w:val="21"/>
                <w:szCs w:val="21"/>
                <w:highlight w:val="none"/>
                <w:u w:val="none"/>
                <w:lang w:val="en-US" w:eastAsia="zh-CN"/>
              </w:rPr>
              <w:t>/</w:t>
            </w:r>
          </w:p>
        </w:tc>
      </w:tr>
      <w:tr w14:paraId="322BD15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372" w:type="pct"/>
            <w:tcBorders>
              <w:tl2br w:val="nil"/>
              <w:tr2bl w:val="nil"/>
            </w:tcBorders>
            <w:shd w:val="clear" w:color="auto" w:fill="auto"/>
            <w:vAlign w:val="center"/>
          </w:tcPr>
          <w:p w14:paraId="0DD4EE7E">
            <w:pPr>
              <w:keepNext w:val="0"/>
              <w:keepLines w:val="0"/>
              <w:widowControl/>
              <w:suppressLineNumbers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硝酸盐氮（</w:t>
            </w:r>
            <w:r>
              <w:rPr>
                <w:rFonts w:hint="default" w:ascii="Times New Roman" w:hAnsi="Times New Roman" w:eastAsia="宋体" w:cs="Times New Roman"/>
                <w:color w:val="auto"/>
                <w:sz w:val="21"/>
                <w:szCs w:val="21"/>
                <w:highlight w:val="none"/>
                <w:u w:val="none"/>
                <w:lang w:val="en-US" w:eastAsia="zh-CN" w:bidi="ar"/>
              </w:rPr>
              <w:t>mg/L</w:t>
            </w:r>
            <w:r>
              <w:rPr>
                <w:rFonts w:hint="eastAsia" w:ascii="宋体" w:hAnsi="宋体" w:eastAsia="宋体" w:cs="宋体"/>
                <w:color w:val="auto"/>
                <w:sz w:val="21"/>
                <w:szCs w:val="21"/>
                <w:highlight w:val="none"/>
                <w:u w:val="none"/>
                <w:lang w:val="en-US" w:eastAsia="zh-CN" w:bidi="ar"/>
              </w:rPr>
              <w:t>）</w:t>
            </w:r>
          </w:p>
        </w:tc>
        <w:tc>
          <w:tcPr>
            <w:tcW w:w="281" w:type="pct"/>
            <w:tcBorders>
              <w:tl2br w:val="nil"/>
              <w:tr2bl w:val="nil"/>
            </w:tcBorders>
            <w:shd w:val="clear" w:color="auto" w:fill="auto"/>
            <w:noWrap/>
            <w:vAlign w:val="center"/>
          </w:tcPr>
          <w:p w14:paraId="2663227A">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0.043</w:t>
            </w:r>
          </w:p>
        </w:tc>
        <w:tc>
          <w:tcPr>
            <w:tcW w:w="309" w:type="pct"/>
            <w:tcBorders>
              <w:tl2br w:val="nil"/>
              <w:tr2bl w:val="nil"/>
            </w:tcBorders>
            <w:shd w:val="clear" w:color="auto" w:fill="auto"/>
            <w:noWrap/>
            <w:vAlign w:val="center"/>
          </w:tcPr>
          <w:p w14:paraId="20EAA49E">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0.012</w:t>
            </w:r>
          </w:p>
        </w:tc>
        <w:tc>
          <w:tcPr>
            <w:tcW w:w="307" w:type="pct"/>
            <w:tcBorders>
              <w:tl2br w:val="nil"/>
              <w:tr2bl w:val="nil"/>
            </w:tcBorders>
            <w:shd w:val="clear" w:color="auto" w:fill="auto"/>
            <w:noWrap/>
            <w:vAlign w:val="center"/>
          </w:tcPr>
          <w:p w14:paraId="1ACD4A7C">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0.009</w:t>
            </w:r>
          </w:p>
        </w:tc>
        <w:tc>
          <w:tcPr>
            <w:tcW w:w="310" w:type="pct"/>
            <w:tcBorders>
              <w:tl2br w:val="nil"/>
              <w:tr2bl w:val="nil"/>
            </w:tcBorders>
            <w:shd w:val="clear" w:color="auto" w:fill="auto"/>
            <w:noWrap/>
            <w:vAlign w:val="center"/>
          </w:tcPr>
          <w:p w14:paraId="246A6E19">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0.019</w:t>
            </w:r>
          </w:p>
        </w:tc>
        <w:tc>
          <w:tcPr>
            <w:tcW w:w="330" w:type="pct"/>
            <w:tcBorders>
              <w:tl2br w:val="nil"/>
              <w:tr2bl w:val="nil"/>
            </w:tcBorders>
            <w:shd w:val="clear" w:color="auto" w:fill="auto"/>
            <w:noWrap/>
            <w:vAlign w:val="center"/>
          </w:tcPr>
          <w:p w14:paraId="499097A0">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0.016</w:t>
            </w:r>
          </w:p>
        </w:tc>
        <w:tc>
          <w:tcPr>
            <w:tcW w:w="290" w:type="pct"/>
            <w:tcBorders>
              <w:tl2br w:val="nil"/>
              <w:tr2bl w:val="nil"/>
            </w:tcBorders>
            <w:shd w:val="clear" w:color="auto" w:fill="auto"/>
            <w:noWrap/>
            <w:vAlign w:val="center"/>
          </w:tcPr>
          <w:p w14:paraId="237DE5AB">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0.012</w:t>
            </w:r>
          </w:p>
        </w:tc>
        <w:tc>
          <w:tcPr>
            <w:tcW w:w="310" w:type="pct"/>
            <w:tcBorders>
              <w:tl2br w:val="nil"/>
              <w:tr2bl w:val="nil"/>
            </w:tcBorders>
            <w:shd w:val="clear" w:color="auto" w:fill="auto"/>
            <w:noWrap/>
            <w:vAlign w:val="center"/>
          </w:tcPr>
          <w:p w14:paraId="1D549CF1">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0.011</w:t>
            </w:r>
          </w:p>
        </w:tc>
        <w:tc>
          <w:tcPr>
            <w:tcW w:w="310" w:type="pct"/>
            <w:tcBorders>
              <w:tl2br w:val="nil"/>
              <w:tr2bl w:val="nil"/>
            </w:tcBorders>
            <w:shd w:val="clear" w:color="auto" w:fill="auto"/>
            <w:noWrap/>
            <w:vAlign w:val="center"/>
          </w:tcPr>
          <w:p w14:paraId="223FA647">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0.016</w:t>
            </w:r>
          </w:p>
        </w:tc>
        <w:tc>
          <w:tcPr>
            <w:tcW w:w="310" w:type="pct"/>
            <w:tcBorders>
              <w:tl2br w:val="nil"/>
              <w:tr2bl w:val="nil"/>
            </w:tcBorders>
            <w:shd w:val="clear" w:color="auto" w:fill="auto"/>
            <w:noWrap/>
            <w:vAlign w:val="center"/>
          </w:tcPr>
          <w:p w14:paraId="48823650">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0.012</w:t>
            </w:r>
          </w:p>
        </w:tc>
        <w:tc>
          <w:tcPr>
            <w:tcW w:w="310" w:type="pct"/>
            <w:tcBorders>
              <w:tl2br w:val="nil"/>
              <w:tr2bl w:val="nil"/>
            </w:tcBorders>
            <w:shd w:val="clear" w:color="auto" w:fill="auto"/>
            <w:noWrap/>
            <w:vAlign w:val="center"/>
          </w:tcPr>
          <w:p w14:paraId="7FD0A29E">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0.023</w:t>
            </w:r>
          </w:p>
        </w:tc>
        <w:tc>
          <w:tcPr>
            <w:tcW w:w="310" w:type="pct"/>
            <w:tcBorders>
              <w:tl2br w:val="nil"/>
              <w:tr2bl w:val="nil"/>
            </w:tcBorders>
            <w:shd w:val="clear" w:color="auto" w:fill="auto"/>
            <w:noWrap/>
            <w:vAlign w:val="center"/>
          </w:tcPr>
          <w:p w14:paraId="73845D3C">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0.017</w:t>
            </w:r>
          </w:p>
        </w:tc>
        <w:tc>
          <w:tcPr>
            <w:tcW w:w="310" w:type="pct"/>
            <w:tcBorders>
              <w:tl2br w:val="nil"/>
              <w:tr2bl w:val="nil"/>
            </w:tcBorders>
            <w:shd w:val="clear" w:color="auto" w:fill="auto"/>
            <w:noWrap/>
            <w:vAlign w:val="center"/>
          </w:tcPr>
          <w:p w14:paraId="517B64CB">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0.027</w:t>
            </w:r>
          </w:p>
        </w:tc>
        <w:tc>
          <w:tcPr>
            <w:tcW w:w="310" w:type="pct"/>
            <w:tcBorders>
              <w:tl2br w:val="nil"/>
              <w:tr2bl w:val="nil"/>
            </w:tcBorders>
            <w:shd w:val="clear" w:color="auto" w:fill="auto"/>
            <w:noWrap/>
            <w:vAlign w:val="center"/>
          </w:tcPr>
          <w:p w14:paraId="540B9183">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0.012</w:t>
            </w:r>
          </w:p>
        </w:tc>
        <w:tc>
          <w:tcPr>
            <w:tcW w:w="315" w:type="pct"/>
            <w:tcBorders>
              <w:tl2br w:val="nil"/>
              <w:tr2bl w:val="nil"/>
            </w:tcBorders>
            <w:shd w:val="clear" w:color="auto" w:fill="auto"/>
            <w:noWrap/>
            <w:vAlign w:val="center"/>
          </w:tcPr>
          <w:p w14:paraId="1D6B0FDC">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0.017</w:t>
            </w:r>
          </w:p>
        </w:tc>
        <w:tc>
          <w:tcPr>
            <w:tcW w:w="310" w:type="pct"/>
            <w:tcBorders>
              <w:tl2br w:val="nil"/>
              <w:tr2bl w:val="nil"/>
            </w:tcBorders>
            <w:shd w:val="clear" w:color="auto" w:fill="auto"/>
            <w:noWrap/>
            <w:vAlign w:val="center"/>
          </w:tcPr>
          <w:p w14:paraId="6A968DC3">
            <w:pPr>
              <w:keepNext w:val="0"/>
              <w:keepLines w:val="0"/>
              <w:widowControl/>
              <w:suppressLineNumbers w:val="0"/>
              <w:spacing w:line="240" w:lineRule="auto"/>
              <w:ind w:firstLine="0" w:firstLineChars="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ascii="Times New Roman" w:hAnsi="Times New Roman" w:cs="Times New Roman"/>
                <w:i w:val="0"/>
                <w:iCs w:val="0"/>
                <w:color w:val="auto"/>
                <w:sz w:val="21"/>
                <w:szCs w:val="21"/>
                <w:highlight w:val="none"/>
                <w:u w:val="none"/>
                <w:lang w:val="en-US" w:eastAsia="zh-CN"/>
              </w:rPr>
              <w:t>/</w:t>
            </w:r>
          </w:p>
        </w:tc>
      </w:tr>
      <w:tr w14:paraId="71D57DE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372" w:type="pct"/>
            <w:tcBorders>
              <w:tl2br w:val="nil"/>
              <w:tr2bl w:val="nil"/>
            </w:tcBorders>
            <w:shd w:val="clear" w:color="auto" w:fill="auto"/>
            <w:vAlign w:val="center"/>
          </w:tcPr>
          <w:p w14:paraId="78A7CAB1">
            <w:pPr>
              <w:keepNext w:val="0"/>
              <w:keepLines w:val="0"/>
              <w:widowControl/>
              <w:suppressLineNumbers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氟化物（以</w:t>
            </w:r>
            <w:r>
              <w:rPr>
                <w:rFonts w:hint="default" w:ascii="Times New Roman" w:hAnsi="Times New Roman" w:eastAsia="宋体" w:cs="Times New Roman"/>
                <w:color w:val="auto"/>
                <w:sz w:val="21"/>
                <w:szCs w:val="21"/>
                <w:highlight w:val="none"/>
                <w:u w:val="none"/>
                <w:lang w:val="en-US" w:eastAsia="zh-CN" w:bidi="ar"/>
              </w:rPr>
              <w:t>F</w:t>
            </w:r>
            <w:r>
              <w:rPr>
                <w:rFonts w:hint="default" w:ascii="Times New Roman" w:hAnsi="Times New Roman" w:eastAsia="宋体" w:cs="Times New Roman"/>
                <w:color w:val="auto"/>
                <w:sz w:val="21"/>
                <w:szCs w:val="21"/>
                <w:highlight w:val="none"/>
                <w:u w:val="none"/>
                <w:vertAlign w:val="superscript"/>
                <w:lang w:val="en-US" w:eastAsia="zh-CN" w:bidi="ar"/>
              </w:rPr>
              <w:t>-</w:t>
            </w:r>
            <w:r>
              <w:rPr>
                <w:rFonts w:hint="eastAsia" w:ascii="宋体" w:hAnsi="宋体" w:eastAsia="宋体" w:cs="宋体"/>
                <w:color w:val="auto"/>
                <w:sz w:val="21"/>
                <w:szCs w:val="21"/>
                <w:highlight w:val="none"/>
                <w:u w:val="none"/>
                <w:lang w:val="en-US" w:eastAsia="zh-CN" w:bidi="ar"/>
              </w:rPr>
              <w:t>计）（</w:t>
            </w:r>
            <w:r>
              <w:rPr>
                <w:rFonts w:hint="default" w:ascii="Times New Roman" w:hAnsi="Times New Roman" w:eastAsia="宋体" w:cs="Times New Roman"/>
                <w:color w:val="auto"/>
                <w:sz w:val="21"/>
                <w:szCs w:val="21"/>
                <w:highlight w:val="none"/>
                <w:u w:val="none"/>
                <w:lang w:val="en-US" w:eastAsia="zh-CN" w:bidi="ar"/>
              </w:rPr>
              <w:t>mg/L</w:t>
            </w:r>
            <w:r>
              <w:rPr>
                <w:rFonts w:hint="eastAsia" w:ascii="宋体" w:hAnsi="宋体" w:eastAsia="宋体" w:cs="宋体"/>
                <w:color w:val="auto"/>
                <w:sz w:val="21"/>
                <w:szCs w:val="21"/>
                <w:highlight w:val="none"/>
                <w:u w:val="none"/>
                <w:lang w:val="en-US" w:eastAsia="zh-CN" w:bidi="ar"/>
              </w:rPr>
              <w:t>）</w:t>
            </w:r>
          </w:p>
        </w:tc>
        <w:tc>
          <w:tcPr>
            <w:tcW w:w="281" w:type="pct"/>
            <w:tcBorders>
              <w:tl2br w:val="nil"/>
              <w:tr2bl w:val="nil"/>
            </w:tcBorders>
            <w:shd w:val="clear" w:color="auto" w:fill="auto"/>
            <w:noWrap/>
            <w:vAlign w:val="center"/>
          </w:tcPr>
          <w:p w14:paraId="2A52D626">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0.080</w:t>
            </w:r>
          </w:p>
        </w:tc>
        <w:tc>
          <w:tcPr>
            <w:tcW w:w="309" w:type="pct"/>
            <w:tcBorders>
              <w:tl2br w:val="nil"/>
              <w:tr2bl w:val="nil"/>
            </w:tcBorders>
            <w:shd w:val="clear" w:color="auto" w:fill="auto"/>
            <w:noWrap/>
            <w:vAlign w:val="center"/>
          </w:tcPr>
          <w:p w14:paraId="1E726455">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0.060</w:t>
            </w:r>
          </w:p>
        </w:tc>
        <w:tc>
          <w:tcPr>
            <w:tcW w:w="307" w:type="pct"/>
            <w:tcBorders>
              <w:tl2br w:val="nil"/>
              <w:tr2bl w:val="nil"/>
            </w:tcBorders>
            <w:shd w:val="clear" w:color="auto" w:fill="auto"/>
            <w:noWrap/>
            <w:vAlign w:val="center"/>
          </w:tcPr>
          <w:p w14:paraId="4F5F73D9">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0.060</w:t>
            </w:r>
          </w:p>
        </w:tc>
        <w:tc>
          <w:tcPr>
            <w:tcW w:w="310" w:type="pct"/>
            <w:tcBorders>
              <w:tl2br w:val="nil"/>
              <w:tr2bl w:val="nil"/>
            </w:tcBorders>
            <w:shd w:val="clear" w:color="auto" w:fill="auto"/>
            <w:noWrap/>
            <w:vAlign w:val="center"/>
          </w:tcPr>
          <w:p w14:paraId="19401DEE">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0.210</w:t>
            </w:r>
          </w:p>
        </w:tc>
        <w:tc>
          <w:tcPr>
            <w:tcW w:w="330" w:type="pct"/>
            <w:tcBorders>
              <w:tl2br w:val="nil"/>
              <w:tr2bl w:val="nil"/>
            </w:tcBorders>
            <w:shd w:val="clear" w:color="auto" w:fill="auto"/>
            <w:noWrap/>
            <w:vAlign w:val="center"/>
          </w:tcPr>
          <w:p w14:paraId="1B7A0141">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0.090</w:t>
            </w:r>
          </w:p>
        </w:tc>
        <w:tc>
          <w:tcPr>
            <w:tcW w:w="290" w:type="pct"/>
            <w:tcBorders>
              <w:tl2br w:val="nil"/>
              <w:tr2bl w:val="nil"/>
            </w:tcBorders>
            <w:shd w:val="clear" w:color="auto" w:fill="auto"/>
            <w:noWrap/>
            <w:vAlign w:val="center"/>
          </w:tcPr>
          <w:p w14:paraId="0B13F73D">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0.110</w:t>
            </w:r>
          </w:p>
        </w:tc>
        <w:tc>
          <w:tcPr>
            <w:tcW w:w="310" w:type="pct"/>
            <w:tcBorders>
              <w:tl2br w:val="nil"/>
              <w:tr2bl w:val="nil"/>
            </w:tcBorders>
            <w:shd w:val="clear" w:color="auto" w:fill="auto"/>
            <w:noWrap/>
            <w:vAlign w:val="center"/>
          </w:tcPr>
          <w:p w14:paraId="79BC333E">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0.100</w:t>
            </w:r>
          </w:p>
        </w:tc>
        <w:tc>
          <w:tcPr>
            <w:tcW w:w="310" w:type="pct"/>
            <w:tcBorders>
              <w:tl2br w:val="nil"/>
              <w:tr2bl w:val="nil"/>
            </w:tcBorders>
            <w:shd w:val="clear" w:color="auto" w:fill="auto"/>
            <w:noWrap/>
            <w:vAlign w:val="center"/>
          </w:tcPr>
          <w:p w14:paraId="15D6EEC4">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0.130</w:t>
            </w:r>
          </w:p>
        </w:tc>
        <w:tc>
          <w:tcPr>
            <w:tcW w:w="310" w:type="pct"/>
            <w:tcBorders>
              <w:tl2br w:val="nil"/>
              <w:tr2bl w:val="nil"/>
            </w:tcBorders>
            <w:shd w:val="clear" w:color="auto" w:fill="auto"/>
            <w:noWrap/>
            <w:vAlign w:val="center"/>
          </w:tcPr>
          <w:p w14:paraId="61367404">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0.130</w:t>
            </w:r>
          </w:p>
        </w:tc>
        <w:tc>
          <w:tcPr>
            <w:tcW w:w="310" w:type="pct"/>
            <w:tcBorders>
              <w:tl2br w:val="nil"/>
              <w:tr2bl w:val="nil"/>
            </w:tcBorders>
            <w:shd w:val="clear" w:color="auto" w:fill="auto"/>
            <w:noWrap/>
            <w:vAlign w:val="center"/>
          </w:tcPr>
          <w:p w14:paraId="48B22399">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0.120</w:t>
            </w:r>
          </w:p>
        </w:tc>
        <w:tc>
          <w:tcPr>
            <w:tcW w:w="310" w:type="pct"/>
            <w:tcBorders>
              <w:tl2br w:val="nil"/>
              <w:tr2bl w:val="nil"/>
            </w:tcBorders>
            <w:shd w:val="clear" w:color="auto" w:fill="auto"/>
            <w:noWrap/>
            <w:vAlign w:val="center"/>
          </w:tcPr>
          <w:p w14:paraId="29918FEA">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0.150</w:t>
            </w:r>
          </w:p>
        </w:tc>
        <w:tc>
          <w:tcPr>
            <w:tcW w:w="310" w:type="pct"/>
            <w:tcBorders>
              <w:tl2br w:val="nil"/>
              <w:tr2bl w:val="nil"/>
            </w:tcBorders>
            <w:shd w:val="clear" w:color="auto" w:fill="auto"/>
            <w:noWrap/>
            <w:vAlign w:val="center"/>
          </w:tcPr>
          <w:p w14:paraId="35E6EE4E">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0.160</w:t>
            </w:r>
          </w:p>
        </w:tc>
        <w:tc>
          <w:tcPr>
            <w:tcW w:w="310" w:type="pct"/>
            <w:tcBorders>
              <w:tl2br w:val="nil"/>
              <w:tr2bl w:val="nil"/>
            </w:tcBorders>
            <w:shd w:val="clear" w:color="auto" w:fill="auto"/>
            <w:noWrap/>
            <w:vAlign w:val="center"/>
          </w:tcPr>
          <w:p w14:paraId="5E3EC77D">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0.150</w:t>
            </w:r>
          </w:p>
        </w:tc>
        <w:tc>
          <w:tcPr>
            <w:tcW w:w="315" w:type="pct"/>
            <w:tcBorders>
              <w:tl2br w:val="nil"/>
              <w:tr2bl w:val="nil"/>
            </w:tcBorders>
            <w:shd w:val="clear" w:color="auto" w:fill="auto"/>
            <w:noWrap/>
            <w:vAlign w:val="center"/>
          </w:tcPr>
          <w:p w14:paraId="618F3B61">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0.180</w:t>
            </w:r>
          </w:p>
        </w:tc>
        <w:tc>
          <w:tcPr>
            <w:tcW w:w="310" w:type="pct"/>
            <w:tcBorders>
              <w:tl2br w:val="nil"/>
              <w:tr2bl w:val="nil"/>
            </w:tcBorders>
            <w:shd w:val="clear" w:color="auto" w:fill="auto"/>
            <w:noWrap/>
            <w:vAlign w:val="center"/>
          </w:tcPr>
          <w:p w14:paraId="26B7E4BC">
            <w:pPr>
              <w:keepNext w:val="0"/>
              <w:keepLines w:val="0"/>
              <w:widowControl/>
              <w:suppressLineNumbers w:val="0"/>
              <w:spacing w:line="240" w:lineRule="auto"/>
              <w:ind w:firstLine="0" w:firstLineChars="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ascii="Times New Roman" w:hAnsi="Times New Roman" w:cs="Times New Roman"/>
                <w:i w:val="0"/>
                <w:iCs w:val="0"/>
                <w:color w:val="auto"/>
                <w:sz w:val="21"/>
                <w:szCs w:val="21"/>
                <w:highlight w:val="none"/>
                <w:u w:val="none"/>
                <w:lang w:val="en-US" w:eastAsia="zh-CN"/>
              </w:rPr>
              <w:t>/</w:t>
            </w:r>
          </w:p>
        </w:tc>
      </w:tr>
      <w:tr w14:paraId="4A797E9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372" w:type="pct"/>
            <w:tcBorders>
              <w:tl2br w:val="nil"/>
              <w:tr2bl w:val="nil"/>
            </w:tcBorders>
            <w:shd w:val="clear" w:color="auto" w:fill="auto"/>
            <w:vAlign w:val="center"/>
          </w:tcPr>
          <w:p w14:paraId="5D552198">
            <w:pPr>
              <w:keepNext w:val="0"/>
              <w:keepLines w:val="0"/>
              <w:widowControl/>
              <w:suppressLineNumbers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砷（</w:t>
            </w:r>
            <w:r>
              <w:rPr>
                <w:rFonts w:hint="default" w:ascii="Times New Roman" w:hAnsi="Times New Roman" w:eastAsia="宋体" w:cs="Times New Roman"/>
                <w:color w:val="auto"/>
                <w:sz w:val="21"/>
                <w:szCs w:val="21"/>
                <w:highlight w:val="none"/>
                <w:u w:val="none"/>
                <w:lang w:val="en-US" w:eastAsia="zh-CN" w:bidi="ar"/>
              </w:rPr>
              <w:t>mg/L</w:t>
            </w:r>
            <w:r>
              <w:rPr>
                <w:rFonts w:hint="eastAsia" w:ascii="宋体" w:hAnsi="宋体" w:eastAsia="宋体" w:cs="宋体"/>
                <w:color w:val="auto"/>
                <w:sz w:val="21"/>
                <w:szCs w:val="21"/>
                <w:highlight w:val="none"/>
                <w:u w:val="none"/>
                <w:lang w:val="en-US" w:eastAsia="zh-CN" w:bidi="ar"/>
              </w:rPr>
              <w:t>）</w:t>
            </w:r>
          </w:p>
        </w:tc>
        <w:tc>
          <w:tcPr>
            <w:tcW w:w="281" w:type="pct"/>
            <w:tcBorders>
              <w:tl2br w:val="nil"/>
              <w:tr2bl w:val="nil"/>
            </w:tcBorders>
            <w:shd w:val="clear" w:color="auto" w:fill="auto"/>
            <w:noWrap/>
            <w:vAlign w:val="center"/>
          </w:tcPr>
          <w:p w14:paraId="2C86A389">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0.140</w:t>
            </w:r>
          </w:p>
        </w:tc>
        <w:tc>
          <w:tcPr>
            <w:tcW w:w="309" w:type="pct"/>
            <w:tcBorders>
              <w:tl2br w:val="nil"/>
              <w:tr2bl w:val="nil"/>
            </w:tcBorders>
            <w:shd w:val="clear" w:color="auto" w:fill="auto"/>
            <w:noWrap/>
            <w:vAlign w:val="center"/>
          </w:tcPr>
          <w:p w14:paraId="24ED13A7">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0.170</w:t>
            </w:r>
          </w:p>
        </w:tc>
        <w:tc>
          <w:tcPr>
            <w:tcW w:w="307" w:type="pct"/>
            <w:tcBorders>
              <w:tl2br w:val="nil"/>
              <w:tr2bl w:val="nil"/>
            </w:tcBorders>
            <w:shd w:val="clear" w:color="auto" w:fill="auto"/>
            <w:noWrap/>
            <w:vAlign w:val="center"/>
          </w:tcPr>
          <w:p w14:paraId="1E09EEA8">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0.440</w:t>
            </w:r>
          </w:p>
        </w:tc>
        <w:tc>
          <w:tcPr>
            <w:tcW w:w="310" w:type="pct"/>
            <w:tcBorders>
              <w:tl2br w:val="nil"/>
              <w:tr2bl w:val="nil"/>
            </w:tcBorders>
            <w:shd w:val="clear" w:color="auto" w:fill="auto"/>
            <w:noWrap/>
            <w:vAlign w:val="center"/>
          </w:tcPr>
          <w:p w14:paraId="37E7EFAE">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0.870</w:t>
            </w:r>
          </w:p>
        </w:tc>
        <w:tc>
          <w:tcPr>
            <w:tcW w:w="330" w:type="pct"/>
            <w:tcBorders>
              <w:tl2br w:val="nil"/>
              <w:tr2bl w:val="nil"/>
            </w:tcBorders>
            <w:shd w:val="clear" w:color="auto" w:fill="auto"/>
            <w:noWrap/>
            <w:vAlign w:val="center"/>
          </w:tcPr>
          <w:p w14:paraId="145D8F27">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0.160</w:t>
            </w:r>
          </w:p>
        </w:tc>
        <w:tc>
          <w:tcPr>
            <w:tcW w:w="290" w:type="pct"/>
            <w:tcBorders>
              <w:tl2br w:val="nil"/>
              <w:tr2bl w:val="nil"/>
            </w:tcBorders>
            <w:shd w:val="clear" w:color="auto" w:fill="auto"/>
            <w:noWrap/>
            <w:vAlign w:val="center"/>
          </w:tcPr>
          <w:p w14:paraId="7164EECD">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0.250</w:t>
            </w:r>
          </w:p>
        </w:tc>
        <w:tc>
          <w:tcPr>
            <w:tcW w:w="310" w:type="pct"/>
            <w:tcBorders>
              <w:tl2br w:val="nil"/>
              <w:tr2bl w:val="nil"/>
            </w:tcBorders>
            <w:shd w:val="clear" w:color="auto" w:fill="auto"/>
            <w:noWrap/>
            <w:vAlign w:val="center"/>
          </w:tcPr>
          <w:p w14:paraId="17A62A29">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0.450</w:t>
            </w:r>
          </w:p>
        </w:tc>
        <w:tc>
          <w:tcPr>
            <w:tcW w:w="310" w:type="pct"/>
            <w:tcBorders>
              <w:tl2br w:val="nil"/>
              <w:tr2bl w:val="nil"/>
            </w:tcBorders>
            <w:shd w:val="clear" w:color="auto" w:fill="auto"/>
            <w:noWrap/>
            <w:vAlign w:val="center"/>
          </w:tcPr>
          <w:p w14:paraId="095BC3A3">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0.980</w:t>
            </w:r>
          </w:p>
        </w:tc>
        <w:tc>
          <w:tcPr>
            <w:tcW w:w="310" w:type="pct"/>
            <w:tcBorders>
              <w:tl2br w:val="nil"/>
              <w:tr2bl w:val="nil"/>
            </w:tcBorders>
            <w:shd w:val="clear" w:color="auto" w:fill="auto"/>
            <w:noWrap/>
            <w:vAlign w:val="center"/>
          </w:tcPr>
          <w:p w14:paraId="4FC712D1">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0.940</w:t>
            </w:r>
          </w:p>
        </w:tc>
        <w:tc>
          <w:tcPr>
            <w:tcW w:w="310" w:type="pct"/>
            <w:tcBorders>
              <w:tl2br w:val="nil"/>
              <w:tr2bl w:val="nil"/>
            </w:tcBorders>
            <w:shd w:val="clear" w:color="auto" w:fill="auto"/>
            <w:noWrap/>
            <w:vAlign w:val="center"/>
          </w:tcPr>
          <w:p w14:paraId="105C4F55">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0.870</w:t>
            </w:r>
          </w:p>
        </w:tc>
        <w:tc>
          <w:tcPr>
            <w:tcW w:w="310" w:type="pct"/>
            <w:tcBorders>
              <w:tl2br w:val="nil"/>
              <w:tr2bl w:val="nil"/>
            </w:tcBorders>
            <w:shd w:val="clear" w:color="auto" w:fill="auto"/>
            <w:noWrap/>
            <w:vAlign w:val="center"/>
          </w:tcPr>
          <w:p w14:paraId="31A02039">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0.810</w:t>
            </w:r>
          </w:p>
        </w:tc>
        <w:tc>
          <w:tcPr>
            <w:tcW w:w="310" w:type="pct"/>
            <w:tcBorders>
              <w:tl2br w:val="nil"/>
              <w:tr2bl w:val="nil"/>
            </w:tcBorders>
            <w:shd w:val="clear" w:color="auto" w:fill="auto"/>
            <w:noWrap/>
            <w:vAlign w:val="center"/>
          </w:tcPr>
          <w:p w14:paraId="37580CB9">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0.790</w:t>
            </w:r>
          </w:p>
        </w:tc>
        <w:tc>
          <w:tcPr>
            <w:tcW w:w="310" w:type="pct"/>
            <w:tcBorders>
              <w:tl2br w:val="nil"/>
              <w:tr2bl w:val="nil"/>
            </w:tcBorders>
            <w:shd w:val="clear" w:color="auto" w:fill="auto"/>
            <w:noWrap/>
            <w:vAlign w:val="center"/>
          </w:tcPr>
          <w:p w14:paraId="32B4A485">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0.630</w:t>
            </w:r>
          </w:p>
        </w:tc>
        <w:tc>
          <w:tcPr>
            <w:tcW w:w="315" w:type="pct"/>
            <w:tcBorders>
              <w:tl2br w:val="nil"/>
              <w:tr2bl w:val="nil"/>
            </w:tcBorders>
            <w:shd w:val="clear" w:color="auto" w:fill="auto"/>
            <w:noWrap/>
            <w:vAlign w:val="center"/>
          </w:tcPr>
          <w:p w14:paraId="16C6F4F6">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0.670</w:t>
            </w:r>
          </w:p>
        </w:tc>
        <w:tc>
          <w:tcPr>
            <w:tcW w:w="310" w:type="pct"/>
            <w:tcBorders>
              <w:tl2br w:val="nil"/>
              <w:tr2bl w:val="nil"/>
            </w:tcBorders>
            <w:shd w:val="clear" w:color="auto" w:fill="auto"/>
            <w:noWrap/>
            <w:vAlign w:val="center"/>
          </w:tcPr>
          <w:p w14:paraId="19659D38">
            <w:pPr>
              <w:keepNext w:val="0"/>
              <w:keepLines w:val="0"/>
              <w:widowControl/>
              <w:suppressLineNumbers w:val="0"/>
              <w:spacing w:line="240" w:lineRule="auto"/>
              <w:ind w:firstLine="0" w:firstLineChars="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ascii="Times New Roman" w:hAnsi="Times New Roman" w:cs="Times New Roman"/>
                <w:i w:val="0"/>
                <w:iCs w:val="0"/>
                <w:color w:val="auto"/>
                <w:sz w:val="21"/>
                <w:szCs w:val="21"/>
                <w:highlight w:val="none"/>
                <w:u w:val="none"/>
                <w:lang w:val="en-US" w:eastAsia="zh-CN"/>
              </w:rPr>
              <w:t>/</w:t>
            </w:r>
          </w:p>
        </w:tc>
      </w:tr>
      <w:tr w14:paraId="4CF2F8B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372" w:type="pct"/>
            <w:tcBorders>
              <w:tl2br w:val="nil"/>
              <w:tr2bl w:val="nil"/>
            </w:tcBorders>
            <w:shd w:val="clear" w:color="auto" w:fill="auto"/>
            <w:vAlign w:val="center"/>
          </w:tcPr>
          <w:p w14:paraId="15FFA7AA">
            <w:pPr>
              <w:keepNext w:val="0"/>
              <w:keepLines w:val="0"/>
              <w:widowControl/>
              <w:suppressLineNumbers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汞（</w:t>
            </w:r>
            <w:r>
              <w:rPr>
                <w:rFonts w:hint="default" w:ascii="Times New Roman" w:hAnsi="Times New Roman" w:eastAsia="宋体" w:cs="Times New Roman"/>
                <w:color w:val="auto"/>
                <w:sz w:val="21"/>
                <w:szCs w:val="21"/>
                <w:highlight w:val="none"/>
                <w:u w:val="none"/>
                <w:lang w:val="en-US" w:eastAsia="zh-CN" w:bidi="ar"/>
              </w:rPr>
              <w:t>mg/L</w:t>
            </w:r>
            <w:r>
              <w:rPr>
                <w:rFonts w:hint="eastAsia" w:ascii="宋体" w:hAnsi="宋体" w:eastAsia="宋体" w:cs="宋体"/>
                <w:color w:val="auto"/>
                <w:sz w:val="21"/>
                <w:szCs w:val="21"/>
                <w:highlight w:val="none"/>
                <w:u w:val="none"/>
                <w:lang w:val="en-US" w:eastAsia="zh-CN" w:bidi="ar"/>
              </w:rPr>
              <w:t>）</w:t>
            </w:r>
          </w:p>
        </w:tc>
        <w:tc>
          <w:tcPr>
            <w:tcW w:w="281" w:type="pct"/>
            <w:tcBorders>
              <w:tl2br w:val="nil"/>
              <w:tr2bl w:val="nil"/>
            </w:tcBorders>
            <w:shd w:val="clear" w:color="auto" w:fill="auto"/>
            <w:noWrap/>
            <w:vAlign w:val="center"/>
          </w:tcPr>
          <w:p w14:paraId="33EA2BE8">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0.350</w:t>
            </w:r>
          </w:p>
        </w:tc>
        <w:tc>
          <w:tcPr>
            <w:tcW w:w="309" w:type="pct"/>
            <w:tcBorders>
              <w:tl2br w:val="nil"/>
              <w:tr2bl w:val="nil"/>
            </w:tcBorders>
            <w:shd w:val="clear" w:color="auto" w:fill="auto"/>
            <w:noWrap/>
            <w:vAlign w:val="center"/>
          </w:tcPr>
          <w:p w14:paraId="5CB26CD7">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0.910</w:t>
            </w:r>
          </w:p>
        </w:tc>
        <w:tc>
          <w:tcPr>
            <w:tcW w:w="307" w:type="pct"/>
            <w:tcBorders>
              <w:tl2br w:val="nil"/>
              <w:tr2bl w:val="nil"/>
            </w:tcBorders>
            <w:shd w:val="clear" w:color="auto" w:fill="auto"/>
            <w:noWrap/>
            <w:vAlign w:val="center"/>
          </w:tcPr>
          <w:p w14:paraId="7FE45717">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0.570</w:t>
            </w:r>
          </w:p>
        </w:tc>
        <w:tc>
          <w:tcPr>
            <w:tcW w:w="310" w:type="pct"/>
            <w:tcBorders>
              <w:tl2br w:val="nil"/>
              <w:tr2bl w:val="nil"/>
            </w:tcBorders>
            <w:shd w:val="clear" w:color="auto" w:fill="auto"/>
            <w:noWrap/>
            <w:vAlign w:val="center"/>
          </w:tcPr>
          <w:p w14:paraId="692ADC8F">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0.760</w:t>
            </w:r>
          </w:p>
        </w:tc>
        <w:tc>
          <w:tcPr>
            <w:tcW w:w="330" w:type="pct"/>
            <w:tcBorders>
              <w:tl2br w:val="nil"/>
              <w:tr2bl w:val="nil"/>
            </w:tcBorders>
            <w:shd w:val="clear" w:color="auto" w:fill="auto"/>
            <w:noWrap/>
            <w:vAlign w:val="center"/>
          </w:tcPr>
          <w:p w14:paraId="0C9C13CD">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0.600</w:t>
            </w:r>
          </w:p>
        </w:tc>
        <w:tc>
          <w:tcPr>
            <w:tcW w:w="290" w:type="pct"/>
            <w:tcBorders>
              <w:tl2br w:val="nil"/>
              <w:tr2bl w:val="nil"/>
            </w:tcBorders>
            <w:shd w:val="clear" w:color="auto" w:fill="auto"/>
            <w:noWrap/>
            <w:vAlign w:val="center"/>
          </w:tcPr>
          <w:p w14:paraId="443BD635">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0.380</w:t>
            </w:r>
          </w:p>
        </w:tc>
        <w:tc>
          <w:tcPr>
            <w:tcW w:w="310" w:type="pct"/>
            <w:tcBorders>
              <w:tl2br w:val="nil"/>
              <w:tr2bl w:val="nil"/>
            </w:tcBorders>
            <w:shd w:val="clear" w:color="auto" w:fill="auto"/>
            <w:noWrap/>
            <w:vAlign w:val="center"/>
          </w:tcPr>
          <w:p w14:paraId="0E883C23">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0.820</w:t>
            </w:r>
          </w:p>
        </w:tc>
        <w:tc>
          <w:tcPr>
            <w:tcW w:w="310" w:type="pct"/>
            <w:tcBorders>
              <w:tl2br w:val="nil"/>
              <w:tr2bl w:val="nil"/>
            </w:tcBorders>
            <w:shd w:val="clear" w:color="auto" w:fill="auto"/>
            <w:noWrap/>
            <w:vAlign w:val="center"/>
          </w:tcPr>
          <w:p w14:paraId="52258B6B">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0.290</w:t>
            </w:r>
          </w:p>
        </w:tc>
        <w:tc>
          <w:tcPr>
            <w:tcW w:w="310" w:type="pct"/>
            <w:tcBorders>
              <w:tl2br w:val="nil"/>
              <w:tr2bl w:val="nil"/>
            </w:tcBorders>
            <w:shd w:val="clear" w:color="auto" w:fill="auto"/>
            <w:noWrap/>
            <w:vAlign w:val="center"/>
          </w:tcPr>
          <w:p w14:paraId="695332B4">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0.280</w:t>
            </w:r>
          </w:p>
        </w:tc>
        <w:tc>
          <w:tcPr>
            <w:tcW w:w="310" w:type="pct"/>
            <w:tcBorders>
              <w:tl2br w:val="nil"/>
              <w:tr2bl w:val="nil"/>
            </w:tcBorders>
            <w:shd w:val="clear" w:color="auto" w:fill="auto"/>
            <w:noWrap/>
            <w:vAlign w:val="center"/>
          </w:tcPr>
          <w:p w14:paraId="64033E29">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0.340</w:t>
            </w:r>
          </w:p>
        </w:tc>
        <w:tc>
          <w:tcPr>
            <w:tcW w:w="310" w:type="pct"/>
            <w:tcBorders>
              <w:tl2br w:val="nil"/>
              <w:tr2bl w:val="nil"/>
            </w:tcBorders>
            <w:shd w:val="clear" w:color="auto" w:fill="auto"/>
            <w:noWrap/>
            <w:vAlign w:val="center"/>
          </w:tcPr>
          <w:p w14:paraId="2398C36A">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0.510</w:t>
            </w:r>
          </w:p>
        </w:tc>
        <w:tc>
          <w:tcPr>
            <w:tcW w:w="310" w:type="pct"/>
            <w:tcBorders>
              <w:tl2br w:val="nil"/>
              <w:tr2bl w:val="nil"/>
            </w:tcBorders>
            <w:shd w:val="clear" w:color="auto" w:fill="auto"/>
            <w:noWrap/>
            <w:vAlign w:val="center"/>
          </w:tcPr>
          <w:p w14:paraId="6CF8498F">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0.440</w:t>
            </w:r>
          </w:p>
        </w:tc>
        <w:tc>
          <w:tcPr>
            <w:tcW w:w="310" w:type="pct"/>
            <w:tcBorders>
              <w:tl2br w:val="nil"/>
              <w:tr2bl w:val="nil"/>
            </w:tcBorders>
            <w:shd w:val="clear" w:color="auto" w:fill="auto"/>
            <w:noWrap/>
            <w:vAlign w:val="center"/>
          </w:tcPr>
          <w:p w14:paraId="4E8C3107">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0.520</w:t>
            </w:r>
          </w:p>
        </w:tc>
        <w:tc>
          <w:tcPr>
            <w:tcW w:w="315" w:type="pct"/>
            <w:tcBorders>
              <w:tl2br w:val="nil"/>
              <w:tr2bl w:val="nil"/>
            </w:tcBorders>
            <w:shd w:val="clear" w:color="auto" w:fill="auto"/>
            <w:noWrap/>
            <w:vAlign w:val="center"/>
          </w:tcPr>
          <w:p w14:paraId="03FB000A">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0.610</w:t>
            </w:r>
          </w:p>
        </w:tc>
        <w:tc>
          <w:tcPr>
            <w:tcW w:w="310" w:type="pct"/>
            <w:tcBorders>
              <w:tl2br w:val="nil"/>
              <w:tr2bl w:val="nil"/>
            </w:tcBorders>
            <w:shd w:val="clear" w:color="auto" w:fill="auto"/>
            <w:noWrap/>
            <w:vAlign w:val="center"/>
          </w:tcPr>
          <w:p w14:paraId="35A309D7">
            <w:pPr>
              <w:keepNext w:val="0"/>
              <w:keepLines w:val="0"/>
              <w:widowControl/>
              <w:suppressLineNumbers w:val="0"/>
              <w:spacing w:line="240" w:lineRule="auto"/>
              <w:ind w:firstLine="0" w:firstLineChars="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ascii="Times New Roman" w:hAnsi="Times New Roman" w:cs="Times New Roman"/>
                <w:i w:val="0"/>
                <w:iCs w:val="0"/>
                <w:color w:val="auto"/>
                <w:sz w:val="21"/>
                <w:szCs w:val="21"/>
                <w:highlight w:val="none"/>
                <w:u w:val="none"/>
                <w:lang w:val="en-US" w:eastAsia="zh-CN"/>
              </w:rPr>
              <w:t>/</w:t>
            </w:r>
          </w:p>
        </w:tc>
      </w:tr>
      <w:tr w14:paraId="5E517AD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372" w:type="pct"/>
            <w:tcBorders>
              <w:tl2br w:val="nil"/>
              <w:tr2bl w:val="nil"/>
            </w:tcBorders>
            <w:shd w:val="clear" w:color="auto" w:fill="auto"/>
            <w:vAlign w:val="center"/>
          </w:tcPr>
          <w:p w14:paraId="345EE43C">
            <w:pPr>
              <w:keepNext w:val="0"/>
              <w:keepLines w:val="0"/>
              <w:widowControl/>
              <w:suppressLineNumbers w:val="0"/>
              <w:spacing w:line="240" w:lineRule="auto"/>
              <w:ind w:firstLine="0" w:firstLineChars="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硒（</w:t>
            </w:r>
            <w:r>
              <w:rPr>
                <w:rFonts w:hint="default" w:ascii="Times New Roman" w:hAnsi="Times New Roman" w:eastAsia="宋体" w:cs="Times New Roman"/>
                <w:color w:val="auto"/>
                <w:sz w:val="21"/>
                <w:szCs w:val="21"/>
                <w:highlight w:val="none"/>
                <w:u w:val="none"/>
                <w:lang w:val="en-US" w:eastAsia="zh-CN" w:bidi="ar"/>
              </w:rPr>
              <w:t>mg/L</w:t>
            </w:r>
            <w:r>
              <w:rPr>
                <w:rFonts w:hint="eastAsia" w:ascii="宋体" w:hAnsi="宋体" w:eastAsia="宋体" w:cs="宋体"/>
                <w:color w:val="auto"/>
                <w:sz w:val="21"/>
                <w:szCs w:val="21"/>
                <w:highlight w:val="none"/>
                <w:u w:val="none"/>
                <w:lang w:val="en-US" w:eastAsia="zh-CN" w:bidi="ar"/>
              </w:rPr>
              <w:t>）</w:t>
            </w:r>
          </w:p>
        </w:tc>
        <w:tc>
          <w:tcPr>
            <w:tcW w:w="281" w:type="pct"/>
            <w:tcBorders>
              <w:tl2br w:val="nil"/>
              <w:tr2bl w:val="nil"/>
            </w:tcBorders>
            <w:shd w:val="clear" w:color="auto" w:fill="auto"/>
            <w:noWrap/>
            <w:vAlign w:val="center"/>
          </w:tcPr>
          <w:p w14:paraId="06BE29A3">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09" w:type="pct"/>
            <w:tcBorders>
              <w:tl2br w:val="nil"/>
              <w:tr2bl w:val="nil"/>
            </w:tcBorders>
            <w:shd w:val="clear" w:color="auto" w:fill="auto"/>
            <w:noWrap/>
            <w:vAlign w:val="center"/>
          </w:tcPr>
          <w:p w14:paraId="2BCAFAD8">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07" w:type="pct"/>
            <w:tcBorders>
              <w:tl2br w:val="nil"/>
              <w:tr2bl w:val="nil"/>
            </w:tcBorders>
            <w:shd w:val="clear" w:color="auto" w:fill="auto"/>
            <w:noWrap/>
            <w:vAlign w:val="center"/>
          </w:tcPr>
          <w:p w14:paraId="76CD27C3">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10" w:type="pct"/>
            <w:tcBorders>
              <w:tl2br w:val="nil"/>
              <w:tr2bl w:val="nil"/>
            </w:tcBorders>
            <w:shd w:val="clear" w:color="auto" w:fill="auto"/>
            <w:noWrap/>
            <w:vAlign w:val="center"/>
          </w:tcPr>
          <w:p w14:paraId="78DD5950">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30" w:type="pct"/>
            <w:tcBorders>
              <w:tl2br w:val="nil"/>
              <w:tr2bl w:val="nil"/>
            </w:tcBorders>
            <w:shd w:val="clear" w:color="auto" w:fill="auto"/>
            <w:noWrap/>
            <w:vAlign w:val="center"/>
          </w:tcPr>
          <w:p w14:paraId="428172BE">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290" w:type="pct"/>
            <w:tcBorders>
              <w:tl2br w:val="nil"/>
              <w:tr2bl w:val="nil"/>
            </w:tcBorders>
            <w:shd w:val="clear" w:color="auto" w:fill="auto"/>
            <w:noWrap/>
            <w:vAlign w:val="center"/>
          </w:tcPr>
          <w:p w14:paraId="725EBF6F">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10" w:type="pct"/>
            <w:tcBorders>
              <w:tl2br w:val="nil"/>
              <w:tr2bl w:val="nil"/>
            </w:tcBorders>
            <w:shd w:val="clear" w:color="auto" w:fill="auto"/>
            <w:noWrap/>
            <w:vAlign w:val="center"/>
          </w:tcPr>
          <w:p w14:paraId="375EF45C">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10" w:type="pct"/>
            <w:tcBorders>
              <w:tl2br w:val="nil"/>
              <w:tr2bl w:val="nil"/>
            </w:tcBorders>
            <w:shd w:val="clear" w:color="auto" w:fill="auto"/>
            <w:noWrap/>
            <w:vAlign w:val="center"/>
          </w:tcPr>
          <w:p w14:paraId="1D01E4FE">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10" w:type="pct"/>
            <w:tcBorders>
              <w:tl2br w:val="nil"/>
              <w:tr2bl w:val="nil"/>
            </w:tcBorders>
            <w:shd w:val="clear" w:color="auto" w:fill="auto"/>
            <w:noWrap/>
            <w:vAlign w:val="center"/>
          </w:tcPr>
          <w:p w14:paraId="18FE30E9">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10" w:type="pct"/>
            <w:tcBorders>
              <w:tl2br w:val="nil"/>
              <w:tr2bl w:val="nil"/>
            </w:tcBorders>
            <w:shd w:val="clear" w:color="auto" w:fill="auto"/>
            <w:noWrap/>
            <w:vAlign w:val="center"/>
          </w:tcPr>
          <w:p w14:paraId="7CD86A7C">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10" w:type="pct"/>
            <w:tcBorders>
              <w:tl2br w:val="nil"/>
              <w:tr2bl w:val="nil"/>
            </w:tcBorders>
            <w:shd w:val="clear" w:color="auto" w:fill="auto"/>
            <w:noWrap/>
            <w:vAlign w:val="center"/>
          </w:tcPr>
          <w:p w14:paraId="524BEDB8">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10" w:type="pct"/>
            <w:tcBorders>
              <w:tl2br w:val="nil"/>
              <w:tr2bl w:val="nil"/>
            </w:tcBorders>
            <w:shd w:val="clear" w:color="auto" w:fill="auto"/>
            <w:noWrap/>
            <w:vAlign w:val="center"/>
          </w:tcPr>
          <w:p w14:paraId="5584F9A2">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10" w:type="pct"/>
            <w:tcBorders>
              <w:tl2br w:val="nil"/>
              <w:tr2bl w:val="nil"/>
            </w:tcBorders>
            <w:shd w:val="clear" w:color="auto" w:fill="auto"/>
            <w:noWrap/>
            <w:vAlign w:val="center"/>
          </w:tcPr>
          <w:p w14:paraId="005A0360">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15" w:type="pct"/>
            <w:tcBorders>
              <w:tl2br w:val="nil"/>
              <w:tr2bl w:val="nil"/>
            </w:tcBorders>
            <w:shd w:val="clear" w:color="auto" w:fill="auto"/>
            <w:noWrap/>
            <w:vAlign w:val="center"/>
          </w:tcPr>
          <w:p w14:paraId="2D394E58">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10" w:type="pct"/>
            <w:tcBorders>
              <w:tl2br w:val="nil"/>
              <w:tr2bl w:val="nil"/>
            </w:tcBorders>
            <w:shd w:val="clear" w:color="auto" w:fill="auto"/>
            <w:noWrap/>
            <w:vAlign w:val="center"/>
          </w:tcPr>
          <w:p w14:paraId="3BDD07E6">
            <w:pPr>
              <w:keepNext w:val="0"/>
              <w:keepLines w:val="0"/>
              <w:widowControl/>
              <w:suppressLineNumbers w:val="0"/>
              <w:spacing w:line="240" w:lineRule="auto"/>
              <w:ind w:firstLine="0" w:firstLineChars="0"/>
              <w:jc w:val="center"/>
              <w:textAlignment w:val="center"/>
              <w:rPr>
                <w:rFonts w:hint="eastAsia" w:ascii="Times New Roman" w:hAnsi="Times New Roman"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r>
      <w:tr w14:paraId="51C2BB3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84" w:hRule="atLeast"/>
        </w:trPr>
        <w:tc>
          <w:tcPr>
            <w:tcW w:w="372" w:type="pct"/>
            <w:tcBorders>
              <w:tl2br w:val="nil"/>
              <w:tr2bl w:val="nil"/>
            </w:tcBorders>
            <w:shd w:val="clear" w:color="auto" w:fill="auto"/>
            <w:vAlign w:val="center"/>
          </w:tcPr>
          <w:p w14:paraId="23A3306D">
            <w:pPr>
              <w:keepNext w:val="0"/>
              <w:keepLines w:val="0"/>
              <w:widowControl/>
              <w:suppressLineNumbers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总硬度</w:t>
            </w:r>
            <w:r>
              <w:rPr>
                <w:rFonts w:hint="eastAsia" w:ascii="宋体" w:hAnsi="宋体" w:eastAsia="宋体" w:cs="宋体"/>
                <w:color w:val="auto"/>
                <w:sz w:val="21"/>
                <w:szCs w:val="21"/>
                <w:highlight w:val="none"/>
                <w:u w:val="none"/>
                <w:lang w:val="en-US" w:eastAsia="zh-CN" w:bidi="ar"/>
              </w:rPr>
              <w:t>（</w:t>
            </w:r>
            <w:r>
              <w:rPr>
                <w:rFonts w:hint="default" w:ascii="Times New Roman" w:hAnsi="Times New Roman" w:eastAsia="宋体" w:cs="Times New Roman"/>
                <w:color w:val="auto"/>
                <w:sz w:val="21"/>
                <w:szCs w:val="21"/>
                <w:highlight w:val="none"/>
                <w:u w:val="none"/>
                <w:lang w:val="en-US" w:eastAsia="zh-CN" w:bidi="ar"/>
              </w:rPr>
              <w:t>mg/L</w:t>
            </w:r>
            <w:r>
              <w:rPr>
                <w:rFonts w:hint="eastAsia" w:ascii="宋体" w:hAnsi="宋体" w:eastAsia="宋体" w:cs="宋体"/>
                <w:color w:val="auto"/>
                <w:sz w:val="21"/>
                <w:szCs w:val="21"/>
                <w:highlight w:val="none"/>
                <w:u w:val="none"/>
                <w:lang w:val="en-US" w:eastAsia="zh-CN" w:bidi="ar"/>
              </w:rPr>
              <w:t>）</w:t>
            </w:r>
          </w:p>
        </w:tc>
        <w:tc>
          <w:tcPr>
            <w:tcW w:w="281" w:type="pct"/>
            <w:tcBorders>
              <w:tl2br w:val="nil"/>
              <w:tr2bl w:val="nil"/>
            </w:tcBorders>
            <w:shd w:val="clear" w:color="auto" w:fill="auto"/>
            <w:noWrap/>
            <w:vAlign w:val="center"/>
          </w:tcPr>
          <w:p w14:paraId="1CFC30A3">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0.578</w:t>
            </w:r>
          </w:p>
        </w:tc>
        <w:tc>
          <w:tcPr>
            <w:tcW w:w="309" w:type="pct"/>
            <w:tcBorders>
              <w:tl2br w:val="nil"/>
              <w:tr2bl w:val="nil"/>
            </w:tcBorders>
            <w:shd w:val="clear" w:color="auto" w:fill="auto"/>
            <w:noWrap/>
            <w:vAlign w:val="center"/>
          </w:tcPr>
          <w:p w14:paraId="52D6ABB4">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0.569</w:t>
            </w:r>
          </w:p>
        </w:tc>
        <w:tc>
          <w:tcPr>
            <w:tcW w:w="307" w:type="pct"/>
            <w:tcBorders>
              <w:tl2br w:val="nil"/>
              <w:tr2bl w:val="nil"/>
            </w:tcBorders>
            <w:shd w:val="clear" w:color="auto" w:fill="auto"/>
            <w:noWrap/>
            <w:vAlign w:val="center"/>
          </w:tcPr>
          <w:p w14:paraId="1EE8AB04">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0.613</w:t>
            </w:r>
          </w:p>
        </w:tc>
        <w:tc>
          <w:tcPr>
            <w:tcW w:w="310" w:type="pct"/>
            <w:tcBorders>
              <w:tl2br w:val="nil"/>
              <w:tr2bl w:val="nil"/>
            </w:tcBorders>
            <w:shd w:val="clear" w:color="auto" w:fill="auto"/>
            <w:noWrap/>
            <w:vAlign w:val="center"/>
          </w:tcPr>
          <w:p w14:paraId="35474553">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0.569</w:t>
            </w:r>
          </w:p>
        </w:tc>
        <w:tc>
          <w:tcPr>
            <w:tcW w:w="330" w:type="pct"/>
            <w:tcBorders>
              <w:tl2br w:val="nil"/>
              <w:tr2bl w:val="nil"/>
            </w:tcBorders>
            <w:shd w:val="clear" w:color="auto" w:fill="auto"/>
            <w:noWrap/>
            <w:vAlign w:val="center"/>
          </w:tcPr>
          <w:p w14:paraId="722A84D1">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0.742</w:t>
            </w:r>
          </w:p>
        </w:tc>
        <w:tc>
          <w:tcPr>
            <w:tcW w:w="290" w:type="pct"/>
            <w:tcBorders>
              <w:tl2br w:val="nil"/>
              <w:tr2bl w:val="nil"/>
            </w:tcBorders>
            <w:shd w:val="clear" w:color="auto" w:fill="auto"/>
            <w:noWrap/>
            <w:vAlign w:val="center"/>
          </w:tcPr>
          <w:p w14:paraId="7C048ACB">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0.629</w:t>
            </w:r>
          </w:p>
        </w:tc>
        <w:tc>
          <w:tcPr>
            <w:tcW w:w="310" w:type="pct"/>
            <w:tcBorders>
              <w:tl2br w:val="nil"/>
              <w:tr2bl w:val="nil"/>
            </w:tcBorders>
            <w:shd w:val="clear" w:color="auto" w:fill="auto"/>
            <w:noWrap/>
            <w:vAlign w:val="center"/>
          </w:tcPr>
          <w:p w14:paraId="06B0C80B">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0.711</w:t>
            </w:r>
          </w:p>
        </w:tc>
        <w:tc>
          <w:tcPr>
            <w:tcW w:w="310" w:type="pct"/>
            <w:tcBorders>
              <w:tl2br w:val="nil"/>
              <w:tr2bl w:val="nil"/>
            </w:tcBorders>
            <w:shd w:val="clear" w:color="auto" w:fill="auto"/>
            <w:noWrap/>
            <w:vAlign w:val="center"/>
          </w:tcPr>
          <w:p w14:paraId="398BBB90">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0.738</w:t>
            </w:r>
          </w:p>
        </w:tc>
        <w:tc>
          <w:tcPr>
            <w:tcW w:w="310" w:type="pct"/>
            <w:tcBorders>
              <w:tl2br w:val="nil"/>
              <w:tr2bl w:val="nil"/>
            </w:tcBorders>
            <w:shd w:val="clear" w:color="auto" w:fill="auto"/>
            <w:noWrap/>
            <w:vAlign w:val="center"/>
          </w:tcPr>
          <w:p w14:paraId="2E14E90F">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0.716</w:t>
            </w:r>
          </w:p>
        </w:tc>
        <w:tc>
          <w:tcPr>
            <w:tcW w:w="310" w:type="pct"/>
            <w:tcBorders>
              <w:tl2br w:val="nil"/>
              <w:tr2bl w:val="nil"/>
            </w:tcBorders>
            <w:shd w:val="clear" w:color="auto" w:fill="auto"/>
            <w:noWrap/>
            <w:vAlign w:val="center"/>
          </w:tcPr>
          <w:p w14:paraId="64C97BF8">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0.702</w:t>
            </w:r>
          </w:p>
        </w:tc>
        <w:tc>
          <w:tcPr>
            <w:tcW w:w="310" w:type="pct"/>
            <w:tcBorders>
              <w:tl2br w:val="nil"/>
              <w:tr2bl w:val="nil"/>
            </w:tcBorders>
            <w:shd w:val="clear" w:color="auto" w:fill="auto"/>
            <w:noWrap/>
            <w:vAlign w:val="center"/>
          </w:tcPr>
          <w:p w14:paraId="618975FD">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0.600</w:t>
            </w:r>
          </w:p>
        </w:tc>
        <w:tc>
          <w:tcPr>
            <w:tcW w:w="310" w:type="pct"/>
            <w:tcBorders>
              <w:tl2br w:val="nil"/>
              <w:tr2bl w:val="nil"/>
            </w:tcBorders>
            <w:shd w:val="clear" w:color="auto" w:fill="auto"/>
            <w:noWrap/>
            <w:vAlign w:val="center"/>
          </w:tcPr>
          <w:p w14:paraId="51ED4AD6">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0.560</w:t>
            </w:r>
          </w:p>
        </w:tc>
        <w:tc>
          <w:tcPr>
            <w:tcW w:w="310" w:type="pct"/>
            <w:tcBorders>
              <w:tl2br w:val="nil"/>
              <w:tr2bl w:val="nil"/>
            </w:tcBorders>
            <w:shd w:val="clear" w:color="auto" w:fill="auto"/>
            <w:noWrap/>
            <w:vAlign w:val="center"/>
          </w:tcPr>
          <w:p w14:paraId="15555AD4">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0.724</w:t>
            </w:r>
          </w:p>
        </w:tc>
        <w:tc>
          <w:tcPr>
            <w:tcW w:w="315" w:type="pct"/>
            <w:tcBorders>
              <w:tl2br w:val="nil"/>
              <w:tr2bl w:val="nil"/>
            </w:tcBorders>
            <w:shd w:val="clear" w:color="auto" w:fill="auto"/>
            <w:noWrap/>
            <w:vAlign w:val="center"/>
          </w:tcPr>
          <w:p w14:paraId="37C139A0">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0.622</w:t>
            </w:r>
          </w:p>
        </w:tc>
        <w:tc>
          <w:tcPr>
            <w:tcW w:w="310" w:type="pct"/>
            <w:tcBorders>
              <w:tl2br w:val="nil"/>
              <w:tr2bl w:val="nil"/>
            </w:tcBorders>
            <w:shd w:val="clear" w:color="auto" w:fill="auto"/>
            <w:noWrap/>
            <w:vAlign w:val="center"/>
          </w:tcPr>
          <w:p w14:paraId="5E03E5A3">
            <w:pPr>
              <w:keepNext w:val="0"/>
              <w:keepLines w:val="0"/>
              <w:widowControl/>
              <w:suppressLineNumbers w:val="0"/>
              <w:spacing w:line="240" w:lineRule="auto"/>
              <w:ind w:firstLine="0" w:firstLineChars="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ascii="Times New Roman" w:hAnsi="Times New Roman" w:cs="Times New Roman"/>
                <w:i w:val="0"/>
                <w:iCs w:val="0"/>
                <w:color w:val="auto"/>
                <w:sz w:val="21"/>
                <w:szCs w:val="21"/>
                <w:highlight w:val="none"/>
                <w:u w:val="none"/>
                <w:lang w:val="en-US" w:eastAsia="zh-CN"/>
              </w:rPr>
              <w:t>/</w:t>
            </w:r>
          </w:p>
        </w:tc>
      </w:tr>
      <w:tr w14:paraId="745F0B0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372" w:type="pct"/>
            <w:tcBorders>
              <w:tl2br w:val="nil"/>
              <w:tr2bl w:val="nil"/>
            </w:tcBorders>
            <w:shd w:val="clear" w:color="auto" w:fill="auto"/>
            <w:vAlign w:val="center"/>
          </w:tcPr>
          <w:p w14:paraId="69E049D5">
            <w:pPr>
              <w:keepNext w:val="0"/>
              <w:keepLines w:val="0"/>
              <w:widowControl/>
              <w:suppressLineNumbers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溶解性总固体</w:t>
            </w:r>
            <w:r>
              <w:rPr>
                <w:rFonts w:hint="eastAsia" w:ascii="宋体" w:hAnsi="宋体" w:eastAsia="宋体" w:cs="宋体"/>
                <w:color w:val="auto"/>
                <w:sz w:val="21"/>
                <w:szCs w:val="21"/>
                <w:highlight w:val="none"/>
                <w:u w:val="none"/>
                <w:lang w:val="en-US" w:eastAsia="zh-CN" w:bidi="ar"/>
              </w:rPr>
              <w:t>（</w:t>
            </w:r>
            <w:r>
              <w:rPr>
                <w:rFonts w:hint="default" w:ascii="Times New Roman" w:hAnsi="Times New Roman" w:eastAsia="宋体" w:cs="Times New Roman"/>
                <w:color w:val="auto"/>
                <w:sz w:val="21"/>
                <w:szCs w:val="21"/>
                <w:highlight w:val="none"/>
                <w:u w:val="none"/>
                <w:lang w:val="en-US" w:eastAsia="zh-CN" w:bidi="ar"/>
              </w:rPr>
              <w:t>mg/L</w:t>
            </w:r>
            <w:r>
              <w:rPr>
                <w:rFonts w:hint="eastAsia" w:ascii="宋体" w:hAnsi="宋体" w:eastAsia="宋体" w:cs="宋体"/>
                <w:color w:val="auto"/>
                <w:sz w:val="21"/>
                <w:szCs w:val="21"/>
                <w:highlight w:val="none"/>
                <w:u w:val="none"/>
                <w:lang w:val="en-US" w:eastAsia="zh-CN" w:bidi="ar"/>
              </w:rPr>
              <w:t>）</w:t>
            </w:r>
          </w:p>
        </w:tc>
        <w:tc>
          <w:tcPr>
            <w:tcW w:w="281" w:type="pct"/>
            <w:tcBorders>
              <w:tl2br w:val="nil"/>
              <w:tr2bl w:val="nil"/>
            </w:tcBorders>
            <w:shd w:val="clear" w:color="auto" w:fill="auto"/>
            <w:noWrap/>
            <w:vAlign w:val="center"/>
          </w:tcPr>
          <w:p w14:paraId="7310736D">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0.408</w:t>
            </w:r>
          </w:p>
        </w:tc>
        <w:tc>
          <w:tcPr>
            <w:tcW w:w="309" w:type="pct"/>
            <w:tcBorders>
              <w:tl2br w:val="nil"/>
              <w:tr2bl w:val="nil"/>
            </w:tcBorders>
            <w:shd w:val="clear" w:color="auto" w:fill="auto"/>
            <w:noWrap/>
            <w:vAlign w:val="center"/>
          </w:tcPr>
          <w:p w14:paraId="41EC527F">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0.443</w:t>
            </w:r>
          </w:p>
        </w:tc>
        <w:tc>
          <w:tcPr>
            <w:tcW w:w="307" w:type="pct"/>
            <w:tcBorders>
              <w:tl2br w:val="nil"/>
              <w:tr2bl w:val="nil"/>
            </w:tcBorders>
            <w:shd w:val="clear" w:color="auto" w:fill="auto"/>
            <w:noWrap/>
            <w:vAlign w:val="center"/>
          </w:tcPr>
          <w:p w14:paraId="5ECFA8AF">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0.434</w:t>
            </w:r>
          </w:p>
        </w:tc>
        <w:tc>
          <w:tcPr>
            <w:tcW w:w="310" w:type="pct"/>
            <w:tcBorders>
              <w:tl2br w:val="nil"/>
              <w:tr2bl w:val="nil"/>
            </w:tcBorders>
            <w:shd w:val="clear" w:color="auto" w:fill="auto"/>
            <w:noWrap/>
            <w:vAlign w:val="center"/>
          </w:tcPr>
          <w:p w14:paraId="52111A1D">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0.331</w:t>
            </w:r>
          </w:p>
        </w:tc>
        <w:tc>
          <w:tcPr>
            <w:tcW w:w="330" w:type="pct"/>
            <w:tcBorders>
              <w:tl2br w:val="nil"/>
              <w:tr2bl w:val="nil"/>
            </w:tcBorders>
            <w:shd w:val="clear" w:color="auto" w:fill="auto"/>
            <w:noWrap/>
            <w:vAlign w:val="center"/>
          </w:tcPr>
          <w:p w14:paraId="67476BAF">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0.397</w:t>
            </w:r>
          </w:p>
        </w:tc>
        <w:tc>
          <w:tcPr>
            <w:tcW w:w="290" w:type="pct"/>
            <w:tcBorders>
              <w:tl2br w:val="nil"/>
              <w:tr2bl w:val="nil"/>
            </w:tcBorders>
            <w:shd w:val="clear" w:color="auto" w:fill="auto"/>
            <w:noWrap/>
            <w:vAlign w:val="center"/>
          </w:tcPr>
          <w:p w14:paraId="75847F4C">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0.375</w:t>
            </w:r>
          </w:p>
        </w:tc>
        <w:tc>
          <w:tcPr>
            <w:tcW w:w="310" w:type="pct"/>
            <w:tcBorders>
              <w:tl2br w:val="nil"/>
              <w:tr2bl w:val="nil"/>
            </w:tcBorders>
            <w:shd w:val="clear" w:color="auto" w:fill="auto"/>
            <w:noWrap/>
            <w:vAlign w:val="center"/>
          </w:tcPr>
          <w:p w14:paraId="5508CA5F">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0.394</w:t>
            </w:r>
          </w:p>
        </w:tc>
        <w:tc>
          <w:tcPr>
            <w:tcW w:w="310" w:type="pct"/>
            <w:tcBorders>
              <w:tl2br w:val="nil"/>
              <w:tr2bl w:val="nil"/>
            </w:tcBorders>
            <w:shd w:val="clear" w:color="auto" w:fill="auto"/>
            <w:noWrap/>
            <w:vAlign w:val="center"/>
          </w:tcPr>
          <w:p w14:paraId="0294F949">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0.424</w:t>
            </w:r>
          </w:p>
        </w:tc>
        <w:tc>
          <w:tcPr>
            <w:tcW w:w="310" w:type="pct"/>
            <w:tcBorders>
              <w:tl2br w:val="nil"/>
              <w:tr2bl w:val="nil"/>
            </w:tcBorders>
            <w:shd w:val="clear" w:color="auto" w:fill="auto"/>
            <w:noWrap/>
            <w:vAlign w:val="center"/>
          </w:tcPr>
          <w:p w14:paraId="33659278">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0.425</w:t>
            </w:r>
          </w:p>
        </w:tc>
        <w:tc>
          <w:tcPr>
            <w:tcW w:w="310" w:type="pct"/>
            <w:tcBorders>
              <w:tl2br w:val="nil"/>
              <w:tr2bl w:val="nil"/>
            </w:tcBorders>
            <w:shd w:val="clear" w:color="auto" w:fill="auto"/>
            <w:noWrap/>
            <w:vAlign w:val="center"/>
          </w:tcPr>
          <w:p w14:paraId="035759C3">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0.445</w:t>
            </w:r>
          </w:p>
        </w:tc>
        <w:tc>
          <w:tcPr>
            <w:tcW w:w="310" w:type="pct"/>
            <w:tcBorders>
              <w:tl2br w:val="nil"/>
              <w:tr2bl w:val="nil"/>
            </w:tcBorders>
            <w:shd w:val="clear" w:color="auto" w:fill="auto"/>
            <w:noWrap/>
            <w:vAlign w:val="center"/>
          </w:tcPr>
          <w:p w14:paraId="256C7498">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0.410</w:t>
            </w:r>
          </w:p>
        </w:tc>
        <w:tc>
          <w:tcPr>
            <w:tcW w:w="310" w:type="pct"/>
            <w:tcBorders>
              <w:tl2br w:val="nil"/>
              <w:tr2bl w:val="nil"/>
            </w:tcBorders>
            <w:shd w:val="clear" w:color="auto" w:fill="auto"/>
            <w:noWrap/>
            <w:vAlign w:val="center"/>
          </w:tcPr>
          <w:p w14:paraId="526FF784">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0.332</w:t>
            </w:r>
          </w:p>
        </w:tc>
        <w:tc>
          <w:tcPr>
            <w:tcW w:w="310" w:type="pct"/>
            <w:tcBorders>
              <w:tl2br w:val="nil"/>
              <w:tr2bl w:val="nil"/>
            </w:tcBorders>
            <w:shd w:val="clear" w:color="auto" w:fill="auto"/>
            <w:noWrap/>
            <w:vAlign w:val="center"/>
          </w:tcPr>
          <w:p w14:paraId="40A172A9">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0.435</w:t>
            </w:r>
          </w:p>
        </w:tc>
        <w:tc>
          <w:tcPr>
            <w:tcW w:w="315" w:type="pct"/>
            <w:tcBorders>
              <w:tl2br w:val="nil"/>
              <w:tr2bl w:val="nil"/>
            </w:tcBorders>
            <w:shd w:val="clear" w:color="auto" w:fill="auto"/>
            <w:noWrap/>
            <w:vAlign w:val="center"/>
          </w:tcPr>
          <w:p w14:paraId="636CE5B4">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0.405</w:t>
            </w:r>
          </w:p>
        </w:tc>
        <w:tc>
          <w:tcPr>
            <w:tcW w:w="310" w:type="pct"/>
            <w:tcBorders>
              <w:tl2br w:val="nil"/>
              <w:tr2bl w:val="nil"/>
            </w:tcBorders>
            <w:shd w:val="clear" w:color="auto" w:fill="auto"/>
            <w:noWrap/>
            <w:vAlign w:val="center"/>
          </w:tcPr>
          <w:p w14:paraId="7A7F7436">
            <w:pPr>
              <w:keepNext w:val="0"/>
              <w:keepLines w:val="0"/>
              <w:widowControl/>
              <w:suppressLineNumbers w:val="0"/>
              <w:spacing w:line="240" w:lineRule="auto"/>
              <w:ind w:firstLine="0" w:firstLineChars="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ascii="Times New Roman" w:hAnsi="Times New Roman" w:cs="Times New Roman"/>
                <w:i w:val="0"/>
                <w:iCs w:val="0"/>
                <w:color w:val="auto"/>
                <w:sz w:val="21"/>
                <w:szCs w:val="21"/>
                <w:highlight w:val="none"/>
                <w:u w:val="none"/>
                <w:lang w:val="en-US" w:eastAsia="zh-CN"/>
              </w:rPr>
              <w:t>/</w:t>
            </w:r>
          </w:p>
        </w:tc>
      </w:tr>
      <w:tr w14:paraId="07E76B0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372" w:type="pct"/>
            <w:tcBorders>
              <w:tl2br w:val="nil"/>
              <w:tr2bl w:val="nil"/>
            </w:tcBorders>
            <w:shd w:val="clear" w:color="auto" w:fill="auto"/>
            <w:vAlign w:val="center"/>
          </w:tcPr>
          <w:p w14:paraId="3CB479DD">
            <w:pPr>
              <w:keepNext w:val="0"/>
              <w:keepLines w:val="0"/>
              <w:widowControl/>
              <w:suppressLineNumbers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菌落总数（</w:t>
            </w:r>
            <w:r>
              <w:rPr>
                <w:rFonts w:hint="default" w:ascii="Times New Roman" w:hAnsi="Times New Roman" w:eastAsia="宋体" w:cs="Times New Roman"/>
                <w:color w:val="auto"/>
                <w:sz w:val="21"/>
                <w:szCs w:val="21"/>
                <w:highlight w:val="none"/>
                <w:u w:val="none"/>
                <w:lang w:val="en-US" w:eastAsia="zh-CN" w:bidi="ar"/>
              </w:rPr>
              <w:t>CFU/mL</w:t>
            </w:r>
            <w:r>
              <w:rPr>
                <w:rFonts w:hint="eastAsia" w:ascii="宋体" w:hAnsi="宋体" w:eastAsia="宋体" w:cs="宋体"/>
                <w:color w:val="auto"/>
                <w:sz w:val="21"/>
                <w:szCs w:val="21"/>
                <w:highlight w:val="none"/>
                <w:u w:val="none"/>
                <w:lang w:val="en-US" w:eastAsia="zh-CN" w:bidi="ar"/>
              </w:rPr>
              <w:t>）</w:t>
            </w:r>
          </w:p>
        </w:tc>
        <w:tc>
          <w:tcPr>
            <w:tcW w:w="281" w:type="pct"/>
            <w:tcBorders>
              <w:tl2br w:val="nil"/>
              <w:tr2bl w:val="nil"/>
            </w:tcBorders>
            <w:shd w:val="clear" w:color="auto" w:fill="auto"/>
            <w:noWrap/>
            <w:vAlign w:val="center"/>
          </w:tcPr>
          <w:p w14:paraId="1541DAE0">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0.450</w:t>
            </w:r>
          </w:p>
        </w:tc>
        <w:tc>
          <w:tcPr>
            <w:tcW w:w="309" w:type="pct"/>
            <w:tcBorders>
              <w:tl2br w:val="nil"/>
              <w:tr2bl w:val="nil"/>
            </w:tcBorders>
            <w:shd w:val="clear" w:color="auto" w:fill="auto"/>
            <w:noWrap/>
            <w:vAlign w:val="center"/>
          </w:tcPr>
          <w:p w14:paraId="4E8F6D5B">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0.210</w:t>
            </w:r>
          </w:p>
        </w:tc>
        <w:tc>
          <w:tcPr>
            <w:tcW w:w="307" w:type="pct"/>
            <w:tcBorders>
              <w:tl2br w:val="nil"/>
              <w:tr2bl w:val="nil"/>
            </w:tcBorders>
            <w:shd w:val="clear" w:color="auto" w:fill="auto"/>
            <w:noWrap/>
            <w:vAlign w:val="center"/>
          </w:tcPr>
          <w:p w14:paraId="7C04137E">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0.350</w:t>
            </w:r>
          </w:p>
        </w:tc>
        <w:tc>
          <w:tcPr>
            <w:tcW w:w="310" w:type="pct"/>
            <w:tcBorders>
              <w:tl2br w:val="nil"/>
              <w:tr2bl w:val="nil"/>
            </w:tcBorders>
            <w:shd w:val="clear" w:color="auto" w:fill="auto"/>
            <w:noWrap/>
            <w:vAlign w:val="center"/>
          </w:tcPr>
          <w:p w14:paraId="0A9510B3">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0.110</w:t>
            </w:r>
          </w:p>
        </w:tc>
        <w:tc>
          <w:tcPr>
            <w:tcW w:w="330" w:type="pct"/>
            <w:tcBorders>
              <w:tl2br w:val="nil"/>
              <w:tr2bl w:val="nil"/>
            </w:tcBorders>
            <w:shd w:val="clear" w:color="auto" w:fill="auto"/>
            <w:noWrap/>
            <w:vAlign w:val="center"/>
          </w:tcPr>
          <w:p w14:paraId="2033D949">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0.140</w:t>
            </w:r>
          </w:p>
        </w:tc>
        <w:tc>
          <w:tcPr>
            <w:tcW w:w="290" w:type="pct"/>
            <w:tcBorders>
              <w:tl2br w:val="nil"/>
              <w:tr2bl w:val="nil"/>
            </w:tcBorders>
            <w:shd w:val="clear" w:color="auto" w:fill="auto"/>
            <w:noWrap/>
            <w:vAlign w:val="center"/>
          </w:tcPr>
          <w:p w14:paraId="5BC6F3EA">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0.600</w:t>
            </w:r>
          </w:p>
        </w:tc>
        <w:tc>
          <w:tcPr>
            <w:tcW w:w="310" w:type="pct"/>
            <w:tcBorders>
              <w:tl2br w:val="nil"/>
              <w:tr2bl w:val="nil"/>
            </w:tcBorders>
            <w:shd w:val="clear" w:color="auto" w:fill="auto"/>
            <w:noWrap/>
            <w:vAlign w:val="center"/>
          </w:tcPr>
          <w:p w14:paraId="5FE56CB2">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0.210</w:t>
            </w:r>
          </w:p>
        </w:tc>
        <w:tc>
          <w:tcPr>
            <w:tcW w:w="310" w:type="pct"/>
            <w:tcBorders>
              <w:tl2br w:val="nil"/>
              <w:tr2bl w:val="nil"/>
            </w:tcBorders>
            <w:shd w:val="clear" w:color="auto" w:fill="auto"/>
            <w:noWrap/>
            <w:vAlign w:val="center"/>
          </w:tcPr>
          <w:p w14:paraId="567332F8">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0.340</w:t>
            </w:r>
          </w:p>
        </w:tc>
        <w:tc>
          <w:tcPr>
            <w:tcW w:w="310" w:type="pct"/>
            <w:tcBorders>
              <w:tl2br w:val="nil"/>
              <w:tr2bl w:val="nil"/>
            </w:tcBorders>
            <w:shd w:val="clear" w:color="auto" w:fill="auto"/>
            <w:noWrap/>
            <w:vAlign w:val="center"/>
          </w:tcPr>
          <w:p w14:paraId="55804B43">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0.420</w:t>
            </w:r>
          </w:p>
        </w:tc>
        <w:tc>
          <w:tcPr>
            <w:tcW w:w="310" w:type="pct"/>
            <w:tcBorders>
              <w:tl2br w:val="nil"/>
              <w:tr2bl w:val="nil"/>
            </w:tcBorders>
            <w:shd w:val="clear" w:color="auto" w:fill="auto"/>
            <w:noWrap/>
            <w:vAlign w:val="center"/>
          </w:tcPr>
          <w:p w14:paraId="1F6EABBD">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0.390</w:t>
            </w:r>
          </w:p>
        </w:tc>
        <w:tc>
          <w:tcPr>
            <w:tcW w:w="310" w:type="pct"/>
            <w:tcBorders>
              <w:tl2br w:val="nil"/>
              <w:tr2bl w:val="nil"/>
            </w:tcBorders>
            <w:shd w:val="clear" w:color="auto" w:fill="auto"/>
            <w:noWrap/>
            <w:vAlign w:val="center"/>
          </w:tcPr>
          <w:p w14:paraId="11D66BEB">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0.740</w:t>
            </w:r>
          </w:p>
        </w:tc>
        <w:tc>
          <w:tcPr>
            <w:tcW w:w="310" w:type="pct"/>
            <w:tcBorders>
              <w:tl2br w:val="nil"/>
              <w:tr2bl w:val="nil"/>
            </w:tcBorders>
            <w:shd w:val="clear" w:color="auto" w:fill="auto"/>
            <w:noWrap/>
            <w:vAlign w:val="center"/>
          </w:tcPr>
          <w:p w14:paraId="0B1A5DB8">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0.460</w:t>
            </w:r>
          </w:p>
        </w:tc>
        <w:tc>
          <w:tcPr>
            <w:tcW w:w="310" w:type="pct"/>
            <w:tcBorders>
              <w:tl2br w:val="nil"/>
              <w:tr2bl w:val="nil"/>
            </w:tcBorders>
            <w:shd w:val="clear" w:color="auto" w:fill="auto"/>
            <w:noWrap/>
            <w:vAlign w:val="center"/>
          </w:tcPr>
          <w:p w14:paraId="024CF27C">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0.270</w:t>
            </w:r>
          </w:p>
        </w:tc>
        <w:tc>
          <w:tcPr>
            <w:tcW w:w="315" w:type="pct"/>
            <w:tcBorders>
              <w:tl2br w:val="nil"/>
              <w:tr2bl w:val="nil"/>
            </w:tcBorders>
            <w:shd w:val="clear" w:color="auto" w:fill="auto"/>
            <w:noWrap/>
            <w:vAlign w:val="center"/>
          </w:tcPr>
          <w:p w14:paraId="5BE09970">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0.190</w:t>
            </w:r>
          </w:p>
        </w:tc>
        <w:tc>
          <w:tcPr>
            <w:tcW w:w="310" w:type="pct"/>
            <w:tcBorders>
              <w:tl2br w:val="nil"/>
              <w:tr2bl w:val="nil"/>
            </w:tcBorders>
            <w:shd w:val="clear" w:color="auto" w:fill="auto"/>
            <w:noWrap/>
            <w:vAlign w:val="center"/>
          </w:tcPr>
          <w:p w14:paraId="435AE2FA">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sz w:val="21"/>
                <w:szCs w:val="21"/>
                <w:highlight w:val="none"/>
                <w:u w:val="none"/>
                <w:lang w:val="en-US" w:eastAsia="zh-CN"/>
              </w:rPr>
              <w:t>/</w:t>
            </w:r>
          </w:p>
        </w:tc>
      </w:tr>
      <w:tr w14:paraId="5B9436F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372" w:type="pct"/>
            <w:tcBorders>
              <w:tl2br w:val="nil"/>
              <w:tr2bl w:val="nil"/>
            </w:tcBorders>
            <w:shd w:val="clear" w:color="auto" w:fill="auto"/>
            <w:vAlign w:val="center"/>
          </w:tcPr>
          <w:p w14:paraId="58D5993A">
            <w:pPr>
              <w:keepNext w:val="0"/>
              <w:keepLines w:val="0"/>
              <w:widowControl/>
              <w:suppressLineNumbers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点位名称</w:t>
            </w:r>
          </w:p>
        </w:tc>
        <w:tc>
          <w:tcPr>
            <w:tcW w:w="281" w:type="pct"/>
            <w:tcBorders>
              <w:tl2br w:val="nil"/>
              <w:tr2bl w:val="nil"/>
            </w:tcBorders>
            <w:shd w:val="clear" w:color="auto" w:fill="auto"/>
            <w:vAlign w:val="center"/>
          </w:tcPr>
          <w:p w14:paraId="56EAE1E2">
            <w:pPr>
              <w:keepNext w:val="0"/>
              <w:keepLines w:val="0"/>
              <w:widowControl/>
              <w:suppressLineNumbers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绥化市庆安县柳河镇新强村饮用水水源地</w:t>
            </w:r>
            <w:r>
              <w:rPr>
                <w:rFonts w:hint="default" w:ascii="Times New Roman" w:hAnsi="Times New Roman" w:eastAsia="宋体" w:cs="Times New Roman"/>
                <w:color w:val="auto"/>
                <w:sz w:val="21"/>
                <w:szCs w:val="21"/>
                <w:highlight w:val="none"/>
                <w:u w:val="none"/>
                <w:lang w:val="en-US" w:eastAsia="zh-CN" w:bidi="ar"/>
              </w:rPr>
              <w:t>1#</w:t>
            </w:r>
            <w:r>
              <w:rPr>
                <w:rFonts w:hint="eastAsia" w:ascii="宋体" w:hAnsi="宋体" w:eastAsia="宋体" w:cs="宋体"/>
                <w:color w:val="auto"/>
                <w:sz w:val="21"/>
                <w:szCs w:val="21"/>
                <w:highlight w:val="none"/>
                <w:u w:val="none"/>
                <w:lang w:val="en-US" w:eastAsia="zh-CN" w:bidi="ar"/>
              </w:rPr>
              <w:t>取水井</w:t>
            </w:r>
          </w:p>
        </w:tc>
        <w:tc>
          <w:tcPr>
            <w:tcW w:w="309" w:type="pct"/>
            <w:tcBorders>
              <w:tl2br w:val="nil"/>
              <w:tr2bl w:val="nil"/>
            </w:tcBorders>
            <w:shd w:val="clear" w:color="auto" w:fill="auto"/>
            <w:vAlign w:val="center"/>
          </w:tcPr>
          <w:p w14:paraId="1E4739A7">
            <w:pPr>
              <w:keepNext w:val="0"/>
              <w:keepLines w:val="0"/>
              <w:widowControl/>
              <w:suppressLineNumbers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绥化市庆安县柳河镇新强村饮用水水源地</w:t>
            </w:r>
            <w:r>
              <w:rPr>
                <w:rFonts w:hint="default" w:ascii="Times New Roman" w:hAnsi="Times New Roman" w:eastAsia="宋体" w:cs="Times New Roman"/>
                <w:color w:val="auto"/>
                <w:sz w:val="21"/>
                <w:szCs w:val="21"/>
                <w:highlight w:val="none"/>
                <w:u w:val="none"/>
                <w:lang w:val="en-US" w:eastAsia="zh-CN" w:bidi="ar"/>
              </w:rPr>
              <w:t>2#</w:t>
            </w:r>
            <w:r>
              <w:rPr>
                <w:rFonts w:hint="eastAsia" w:ascii="宋体" w:hAnsi="宋体" w:eastAsia="宋体" w:cs="宋体"/>
                <w:color w:val="auto"/>
                <w:sz w:val="21"/>
                <w:szCs w:val="21"/>
                <w:highlight w:val="none"/>
                <w:u w:val="none"/>
                <w:lang w:val="en-US" w:eastAsia="zh-CN" w:bidi="ar"/>
              </w:rPr>
              <w:t>取水井</w:t>
            </w:r>
          </w:p>
        </w:tc>
        <w:tc>
          <w:tcPr>
            <w:tcW w:w="307" w:type="pct"/>
            <w:tcBorders>
              <w:tl2br w:val="nil"/>
              <w:tr2bl w:val="nil"/>
            </w:tcBorders>
            <w:shd w:val="clear" w:color="auto" w:fill="auto"/>
            <w:vAlign w:val="center"/>
          </w:tcPr>
          <w:p w14:paraId="7D13A889">
            <w:pPr>
              <w:keepNext w:val="0"/>
              <w:keepLines w:val="0"/>
              <w:widowControl/>
              <w:suppressLineNumbers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绥化市庆安县柳河镇新强村饮用水水源地</w:t>
            </w:r>
            <w:r>
              <w:rPr>
                <w:rFonts w:hint="default" w:ascii="Times New Roman" w:hAnsi="Times New Roman" w:eastAsia="宋体" w:cs="Times New Roman"/>
                <w:color w:val="auto"/>
                <w:sz w:val="21"/>
                <w:szCs w:val="21"/>
                <w:highlight w:val="none"/>
                <w:u w:val="none"/>
                <w:lang w:val="en-US" w:eastAsia="zh-CN" w:bidi="ar"/>
              </w:rPr>
              <w:t>3#</w:t>
            </w:r>
            <w:r>
              <w:rPr>
                <w:rFonts w:hint="eastAsia" w:ascii="宋体" w:hAnsi="宋体" w:eastAsia="宋体" w:cs="宋体"/>
                <w:color w:val="auto"/>
                <w:sz w:val="21"/>
                <w:szCs w:val="21"/>
                <w:highlight w:val="none"/>
                <w:u w:val="none"/>
                <w:lang w:val="en-US" w:eastAsia="zh-CN" w:bidi="ar"/>
              </w:rPr>
              <w:t>取水井</w:t>
            </w:r>
          </w:p>
        </w:tc>
        <w:tc>
          <w:tcPr>
            <w:tcW w:w="310" w:type="pct"/>
            <w:tcBorders>
              <w:tl2br w:val="nil"/>
              <w:tr2bl w:val="nil"/>
            </w:tcBorders>
            <w:shd w:val="clear" w:color="auto" w:fill="auto"/>
            <w:vAlign w:val="center"/>
          </w:tcPr>
          <w:p w14:paraId="15AB9EEC">
            <w:pPr>
              <w:keepNext w:val="0"/>
              <w:keepLines w:val="0"/>
              <w:widowControl/>
              <w:suppressLineNumbers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绥化市庆安县柳河镇新强村饮用水水源地</w:t>
            </w:r>
            <w:r>
              <w:rPr>
                <w:rFonts w:hint="default" w:ascii="Times New Roman" w:hAnsi="Times New Roman" w:eastAsia="宋体" w:cs="Times New Roman"/>
                <w:color w:val="auto"/>
                <w:sz w:val="21"/>
                <w:szCs w:val="21"/>
                <w:highlight w:val="none"/>
                <w:u w:val="none"/>
                <w:lang w:val="en-US" w:eastAsia="zh-CN" w:bidi="ar"/>
              </w:rPr>
              <w:t>4#</w:t>
            </w:r>
            <w:r>
              <w:rPr>
                <w:rFonts w:hint="eastAsia" w:ascii="宋体" w:hAnsi="宋体" w:eastAsia="宋体" w:cs="宋体"/>
                <w:color w:val="auto"/>
                <w:sz w:val="21"/>
                <w:szCs w:val="21"/>
                <w:highlight w:val="none"/>
                <w:u w:val="none"/>
                <w:lang w:val="en-US" w:eastAsia="zh-CN" w:bidi="ar"/>
              </w:rPr>
              <w:t>取水井</w:t>
            </w:r>
          </w:p>
        </w:tc>
        <w:tc>
          <w:tcPr>
            <w:tcW w:w="330" w:type="pct"/>
            <w:tcBorders>
              <w:tl2br w:val="nil"/>
              <w:tr2bl w:val="nil"/>
            </w:tcBorders>
            <w:shd w:val="clear" w:color="auto" w:fill="auto"/>
            <w:vAlign w:val="center"/>
          </w:tcPr>
          <w:p w14:paraId="487A6EB7">
            <w:pPr>
              <w:keepNext w:val="0"/>
              <w:keepLines w:val="0"/>
              <w:widowControl/>
              <w:suppressLineNumbers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绥化市庆安县柳河镇新强村饮用水水源地</w:t>
            </w:r>
            <w:r>
              <w:rPr>
                <w:rFonts w:hint="default" w:ascii="Times New Roman" w:hAnsi="Times New Roman" w:eastAsia="宋体" w:cs="Times New Roman"/>
                <w:color w:val="auto"/>
                <w:sz w:val="21"/>
                <w:szCs w:val="21"/>
                <w:highlight w:val="none"/>
                <w:u w:val="none"/>
                <w:lang w:val="en-US" w:eastAsia="zh-CN" w:bidi="ar"/>
              </w:rPr>
              <w:t>5#</w:t>
            </w:r>
            <w:r>
              <w:rPr>
                <w:rFonts w:hint="eastAsia" w:ascii="宋体" w:hAnsi="宋体" w:eastAsia="宋体" w:cs="宋体"/>
                <w:color w:val="auto"/>
                <w:sz w:val="21"/>
                <w:szCs w:val="21"/>
                <w:highlight w:val="none"/>
                <w:u w:val="none"/>
                <w:lang w:val="en-US" w:eastAsia="zh-CN" w:bidi="ar"/>
              </w:rPr>
              <w:t>取水井</w:t>
            </w:r>
          </w:p>
        </w:tc>
        <w:tc>
          <w:tcPr>
            <w:tcW w:w="290" w:type="pct"/>
            <w:tcBorders>
              <w:tl2br w:val="nil"/>
              <w:tr2bl w:val="nil"/>
            </w:tcBorders>
            <w:shd w:val="clear" w:color="auto" w:fill="auto"/>
            <w:vAlign w:val="center"/>
          </w:tcPr>
          <w:p w14:paraId="156B6433">
            <w:pPr>
              <w:keepNext w:val="0"/>
              <w:keepLines w:val="0"/>
              <w:widowControl/>
              <w:suppressLineNumbers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绥化市庆安县柳河镇饮用水水源地</w:t>
            </w:r>
            <w:r>
              <w:rPr>
                <w:rFonts w:hint="default" w:ascii="Times New Roman" w:hAnsi="Times New Roman" w:eastAsia="宋体" w:cs="Times New Roman"/>
                <w:color w:val="auto"/>
                <w:sz w:val="21"/>
                <w:szCs w:val="21"/>
                <w:highlight w:val="none"/>
                <w:u w:val="none"/>
                <w:lang w:val="en-US" w:eastAsia="zh-CN" w:bidi="ar"/>
              </w:rPr>
              <w:t>1#</w:t>
            </w:r>
            <w:r>
              <w:rPr>
                <w:rFonts w:hint="eastAsia" w:ascii="宋体" w:hAnsi="宋体" w:eastAsia="宋体" w:cs="宋体"/>
                <w:color w:val="auto"/>
                <w:sz w:val="21"/>
                <w:szCs w:val="21"/>
                <w:highlight w:val="none"/>
                <w:u w:val="none"/>
                <w:lang w:val="en-US" w:eastAsia="zh-CN" w:bidi="ar"/>
              </w:rPr>
              <w:t>取水井</w:t>
            </w:r>
          </w:p>
        </w:tc>
        <w:tc>
          <w:tcPr>
            <w:tcW w:w="310" w:type="pct"/>
            <w:tcBorders>
              <w:tl2br w:val="nil"/>
              <w:tr2bl w:val="nil"/>
            </w:tcBorders>
            <w:shd w:val="clear" w:color="auto" w:fill="auto"/>
            <w:vAlign w:val="center"/>
          </w:tcPr>
          <w:p w14:paraId="53A84025">
            <w:pPr>
              <w:keepNext w:val="0"/>
              <w:keepLines w:val="0"/>
              <w:widowControl/>
              <w:suppressLineNumbers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绥化市庆安县柳河镇饮用水水源地</w:t>
            </w:r>
            <w:r>
              <w:rPr>
                <w:rFonts w:hint="default" w:ascii="Times New Roman" w:hAnsi="Times New Roman" w:eastAsia="宋体" w:cs="Times New Roman"/>
                <w:color w:val="auto"/>
                <w:sz w:val="21"/>
                <w:szCs w:val="21"/>
                <w:highlight w:val="none"/>
                <w:u w:val="none"/>
                <w:lang w:val="en-US" w:eastAsia="zh-CN" w:bidi="ar"/>
              </w:rPr>
              <w:t>2#</w:t>
            </w:r>
            <w:r>
              <w:rPr>
                <w:rFonts w:hint="eastAsia" w:ascii="宋体" w:hAnsi="宋体" w:eastAsia="宋体" w:cs="宋体"/>
                <w:color w:val="auto"/>
                <w:sz w:val="21"/>
                <w:szCs w:val="21"/>
                <w:highlight w:val="none"/>
                <w:u w:val="none"/>
                <w:lang w:val="en-US" w:eastAsia="zh-CN" w:bidi="ar"/>
              </w:rPr>
              <w:t>取水井</w:t>
            </w:r>
          </w:p>
        </w:tc>
        <w:tc>
          <w:tcPr>
            <w:tcW w:w="310" w:type="pct"/>
            <w:tcBorders>
              <w:tl2br w:val="nil"/>
              <w:tr2bl w:val="nil"/>
            </w:tcBorders>
            <w:shd w:val="clear" w:color="auto" w:fill="auto"/>
            <w:vAlign w:val="center"/>
          </w:tcPr>
          <w:p w14:paraId="761279F0">
            <w:pPr>
              <w:keepNext w:val="0"/>
              <w:keepLines w:val="0"/>
              <w:widowControl/>
              <w:suppressLineNumbers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绥化市庆安县柳河镇饮用水水源地</w:t>
            </w:r>
            <w:r>
              <w:rPr>
                <w:rFonts w:hint="default" w:ascii="Times New Roman" w:hAnsi="Times New Roman" w:eastAsia="宋体" w:cs="Times New Roman"/>
                <w:color w:val="auto"/>
                <w:sz w:val="21"/>
                <w:szCs w:val="21"/>
                <w:highlight w:val="none"/>
                <w:u w:val="none"/>
                <w:lang w:val="en-US" w:eastAsia="zh-CN" w:bidi="ar"/>
              </w:rPr>
              <w:t>3#</w:t>
            </w:r>
            <w:r>
              <w:rPr>
                <w:rFonts w:hint="eastAsia" w:ascii="宋体" w:hAnsi="宋体" w:eastAsia="宋体" w:cs="宋体"/>
                <w:color w:val="auto"/>
                <w:sz w:val="21"/>
                <w:szCs w:val="21"/>
                <w:highlight w:val="none"/>
                <w:u w:val="none"/>
                <w:lang w:val="en-US" w:eastAsia="zh-CN" w:bidi="ar"/>
              </w:rPr>
              <w:t>取水井</w:t>
            </w:r>
          </w:p>
        </w:tc>
        <w:tc>
          <w:tcPr>
            <w:tcW w:w="310" w:type="pct"/>
            <w:tcBorders>
              <w:tl2br w:val="nil"/>
              <w:tr2bl w:val="nil"/>
            </w:tcBorders>
            <w:shd w:val="clear" w:color="auto" w:fill="auto"/>
            <w:vAlign w:val="center"/>
          </w:tcPr>
          <w:p w14:paraId="15FEA161">
            <w:pPr>
              <w:keepNext w:val="0"/>
              <w:keepLines w:val="0"/>
              <w:widowControl/>
              <w:suppressLineNumbers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绥化市庆安县柳河镇饮用水水源地</w:t>
            </w:r>
            <w:r>
              <w:rPr>
                <w:rFonts w:hint="default" w:ascii="Times New Roman" w:hAnsi="Times New Roman" w:eastAsia="宋体" w:cs="Times New Roman"/>
                <w:color w:val="auto"/>
                <w:sz w:val="21"/>
                <w:szCs w:val="21"/>
                <w:highlight w:val="none"/>
                <w:u w:val="none"/>
                <w:lang w:val="en-US" w:eastAsia="zh-CN" w:bidi="ar"/>
              </w:rPr>
              <w:t>4#</w:t>
            </w:r>
            <w:r>
              <w:rPr>
                <w:rFonts w:hint="eastAsia" w:ascii="宋体" w:hAnsi="宋体" w:eastAsia="宋体" w:cs="宋体"/>
                <w:color w:val="auto"/>
                <w:sz w:val="21"/>
                <w:szCs w:val="21"/>
                <w:highlight w:val="none"/>
                <w:u w:val="none"/>
                <w:lang w:val="en-US" w:eastAsia="zh-CN" w:bidi="ar"/>
              </w:rPr>
              <w:t>取水井</w:t>
            </w:r>
          </w:p>
        </w:tc>
        <w:tc>
          <w:tcPr>
            <w:tcW w:w="310" w:type="pct"/>
            <w:tcBorders>
              <w:tl2br w:val="nil"/>
              <w:tr2bl w:val="nil"/>
            </w:tcBorders>
            <w:shd w:val="clear" w:color="auto" w:fill="auto"/>
            <w:vAlign w:val="center"/>
          </w:tcPr>
          <w:p w14:paraId="4D3C3FF3">
            <w:pPr>
              <w:keepNext w:val="0"/>
              <w:keepLines w:val="0"/>
              <w:widowControl/>
              <w:suppressLineNumbers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绥化市庆安县柳河镇饮用水水源地</w:t>
            </w:r>
            <w:r>
              <w:rPr>
                <w:rFonts w:hint="default" w:ascii="Times New Roman" w:hAnsi="Times New Roman" w:eastAsia="宋体" w:cs="Times New Roman"/>
                <w:color w:val="auto"/>
                <w:sz w:val="21"/>
                <w:szCs w:val="21"/>
                <w:highlight w:val="none"/>
                <w:u w:val="none"/>
                <w:lang w:val="en-US" w:eastAsia="zh-CN" w:bidi="ar"/>
              </w:rPr>
              <w:t>5#</w:t>
            </w:r>
            <w:r>
              <w:rPr>
                <w:rFonts w:hint="eastAsia" w:ascii="宋体" w:hAnsi="宋体" w:eastAsia="宋体" w:cs="宋体"/>
                <w:color w:val="auto"/>
                <w:sz w:val="21"/>
                <w:szCs w:val="21"/>
                <w:highlight w:val="none"/>
                <w:u w:val="none"/>
                <w:lang w:val="en-US" w:eastAsia="zh-CN" w:bidi="ar"/>
              </w:rPr>
              <w:t>取水井</w:t>
            </w:r>
          </w:p>
        </w:tc>
        <w:tc>
          <w:tcPr>
            <w:tcW w:w="310" w:type="pct"/>
            <w:tcBorders>
              <w:tl2br w:val="nil"/>
              <w:tr2bl w:val="nil"/>
            </w:tcBorders>
            <w:shd w:val="clear" w:color="auto" w:fill="auto"/>
            <w:vAlign w:val="center"/>
          </w:tcPr>
          <w:p w14:paraId="2ACD5913">
            <w:pPr>
              <w:keepNext w:val="0"/>
              <w:keepLines w:val="0"/>
              <w:widowControl/>
              <w:suppressLineNumbers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绥化市庆安县建民乡饮用水水源地</w:t>
            </w:r>
            <w:r>
              <w:rPr>
                <w:rFonts w:hint="default" w:ascii="Times New Roman" w:hAnsi="Times New Roman" w:eastAsia="宋体" w:cs="Times New Roman"/>
                <w:color w:val="auto"/>
                <w:sz w:val="21"/>
                <w:szCs w:val="21"/>
                <w:highlight w:val="none"/>
                <w:u w:val="none"/>
                <w:lang w:val="en-US" w:eastAsia="zh-CN" w:bidi="ar"/>
              </w:rPr>
              <w:t>5#</w:t>
            </w:r>
            <w:r>
              <w:rPr>
                <w:rFonts w:hint="eastAsia" w:ascii="宋体" w:hAnsi="宋体" w:eastAsia="宋体" w:cs="宋体"/>
                <w:color w:val="auto"/>
                <w:sz w:val="21"/>
                <w:szCs w:val="21"/>
                <w:highlight w:val="none"/>
                <w:u w:val="none"/>
                <w:lang w:val="en-US" w:eastAsia="zh-CN" w:bidi="ar"/>
              </w:rPr>
              <w:t>取水井</w:t>
            </w:r>
          </w:p>
        </w:tc>
        <w:tc>
          <w:tcPr>
            <w:tcW w:w="310" w:type="pct"/>
            <w:tcBorders>
              <w:tl2br w:val="nil"/>
              <w:tr2bl w:val="nil"/>
            </w:tcBorders>
            <w:shd w:val="clear" w:color="auto" w:fill="auto"/>
            <w:vAlign w:val="center"/>
          </w:tcPr>
          <w:p w14:paraId="2E9DFFCA">
            <w:pPr>
              <w:keepNext w:val="0"/>
              <w:keepLines w:val="0"/>
              <w:widowControl/>
              <w:suppressLineNumbers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绥化市庆安县建民乡饮用水水源地</w:t>
            </w:r>
            <w:r>
              <w:rPr>
                <w:rFonts w:hint="default" w:ascii="Times New Roman" w:hAnsi="Times New Roman" w:eastAsia="宋体" w:cs="Times New Roman"/>
                <w:color w:val="auto"/>
                <w:sz w:val="21"/>
                <w:szCs w:val="21"/>
                <w:highlight w:val="none"/>
                <w:u w:val="none"/>
                <w:lang w:val="en-US" w:eastAsia="zh-CN" w:bidi="ar"/>
              </w:rPr>
              <w:t>2#</w:t>
            </w:r>
            <w:r>
              <w:rPr>
                <w:rFonts w:hint="eastAsia" w:ascii="宋体" w:hAnsi="宋体" w:eastAsia="宋体" w:cs="宋体"/>
                <w:color w:val="auto"/>
                <w:sz w:val="21"/>
                <w:szCs w:val="21"/>
                <w:highlight w:val="none"/>
                <w:u w:val="none"/>
                <w:lang w:val="en-US" w:eastAsia="zh-CN" w:bidi="ar"/>
              </w:rPr>
              <w:t>取水井</w:t>
            </w:r>
          </w:p>
        </w:tc>
        <w:tc>
          <w:tcPr>
            <w:tcW w:w="310" w:type="pct"/>
            <w:tcBorders>
              <w:tl2br w:val="nil"/>
              <w:tr2bl w:val="nil"/>
            </w:tcBorders>
            <w:shd w:val="clear" w:color="auto" w:fill="auto"/>
            <w:vAlign w:val="center"/>
          </w:tcPr>
          <w:p w14:paraId="43BF83BA">
            <w:pPr>
              <w:keepNext w:val="0"/>
              <w:keepLines w:val="0"/>
              <w:widowControl/>
              <w:suppressLineNumbers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绥化市庆安县建民乡饮用水水源地</w:t>
            </w:r>
            <w:r>
              <w:rPr>
                <w:rFonts w:hint="default" w:ascii="Times New Roman" w:hAnsi="Times New Roman" w:eastAsia="宋体" w:cs="Times New Roman"/>
                <w:color w:val="auto"/>
                <w:sz w:val="21"/>
                <w:szCs w:val="21"/>
                <w:highlight w:val="none"/>
                <w:u w:val="none"/>
                <w:lang w:val="en-US" w:eastAsia="zh-CN" w:bidi="ar"/>
              </w:rPr>
              <w:t>3#</w:t>
            </w:r>
            <w:r>
              <w:rPr>
                <w:rFonts w:hint="eastAsia" w:ascii="宋体" w:hAnsi="宋体" w:eastAsia="宋体" w:cs="宋体"/>
                <w:color w:val="auto"/>
                <w:sz w:val="21"/>
                <w:szCs w:val="21"/>
                <w:highlight w:val="none"/>
                <w:u w:val="none"/>
                <w:lang w:val="en-US" w:eastAsia="zh-CN" w:bidi="ar"/>
              </w:rPr>
              <w:t>取水井</w:t>
            </w:r>
          </w:p>
        </w:tc>
        <w:tc>
          <w:tcPr>
            <w:tcW w:w="315" w:type="pct"/>
            <w:tcBorders>
              <w:tl2br w:val="nil"/>
              <w:tr2bl w:val="nil"/>
            </w:tcBorders>
            <w:shd w:val="clear" w:color="auto" w:fill="auto"/>
            <w:vAlign w:val="center"/>
          </w:tcPr>
          <w:p w14:paraId="30AB10BF">
            <w:pPr>
              <w:keepNext w:val="0"/>
              <w:keepLines w:val="0"/>
              <w:widowControl/>
              <w:suppressLineNumbers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绥化市庆安县平安镇饮用水水源地</w:t>
            </w:r>
            <w:r>
              <w:rPr>
                <w:rFonts w:hint="default" w:ascii="Times New Roman" w:hAnsi="Times New Roman" w:eastAsia="宋体" w:cs="Times New Roman"/>
                <w:color w:val="auto"/>
                <w:sz w:val="21"/>
                <w:szCs w:val="21"/>
                <w:highlight w:val="none"/>
                <w:u w:val="none"/>
                <w:lang w:val="en-US" w:eastAsia="zh-CN" w:bidi="ar"/>
              </w:rPr>
              <w:t>1#</w:t>
            </w:r>
            <w:r>
              <w:rPr>
                <w:rFonts w:hint="eastAsia" w:ascii="宋体" w:hAnsi="宋体" w:eastAsia="宋体" w:cs="宋体"/>
                <w:color w:val="auto"/>
                <w:sz w:val="21"/>
                <w:szCs w:val="21"/>
                <w:highlight w:val="none"/>
                <w:u w:val="none"/>
                <w:lang w:val="en-US" w:eastAsia="zh-CN" w:bidi="ar"/>
              </w:rPr>
              <w:t>取水井</w:t>
            </w:r>
          </w:p>
        </w:tc>
        <w:tc>
          <w:tcPr>
            <w:tcW w:w="310" w:type="pct"/>
            <w:tcBorders>
              <w:tl2br w:val="nil"/>
              <w:tr2bl w:val="nil"/>
            </w:tcBorders>
            <w:shd w:val="clear" w:color="auto" w:fill="auto"/>
            <w:vAlign w:val="center"/>
          </w:tcPr>
          <w:p w14:paraId="48821007">
            <w:pPr>
              <w:keepNext w:val="0"/>
              <w:keepLines w:val="0"/>
              <w:widowControl/>
              <w:suppressLineNumbers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绥化市庆安县平安镇饮用水水源地</w:t>
            </w:r>
            <w:r>
              <w:rPr>
                <w:rFonts w:hint="eastAsia" w:ascii="宋体" w:hAnsi="宋体" w:cs="宋体"/>
                <w:i w:val="0"/>
                <w:iCs w:val="0"/>
                <w:color w:val="auto"/>
                <w:kern w:val="0"/>
                <w:sz w:val="21"/>
                <w:szCs w:val="21"/>
                <w:highlight w:val="none"/>
                <w:u w:val="none"/>
                <w:lang w:val="en-US" w:eastAsia="zh-CN" w:bidi="ar"/>
              </w:rPr>
              <w:t>2</w:t>
            </w:r>
            <w:r>
              <w:rPr>
                <w:rFonts w:hint="eastAsia" w:ascii="宋体" w:hAnsi="宋体" w:eastAsia="宋体" w:cs="宋体"/>
                <w:i w:val="0"/>
                <w:iCs w:val="0"/>
                <w:color w:val="auto"/>
                <w:kern w:val="0"/>
                <w:sz w:val="21"/>
                <w:szCs w:val="21"/>
                <w:highlight w:val="none"/>
                <w:u w:val="none"/>
                <w:lang w:val="en-US" w:eastAsia="zh-CN" w:bidi="ar"/>
              </w:rPr>
              <w:t>#取水井</w:t>
            </w:r>
          </w:p>
        </w:tc>
      </w:tr>
      <w:tr w14:paraId="5C77A48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372" w:type="pct"/>
            <w:tcBorders>
              <w:tl2br w:val="nil"/>
              <w:tr2bl w:val="nil"/>
            </w:tcBorders>
            <w:shd w:val="clear" w:color="auto" w:fill="auto"/>
            <w:vAlign w:val="center"/>
          </w:tcPr>
          <w:p w14:paraId="26616B41">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pH</w:t>
            </w:r>
            <w:r>
              <w:rPr>
                <w:rFonts w:hint="eastAsia" w:ascii="宋体" w:hAnsi="宋体" w:eastAsia="宋体" w:cs="宋体"/>
                <w:color w:val="auto"/>
                <w:sz w:val="21"/>
                <w:szCs w:val="21"/>
                <w:highlight w:val="none"/>
                <w:u w:val="none"/>
                <w:lang w:val="en-US" w:eastAsia="zh-CN" w:bidi="ar"/>
              </w:rPr>
              <w:t>（无量纲）</w:t>
            </w:r>
          </w:p>
        </w:tc>
        <w:tc>
          <w:tcPr>
            <w:tcW w:w="281" w:type="pct"/>
            <w:tcBorders>
              <w:tl2br w:val="nil"/>
              <w:tr2bl w:val="nil"/>
            </w:tcBorders>
            <w:shd w:val="clear" w:color="auto" w:fill="auto"/>
            <w:noWrap/>
            <w:vAlign w:val="center"/>
          </w:tcPr>
          <w:p w14:paraId="4AEE03FE">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0.067</w:t>
            </w:r>
          </w:p>
        </w:tc>
        <w:tc>
          <w:tcPr>
            <w:tcW w:w="309" w:type="pct"/>
            <w:tcBorders>
              <w:tl2br w:val="nil"/>
              <w:tr2bl w:val="nil"/>
            </w:tcBorders>
            <w:shd w:val="clear" w:color="auto" w:fill="auto"/>
            <w:noWrap/>
            <w:vAlign w:val="center"/>
          </w:tcPr>
          <w:p w14:paraId="3949FFF3">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0.133</w:t>
            </w:r>
          </w:p>
        </w:tc>
        <w:tc>
          <w:tcPr>
            <w:tcW w:w="307" w:type="pct"/>
            <w:tcBorders>
              <w:tl2br w:val="nil"/>
              <w:tr2bl w:val="nil"/>
            </w:tcBorders>
            <w:shd w:val="clear" w:color="auto" w:fill="auto"/>
            <w:noWrap/>
            <w:vAlign w:val="center"/>
          </w:tcPr>
          <w:p w14:paraId="4CF3F63C">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0.200</w:t>
            </w:r>
          </w:p>
        </w:tc>
        <w:tc>
          <w:tcPr>
            <w:tcW w:w="310" w:type="pct"/>
            <w:tcBorders>
              <w:tl2br w:val="nil"/>
              <w:tr2bl w:val="nil"/>
            </w:tcBorders>
            <w:shd w:val="clear" w:color="auto" w:fill="auto"/>
            <w:noWrap/>
            <w:vAlign w:val="center"/>
          </w:tcPr>
          <w:p w14:paraId="7084A9D0">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0.200</w:t>
            </w:r>
          </w:p>
        </w:tc>
        <w:tc>
          <w:tcPr>
            <w:tcW w:w="330" w:type="pct"/>
            <w:tcBorders>
              <w:tl2br w:val="nil"/>
              <w:tr2bl w:val="nil"/>
            </w:tcBorders>
            <w:shd w:val="clear" w:color="auto" w:fill="auto"/>
            <w:noWrap/>
            <w:vAlign w:val="center"/>
          </w:tcPr>
          <w:p w14:paraId="3B860AC0">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0.200</w:t>
            </w:r>
          </w:p>
        </w:tc>
        <w:tc>
          <w:tcPr>
            <w:tcW w:w="290" w:type="pct"/>
            <w:tcBorders>
              <w:tl2br w:val="nil"/>
              <w:tr2bl w:val="nil"/>
            </w:tcBorders>
            <w:shd w:val="clear" w:color="auto" w:fill="auto"/>
            <w:noWrap/>
            <w:vAlign w:val="center"/>
          </w:tcPr>
          <w:p w14:paraId="46EC68BB">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0.200</w:t>
            </w:r>
          </w:p>
        </w:tc>
        <w:tc>
          <w:tcPr>
            <w:tcW w:w="310" w:type="pct"/>
            <w:tcBorders>
              <w:tl2br w:val="nil"/>
              <w:tr2bl w:val="nil"/>
            </w:tcBorders>
            <w:shd w:val="clear" w:color="auto" w:fill="auto"/>
            <w:noWrap/>
            <w:vAlign w:val="center"/>
          </w:tcPr>
          <w:p w14:paraId="2E63C09D">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0.400</w:t>
            </w:r>
          </w:p>
        </w:tc>
        <w:tc>
          <w:tcPr>
            <w:tcW w:w="310" w:type="pct"/>
            <w:tcBorders>
              <w:tl2br w:val="nil"/>
              <w:tr2bl w:val="nil"/>
            </w:tcBorders>
            <w:shd w:val="clear" w:color="auto" w:fill="auto"/>
            <w:noWrap/>
            <w:vAlign w:val="center"/>
          </w:tcPr>
          <w:p w14:paraId="383167E9">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0.200</w:t>
            </w:r>
          </w:p>
        </w:tc>
        <w:tc>
          <w:tcPr>
            <w:tcW w:w="310" w:type="pct"/>
            <w:tcBorders>
              <w:tl2br w:val="nil"/>
              <w:tr2bl w:val="nil"/>
            </w:tcBorders>
            <w:shd w:val="clear" w:color="auto" w:fill="auto"/>
            <w:noWrap/>
            <w:vAlign w:val="center"/>
          </w:tcPr>
          <w:p w14:paraId="0A17E066">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w:t>
            </w:r>
          </w:p>
        </w:tc>
        <w:tc>
          <w:tcPr>
            <w:tcW w:w="310" w:type="pct"/>
            <w:tcBorders>
              <w:tl2br w:val="nil"/>
              <w:tr2bl w:val="nil"/>
            </w:tcBorders>
            <w:shd w:val="clear" w:color="auto" w:fill="auto"/>
            <w:noWrap/>
            <w:vAlign w:val="center"/>
          </w:tcPr>
          <w:p w14:paraId="575CF55C">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w:t>
            </w:r>
          </w:p>
        </w:tc>
        <w:tc>
          <w:tcPr>
            <w:tcW w:w="310" w:type="pct"/>
            <w:tcBorders>
              <w:tl2br w:val="nil"/>
              <w:tr2bl w:val="nil"/>
            </w:tcBorders>
            <w:shd w:val="clear" w:color="auto" w:fill="auto"/>
            <w:noWrap/>
            <w:vAlign w:val="center"/>
          </w:tcPr>
          <w:p w14:paraId="2A8B7F4D">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0.200</w:t>
            </w:r>
          </w:p>
        </w:tc>
        <w:tc>
          <w:tcPr>
            <w:tcW w:w="310" w:type="pct"/>
            <w:tcBorders>
              <w:tl2br w:val="nil"/>
              <w:tr2bl w:val="nil"/>
            </w:tcBorders>
            <w:shd w:val="clear" w:color="auto" w:fill="auto"/>
            <w:noWrap/>
            <w:vAlign w:val="center"/>
          </w:tcPr>
          <w:p w14:paraId="44435A09">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0.133</w:t>
            </w:r>
          </w:p>
        </w:tc>
        <w:tc>
          <w:tcPr>
            <w:tcW w:w="310" w:type="pct"/>
            <w:tcBorders>
              <w:tl2br w:val="nil"/>
              <w:tr2bl w:val="nil"/>
            </w:tcBorders>
            <w:shd w:val="clear" w:color="auto" w:fill="auto"/>
            <w:noWrap/>
            <w:vAlign w:val="center"/>
          </w:tcPr>
          <w:p w14:paraId="5E3B5196">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w:t>
            </w:r>
          </w:p>
        </w:tc>
        <w:tc>
          <w:tcPr>
            <w:tcW w:w="315" w:type="pct"/>
            <w:tcBorders>
              <w:tl2br w:val="nil"/>
              <w:tr2bl w:val="nil"/>
            </w:tcBorders>
            <w:shd w:val="clear" w:color="auto" w:fill="auto"/>
            <w:noWrap/>
            <w:vAlign w:val="center"/>
          </w:tcPr>
          <w:p w14:paraId="1B6C7696">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0.067</w:t>
            </w:r>
          </w:p>
        </w:tc>
        <w:tc>
          <w:tcPr>
            <w:tcW w:w="310" w:type="pct"/>
            <w:tcBorders>
              <w:tl2br w:val="nil"/>
              <w:tr2bl w:val="nil"/>
            </w:tcBorders>
            <w:shd w:val="clear" w:color="auto" w:fill="auto"/>
            <w:noWrap/>
            <w:vAlign w:val="center"/>
          </w:tcPr>
          <w:p w14:paraId="44B5DFE3">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w:t>
            </w:r>
          </w:p>
        </w:tc>
      </w:tr>
      <w:tr w14:paraId="36BCDBA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1569" w:type="dxa"/>
            <w:tcBorders>
              <w:tl2br w:val="nil"/>
              <w:tr2bl w:val="nil"/>
            </w:tcBorders>
            <w:shd w:val="clear" w:color="auto" w:fill="auto"/>
            <w:vAlign w:val="center"/>
          </w:tcPr>
          <w:p w14:paraId="514D46ED">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色度（度）</w:t>
            </w:r>
          </w:p>
        </w:tc>
        <w:tc>
          <w:tcPr>
            <w:tcW w:w="1185" w:type="dxa"/>
            <w:tcBorders>
              <w:tl2br w:val="nil"/>
              <w:tr2bl w:val="nil"/>
            </w:tcBorders>
            <w:shd w:val="clear" w:color="auto" w:fill="auto"/>
            <w:noWrap/>
            <w:vAlign w:val="center"/>
          </w:tcPr>
          <w:p w14:paraId="470C8FAD">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303" w:type="dxa"/>
            <w:tcBorders>
              <w:tl2br w:val="nil"/>
              <w:tr2bl w:val="nil"/>
            </w:tcBorders>
            <w:shd w:val="clear" w:color="auto" w:fill="auto"/>
            <w:noWrap/>
            <w:vAlign w:val="center"/>
          </w:tcPr>
          <w:p w14:paraId="4C5BBC16">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294" w:type="dxa"/>
            <w:tcBorders>
              <w:tl2br w:val="nil"/>
              <w:tr2bl w:val="nil"/>
            </w:tcBorders>
            <w:shd w:val="clear" w:color="auto" w:fill="auto"/>
            <w:noWrap/>
            <w:vAlign w:val="center"/>
          </w:tcPr>
          <w:p w14:paraId="5827BE2A">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307" w:type="dxa"/>
            <w:tcBorders>
              <w:tl2br w:val="nil"/>
              <w:tr2bl w:val="nil"/>
            </w:tcBorders>
            <w:shd w:val="clear" w:color="auto" w:fill="auto"/>
            <w:noWrap/>
            <w:vAlign w:val="center"/>
          </w:tcPr>
          <w:p w14:paraId="1E964C5C">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391" w:type="dxa"/>
            <w:tcBorders>
              <w:tl2br w:val="nil"/>
              <w:tr2bl w:val="nil"/>
            </w:tcBorders>
            <w:shd w:val="clear" w:color="auto" w:fill="auto"/>
            <w:noWrap/>
            <w:vAlign w:val="center"/>
          </w:tcPr>
          <w:p w14:paraId="6A31A87D">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223" w:type="dxa"/>
            <w:tcBorders>
              <w:tl2br w:val="nil"/>
              <w:tr2bl w:val="nil"/>
            </w:tcBorders>
            <w:shd w:val="clear" w:color="auto" w:fill="auto"/>
            <w:noWrap/>
            <w:vAlign w:val="center"/>
          </w:tcPr>
          <w:p w14:paraId="79275F48">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307" w:type="dxa"/>
            <w:tcBorders>
              <w:tl2br w:val="nil"/>
              <w:tr2bl w:val="nil"/>
            </w:tcBorders>
            <w:shd w:val="clear" w:color="auto" w:fill="auto"/>
            <w:noWrap/>
            <w:vAlign w:val="center"/>
          </w:tcPr>
          <w:p w14:paraId="17347BC1">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307" w:type="dxa"/>
            <w:tcBorders>
              <w:tl2br w:val="nil"/>
              <w:tr2bl w:val="nil"/>
            </w:tcBorders>
            <w:shd w:val="clear" w:color="auto" w:fill="auto"/>
            <w:noWrap/>
            <w:vAlign w:val="center"/>
          </w:tcPr>
          <w:p w14:paraId="5EBEF9A6">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307" w:type="dxa"/>
            <w:tcBorders>
              <w:tl2br w:val="nil"/>
              <w:tr2bl w:val="nil"/>
            </w:tcBorders>
            <w:shd w:val="clear" w:color="auto" w:fill="auto"/>
            <w:noWrap/>
            <w:vAlign w:val="center"/>
          </w:tcPr>
          <w:p w14:paraId="2C6745B8">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307" w:type="dxa"/>
            <w:tcBorders>
              <w:tl2br w:val="nil"/>
              <w:tr2bl w:val="nil"/>
            </w:tcBorders>
            <w:shd w:val="clear" w:color="auto" w:fill="auto"/>
            <w:noWrap/>
            <w:vAlign w:val="center"/>
          </w:tcPr>
          <w:p w14:paraId="413152D4">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307" w:type="dxa"/>
            <w:tcBorders>
              <w:tl2br w:val="nil"/>
              <w:tr2bl w:val="nil"/>
            </w:tcBorders>
            <w:shd w:val="clear" w:color="auto" w:fill="auto"/>
            <w:noWrap/>
            <w:vAlign w:val="center"/>
          </w:tcPr>
          <w:p w14:paraId="723611AD">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307" w:type="dxa"/>
            <w:tcBorders>
              <w:tl2br w:val="nil"/>
              <w:tr2bl w:val="nil"/>
            </w:tcBorders>
            <w:shd w:val="clear" w:color="auto" w:fill="auto"/>
            <w:noWrap/>
            <w:vAlign w:val="center"/>
          </w:tcPr>
          <w:p w14:paraId="656A7CF9">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307" w:type="dxa"/>
            <w:tcBorders>
              <w:tl2br w:val="nil"/>
              <w:tr2bl w:val="nil"/>
            </w:tcBorders>
            <w:shd w:val="clear" w:color="auto" w:fill="auto"/>
            <w:noWrap/>
            <w:vAlign w:val="center"/>
          </w:tcPr>
          <w:p w14:paraId="30F15F95">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329" w:type="dxa"/>
            <w:tcBorders>
              <w:tl2br w:val="nil"/>
              <w:tr2bl w:val="nil"/>
            </w:tcBorders>
            <w:shd w:val="clear" w:color="auto" w:fill="auto"/>
            <w:noWrap/>
            <w:vAlign w:val="center"/>
          </w:tcPr>
          <w:p w14:paraId="7D5D2563">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308" w:type="dxa"/>
            <w:tcBorders>
              <w:tl2br w:val="nil"/>
              <w:tr2bl w:val="nil"/>
            </w:tcBorders>
            <w:shd w:val="clear" w:color="auto" w:fill="auto"/>
            <w:noWrap/>
            <w:vAlign w:val="center"/>
          </w:tcPr>
          <w:p w14:paraId="2DAB1808">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r>
      <w:tr w14:paraId="0810DC9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372" w:type="pct"/>
            <w:tcBorders>
              <w:tl2br w:val="nil"/>
              <w:tr2bl w:val="nil"/>
            </w:tcBorders>
            <w:shd w:val="clear" w:color="auto" w:fill="auto"/>
            <w:vAlign w:val="center"/>
          </w:tcPr>
          <w:p w14:paraId="069EB10C">
            <w:pPr>
              <w:keepNext w:val="0"/>
              <w:keepLines w:val="0"/>
              <w:widowControl/>
              <w:suppressLineNumbers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浑浊度（</w:t>
            </w:r>
            <w:r>
              <w:rPr>
                <w:rFonts w:hint="default" w:ascii="Times New Roman" w:hAnsi="Times New Roman" w:eastAsia="宋体" w:cs="Times New Roman"/>
                <w:color w:val="auto"/>
                <w:sz w:val="21"/>
                <w:szCs w:val="21"/>
                <w:highlight w:val="none"/>
                <w:u w:val="none"/>
                <w:lang w:val="en-US" w:eastAsia="zh-CN" w:bidi="ar"/>
              </w:rPr>
              <w:t>NTU</w:t>
            </w:r>
            <w:r>
              <w:rPr>
                <w:rFonts w:hint="eastAsia" w:ascii="宋体" w:hAnsi="宋体" w:eastAsia="宋体" w:cs="宋体"/>
                <w:color w:val="auto"/>
                <w:sz w:val="21"/>
                <w:szCs w:val="21"/>
                <w:highlight w:val="none"/>
                <w:u w:val="none"/>
                <w:lang w:val="en-US" w:eastAsia="zh-CN" w:bidi="ar"/>
              </w:rPr>
              <w:t>）</w:t>
            </w:r>
          </w:p>
        </w:tc>
        <w:tc>
          <w:tcPr>
            <w:tcW w:w="281" w:type="pct"/>
            <w:tcBorders>
              <w:tl2br w:val="nil"/>
              <w:tr2bl w:val="nil"/>
            </w:tcBorders>
            <w:shd w:val="clear" w:color="auto" w:fill="auto"/>
            <w:noWrap/>
            <w:vAlign w:val="center"/>
          </w:tcPr>
          <w:p w14:paraId="5A154D8C">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0.550</w:t>
            </w:r>
          </w:p>
        </w:tc>
        <w:tc>
          <w:tcPr>
            <w:tcW w:w="309" w:type="pct"/>
            <w:tcBorders>
              <w:tl2br w:val="nil"/>
              <w:tr2bl w:val="nil"/>
            </w:tcBorders>
            <w:shd w:val="clear" w:color="auto" w:fill="auto"/>
            <w:noWrap/>
            <w:vAlign w:val="center"/>
          </w:tcPr>
          <w:p w14:paraId="367BE797">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0.617</w:t>
            </w:r>
          </w:p>
        </w:tc>
        <w:tc>
          <w:tcPr>
            <w:tcW w:w="307" w:type="pct"/>
            <w:tcBorders>
              <w:tl2br w:val="nil"/>
              <w:tr2bl w:val="nil"/>
            </w:tcBorders>
            <w:shd w:val="clear" w:color="auto" w:fill="auto"/>
            <w:noWrap/>
            <w:vAlign w:val="center"/>
          </w:tcPr>
          <w:p w14:paraId="64A217E2">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0.823</w:t>
            </w:r>
          </w:p>
        </w:tc>
        <w:tc>
          <w:tcPr>
            <w:tcW w:w="310" w:type="pct"/>
            <w:tcBorders>
              <w:tl2br w:val="nil"/>
              <w:tr2bl w:val="nil"/>
            </w:tcBorders>
            <w:shd w:val="clear" w:color="auto" w:fill="auto"/>
            <w:noWrap/>
            <w:vAlign w:val="center"/>
          </w:tcPr>
          <w:p w14:paraId="0CCB9391">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0.767</w:t>
            </w:r>
          </w:p>
        </w:tc>
        <w:tc>
          <w:tcPr>
            <w:tcW w:w="330" w:type="pct"/>
            <w:tcBorders>
              <w:tl2br w:val="nil"/>
              <w:tr2bl w:val="nil"/>
            </w:tcBorders>
            <w:shd w:val="clear" w:color="auto" w:fill="auto"/>
            <w:noWrap/>
            <w:vAlign w:val="center"/>
          </w:tcPr>
          <w:p w14:paraId="7A96B47B">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0.953</w:t>
            </w:r>
          </w:p>
        </w:tc>
        <w:tc>
          <w:tcPr>
            <w:tcW w:w="290" w:type="pct"/>
            <w:tcBorders>
              <w:tl2br w:val="nil"/>
              <w:tr2bl w:val="nil"/>
            </w:tcBorders>
            <w:shd w:val="clear" w:color="auto" w:fill="auto"/>
            <w:noWrap/>
            <w:vAlign w:val="center"/>
          </w:tcPr>
          <w:p w14:paraId="587FB70B">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0.403</w:t>
            </w:r>
          </w:p>
        </w:tc>
        <w:tc>
          <w:tcPr>
            <w:tcW w:w="310" w:type="pct"/>
            <w:tcBorders>
              <w:tl2br w:val="nil"/>
              <w:tr2bl w:val="nil"/>
            </w:tcBorders>
            <w:shd w:val="clear" w:color="auto" w:fill="auto"/>
            <w:noWrap/>
            <w:vAlign w:val="center"/>
          </w:tcPr>
          <w:p w14:paraId="100B0B19">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0.443</w:t>
            </w:r>
          </w:p>
        </w:tc>
        <w:tc>
          <w:tcPr>
            <w:tcW w:w="310" w:type="pct"/>
            <w:tcBorders>
              <w:tl2br w:val="nil"/>
              <w:tr2bl w:val="nil"/>
            </w:tcBorders>
            <w:shd w:val="clear" w:color="auto" w:fill="auto"/>
            <w:noWrap/>
            <w:vAlign w:val="center"/>
          </w:tcPr>
          <w:p w14:paraId="69E5E066">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0.350</w:t>
            </w:r>
          </w:p>
        </w:tc>
        <w:tc>
          <w:tcPr>
            <w:tcW w:w="310" w:type="pct"/>
            <w:tcBorders>
              <w:tl2br w:val="nil"/>
              <w:tr2bl w:val="nil"/>
            </w:tcBorders>
            <w:shd w:val="clear" w:color="auto" w:fill="auto"/>
            <w:noWrap/>
            <w:vAlign w:val="center"/>
          </w:tcPr>
          <w:p w14:paraId="623D613C">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0.840</w:t>
            </w:r>
          </w:p>
        </w:tc>
        <w:tc>
          <w:tcPr>
            <w:tcW w:w="310" w:type="pct"/>
            <w:tcBorders>
              <w:tl2br w:val="nil"/>
              <w:tr2bl w:val="nil"/>
            </w:tcBorders>
            <w:shd w:val="clear" w:color="auto" w:fill="auto"/>
            <w:noWrap/>
            <w:vAlign w:val="center"/>
          </w:tcPr>
          <w:p w14:paraId="65E53062">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0.373</w:t>
            </w:r>
          </w:p>
        </w:tc>
        <w:tc>
          <w:tcPr>
            <w:tcW w:w="310" w:type="pct"/>
            <w:tcBorders>
              <w:tl2br w:val="nil"/>
              <w:tr2bl w:val="nil"/>
            </w:tcBorders>
            <w:shd w:val="clear" w:color="auto" w:fill="auto"/>
            <w:noWrap/>
            <w:vAlign w:val="center"/>
          </w:tcPr>
          <w:p w14:paraId="566EE94D">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0.600</w:t>
            </w:r>
          </w:p>
        </w:tc>
        <w:tc>
          <w:tcPr>
            <w:tcW w:w="310" w:type="pct"/>
            <w:tcBorders>
              <w:tl2br w:val="nil"/>
              <w:tr2bl w:val="nil"/>
            </w:tcBorders>
            <w:shd w:val="clear" w:color="auto" w:fill="auto"/>
            <w:noWrap/>
            <w:vAlign w:val="center"/>
          </w:tcPr>
          <w:p w14:paraId="33166DAB">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0.773</w:t>
            </w:r>
          </w:p>
        </w:tc>
        <w:tc>
          <w:tcPr>
            <w:tcW w:w="310" w:type="pct"/>
            <w:tcBorders>
              <w:tl2br w:val="nil"/>
              <w:tr2bl w:val="nil"/>
            </w:tcBorders>
            <w:shd w:val="clear" w:color="auto" w:fill="auto"/>
            <w:noWrap/>
            <w:vAlign w:val="center"/>
          </w:tcPr>
          <w:p w14:paraId="5393874E">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0.950</w:t>
            </w:r>
          </w:p>
        </w:tc>
        <w:tc>
          <w:tcPr>
            <w:tcW w:w="315" w:type="pct"/>
            <w:tcBorders>
              <w:tl2br w:val="nil"/>
              <w:tr2bl w:val="nil"/>
            </w:tcBorders>
            <w:shd w:val="clear" w:color="auto" w:fill="auto"/>
            <w:noWrap/>
            <w:vAlign w:val="center"/>
          </w:tcPr>
          <w:p w14:paraId="65729245">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0.483</w:t>
            </w:r>
          </w:p>
        </w:tc>
        <w:tc>
          <w:tcPr>
            <w:tcW w:w="310" w:type="pct"/>
            <w:tcBorders>
              <w:tl2br w:val="nil"/>
              <w:tr2bl w:val="nil"/>
            </w:tcBorders>
            <w:shd w:val="clear" w:color="auto" w:fill="auto"/>
            <w:noWrap/>
            <w:vAlign w:val="center"/>
          </w:tcPr>
          <w:p w14:paraId="60F689C1">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0.543</w:t>
            </w:r>
          </w:p>
        </w:tc>
      </w:tr>
      <w:tr w14:paraId="7001C2A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372" w:type="pct"/>
            <w:tcBorders>
              <w:tl2br w:val="nil"/>
              <w:tr2bl w:val="nil"/>
            </w:tcBorders>
            <w:shd w:val="clear" w:color="auto" w:fill="auto"/>
            <w:vAlign w:val="center"/>
          </w:tcPr>
          <w:p w14:paraId="15152536">
            <w:pPr>
              <w:keepNext w:val="0"/>
              <w:keepLines w:val="0"/>
              <w:widowControl/>
              <w:suppressLineNumbers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硫酸盐（</w:t>
            </w:r>
            <w:r>
              <w:rPr>
                <w:rFonts w:hint="default" w:ascii="Times New Roman" w:hAnsi="Times New Roman" w:eastAsia="宋体" w:cs="Times New Roman"/>
                <w:color w:val="auto"/>
                <w:sz w:val="21"/>
                <w:szCs w:val="21"/>
                <w:highlight w:val="none"/>
                <w:u w:val="none"/>
                <w:lang w:val="en-US" w:eastAsia="zh-CN" w:bidi="ar"/>
              </w:rPr>
              <w:t>mg/L</w:t>
            </w:r>
            <w:r>
              <w:rPr>
                <w:rFonts w:hint="eastAsia" w:ascii="宋体" w:hAnsi="宋体" w:eastAsia="宋体" w:cs="宋体"/>
                <w:color w:val="auto"/>
                <w:sz w:val="21"/>
                <w:szCs w:val="21"/>
                <w:highlight w:val="none"/>
                <w:u w:val="none"/>
                <w:lang w:val="en-US" w:eastAsia="zh-CN" w:bidi="ar"/>
              </w:rPr>
              <w:t>）</w:t>
            </w:r>
          </w:p>
        </w:tc>
        <w:tc>
          <w:tcPr>
            <w:tcW w:w="281" w:type="pct"/>
            <w:tcBorders>
              <w:tl2br w:val="nil"/>
              <w:tr2bl w:val="nil"/>
            </w:tcBorders>
            <w:shd w:val="clear" w:color="auto" w:fill="auto"/>
            <w:noWrap/>
            <w:vAlign w:val="center"/>
          </w:tcPr>
          <w:p w14:paraId="0B06AE03">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09" w:type="pct"/>
            <w:tcBorders>
              <w:tl2br w:val="nil"/>
              <w:tr2bl w:val="nil"/>
            </w:tcBorders>
            <w:shd w:val="clear" w:color="auto" w:fill="auto"/>
            <w:noWrap/>
            <w:vAlign w:val="center"/>
          </w:tcPr>
          <w:p w14:paraId="2D6654A4">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0.033</w:t>
            </w:r>
          </w:p>
        </w:tc>
        <w:tc>
          <w:tcPr>
            <w:tcW w:w="307" w:type="pct"/>
            <w:tcBorders>
              <w:tl2br w:val="nil"/>
              <w:tr2bl w:val="nil"/>
            </w:tcBorders>
            <w:shd w:val="clear" w:color="auto" w:fill="auto"/>
            <w:noWrap/>
            <w:vAlign w:val="center"/>
          </w:tcPr>
          <w:p w14:paraId="4062F5FF">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10" w:type="pct"/>
            <w:tcBorders>
              <w:tl2br w:val="nil"/>
              <w:tr2bl w:val="nil"/>
            </w:tcBorders>
            <w:shd w:val="clear" w:color="auto" w:fill="auto"/>
            <w:noWrap/>
            <w:vAlign w:val="center"/>
          </w:tcPr>
          <w:p w14:paraId="5E1233A6">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30" w:type="pct"/>
            <w:tcBorders>
              <w:tl2br w:val="nil"/>
              <w:tr2bl w:val="nil"/>
            </w:tcBorders>
            <w:shd w:val="clear" w:color="auto" w:fill="auto"/>
            <w:noWrap/>
            <w:vAlign w:val="center"/>
          </w:tcPr>
          <w:p w14:paraId="65E3B9B6">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290" w:type="pct"/>
            <w:tcBorders>
              <w:tl2br w:val="nil"/>
              <w:tr2bl w:val="nil"/>
            </w:tcBorders>
            <w:shd w:val="clear" w:color="auto" w:fill="auto"/>
            <w:noWrap/>
            <w:vAlign w:val="center"/>
          </w:tcPr>
          <w:p w14:paraId="5C46B89C">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10" w:type="pct"/>
            <w:tcBorders>
              <w:tl2br w:val="nil"/>
              <w:tr2bl w:val="nil"/>
            </w:tcBorders>
            <w:shd w:val="clear" w:color="auto" w:fill="auto"/>
            <w:noWrap/>
            <w:vAlign w:val="center"/>
          </w:tcPr>
          <w:p w14:paraId="4779F5D7">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0.156</w:t>
            </w:r>
          </w:p>
        </w:tc>
        <w:tc>
          <w:tcPr>
            <w:tcW w:w="310" w:type="pct"/>
            <w:tcBorders>
              <w:tl2br w:val="nil"/>
              <w:tr2bl w:val="nil"/>
            </w:tcBorders>
            <w:shd w:val="clear" w:color="auto" w:fill="auto"/>
            <w:noWrap/>
            <w:vAlign w:val="center"/>
          </w:tcPr>
          <w:p w14:paraId="6D4EDD19">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10" w:type="pct"/>
            <w:tcBorders>
              <w:tl2br w:val="nil"/>
              <w:tr2bl w:val="nil"/>
            </w:tcBorders>
            <w:shd w:val="clear" w:color="auto" w:fill="auto"/>
            <w:noWrap/>
            <w:vAlign w:val="center"/>
          </w:tcPr>
          <w:p w14:paraId="07C09343">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10" w:type="pct"/>
            <w:tcBorders>
              <w:tl2br w:val="nil"/>
              <w:tr2bl w:val="nil"/>
            </w:tcBorders>
            <w:shd w:val="clear" w:color="auto" w:fill="auto"/>
            <w:noWrap/>
            <w:vAlign w:val="center"/>
          </w:tcPr>
          <w:p w14:paraId="74875AAE">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10" w:type="pct"/>
            <w:tcBorders>
              <w:tl2br w:val="nil"/>
              <w:tr2bl w:val="nil"/>
            </w:tcBorders>
            <w:shd w:val="clear" w:color="auto" w:fill="auto"/>
            <w:noWrap/>
            <w:vAlign w:val="center"/>
          </w:tcPr>
          <w:p w14:paraId="01DD6652">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10" w:type="pct"/>
            <w:tcBorders>
              <w:tl2br w:val="nil"/>
              <w:tr2bl w:val="nil"/>
            </w:tcBorders>
            <w:shd w:val="clear" w:color="auto" w:fill="auto"/>
            <w:noWrap/>
            <w:vAlign w:val="center"/>
          </w:tcPr>
          <w:p w14:paraId="0B64130C">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10" w:type="pct"/>
            <w:tcBorders>
              <w:tl2br w:val="nil"/>
              <w:tr2bl w:val="nil"/>
            </w:tcBorders>
            <w:shd w:val="clear" w:color="auto" w:fill="auto"/>
            <w:noWrap/>
            <w:vAlign w:val="center"/>
          </w:tcPr>
          <w:p w14:paraId="1C488C3F">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15" w:type="pct"/>
            <w:tcBorders>
              <w:tl2br w:val="nil"/>
              <w:tr2bl w:val="nil"/>
            </w:tcBorders>
            <w:shd w:val="clear" w:color="auto" w:fill="auto"/>
            <w:noWrap/>
            <w:vAlign w:val="center"/>
          </w:tcPr>
          <w:p w14:paraId="0652AE0A">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0.184</w:t>
            </w:r>
          </w:p>
        </w:tc>
        <w:tc>
          <w:tcPr>
            <w:tcW w:w="310" w:type="pct"/>
            <w:tcBorders>
              <w:tl2br w:val="nil"/>
              <w:tr2bl w:val="nil"/>
            </w:tcBorders>
            <w:shd w:val="clear" w:color="auto" w:fill="auto"/>
            <w:noWrap/>
            <w:vAlign w:val="center"/>
          </w:tcPr>
          <w:p w14:paraId="4F8056E0">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0.154</w:t>
            </w:r>
          </w:p>
        </w:tc>
      </w:tr>
      <w:tr w14:paraId="0DFA54B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372" w:type="pct"/>
            <w:tcBorders>
              <w:tl2br w:val="nil"/>
              <w:tr2bl w:val="nil"/>
            </w:tcBorders>
            <w:shd w:val="clear" w:color="auto" w:fill="auto"/>
            <w:vAlign w:val="center"/>
          </w:tcPr>
          <w:p w14:paraId="0C12018D">
            <w:pPr>
              <w:keepNext w:val="0"/>
              <w:keepLines w:val="0"/>
              <w:widowControl/>
              <w:suppressLineNumbers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氯化物（</w:t>
            </w:r>
            <w:r>
              <w:rPr>
                <w:rFonts w:hint="default" w:ascii="Times New Roman" w:hAnsi="Times New Roman" w:eastAsia="宋体" w:cs="Times New Roman"/>
                <w:color w:val="auto"/>
                <w:sz w:val="21"/>
                <w:szCs w:val="21"/>
                <w:highlight w:val="none"/>
                <w:u w:val="none"/>
                <w:lang w:val="en-US" w:eastAsia="zh-CN" w:bidi="ar"/>
              </w:rPr>
              <w:t>mg/L</w:t>
            </w:r>
            <w:r>
              <w:rPr>
                <w:rFonts w:hint="eastAsia" w:ascii="宋体" w:hAnsi="宋体" w:eastAsia="宋体" w:cs="宋体"/>
                <w:color w:val="auto"/>
                <w:sz w:val="21"/>
                <w:szCs w:val="21"/>
                <w:highlight w:val="none"/>
                <w:u w:val="none"/>
                <w:lang w:val="en-US" w:eastAsia="zh-CN" w:bidi="ar"/>
              </w:rPr>
              <w:t>）</w:t>
            </w:r>
          </w:p>
        </w:tc>
        <w:tc>
          <w:tcPr>
            <w:tcW w:w="281" w:type="pct"/>
            <w:tcBorders>
              <w:tl2br w:val="nil"/>
              <w:tr2bl w:val="nil"/>
            </w:tcBorders>
            <w:shd w:val="clear" w:color="auto" w:fill="auto"/>
            <w:noWrap/>
            <w:vAlign w:val="center"/>
          </w:tcPr>
          <w:p w14:paraId="405E11FA">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0.012</w:t>
            </w:r>
          </w:p>
        </w:tc>
        <w:tc>
          <w:tcPr>
            <w:tcW w:w="309" w:type="pct"/>
            <w:tcBorders>
              <w:tl2br w:val="nil"/>
              <w:tr2bl w:val="nil"/>
            </w:tcBorders>
            <w:shd w:val="clear" w:color="auto" w:fill="auto"/>
            <w:noWrap/>
            <w:vAlign w:val="center"/>
          </w:tcPr>
          <w:p w14:paraId="0E34F5C7">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0.028</w:t>
            </w:r>
          </w:p>
        </w:tc>
        <w:tc>
          <w:tcPr>
            <w:tcW w:w="307" w:type="pct"/>
            <w:tcBorders>
              <w:tl2br w:val="nil"/>
              <w:tr2bl w:val="nil"/>
            </w:tcBorders>
            <w:shd w:val="clear" w:color="auto" w:fill="auto"/>
            <w:noWrap/>
            <w:vAlign w:val="center"/>
          </w:tcPr>
          <w:p w14:paraId="1B23C4F8">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0.010</w:t>
            </w:r>
          </w:p>
        </w:tc>
        <w:tc>
          <w:tcPr>
            <w:tcW w:w="310" w:type="pct"/>
            <w:tcBorders>
              <w:tl2br w:val="nil"/>
              <w:tr2bl w:val="nil"/>
            </w:tcBorders>
            <w:shd w:val="clear" w:color="auto" w:fill="auto"/>
            <w:noWrap/>
            <w:vAlign w:val="center"/>
          </w:tcPr>
          <w:p w14:paraId="2D6B4F1F">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0.010</w:t>
            </w:r>
          </w:p>
        </w:tc>
        <w:tc>
          <w:tcPr>
            <w:tcW w:w="330" w:type="pct"/>
            <w:tcBorders>
              <w:tl2br w:val="nil"/>
              <w:tr2bl w:val="nil"/>
            </w:tcBorders>
            <w:shd w:val="clear" w:color="auto" w:fill="auto"/>
            <w:noWrap/>
            <w:vAlign w:val="center"/>
          </w:tcPr>
          <w:p w14:paraId="12774397">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0.008</w:t>
            </w:r>
          </w:p>
        </w:tc>
        <w:tc>
          <w:tcPr>
            <w:tcW w:w="290" w:type="pct"/>
            <w:tcBorders>
              <w:tl2br w:val="nil"/>
              <w:tr2bl w:val="nil"/>
            </w:tcBorders>
            <w:shd w:val="clear" w:color="auto" w:fill="auto"/>
            <w:noWrap/>
            <w:vAlign w:val="center"/>
          </w:tcPr>
          <w:p w14:paraId="5D136B01">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0.028</w:t>
            </w:r>
          </w:p>
        </w:tc>
        <w:tc>
          <w:tcPr>
            <w:tcW w:w="310" w:type="pct"/>
            <w:tcBorders>
              <w:tl2br w:val="nil"/>
              <w:tr2bl w:val="nil"/>
            </w:tcBorders>
            <w:shd w:val="clear" w:color="auto" w:fill="auto"/>
            <w:noWrap/>
            <w:vAlign w:val="center"/>
          </w:tcPr>
          <w:p w14:paraId="35DEF0F5">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0.088</w:t>
            </w:r>
          </w:p>
        </w:tc>
        <w:tc>
          <w:tcPr>
            <w:tcW w:w="310" w:type="pct"/>
            <w:tcBorders>
              <w:tl2br w:val="nil"/>
              <w:tr2bl w:val="nil"/>
            </w:tcBorders>
            <w:shd w:val="clear" w:color="auto" w:fill="auto"/>
            <w:noWrap/>
            <w:vAlign w:val="center"/>
          </w:tcPr>
          <w:p w14:paraId="427D5E37">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0.024</w:t>
            </w:r>
          </w:p>
        </w:tc>
        <w:tc>
          <w:tcPr>
            <w:tcW w:w="310" w:type="pct"/>
            <w:tcBorders>
              <w:tl2br w:val="nil"/>
              <w:tr2bl w:val="nil"/>
            </w:tcBorders>
            <w:shd w:val="clear" w:color="auto" w:fill="auto"/>
            <w:noWrap/>
            <w:vAlign w:val="center"/>
          </w:tcPr>
          <w:p w14:paraId="0600F281">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0.008</w:t>
            </w:r>
          </w:p>
        </w:tc>
        <w:tc>
          <w:tcPr>
            <w:tcW w:w="310" w:type="pct"/>
            <w:tcBorders>
              <w:tl2br w:val="nil"/>
              <w:tr2bl w:val="nil"/>
            </w:tcBorders>
            <w:shd w:val="clear" w:color="auto" w:fill="auto"/>
            <w:noWrap/>
            <w:vAlign w:val="center"/>
          </w:tcPr>
          <w:p w14:paraId="108B448A">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10" w:type="pct"/>
            <w:tcBorders>
              <w:tl2br w:val="nil"/>
              <w:tr2bl w:val="nil"/>
            </w:tcBorders>
            <w:shd w:val="clear" w:color="auto" w:fill="auto"/>
            <w:noWrap/>
            <w:vAlign w:val="center"/>
          </w:tcPr>
          <w:p w14:paraId="1E39EFAF">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0.020</w:t>
            </w:r>
          </w:p>
        </w:tc>
        <w:tc>
          <w:tcPr>
            <w:tcW w:w="310" w:type="pct"/>
            <w:tcBorders>
              <w:tl2br w:val="nil"/>
              <w:tr2bl w:val="nil"/>
            </w:tcBorders>
            <w:shd w:val="clear" w:color="auto" w:fill="auto"/>
            <w:noWrap/>
            <w:vAlign w:val="center"/>
          </w:tcPr>
          <w:p w14:paraId="1E9BC17A">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0.004</w:t>
            </w:r>
          </w:p>
        </w:tc>
        <w:tc>
          <w:tcPr>
            <w:tcW w:w="310" w:type="pct"/>
            <w:tcBorders>
              <w:tl2br w:val="nil"/>
              <w:tr2bl w:val="nil"/>
            </w:tcBorders>
            <w:shd w:val="clear" w:color="auto" w:fill="auto"/>
            <w:noWrap/>
            <w:vAlign w:val="center"/>
          </w:tcPr>
          <w:p w14:paraId="6A76106A">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0.048</w:t>
            </w:r>
          </w:p>
        </w:tc>
        <w:tc>
          <w:tcPr>
            <w:tcW w:w="315" w:type="pct"/>
            <w:tcBorders>
              <w:tl2br w:val="nil"/>
              <w:tr2bl w:val="nil"/>
            </w:tcBorders>
            <w:shd w:val="clear" w:color="auto" w:fill="auto"/>
            <w:noWrap/>
            <w:vAlign w:val="center"/>
          </w:tcPr>
          <w:p w14:paraId="2311E86D">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0.092</w:t>
            </w:r>
          </w:p>
        </w:tc>
        <w:tc>
          <w:tcPr>
            <w:tcW w:w="310" w:type="pct"/>
            <w:tcBorders>
              <w:tl2br w:val="nil"/>
              <w:tr2bl w:val="nil"/>
            </w:tcBorders>
            <w:shd w:val="clear" w:color="auto" w:fill="auto"/>
            <w:noWrap/>
            <w:vAlign w:val="center"/>
          </w:tcPr>
          <w:p w14:paraId="5C864330">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0.088</w:t>
            </w:r>
          </w:p>
        </w:tc>
      </w:tr>
      <w:tr w14:paraId="79B0F9A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372" w:type="pct"/>
            <w:tcBorders>
              <w:tl2br w:val="nil"/>
              <w:tr2bl w:val="nil"/>
            </w:tcBorders>
            <w:shd w:val="clear" w:color="auto" w:fill="auto"/>
            <w:vAlign w:val="center"/>
          </w:tcPr>
          <w:p w14:paraId="4DC5EB2A">
            <w:pPr>
              <w:keepNext w:val="0"/>
              <w:keepLines w:val="0"/>
              <w:widowControl/>
              <w:suppressLineNumbers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铁（</w:t>
            </w:r>
            <w:r>
              <w:rPr>
                <w:rFonts w:hint="default" w:ascii="Times New Roman" w:hAnsi="Times New Roman" w:eastAsia="宋体" w:cs="Times New Roman"/>
                <w:color w:val="auto"/>
                <w:sz w:val="21"/>
                <w:szCs w:val="21"/>
                <w:highlight w:val="none"/>
                <w:u w:val="none"/>
                <w:lang w:val="en-US" w:eastAsia="zh-CN" w:bidi="ar"/>
              </w:rPr>
              <w:t>mg/L</w:t>
            </w:r>
            <w:r>
              <w:rPr>
                <w:rFonts w:hint="eastAsia" w:ascii="宋体" w:hAnsi="宋体" w:eastAsia="宋体" w:cs="宋体"/>
                <w:color w:val="auto"/>
                <w:sz w:val="21"/>
                <w:szCs w:val="21"/>
                <w:highlight w:val="none"/>
                <w:u w:val="none"/>
                <w:lang w:val="en-US" w:eastAsia="zh-CN" w:bidi="ar"/>
              </w:rPr>
              <w:t>）</w:t>
            </w:r>
          </w:p>
        </w:tc>
        <w:tc>
          <w:tcPr>
            <w:tcW w:w="281" w:type="pct"/>
            <w:tcBorders>
              <w:tl2br w:val="nil"/>
              <w:tr2bl w:val="nil"/>
            </w:tcBorders>
            <w:shd w:val="clear" w:color="auto" w:fill="auto"/>
            <w:noWrap/>
            <w:vAlign w:val="center"/>
          </w:tcPr>
          <w:p w14:paraId="18741CF6">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09" w:type="pct"/>
            <w:tcBorders>
              <w:tl2br w:val="nil"/>
              <w:tr2bl w:val="nil"/>
            </w:tcBorders>
            <w:shd w:val="clear" w:color="auto" w:fill="auto"/>
            <w:noWrap/>
            <w:vAlign w:val="center"/>
          </w:tcPr>
          <w:p w14:paraId="153BB468">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07" w:type="pct"/>
            <w:tcBorders>
              <w:tl2br w:val="nil"/>
              <w:tr2bl w:val="nil"/>
            </w:tcBorders>
            <w:shd w:val="clear" w:color="auto" w:fill="auto"/>
            <w:noWrap/>
            <w:vAlign w:val="center"/>
          </w:tcPr>
          <w:p w14:paraId="093EACEA">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10" w:type="pct"/>
            <w:tcBorders>
              <w:tl2br w:val="nil"/>
              <w:tr2bl w:val="nil"/>
            </w:tcBorders>
            <w:shd w:val="clear" w:color="auto" w:fill="auto"/>
            <w:noWrap/>
            <w:vAlign w:val="center"/>
          </w:tcPr>
          <w:p w14:paraId="53E2559D">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30" w:type="pct"/>
            <w:tcBorders>
              <w:tl2br w:val="nil"/>
              <w:tr2bl w:val="nil"/>
            </w:tcBorders>
            <w:shd w:val="clear" w:color="auto" w:fill="auto"/>
            <w:noWrap/>
            <w:vAlign w:val="center"/>
          </w:tcPr>
          <w:p w14:paraId="0905C65A">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290" w:type="pct"/>
            <w:tcBorders>
              <w:tl2br w:val="nil"/>
              <w:tr2bl w:val="nil"/>
            </w:tcBorders>
            <w:shd w:val="clear" w:color="auto" w:fill="auto"/>
            <w:noWrap/>
            <w:vAlign w:val="center"/>
          </w:tcPr>
          <w:p w14:paraId="6C55B43D">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0.067</w:t>
            </w:r>
          </w:p>
        </w:tc>
        <w:tc>
          <w:tcPr>
            <w:tcW w:w="310" w:type="pct"/>
            <w:tcBorders>
              <w:tl2br w:val="nil"/>
              <w:tr2bl w:val="nil"/>
            </w:tcBorders>
            <w:shd w:val="clear" w:color="auto" w:fill="auto"/>
            <w:noWrap/>
            <w:vAlign w:val="center"/>
          </w:tcPr>
          <w:p w14:paraId="2AE78378">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10" w:type="pct"/>
            <w:tcBorders>
              <w:tl2br w:val="nil"/>
              <w:tr2bl w:val="nil"/>
            </w:tcBorders>
            <w:shd w:val="clear" w:color="auto" w:fill="auto"/>
            <w:noWrap/>
            <w:vAlign w:val="center"/>
          </w:tcPr>
          <w:p w14:paraId="428E076B">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0.067</w:t>
            </w:r>
          </w:p>
        </w:tc>
        <w:tc>
          <w:tcPr>
            <w:tcW w:w="310" w:type="pct"/>
            <w:tcBorders>
              <w:tl2br w:val="nil"/>
              <w:tr2bl w:val="nil"/>
            </w:tcBorders>
            <w:shd w:val="clear" w:color="auto" w:fill="auto"/>
            <w:noWrap/>
            <w:vAlign w:val="center"/>
          </w:tcPr>
          <w:p w14:paraId="4967436E">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10" w:type="pct"/>
            <w:tcBorders>
              <w:tl2br w:val="nil"/>
              <w:tr2bl w:val="nil"/>
            </w:tcBorders>
            <w:shd w:val="clear" w:color="auto" w:fill="auto"/>
            <w:noWrap/>
            <w:vAlign w:val="center"/>
          </w:tcPr>
          <w:p w14:paraId="5C233171">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10" w:type="pct"/>
            <w:tcBorders>
              <w:tl2br w:val="nil"/>
              <w:tr2bl w:val="nil"/>
            </w:tcBorders>
            <w:shd w:val="clear" w:color="auto" w:fill="auto"/>
            <w:noWrap/>
            <w:vAlign w:val="center"/>
          </w:tcPr>
          <w:p w14:paraId="1C7B918F">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10" w:type="pct"/>
            <w:tcBorders>
              <w:tl2br w:val="nil"/>
              <w:tr2bl w:val="nil"/>
            </w:tcBorders>
            <w:shd w:val="clear" w:color="auto" w:fill="auto"/>
            <w:noWrap/>
            <w:vAlign w:val="center"/>
          </w:tcPr>
          <w:p w14:paraId="753BEF85">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10" w:type="pct"/>
            <w:tcBorders>
              <w:tl2br w:val="nil"/>
              <w:tr2bl w:val="nil"/>
            </w:tcBorders>
            <w:shd w:val="clear" w:color="auto" w:fill="auto"/>
            <w:noWrap/>
            <w:vAlign w:val="center"/>
          </w:tcPr>
          <w:p w14:paraId="3DC7FD9B">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15" w:type="pct"/>
            <w:tcBorders>
              <w:tl2br w:val="nil"/>
              <w:tr2bl w:val="nil"/>
            </w:tcBorders>
            <w:shd w:val="clear" w:color="auto" w:fill="auto"/>
            <w:noWrap/>
            <w:vAlign w:val="center"/>
          </w:tcPr>
          <w:p w14:paraId="2D999495">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10" w:type="pct"/>
            <w:tcBorders>
              <w:tl2br w:val="nil"/>
              <w:tr2bl w:val="nil"/>
            </w:tcBorders>
            <w:shd w:val="clear" w:color="auto" w:fill="auto"/>
            <w:noWrap/>
            <w:vAlign w:val="center"/>
          </w:tcPr>
          <w:p w14:paraId="4882A55E">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r>
      <w:tr w14:paraId="16E1108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372" w:type="pct"/>
            <w:tcBorders>
              <w:tl2br w:val="nil"/>
              <w:tr2bl w:val="nil"/>
            </w:tcBorders>
            <w:shd w:val="clear" w:color="auto" w:fill="auto"/>
            <w:vAlign w:val="center"/>
          </w:tcPr>
          <w:p w14:paraId="423DA038">
            <w:pPr>
              <w:keepNext w:val="0"/>
              <w:keepLines w:val="0"/>
              <w:widowControl/>
              <w:suppressLineNumbers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锰（</w:t>
            </w:r>
            <w:r>
              <w:rPr>
                <w:rFonts w:hint="default" w:ascii="Times New Roman" w:hAnsi="Times New Roman" w:eastAsia="宋体" w:cs="Times New Roman"/>
                <w:color w:val="auto"/>
                <w:sz w:val="21"/>
                <w:szCs w:val="21"/>
                <w:highlight w:val="none"/>
                <w:u w:val="none"/>
                <w:lang w:val="en-US" w:eastAsia="zh-CN" w:bidi="ar"/>
              </w:rPr>
              <w:t>mg/L</w:t>
            </w:r>
            <w:r>
              <w:rPr>
                <w:rFonts w:hint="eastAsia" w:ascii="宋体" w:hAnsi="宋体" w:eastAsia="宋体" w:cs="宋体"/>
                <w:color w:val="auto"/>
                <w:sz w:val="21"/>
                <w:szCs w:val="21"/>
                <w:highlight w:val="none"/>
                <w:u w:val="none"/>
                <w:lang w:val="en-US" w:eastAsia="zh-CN" w:bidi="ar"/>
              </w:rPr>
              <w:t>）</w:t>
            </w:r>
          </w:p>
        </w:tc>
        <w:tc>
          <w:tcPr>
            <w:tcW w:w="281" w:type="pct"/>
            <w:tcBorders>
              <w:tl2br w:val="nil"/>
              <w:tr2bl w:val="nil"/>
            </w:tcBorders>
            <w:shd w:val="clear" w:color="auto" w:fill="auto"/>
            <w:noWrap/>
            <w:vAlign w:val="center"/>
          </w:tcPr>
          <w:p w14:paraId="5EA81562">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3.900</w:t>
            </w:r>
          </w:p>
        </w:tc>
        <w:tc>
          <w:tcPr>
            <w:tcW w:w="309" w:type="pct"/>
            <w:tcBorders>
              <w:tl2br w:val="nil"/>
              <w:tr2bl w:val="nil"/>
            </w:tcBorders>
            <w:shd w:val="clear" w:color="auto" w:fill="auto"/>
            <w:noWrap/>
            <w:vAlign w:val="center"/>
          </w:tcPr>
          <w:p w14:paraId="4E2AD073">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1.400</w:t>
            </w:r>
          </w:p>
        </w:tc>
        <w:tc>
          <w:tcPr>
            <w:tcW w:w="307" w:type="pct"/>
            <w:tcBorders>
              <w:tl2br w:val="nil"/>
              <w:tr2bl w:val="nil"/>
            </w:tcBorders>
            <w:shd w:val="clear" w:color="auto" w:fill="auto"/>
            <w:noWrap/>
            <w:vAlign w:val="center"/>
          </w:tcPr>
          <w:p w14:paraId="656130FE">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2.800</w:t>
            </w:r>
          </w:p>
        </w:tc>
        <w:tc>
          <w:tcPr>
            <w:tcW w:w="310" w:type="pct"/>
            <w:tcBorders>
              <w:tl2br w:val="nil"/>
              <w:tr2bl w:val="nil"/>
            </w:tcBorders>
            <w:shd w:val="clear" w:color="auto" w:fill="auto"/>
            <w:noWrap/>
            <w:vAlign w:val="center"/>
          </w:tcPr>
          <w:p w14:paraId="73C4D647">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4.400</w:t>
            </w:r>
          </w:p>
        </w:tc>
        <w:tc>
          <w:tcPr>
            <w:tcW w:w="330" w:type="pct"/>
            <w:tcBorders>
              <w:tl2br w:val="nil"/>
              <w:tr2bl w:val="nil"/>
            </w:tcBorders>
            <w:shd w:val="clear" w:color="auto" w:fill="auto"/>
            <w:noWrap/>
            <w:vAlign w:val="center"/>
          </w:tcPr>
          <w:p w14:paraId="219B8C29">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4.600</w:t>
            </w:r>
          </w:p>
        </w:tc>
        <w:tc>
          <w:tcPr>
            <w:tcW w:w="290" w:type="pct"/>
            <w:tcBorders>
              <w:tl2br w:val="nil"/>
              <w:tr2bl w:val="nil"/>
            </w:tcBorders>
            <w:shd w:val="clear" w:color="auto" w:fill="auto"/>
            <w:noWrap/>
            <w:vAlign w:val="center"/>
          </w:tcPr>
          <w:p w14:paraId="426652BE">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1.000</w:t>
            </w:r>
          </w:p>
        </w:tc>
        <w:tc>
          <w:tcPr>
            <w:tcW w:w="310" w:type="pct"/>
            <w:tcBorders>
              <w:tl2br w:val="nil"/>
              <w:tr2bl w:val="nil"/>
            </w:tcBorders>
            <w:shd w:val="clear" w:color="auto" w:fill="auto"/>
            <w:noWrap/>
            <w:vAlign w:val="center"/>
          </w:tcPr>
          <w:p w14:paraId="233D54BB">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7.700</w:t>
            </w:r>
          </w:p>
        </w:tc>
        <w:tc>
          <w:tcPr>
            <w:tcW w:w="310" w:type="pct"/>
            <w:tcBorders>
              <w:tl2br w:val="nil"/>
              <w:tr2bl w:val="nil"/>
            </w:tcBorders>
            <w:shd w:val="clear" w:color="auto" w:fill="auto"/>
            <w:noWrap/>
            <w:vAlign w:val="center"/>
          </w:tcPr>
          <w:p w14:paraId="598D0F8B">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2.800</w:t>
            </w:r>
          </w:p>
        </w:tc>
        <w:tc>
          <w:tcPr>
            <w:tcW w:w="310" w:type="pct"/>
            <w:tcBorders>
              <w:tl2br w:val="nil"/>
              <w:tr2bl w:val="nil"/>
            </w:tcBorders>
            <w:shd w:val="clear" w:color="auto" w:fill="auto"/>
            <w:noWrap/>
            <w:vAlign w:val="center"/>
          </w:tcPr>
          <w:p w14:paraId="0206C5E8">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4.000</w:t>
            </w:r>
          </w:p>
        </w:tc>
        <w:tc>
          <w:tcPr>
            <w:tcW w:w="310" w:type="pct"/>
            <w:tcBorders>
              <w:tl2br w:val="nil"/>
              <w:tr2bl w:val="nil"/>
            </w:tcBorders>
            <w:shd w:val="clear" w:color="auto" w:fill="auto"/>
            <w:noWrap/>
            <w:vAlign w:val="center"/>
          </w:tcPr>
          <w:p w14:paraId="45DB5EA4">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1.700</w:t>
            </w:r>
          </w:p>
        </w:tc>
        <w:tc>
          <w:tcPr>
            <w:tcW w:w="310" w:type="pct"/>
            <w:tcBorders>
              <w:tl2br w:val="nil"/>
              <w:tr2bl w:val="nil"/>
            </w:tcBorders>
            <w:shd w:val="clear" w:color="auto" w:fill="auto"/>
            <w:noWrap/>
            <w:vAlign w:val="center"/>
          </w:tcPr>
          <w:p w14:paraId="02EAA82B">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6.500</w:t>
            </w:r>
          </w:p>
        </w:tc>
        <w:tc>
          <w:tcPr>
            <w:tcW w:w="310" w:type="pct"/>
            <w:tcBorders>
              <w:tl2br w:val="nil"/>
              <w:tr2bl w:val="nil"/>
            </w:tcBorders>
            <w:shd w:val="clear" w:color="auto" w:fill="auto"/>
            <w:noWrap/>
            <w:vAlign w:val="center"/>
          </w:tcPr>
          <w:p w14:paraId="38E0F3EF">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6.000</w:t>
            </w:r>
          </w:p>
        </w:tc>
        <w:tc>
          <w:tcPr>
            <w:tcW w:w="310" w:type="pct"/>
            <w:tcBorders>
              <w:tl2br w:val="nil"/>
              <w:tr2bl w:val="nil"/>
            </w:tcBorders>
            <w:shd w:val="clear" w:color="auto" w:fill="auto"/>
            <w:noWrap/>
            <w:vAlign w:val="center"/>
          </w:tcPr>
          <w:p w14:paraId="5EEBD629">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7.600</w:t>
            </w:r>
          </w:p>
        </w:tc>
        <w:tc>
          <w:tcPr>
            <w:tcW w:w="315" w:type="pct"/>
            <w:tcBorders>
              <w:tl2br w:val="nil"/>
              <w:tr2bl w:val="nil"/>
            </w:tcBorders>
            <w:shd w:val="clear" w:color="auto" w:fill="auto"/>
            <w:noWrap/>
            <w:vAlign w:val="center"/>
          </w:tcPr>
          <w:p w14:paraId="5ADD27EB">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6.700</w:t>
            </w:r>
          </w:p>
        </w:tc>
        <w:tc>
          <w:tcPr>
            <w:tcW w:w="310" w:type="pct"/>
            <w:tcBorders>
              <w:tl2br w:val="nil"/>
              <w:tr2bl w:val="nil"/>
            </w:tcBorders>
            <w:shd w:val="clear" w:color="auto" w:fill="auto"/>
            <w:noWrap/>
            <w:vAlign w:val="center"/>
          </w:tcPr>
          <w:p w14:paraId="32F7F9A0">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7.000</w:t>
            </w:r>
          </w:p>
        </w:tc>
      </w:tr>
      <w:tr w14:paraId="1EAAD44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1569" w:type="dxa"/>
            <w:tcBorders>
              <w:tl2br w:val="nil"/>
              <w:tr2bl w:val="nil"/>
            </w:tcBorders>
            <w:shd w:val="clear" w:color="auto" w:fill="auto"/>
            <w:vAlign w:val="center"/>
          </w:tcPr>
          <w:p w14:paraId="134B60A9">
            <w:pPr>
              <w:keepNext w:val="0"/>
              <w:keepLines w:val="0"/>
              <w:widowControl/>
              <w:suppressLineNumbers w:val="0"/>
              <w:spacing w:line="240" w:lineRule="auto"/>
              <w:ind w:firstLine="0" w:firstLineChars="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锌（</w:t>
            </w:r>
            <w:r>
              <w:rPr>
                <w:rFonts w:hint="default" w:ascii="Times New Roman" w:hAnsi="Times New Roman" w:eastAsia="宋体" w:cs="Times New Roman"/>
                <w:color w:val="auto"/>
                <w:sz w:val="21"/>
                <w:szCs w:val="21"/>
                <w:highlight w:val="none"/>
                <w:u w:val="none"/>
                <w:lang w:val="en-US" w:eastAsia="zh-CN" w:bidi="ar"/>
              </w:rPr>
              <w:t>mg/L</w:t>
            </w:r>
            <w:r>
              <w:rPr>
                <w:rFonts w:hint="eastAsia" w:ascii="宋体" w:hAnsi="宋体" w:eastAsia="宋体" w:cs="宋体"/>
                <w:color w:val="auto"/>
                <w:sz w:val="21"/>
                <w:szCs w:val="21"/>
                <w:highlight w:val="none"/>
                <w:u w:val="none"/>
                <w:lang w:val="en-US" w:eastAsia="zh-CN" w:bidi="ar"/>
              </w:rPr>
              <w:t>）</w:t>
            </w:r>
          </w:p>
        </w:tc>
        <w:tc>
          <w:tcPr>
            <w:tcW w:w="1185" w:type="dxa"/>
            <w:tcBorders>
              <w:tl2br w:val="nil"/>
              <w:tr2bl w:val="nil"/>
            </w:tcBorders>
            <w:shd w:val="clear" w:color="auto" w:fill="auto"/>
            <w:noWrap/>
            <w:vAlign w:val="center"/>
          </w:tcPr>
          <w:p w14:paraId="4C586E34">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303" w:type="dxa"/>
            <w:tcBorders>
              <w:tl2br w:val="nil"/>
              <w:tr2bl w:val="nil"/>
            </w:tcBorders>
            <w:shd w:val="clear" w:color="auto" w:fill="auto"/>
            <w:noWrap/>
            <w:vAlign w:val="center"/>
          </w:tcPr>
          <w:p w14:paraId="496DD204">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294" w:type="dxa"/>
            <w:tcBorders>
              <w:tl2br w:val="nil"/>
              <w:tr2bl w:val="nil"/>
            </w:tcBorders>
            <w:shd w:val="clear" w:color="auto" w:fill="auto"/>
            <w:noWrap/>
            <w:vAlign w:val="center"/>
          </w:tcPr>
          <w:p w14:paraId="568B0E65">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307" w:type="dxa"/>
            <w:tcBorders>
              <w:tl2br w:val="nil"/>
              <w:tr2bl w:val="nil"/>
            </w:tcBorders>
            <w:shd w:val="clear" w:color="auto" w:fill="auto"/>
            <w:noWrap/>
            <w:vAlign w:val="center"/>
          </w:tcPr>
          <w:p w14:paraId="3D967BE7">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391" w:type="dxa"/>
            <w:tcBorders>
              <w:tl2br w:val="nil"/>
              <w:tr2bl w:val="nil"/>
            </w:tcBorders>
            <w:shd w:val="clear" w:color="auto" w:fill="auto"/>
            <w:noWrap/>
            <w:vAlign w:val="center"/>
          </w:tcPr>
          <w:p w14:paraId="7DD54612">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223" w:type="dxa"/>
            <w:tcBorders>
              <w:tl2br w:val="nil"/>
              <w:tr2bl w:val="nil"/>
            </w:tcBorders>
            <w:shd w:val="clear" w:color="auto" w:fill="auto"/>
            <w:noWrap/>
            <w:vAlign w:val="center"/>
          </w:tcPr>
          <w:p w14:paraId="663DFA62">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307" w:type="dxa"/>
            <w:tcBorders>
              <w:tl2br w:val="nil"/>
              <w:tr2bl w:val="nil"/>
            </w:tcBorders>
            <w:shd w:val="clear" w:color="auto" w:fill="auto"/>
            <w:noWrap/>
            <w:vAlign w:val="center"/>
          </w:tcPr>
          <w:p w14:paraId="04646B4A">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307" w:type="dxa"/>
            <w:tcBorders>
              <w:tl2br w:val="nil"/>
              <w:tr2bl w:val="nil"/>
            </w:tcBorders>
            <w:shd w:val="clear" w:color="auto" w:fill="auto"/>
            <w:noWrap/>
            <w:vAlign w:val="center"/>
          </w:tcPr>
          <w:p w14:paraId="5CD07A07">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307" w:type="dxa"/>
            <w:tcBorders>
              <w:tl2br w:val="nil"/>
              <w:tr2bl w:val="nil"/>
            </w:tcBorders>
            <w:shd w:val="clear" w:color="auto" w:fill="auto"/>
            <w:noWrap/>
            <w:vAlign w:val="center"/>
          </w:tcPr>
          <w:p w14:paraId="00F8BF91">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307" w:type="dxa"/>
            <w:tcBorders>
              <w:tl2br w:val="nil"/>
              <w:tr2bl w:val="nil"/>
            </w:tcBorders>
            <w:shd w:val="clear" w:color="auto" w:fill="auto"/>
            <w:noWrap/>
            <w:vAlign w:val="center"/>
          </w:tcPr>
          <w:p w14:paraId="61E833F4">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307" w:type="dxa"/>
            <w:tcBorders>
              <w:tl2br w:val="nil"/>
              <w:tr2bl w:val="nil"/>
            </w:tcBorders>
            <w:shd w:val="clear" w:color="auto" w:fill="auto"/>
            <w:noWrap/>
            <w:vAlign w:val="center"/>
          </w:tcPr>
          <w:p w14:paraId="01049A11">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307" w:type="dxa"/>
            <w:tcBorders>
              <w:tl2br w:val="nil"/>
              <w:tr2bl w:val="nil"/>
            </w:tcBorders>
            <w:shd w:val="clear" w:color="auto" w:fill="auto"/>
            <w:noWrap/>
            <w:vAlign w:val="center"/>
          </w:tcPr>
          <w:p w14:paraId="4D8A9332">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307" w:type="dxa"/>
            <w:tcBorders>
              <w:tl2br w:val="nil"/>
              <w:tr2bl w:val="nil"/>
            </w:tcBorders>
            <w:shd w:val="clear" w:color="auto" w:fill="auto"/>
            <w:noWrap/>
            <w:vAlign w:val="center"/>
          </w:tcPr>
          <w:p w14:paraId="796F3649">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329" w:type="dxa"/>
            <w:tcBorders>
              <w:tl2br w:val="nil"/>
              <w:tr2bl w:val="nil"/>
            </w:tcBorders>
            <w:shd w:val="clear" w:color="auto" w:fill="auto"/>
            <w:noWrap/>
            <w:vAlign w:val="center"/>
          </w:tcPr>
          <w:p w14:paraId="4AFDC060">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308" w:type="dxa"/>
            <w:tcBorders>
              <w:tl2br w:val="nil"/>
              <w:tr2bl w:val="nil"/>
            </w:tcBorders>
            <w:shd w:val="clear" w:color="auto" w:fill="auto"/>
            <w:noWrap/>
            <w:vAlign w:val="center"/>
          </w:tcPr>
          <w:p w14:paraId="4B71C327">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r>
      <w:tr w14:paraId="3B547E6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372" w:type="pct"/>
            <w:tcBorders>
              <w:tl2br w:val="nil"/>
              <w:tr2bl w:val="nil"/>
            </w:tcBorders>
            <w:shd w:val="clear" w:color="auto" w:fill="auto"/>
            <w:vAlign w:val="center"/>
          </w:tcPr>
          <w:p w14:paraId="155ECF60">
            <w:pPr>
              <w:keepNext w:val="0"/>
              <w:keepLines w:val="0"/>
              <w:widowControl/>
              <w:suppressLineNumbers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铝（</w:t>
            </w:r>
            <w:r>
              <w:rPr>
                <w:rFonts w:hint="default" w:ascii="Times New Roman" w:hAnsi="Times New Roman" w:eastAsia="宋体" w:cs="Times New Roman"/>
                <w:color w:val="auto"/>
                <w:sz w:val="21"/>
                <w:szCs w:val="21"/>
                <w:highlight w:val="none"/>
                <w:u w:val="none"/>
                <w:lang w:val="en-US" w:eastAsia="zh-CN" w:bidi="ar"/>
              </w:rPr>
              <w:t>mg/L</w:t>
            </w:r>
            <w:r>
              <w:rPr>
                <w:rFonts w:hint="eastAsia" w:ascii="宋体" w:hAnsi="宋体" w:eastAsia="宋体" w:cs="宋体"/>
                <w:color w:val="auto"/>
                <w:sz w:val="21"/>
                <w:szCs w:val="21"/>
                <w:highlight w:val="none"/>
                <w:u w:val="none"/>
                <w:lang w:val="en-US" w:eastAsia="zh-CN" w:bidi="ar"/>
              </w:rPr>
              <w:t>）</w:t>
            </w:r>
          </w:p>
        </w:tc>
        <w:tc>
          <w:tcPr>
            <w:tcW w:w="281" w:type="pct"/>
            <w:tcBorders>
              <w:tl2br w:val="nil"/>
              <w:tr2bl w:val="nil"/>
            </w:tcBorders>
            <w:shd w:val="clear" w:color="auto" w:fill="auto"/>
            <w:noWrap/>
            <w:vAlign w:val="center"/>
          </w:tcPr>
          <w:p w14:paraId="6CB5B9D6">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09" w:type="pct"/>
            <w:tcBorders>
              <w:tl2br w:val="nil"/>
              <w:tr2bl w:val="nil"/>
            </w:tcBorders>
            <w:shd w:val="clear" w:color="auto" w:fill="auto"/>
            <w:noWrap/>
            <w:vAlign w:val="center"/>
          </w:tcPr>
          <w:p w14:paraId="773CD40F">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07" w:type="pct"/>
            <w:tcBorders>
              <w:tl2br w:val="nil"/>
              <w:tr2bl w:val="nil"/>
            </w:tcBorders>
            <w:shd w:val="clear" w:color="auto" w:fill="auto"/>
            <w:noWrap/>
            <w:vAlign w:val="center"/>
          </w:tcPr>
          <w:p w14:paraId="4994DC28">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10" w:type="pct"/>
            <w:tcBorders>
              <w:tl2br w:val="nil"/>
              <w:tr2bl w:val="nil"/>
            </w:tcBorders>
            <w:shd w:val="clear" w:color="auto" w:fill="auto"/>
            <w:noWrap/>
            <w:vAlign w:val="center"/>
          </w:tcPr>
          <w:p w14:paraId="2C3F3FA9">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30" w:type="pct"/>
            <w:tcBorders>
              <w:tl2br w:val="nil"/>
              <w:tr2bl w:val="nil"/>
            </w:tcBorders>
            <w:shd w:val="clear" w:color="auto" w:fill="auto"/>
            <w:noWrap/>
            <w:vAlign w:val="center"/>
          </w:tcPr>
          <w:p w14:paraId="2F60E8CA">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290" w:type="pct"/>
            <w:tcBorders>
              <w:tl2br w:val="nil"/>
              <w:tr2bl w:val="nil"/>
            </w:tcBorders>
            <w:shd w:val="clear" w:color="auto" w:fill="auto"/>
            <w:noWrap/>
            <w:vAlign w:val="center"/>
          </w:tcPr>
          <w:p w14:paraId="4377DA5B">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10" w:type="pct"/>
            <w:tcBorders>
              <w:tl2br w:val="nil"/>
              <w:tr2bl w:val="nil"/>
            </w:tcBorders>
            <w:shd w:val="clear" w:color="auto" w:fill="auto"/>
            <w:noWrap/>
            <w:vAlign w:val="center"/>
          </w:tcPr>
          <w:p w14:paraId="357AA8C2">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10" w:type="pct"/>
            <w:tcBorders>
              <w:tl2br w:val="nil"/>
              <w:tr2bl w:val="nil"/>
            </w:tcBorders>
            <w:shd w:val="clear" w:color="auto" w:fill="auto"/>
            <w:noWrap/>
            <w:vAlign w:val="center"/>
          </w:tcPr>
          <w:p w14:paraId="38AA8DC3">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10" w:type="pct"/>
            <w:tcBorders>
              <w:tl2br w:val="nil"/>
              <w:tr2bl w:val="nil"/>
            </w:tcBorders>
            <w:shd w:val="clear" w:color="auto" w:fill="auto"/>
            <w:noWrap/>
            <w:vAlign w:val="center"/>
          </w:tcPr>
          <w:p w14:paraId="330674E5">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10" w:type="pct"/>
            <w:tcBorders>
              <w:tl2br w:val="nil"/>
              <w:tr2bl w:val="nil"/>
            </w:tcBorders>
            <w:shd w:val="clear" w:color="auto" w:fill="auto"/>
            <w:noWrap/>
            <w:vAlign w:val="center"/>
          </w:tcPr>
          <w:p w14:paraId="538EC4B3">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10" w:type="pct"/>
            <w:tcBorders>
              <w:tl2br w:val="nil"/>
              <w:tr2bl w:val="nil"/>
            </w:tcBorders>
            <w:shd w:val="clear" w:color="auto" w:fill="auto"/>
            <w:noWrap/>
            <w:vAlign w:val="center"/>
          </w:tcPr>
          <w:p w14:paraId="73C6A7FD">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10" w:type="pct"/>
            <w:tcBorders>
              <w:tl2br w:val="nil"/>
              <w:tr2bl w:val="nil"/>
            </w:tcBorders>
            <w:shd w:val="clear" w:color="auto" w:fill="auto"/>
            <w:noWrap/>
            <w:vAlign w:val="center"/>
          </w:tcPr>
          <w:p w14:paraId="5139F8D0">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10" w:type="pct"/>
            <w:tcBorders>
              <w:tl2br w:val="nil"/>
              <w:tr2bl w:val="nil"/>
            </w:tcBorders>
            <w:shd w:val="clear" w:color="auto" w:fill="auto"/>
            <w:noWrap/>
            <w:vAlign w:val="center"/>
          </w:tcPr>
          <w:p w14:paraId="5843F722">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0.060</w:t>
            </w:r>
          </w:p>
        </w:tc>
        <w:tc>
          <w:tcPr>
            <w:tcW w:w="315" w:type="pct"/>
            <w:tcBorders>
              <w:tl2br w:val="nil"/>
              <w:tr2bl w:val="nil"/>
            </w:tcBorders>
            <w:shd w:val="clear" w:color="auto" w:fill="auto"/>
            <w:noWrap/>
            <w:vAlign w:val="center"/>
          </w:tcPr>
          <w:p w14:paraId="755C032A">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10" w:type="pct"/>
            <w:tcBorders>
              <w:tl2br w:val="nil"/>
              <w:tr2bl w:val="nil"/>
            </w:tcBorders>
            <w:shd w:val="clear" w:color="auto" w:fill="auto"/>
            <w:noWrap/>
            <w:vAlign w:val="center"/>
          </w:tcPr>
          <w:p w14:paraId="245D5D76">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r>
      <w:tr w14:paraId="1CB9C95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372" w:type="pct"/>
            <w:tcBorders>
              <w:tl2br w:val="nil"/>
              <w:tr2bl w:val="nil"/>
            </w:tcBorders>
            <w:shd w:val="clear" w:color="auto" w:fill="auto"/>
            <w:vAlign w:val="center"/>
          </w:tcPr>
          <w:p w14:paraId="336B8924">
            <w:pPr>
              <w:keepNext w:val="0"/>
              <w:keepLines w:val="0"/>
              <w:widowControl/>
              <w:suppressLineNumbers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高锰酸盐指数</w:t>
            </w:r>
            <w:r>
              <w:rPr>
                <w:rFonts w:hint="default" w:ascii="Times New Roman" w:hAnsi="Times New Roman" w:eastAsia="宋体" w:cs="Times New Roman"/>
                <w:color w:val="auto"/>
                <w:sz w:val="21"/>
                <w:szCs w:val="21"/>
                <w:highlight w:val="none"/>
                <w:u w:val="none"/>
                <w:lang w:val="en-US" w:eastAsia="zh-CN" w:bidi="ar"/>
              </w:rPr>
              <w:t>/</w:t>
            </w:r>
            <w:r>
              <w:rPr>
                <w:rFonts w:hint="eastAsia" w:ascii="宋体" w:hAnsi="宋体" w:eastAsia="宋体" w:cs="宋体"/>
                <w:color w:val="auto"/>
                <w:sz w:val="21"/>
                <w:szCs w:val="21"/>
                <w:highlight w:val="none"/>
                <w:u w:val="none"/>
                <w:lang w:val="en-US" w:eastAsia="zh-CN" w:bidi="ar"/>
              </w:rPr>
              <w:t>耗氧量（</w:t>
            </w:r>
            <w:r>
              <w:rPr>
                <w:rFonts w:hint="default" w:ascii="Times New Roman" w:hAnsi="Times New Roman" w:eastAsia="宋体" w:cs="Times New Roman"/>
                <w:color w:val="auto"/>
                <w:sz w:val="21"/>
                <w:szCs w:val="21"/>
                <w:highlight w:val="none"/>
                <w:u w:val="none"/>
                <w:lang w:val="en-US" w:eastAsia="zh-CN" w:bidi="ar"/>
              </w:rPr>
              <w:t>Mn</w:t>
            </w:r>
            <w:r>
              <w:rPr>
                <w:rFonts w:hint="eastAsia" w:ascii="宋体" w:hAnsi="宋体" w:eastAsia="宋体" w:cs="宋体"/>
                <w:color w:val="auto"/>
                <w:sz w:val="21"/>
                <w:szCs w:val="21"/>
                <w:highlight w:val="none"/>
                <w:u w:val="none"/>
                <w:lang w:val="en-US" w:eastAsia="zh-CN" w:bidi="ar"/>
              </w:rPr>
              <w:t>法以</w:t>
            </w:r>
            <w:r>
              <w:rPr>
                <w:rFonts w:hint="default" w:ascii="Times New Roman" w:hAnsi="Times New Roman" w:eastAsia="宋体" w:cs="Times New Roman"/>
                <w:color w:val="auto"/>
                <w:sz w:val="21"/>
                <w:szCs w:val="21"/>
                <w:highlight w:val="none"/>
                <w:u w:val="none"/>
                <w:lang w:val="en-US" w:eastAsia="zh-CN" w:bidi="ar"/>
              </w:rPr>
              <w:t>O</w:t>
            </w:r>
            <w:r>
              <w:rPr>
                <w:rFonts w:hint="default" w:ascii="Times New Roman" w:hAnsi="Times New Roman" w:eastAsia="宋体" w:cs="Times New Roman"/>
                <w:color w:val="auto"/>
                <w:sz w:val="21"/>
                <w:szCs w:val="21"/>
                <w:highlight w:val="none"/>
                <w:u w:val="none"/>
                <w:vertAlign w:val="subscript"/>
                <w:lang w:val="en-US" w:eastAsia="zh-CN" w:bidi="ar"/>
              </w:rPr>
              <w:t>2</w:t>
            </w:r>
            <w:r>
              <w:rPr>
                <w:rFonts w:hint="eastAsia" w:ascii="宋体" w:hAnsi="宋体" w:eastAsia="宋体" w:cs="宋体"/>
                <w:color w:val="auto"/>
                <w:sz w:val="21"/>
                <w:szCs w:val="21"/>
                <w:highlight w:val="none"/>
                <w:u w:val="none"/>
                <w:lang w:val="en-US" w:eastAsia="zh-CN" w:bidi="ar"/>
              </w:rPr>
              <w:t>计）（</w:t>
            </w:r>
            <w:r>
              <w:rPr>
                <w:rFonts w:hint="default" w:ascii="Times New Roman" w:hAnsi="Times New Roman" w:eastAsia="宋体" w:cs="Times New Roman"/>
                <w:color w:val="auto"/>
                <w:sz w:val="21"/>
                <w:szCs w:val="21"/>
                <w:highlight w:val="none"/>
                <w:u w:val="none"/>
                <w:lang w:val="en-US" w:eastAsia="zh-CN" w:bidi="ar"/>
              </w:rPr>
              <w:t>mg/L</w:t>
            </w:r>
            <w:r>
              <w:rPr>
                <w:rFonts w:hint="eastAsia" w:ascii="宋体" w:hAnsi="宋体" w:eastAsia="宋体" w:cs="宋体"/>
                <w:color w:val="auto"/>
                <w:sz w:val="21"/>
                <w:szCs w:val="21"/>
                <w:highlight w:val="none"/>
                <w:u w:val="none"/>
                <w:lang w:val="en-US" w:eastAsia="zh-CN" w:bidi="ar"/>
              </w:rPr>
              <w:t>）</w:t>
            </w:r>
          </w:p>
        </w:tc>
        <w:tc>
          <w:tcPr>
            <w:tcW w:w="281" w:type="pct"/>
            <w:tcBorders>
              <w:tl2br w:val="nil"/>
              <w:tr2bl w:val="nil"/>
            </w:tcBorders>
            <w:shd w:val="clear" w:color="auto" w:fill="auto"/>
            <w:noWrap/>
            <w:vAlign w:val="center"/>
          </w:tcPr>
          <w:p w14:paraId="755DAFC2">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0.460</w:t>
            </w:r>
          </w:p>
        </w:tc>
        <w:tc>
          <w:tcPr>
            <w:tcW w:w="309" w:type="pct"/>
            <w:tcBorders>
              <w:tl2br w:val="nil"/>
              <w:tr2bl w:val="nil"/>
            </w:tcBorders>
            <w:shd w:val="clear" w:color="auto" w:fill="auto"/>
            <w:noWrap/>
            <w:vAlign w:val="center"/>
          </w:tcPr>
          <w:p w14:paraId="3F301DA8">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0.810</w:t>
            </w:r>
          </w:p>
        </w:tc>
        <w:tc>
          <w:tcPr>
            <w:tcW w:w="307" w:type="pct"/>
            <w:tcBorders>
              <w:tl2br w:val="nil"/>
              <w:tr2bl w:val="nil"/>
            </w:tcBorders>
            <w:shd w:val="clear" w:color="auto" w:fill="auto"/>
            <w:noWrap/>
            <w:vAlign w:val="center"/>
          </w:tcPr>
          <w:p w14:paraId="05981EF5">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0.393</w:t>
            </w:r>
          </w:p>
        </w:tc>
        <w:tc>
          <w:tcPr>
            <w:tcW w:w="310" w:type="pct"/>
            <w:tcBorders>
              <w:tl2br w:val="nil"/>
              <w:tr2bl w:val="nil"/>
            </w:tcBorders>
            <w:shd w:val="clear" w:color="auto" w:fill="auto"/>
            <w:noWrap/>
            <w:vAlign w:val="center"/>
          </w:tcPr>
          <w:p w14:paraId="269D374B">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0.513</w:t>
            </w:r>
          </w:p>
        </w:tc>
        <w:tc>
          <w:tcPr>
            <w:tcW w:w="330" w:type="pct"/>
            <w:tcBorders>
              <w:tl2br w:val="nil"/>
              <w:tr2bl w:val="nil"/>
            </w:tcBorders>
            <w:shd w:val="clear" w:color="auto" w:fill="auto"/>
            <w:noWrap/>
            <w:vAlign w:val="center"/>
          </w:tcPr>
          <w:p w14:paraId="334E3A17">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0.540</w:t>
            </w:r>
          </w:p>
        </w:tc>
        <w:tc>
          <w:tcPr>
            <w:tcW w:w="290" w:type="pct"/>
            <w:tcBorders>
              <w:tl2br w:val="nil"/>
              <w:tr2bl w:val="nil"/>
            </w:tcBorders>
            <w:shd w:val="clear" w:color="auto" w:fill="auto"/>
            <w:noWrap/>
            <w:vAlign w:val="center"/>
          </w:tcPr>
          <w:p w14:paraId="28A2293F">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0.880</w:t>
            </w:r>
          </w:p>
        </w:tc>
        <w:tc>
          <w:tcPr>
            <w:tcW w:w="310" w:type="pct"/>
            <w:tcBorders>
              <w:tl2br w:val="nil"/>
              <w:tr2bl w:val="nil"/>
            </w:tcBorders>
            <w:shd w:val="clear" w:color="auto" w:fill="auto"/>
            <w:noWrap/>
            <w:vAlign w:val="center"/>
          </w:tcPr>
          <w:p w14:paraId="72DEF529">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0.920</w:t>
            </w:r>
          </w:p>
        </w:tc>
        <w:tc>
          <w:tcPr>
            <w:tcW w:w="310" w:type="pct"/>
            <w:tcBorders>
              <w:tl2br w:val="nil"/>
              <w:tr2bl w:val="nil"/>
            </w:tcBorders>
            <w:shd w:val="clear" w:color="auto" w:fill="auto"/>
            <w:noWrap/>
            <w:vAlign w:val="center"/>
          </w:tcPr>
          <w:p w14:paraId="57693010">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0.677</w:t>
            </w:r>
          </w:p>
        </w:tc>
        <w:tc>
          <w:tcPr>
            <w:tcW w:w="310" w:type="pct"/>
            <w:tcBorders>
              <w:tl2br w:val="nil"/>
              <w:tr2bl w:val="nil"/>
            </w:tcBorders>
            <w:shd w:val="clear" w:color="auto" w:fill="auto"/>
            <w:noWrap/>
            <w:vAlign w:val="center"/>
          </w:tcPr>
          <w:p w14:paraId="4B619D47">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0.623</w:t>
            </w:r>
          </w:p>
        </w:tc>
        <w:tc>
          <w:tcPr>
            <w:tcW w:w="310" w:type="pct"/>
            <w:tcBorders>
              <w:tl2br w:val="nil"/>
              <w:tr2bl w:val="nil"/>
            </w:tcBorders>
            <w:shd w:val="clear" w:color="auto" w:fill="auto"/>
            <w:noWrap/>
            <w:vAlign w:val="center"/>
          </w:tcPr>
          <w:p w14:paraId="00E77935">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0.623</w:t>
            </w:r>
          </w:p>
        </w:tc>
        <w:tc>
          <w:tcPr>
            <w:tcW w:w="310" w:type="pct"/>
            <w:tcBorders>
              <w:tl2br w:val="nil"/>
              <w:tr2bl w:val="nil"/>
            </w:tcBorders>
            <w:shd w:val="clear" w:color="auto" w:fill="auto"/>
            <w:noWrap/>
            <w:vAlign w:val="center"/>
          </w:tcPr>
          <w:p w14:paraId="2DE25A15">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0.677</w:t>
            </w:r>
          </w:p>
        </w:tc>
        <w:tc>
          <w:tcPr>
            <w:tcW w:w="310" w:type="pct"/>
            <w:tcBorders>
              <w:tl2br w:val="nil"/>
              <w:tr2bl w:val="nil"/>
            </w:tcBorders>
            <w:shd w:val="clear" w:color="auto" w:fill="auto"/>
            <w:noWrap/>
            <w:vAlign w:val="center"/>
          </w:tcPr>
          <w:p w14:paraId="0B3BF17E">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0.623</w:t>
            </w:r>
          </w:p>
        </w:tc>
        <w:tc>
          <w:tcPr>
            <w:tcW w:w="310" w:type="pct"/>
            <w:tcBorders>
              <w:tl2br w:val="nil"/>
              <w:tr2bl w:val="nil"/>
            </w:tcBorders>
            <w:shd w:val="clear" w:color="auto" w:fill="auto"/>
            <w:noWrap/>
            <w:vAlign w:val="center"/>
          </w:tcPr>
          <w:p w14:paraId="1253BB18">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0.690</w:t>
            </w:r>
          </w:p>
        </w:tc>
        <w:tc>
          <w:tcPr>
            <w:tcW w:w="315" w:type="pct"/>
            <w:tcBorders>
              <w:tl2br w:val="nil"/>
              <w:tr2bl w:val="nil"/>
            </w:tcBorders>
            <w:shd w:val="clear" w:color="auto" w:fill="auto"/>
            <w:noWrap/>
            <w:vAlign w:val="center"/>
          </w:tcPr>
          <w:p w14:paraId="3765E47E">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0.973</w:t>
            </w:r>
          </w:p>
        </w:tc>
        <w:tc>
          <w:tcPr>
            <w:tcW w:w="310" w:type="pct"/>
            <w:tcBorders>
              <w:tl2br w:val="nil"/>
              <w:tr2bl w:val="nil"/>
            </w:tcBorders>
            <w:shd w:val="clear" w:color="auto" w:fill="auto"/>
            <w:noWrap/>
            <w:vAlign w:val="center"/>
          </w:tcPr>
          <w:p w14:paraId="455DA30A">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0.880</w:t>
            </w:r>
          </w:p>
        </w:tc>
      </w:tr>
      <w:tr w14:paraId="2C6CAE0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372" w:type="pct"/>
            <w:tcBorders>
              <w:tl2br w:val="nil"/>
              <w:tr2bl w:val="nil"/>
            </w:tcBorders>
            <w:shd w:val="clear" w:color="auto" w:fill="auto"/>
            <w:vAlign w:val="center"/>
          </w:tcPr>
          <w:p w14:paraId="624C0015">
            <w:pPr>
              <w:keepNext w:val="0"/>
              <w:keepLines w:val="0"/>
              <w:widowControl/>
              <w:suppressLineNumbers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氨氮（</w:t>
            </w:r>
            <w:r>
              <w:rPr>
                <w:rFonts w:hint="default" w:ascii="Times New Roman" w:hAnsi="Times New Roman" w:eastAsia="宋体" w:cs="Times New Roman"/>
                <w:color w:val="auto"/>
                <w:sz w:val="21"/>
                <w:szCs w:val="21"/>
                <w:highlight w:val="none"/>
                <w:u w:val="none"/>
                <w:lang w:val="en-US" w:eastAsia="zh-CN" w:bidi="ar"/>
              </w:rPr>
              <w:t>mg/L</w:t>
            </w:r>
            <w:r>
              <w:rPr>
                <w:rFonts w:hint="eastAsia" w:ascii="宋体" w:hAnsi="宋体" w:eastAsia="宋体" w:cs="宋体"/>
                <w:color w:val="auto"/>
                <w:sz w:val="21"/>
                <w:szCs w:val="21"/>
                <w:highlight w:val="none"/>
                <w:u w:val="none"/>
                <w:lang w:val="en-US" w:eastAsia="zh-CN" w:bidi="ar"/>
              </w:rPr>
              <w:t>）</w:t>
            </w:r>
          </w:p>
        </w:tc>
        <w:tc>
          <w:tcPr>
            <w:tcW w:w="281" w:type="pct"/>
            <w:tcBorders>
              <w:tl2br w:val="nil"/>
              <w:tr2bl w:val="nil"/>
            </w:tcBorders>
            <w:shd w:val="clear" w:color="auto" w:fill="auto"/>
            <w:noWrap/>
            <w:vAlign w:val="center"/>
          </w:tcPr>
          <w:p w14:paraId="69F2802F">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0.496</w:t>
            </w:r>
          </w:p>
        </w:tc>
        <w:tc>
          <w:tcPr>
            <w:tcW w:w="309" w:type="pct"/>
            <w:tcBorders>
              <w:tl2br w:val="nil"/>
              <w:tr2bl w:val="nil"/>
            </w:tcBorders>
            <w:shd w:val="clear" w:color="auto" w:fill="auto"/>
            <w:noWrap/>
            <w:vAlign w:val="center"/>
          </w:tcPr>
          <w:p w14:paraId="666CC659">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0.664</w:t>
            </w:r>
          </w:p>
        </w:tc>
        <w:tc>
          <w:tcPr>
            <w:tcW w:w="307" w:type="pct"/>
            <w:tcBorders>
              <w:tl2br w:val="nil"/>
              <w:tr2bl w:val="nil"/>
            </w:tcBorders>
            <w:shd w:val="clear" w:color="auto" w:fill="auto"/>
            <w:noWrap/>
            <w:vAlign w:val="center"/>
          </w:tcPr>
          <w:p w14:paraId="7E60D278">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0.368</w:t>
            </w:r>
          </w:p>
        </w:tc>
        <w:tc>
          <w:tcPr>
            <w:tcW w:w="310" w:type="pct"/>
            <w:tcBorders>
              <w:tl2br w:val="nil"/>
              <w:tr2bl w:val="nil"/>
            </w:tcBorders>
            <w:shd w:val="clear" w:color="auto" w:fill="auto"/>
            <w:noWrap/>
            <w:vAlign w:val="center"/>
          </w:tcPr>
          <w:p w14:paraId="4F5D56A6">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0.300</w:t>
            </w:r>
          </w:p>
        </w:tc>
        <w:tc>
          <w:tcPr>
            <w:tcW w:w="330" w:type="pct"/>
            <w:tcBorders>
              <w:tl2br w:val="nil"/>
              <w:tr2bl w:val="nil"/>
            </w:tcBorders>
            <w:shd w:val="clear" w:color="auto" w:fill="auto"/>
            <w:noWrap/>
            <w:vAlign w:val="center"/>
          </w:tcPr>
          <w:p w14:paraId="530A1BE7">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0.276</w:t>
            </w:r>
          </w:p>
        </w:tc>
        <w:tc>
          <w:tcPr>
            <w:tcW w:w="290" w:type="pct"/>
            <w:tcBorders>
              <w:tl2br w:val="nil"/>
              <w:tr2bl w:val="nil"/>
            </w:tcBorders>
            <w:shd w:val="clear" w:color="auto" w:fill="auto"/>
            <w:noWrap/>
            <w:vAlign w:val="center"/>
          </w:tcPr>
          <w:p w14:paraId="01074189">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0.932</w:t>
            </w:r>
          </w:p>
        </w:tc>
        <w:tc>
          <w:tcPr>
            <w:tcW w:w="310" w:type="pct"/>
            <w:tcBorders>
              <w:tl2br w:val="nil"/>
              <w:tr2bl w:val="nil"/>
            </w:tcBorders>
            <w:shd w:val="clear" w:color="auto" w:fill="auto"/>
            <w:noWrap/>
            <w:vAlign w:val="center"/>
          </w:tcPr>
          <w:p w14:paraId="07C01E12">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0.450</w:t>
            </w:r>
          </w:p>
        </w:tc>
        <w:tc>
          <w:tcPr>
            <w:tcW w:w="310" w:type="pct"/>
            <w:tcBorders>
              <w:tl2br w:val="nil"/>
              <w:tr2bl w:val="nil"/>
            </w:tcBorders>
            <w:shd w:val="clear" w:color="auto" w:fill="auto"/>
            <w:noWrap/>
            <w:vAlign w:val="center"/>
          </w:tcPr>
          <w:p w14:paraId="517250F2">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0.404</w:t>
            </w:r>
          </w:p>
        </w:tc>
        <w:tc>
          <w:tcPr>
            <w:tcW w:w="310" w:type="pct"/>
            <w:tcBorders>
              <w:tl2br w:val="nil"/>
              <w:tr2bl w:val="nil"/>
            </w:tcBorders>
            <w:shd w:val="clear" w:color="auto" w:fill="auto"/>
            <w:noWrap/>
            <w:vAlign w:val="center"/>
          </w:tcPr>
          <w:p w14:paraId="1FCCF8DD">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0.502</w:t>
            </w:r>
          </w:p>
        </w:tc>
        <w:tc>
          <w:tcPr>
            <w:tcW w:w="310" w:type="pct"/>
            <w:tcBorders>
              <w:tl2br w:val="nil"/>
              <w:tr2bl w:val="nil"/>
            </w:tcBorders>
            <w:shd w:val="clear" w:color="auto" w:fill="auto"/>
            <w:noWrap/>
            <w:vAlign w:val="center"/>
          </w:tcPr>
          <w:p w14:paraId="0354F156">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0.426</w:t>
            </w:r>
          </w:p>
        </w:tc>
        <w:tc>
          <w:tcPr>
            <w:tcW w:w="310" w:type="pct"/>
            <w:tcBorders>
              <w:tl2br w:val="nil"/>
              <w:tr2bl w:val="nil"/>
            </w:tcBorders>
            <w:shd w:val="clear" w:color="auto" w:fill="auto"/>
            <w:noWrap/>
            <w:vAlign w:val="center"/>
          </w:tcPr>
          <w:p w14:paraId="486E39CC">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0.700</w:t>
            </w:r>
          </w:p>
        </w:tc>
        <w:tc>
          <w:tcPr>
            <w:tcW w:w="310" w:type="pct"/>
            <w:tcBorders>
              <w:tl2br w:val="nil"/>
              <w:tr2bl w:val="nil"/>
            </w:tcBorders>
            <w:shd w:val="clear" w:color="auto" w:fill="auto"/>
            <w:noWrap/>
            <w:vAlign w:val="center"/>
          </w:tcPr>
          <w:p w14:paraId="18D64F92">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0.978</w:t>
            </w:r>
          </w:p>
        </w:tc>
        <w:tc>
          <w:tcPr>
            <w:tcW w:w="310" w:type="pct"/>
            <w:tcBorders>
              <w:tl2br w:val="nil"/>
              <w:tr2bl w:val="nil"/>
            </w:tcBorders>
            <w:shd w:val="clear" w:color="auto" w:fill="auto"/>
            <w:noWrap/>
            <w:vAlign w:val="center"/>
          </w:tcPr>
          <w:p w14:paraId="036F32FD">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0.884</w:t>
            </w:r>
          </w:p>
        </w:tc>
        <w:tc>
          <w:tcPr>
            <w:tcW w:w="315" w:type="pct"/>
            <w:tcBorders>
              <w:tl2br w:val="nil"/>
              <w:tr2bl w:val="nil"/>
            </w:tcBorders>
            <w:shd w:val="clear" w:color="auto" w:fill="auto"/>
            <w:noWrap/>
            <w:vAlign w:val="center"/>
          </w:tcPr>
          <w:p w14:paraId="122EBAE0">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0.978</w:t>
            </w:r>
          </w:p>
        </w:tc>
        <w:tc>
          <w:tcPr>
            <w:tcW w:w="310" w:type="pct"/>
            <w:tcBorders>
              <w:tl2br w:val="nil"/>
              <w:tr2bl w:val="nil"/>
            </w:tcBorders>
            <w:shd w:val="clear" w:color="auto" w:fill="auto"/>
            <w:noWrap/>
            <w:vAlign w:val="center"/>
          </w:tcPr>
          <w:p w14:paraId="1E7CF2DC">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0.896</w:t>
            </w:r>
          </w:p>
        </w:tc>
      </w:tr>
      <w:tr w14:paraId="0E47529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372" w:type="pct"/>
            <w:tcBorders>
              <w:tl2br w:val="nil"/>
              <w:tr2bl w:val="nil"/>
            </w:tcBorders>
            <w:shd w:val="clear" w:color="auto" w:fill="auto"/>
            <w:vAlign w:val="center"/>
          </w:tcPr>
          <w:p w14:paraId="33509BC1">
            <w:pPr>
              <w:keepNext w:val="0"/>
              <w:keepLines w:val="0"/>
              <w:widowControl/>
              <w:suppressLineNumbers w:val="0"/>
              <w:spacing w:line="240" w:lineRule="auto"/>
              <w:ind w:firstLine="0" w:firstLineChars="0"/>
              <w:jc w:val="center"/>
              <w:textAlignment w:val="center"/>
              <w:rPr>
                <w:rFonts w:hint="eastAsia" w:ascii="宋体" w:hAnsi="宋体" w:eastAsia="宋体" w:cs="宋体"/>
                <w:i w:val="0"/>
                <w:iCs w:val="0"/>
                <w:color w:val="auto"/>
                <w:kern w:val="2"/>
                <w:sz w:val="21"/>
                <w:szCs w:val="21"/>
                <w:highlight w:val="none"/>
                <w:u w:val="none"/>
                <w:lang w:val="en-US" w:eastAsia="zh-CN" w:bidi="ar-SA"/>
              </w:rPr>
            </w:pPr>
            <w:r>
              <w:rPr>
                <w:rFonts w:hint="eastAsia" w:ascii="宋体" w:hAnsi="宋体" w:eastAsia="宋体" w:cs="宋体"/>
                <w:i w:val="0"/>
                <w:iCs w:val="0"/>
                <w:color w:val="auto"/>
                <w:kern w:val="0"/>
                <w:sz w:val="21"/>
                <w:szCs w:val="21"/>
                <w:highlight w:val="none"/>
                <w:u w:val="none"/>
                <w:lang w:val="en-US" w:eastAsia="zh-CN" w:bidi="ar"/>
              </w:rPr>
              <w:t>亚硝酸盐（以</w:t>
            </w:r>
            <w:r>
              <w:rPr>
                <w:rFonts w:hint="default" w:ascii="Times New Roman" w:hAnsi="Times New Roman" w:eastAsia="宋体" w:cs="Times New Roman"/>
                <w:color w:val="auto"/>
                <w:sz w:val="21"/>
                <w:szCs w:val="21"/>
                <w:highlight w:val="none"/>
                <w:u w:val="none"/>
                <w:lang w:val="en-US" w:eastAsia="zh-CN" w:bidi="ar"/>
              </w:rPr>
              <w:t>N</w:t>
            </w:r>
            <w:r>
              <w:rPr>
                <w:rFonts w:hint="eastAsia" w:ascii="宋体" w:hAnsi="宋体" w:eastAsia="宋体" w:cs="宋体"/>
                <w:color w:val="auto"/>
                <w:sz w:val="21"/>
                <w:szCs w:val="21"/>
                <w:highlight w:val="none"/>
                <w:u w:val="none"/>
                <w:lang w:val="en-US" w:eastAsia="zh-CN" w:bidi="ar"/>
              </w:rPr>
              <w:t>计）（</w:t>
            </w:r>
            <w:r>
              <w:rPr>
                <w:rFonts w:hint="default" w:ascii="Times New Roman" w:hAnsi="Times New Roman" w:eastAsia="宋体" w:cs="Times New Roman"/>
                <w:color w:val="auto"/>
                <w:sz w:val="21"/>
                <w:szCs w:val="21"/>
                <w:highlight w:val="none"/>
                <w:u w:val="none"/>
                <w:lang w:val="en-US" w:eastAsia="zh-CN" w:bidi="ar"/>
              </w:rPr>
              <w:t>mg/L</w:t>
            </w:r>
            <w:r>
              <w:rPr>
                <w:rFonts w:hint="eastAsia" w:ascii="宋体" w:hAnsi="宋体" w:eastAsia="宋体" w:cs="宋体"/>
                <w:color w:val="auto"/>
                <w:sz w:val="21"/>
                <w:szCs w:val="21"/>
                <w:highlight w:val="none"/>
                <w:u w:val="none"/>
                <w:lang w:val="en-US" w:eastAsia="zh-CN" w:bidi="ar"/>
              </w:rPr>
              <w:t>）</w:t>
            </w:r>
          </w:p>
        </w:tc>
        <w:tc>
          <w:tcPr>
            <w:tcW w:w="281" w:type="pct"/>
            <w:tcBorders>
              <w:tl2br w:val="nil"/>
              <w:tr2bl w:val="nil"/>
            </w:tcBorders>
            <w:shd w:val="clear" w:color="auto" w:fill="auto"/>
            <w:noWrap/>
            <w:vAlign w:val="center"/>
          </w:tcPr>
          <w:p w14:paraId="5DB4ADBC">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0.005</w:t>
            </w:r>
          </w:p>
        </w:tc>
        <w:tc>
          <w:tcPr>
            <w:tcW w:w="309" w:type="pct"/>
            <w:tcBorders>
              <w:tl2br w:val="nil"/>
              <w:tr2bl w:val="nil"/>
            </w:tcBorders>
            <w:shd w:val="clear" w:color="auto" w:fill="auto"/>
            <w:noWrap/>
            <w:vAlign w:val="center"/>
          </w:tcPr>
          <w:p w14:paraId="28231E92">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07" w:type="pct"/>
            <w:tcBorders>
              <w:tl2br w:val="nil"/>
              <w:tr2bl w:val="nil"/>
            </w:tcBorders>
            <w:shd w:val="clear" w:color="auto" w:fill="auto"/>
            <w:noWrap/>
            <w:vAlign w:val="center"/>
          </w:tcPr>
          <w:p w14:paraId="7DBB375C">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0.009</w:t>
            </w:r>
          </w:p>
        </w:tc>
        <w:tc>
          <w:tcPr>
            <w:tcW w:w="310" w:type="pct"/>
            <w:tcBorders>
              <w:tl2br w:val="nil"/>
              <w:tr2bl w:val="nil"/>
            </w:tcBorders>
            <w:shd w:val="clear" w:color="auto" w:fill="auto"/>
            <w:noWrap/>
            <w:vAlign w:val="center"/>
          </w:tcPr>
          <w:p w14:paraId="0346E1D1">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0.010</w:t>
            </w:r>
          </w:p>
        </w:tc>
        <w:tc>
          <w:tcPr>
            <w:tcW w:w="330" w:type="pct"/>
            <w:tcBorders>
              <w:tl2br w:val="nil"/>
              <w:tr2bl w:val="nil"/>
            </w:tcBorders>
            <w:shd w:val="clear" w:color="auto" w:fill="auto"/>
            <w:noWrap/>
            <w:vAlign w:val="center"/>
          </w:tcPr>
          <w:p w14:paraId="7BA0DD16">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0.011</w:t>
            </w:r>
          </w:p>
        </w:tc>
        <w:tc>
          <w:tcPr>
            <w:tcW w:w="290" w:type="pct"/>
            <w:tcBorders>
              <w:tl2br w:val="nil"/>
              <w:tr2bl w:val="nil"/>
            </w:tcBorders>
            <w:shd w:val="clear" w:color="auto" w:fill="auto"/>
            <w:noWrap/>
            <w:vAlign w:val="center"/>
          </w:tcPr>
          <w:p w14:paraId="0FA307DB">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10" w:type="pct"/>
            <w:tcBorders>
              <w:tl2br w:val="nil"/>
              <w:tr2bl w:val="nil"/>
            </w:tcBorders>
            <w:shd w:val="clear" w:color="auto" w:fill="auto"/>
            <w:noWrap/>
            <w:vAlign w:val="center"/>
          </w:tcPr>
          <w:p w14:paraId="2A891B32">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10" w:type="pct"/>
            <w:tcBorders>
              <w:tl2br w:val="nil"/>
              <w:tr2bl w:val="nil"/>
            </w:tcBorders>
            <w:shd w:val="clear" w:color="auto" w:fill="auto"/>
            <w:noWrap/>
            <w:vAlign w:val="center"/>
          </w:tcPr>
          <w:p w14:paraId="1E4D6170">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10" w:type="pct"/>
            <w:tcBorders>
              <w:tl2br w:val="nil"/>
              <w:tr2bl w:val="nil"/>
            </w:tcBorders>
            <w:shd w:val="clear" w:color="auto" w:fill="auto"/>
            <w:noWrap/>
            <w:vAlign w:val="center"/>
          </w:tcPr>
          <w:p w14:paraId="17136C17">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10" w:type="pct"/>
            <w:tcBorders>
              <w:tl2br w:val="nil"/>
              <w:tr2bl w:val="nil"/>
            </w:tcBorders>
            <w:shd w:val="clear" w:color="auto" w:fill="auto"/>
            <w:noWrap/>
            <w:vAlign w:val="center"/>
          </w:tcPr>
          <w:p w14:paraId="512F4C56">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10" w:type="pct"/>
            <w:tcBorders>
              <w:tl2br w:val="nil"/>
              <w:tr2bl w:val="nil"/>
            </w:tcBorders>
            <w:shd w:val="clear" w:color="auto" w:fill="auto"/>
            <w:noWrap/>
            <w:vAlign w:val="center"/>
          </w:tcPr>
          <w:p w14:paraId="00CF1F0B">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10" w:type="pct"/>
            <w:tcBorders>
              <w:tl2br w:val="nil"/>
              <w:tr2bl w:val="nil"/>
            </w:tcBorders>
            <w:shd w:val="clear" w:color="auto" w:fill="auto"/>
            <w:noWrap/>
            <w:vAlign w:val="center"/>
          </w:tcPr>
          <w:p w14:paraId="3C9828B4">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10" w:type="pct"/>
            <w:tcBorders>
              <w:tl2br w:val="nil"/>
              <w:tr2bl w:val="nil"/>
            </w:tcBorders>
            <w:shd w:val="clear" w:color="auto" w:fill="auto"/>
            <w:noWrap/>
            <w:vAlign w:val="center"/>
          </w:tcPr>
          <w:p w14:paraId="5671CDB2">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15" w:type="pct"/>
            <w:tcBorders>
              <w:tl2br w:val="nil"/>
              <w:tr2bl w:val="nil"/>
            </w:tcBorders>
            <w:shd w:val="clear" w:color="auto" w:fill="auto"/>
            <w:noWrap/>
            <w:vAlign w:val="center"/>
          </w:tcPr>
          <w:p w14:paraId="4074CA8B">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0.003</w:t>
            </w:r>
          </w:p>
        </w:tc>
        <w:tc>
          <w:tcPr>
            <w:tcW w:w="310" w:type="pct"/>
            <w:tcBorders>
              <w:tl2br w:val="nil"/>
              <w:tr2bl w:val="nil"/>
            </w:tcBorders>
            <w:shd w:val="clear" w:color="auto" w:fill="auto"/>
            <w:noWrap/>
            <w:vAlign w:val="center"/>
          </w:tcPr>
          <w:p w14:paraId="7905E251">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r>
      <w:tr w14:paraId="7FAF8B5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372" w:type="pct"/>
            <w:tcBorders>
              <w:tl2br w:val="nil"/>
              <w:tr2bl w:val="nil"/>
            </w:tcBorders>
            <w:shd w:val="clear" w:color="auto" w:fill="auto"/>
            <w:vAlign w:val="center"/>
          </w:tcPr>
          <w:p w14:paraId="3352C119">
            <w:pPr>
              <w:keepNext w:val="0"/>
              <w:keepLines w:val="0"/>
              <w:widowControl/>
              <w:suppressLineNumbers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硝酸盐氮（</w:t>
            </w:r>
            <w:r>
              <w:rPr>
                <w:rFonts w:hint="default" w:ascii="Times New Roman" w:hAnsi="Times New Roman" w:eastAsia="宋体" w:cs="Times New Roman"/>
                <w:color w:val="auto"/>
                <w:sz w:val="21"/>
                <w:szCs w:val="21"/>
                <w:highlight w:val="none"/>
                <w:u w:val="none"/>
                <w:lang w:val="en-US" w:eastAsia="zh-CN" w:bidi="ar"/>
              </w:rPr>
              <w:t>mg/L</w:t>
            </w:r>
            <w:r>
              <w:rPr>
                <w:rFonts w:hint="eastAsia" w:ascii="宋体" w:hAnsi="宋体" w:eastAsia="宋体" w:cs="宋体"/>
                <w:color w:val="auto"/>
                <w:sz w:val="21"/>
                <w:szCs w:val="21"/>
                <w:highlight w:val="none"/>
                <w:u w:val="none"/>
                <w:lang w:val="en-US" w:eastAsia="zh-CN" w:bidi="ar"/>
              </w:rPr>
              <w:t>）</w:t>
            </w:r>
          </w:p>
        </w:tc>
        <w:tc>
          <w:tcPr>
            <w:tcW w:w="281" w:type="pct"/>
            <w:tcBorders>
              <w:tl2br w:val="nil"/>
              <w:tr2bl w:val="nil"/>
            </w:tcBorders>
            <w:shd w:val="clear" w:color="auto" w:fill="auto"/>
            <w:noWrap/>
            <w:vAlign w:val="center"/>
          </w:tcPr>
          <w:p w14:paraId="565DF938">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0.015</w:t>
            </w:r>
          </w:p>
        </w:tc>
        <w:tc>
          <w:tcPr>
            <w:tcW w:w="309" w:type="pct"/>
            <w:tcBorders>
              <w:tl2br w:val="nil"/>
              <w:tr2bl w:val="nil"/>
            </w:tcBorders>
            <w:shd w:val="clear" w:color="auto" w:fill="auto"/>
            <w:noWrap/>
            <w:vAlign w:val="center"/>
          </w:tcPr>
          <w:p w14:paraId="4BA0FA75">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0.016</w:t>
            </w:r>
          </w:p>
        </w:tc>
        <w:tc>
          <w:tcPr>
            <w:tcW w:w="307" w:type="pct"/>
            <w:tcBorders>
              <w:tl2br w:val="nil"/>
              <w:tr2bl w:val="nil"/>
            </w:tcBorders>
            <w:shd w:val="clear" w:color="auto" w:fill="auto"/>
            <w:noWrap/>
            <w:vAlign w:val="center"/>
          </w:tcPr>
          <w:p w14:paraId="1DB74D5A">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0.020</w:t>
            </w:r>
          </w:p>
        </w:tc>
        <w:tc>
          <w:tcPr>
            <w:tcW w:w="310" w:type="pct"/>
            <w:tcBorders>
              <w:tl2br w:val="nil"/>
              <w:tr2bl w:val="nil"/>
            </w:tcBorders>
            <w:shd w:val="clear" w:color="auto" w:fill="auto"/>
            <w:noWrap/>
            <w:vAlign w:val="center"/>
          </w:tcPr>
          <w:p w14:paraId="52B1B330">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0.014</w:t>
            </w:r>
          </w:p>
        </w:tc>
        <w:tc>
          <w:tcPr>
            <w:tcW w:w="330" w:type="pct"/>
            <w:tcBorders>
              <w:tl2br w:val="nil"/>
              <w:tr2bl w:val="nil"/>
            </w:tcBorders>
            <w:shd w:val="clear" w:color="auto" w:fill="auto"/>
            <w:noWrap/>
            <w:vAlign w:val="center"/>
          </w:tcPr>
          <w:p w14:paraId="4C224573">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0.025</w:t>
            </w:r>
          </w:p>
        </w:tc>
        <w:tc>
          <w:tcPr>
            <w:tcW w:w="290" w:type="pct"/>
            <w:tcBorders>
              <w:tl2br w:val="nil"/>
              <w:tr2bl w:val="nil"/>
            </w:tcBorders>
            <w:shd w:val="clear" w:color="auto" w:fill="auto"/>
            <w:noWrap/>
            <w:vAlign w:val="center"/>
          </w:tcPr>
          <w:p w14:paraId="422B5712">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0.019</w:t>
            </w:r>
          </w:p>
        </w:tc>
        <w:tc>
          <w:tcPr>
            <w:tcW w:w="310" w:type="pct"/>
            <w:tcBorders>
              <w:tl2br w:val="nil"/>
              <w:tr2bl w:val="nil"/>
            </w:tcBorders>
            <w:shd w:val="clear" w:color="auto" w:fill="auto"/>
            <w:noWrap/>
            <w:vAlign w:val="center"/>
          </w:tcPr>
          <w:p w14:paraId="1259F35F">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10" w:type="pct"/>
            <w:tcBorders>
              <w:tl2br w:val="nil"/>
              <w:tr2bl w:val="nil"/>
            </w:tcBorders>
            <w:shd w:val="clear" w:color="auto" w:fill="auto"/>
            <w:noWrap/>
            <w:vAlign w:val="center"/>
          </w:tcPr>
          <w:p w14:paraId="48FF0E3E">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0.014</w:t>
            </w:r>
          </w:p>
        </w:tc>
        <w:tc>
          <w:tcPr>
            <w:tcW w:w="310" w:type="pct"/>
            <w:tcBorders>
              <w:tl2br w:val="nil"/>
              <w:tr2bl w:val="nil"/>
            </w:tcBorders>
            <w:shd w:val="clear" w:color="auto" w:fill="auto"/>
            <w:noWrap/>
            <w:vAlign w:val="center"/>
          </w:tcPr>
          <w:p w14:paraId="1E13B9DD">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0.013</w:t>
            </w:r>
          </w:p>
        </w:tc>
        <w:tc>
          <w:tcPr>
            <w:tcW w:w="310" w:type="pct"/>
            <w:tcBorders>
              <w:tl2br w:val="nil"/>
              <w:tr2bl w:val="nil"/>
            </w:tcBorders>
            <w:shd w:val="clear" w:color="auto" w:fill="auto"/>
            <w:noWrap/>
            <w:vAlign w:val="center"/>
          </w:tcPr>
          <w:p w14:paraId="320640C5">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0.035</w:t>
            </w:r>
          </w:p>
        </w:tc>
        <w:tc>
          <w:tcPr>
            <w:tcW w:w="310" w:type="pct"/>
            <w:tcBorders>
              <w:tl2br w:val="nil"/>
              <w:tr2bl w:val="nil"/>
            </w:tcBorders>
            <w:shd w:val="clear" w:color="auto" w:fill="auto"/>
            <w:noWrap/>
            <w:vAlign w:val="center"/>
          </w:tcPr>
          <w:p w14:paraId="45CF9707">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0.020</w:t>
            </w:r>
          </w:p>
        </w:tc>
        <w:tc>
          <w:tcPr>
            <w:tcW w:w="310" w:type="pct"/>
            <w:tcBorders>
              <w:tl2br w:val="nil"/>
              <w:tr2bl w:val="nil"/>
            </w:tcBorders>
            <w:shd w:val="clear" w:color="auto" w:fill="auto"/>
            <w:noWrap/>
            <w:vAlign w:val="center"/>
          </w:tcPr>
          <w:p w14:paraId="4E9EE169">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0.025</w:t>
            </w:r>
          </w:p>
        </w:tc>
        <w:tc>
          <w:tcPr>
            <w:tcW w:w="310" w:type="pct"/>
            <w:tcBorders>
              <w:tl2br w:val="nil"/>
              <w:tr2bl w:val="nil"/>
            </w:tcBorders>
            <w:shd w:val="clear" w:color="auto" w:fill="auto"/>
            <w:noWrap/>
            <w:vAlign w:val="center"/>
          </w:tcPr>
          <w:p w14:paraId="343A9102">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0.017</w:t>
            </w:r>
          </w:p>
        </w:tc>
        <w:tc>
          <w:tcPr>
            <w:tcW w:w="315" w:type="pct"/>
            <w:tcBorders>
              <w:tl2br w:val="nil"/>
              <w:tr2bl w:val="nil"/>
            </w:tcBorders>
            <w:shd w:val="clear" w:color="auto" w:fill="auto"/>
            <w:noWrap/>
            <w:vAlign w:val="center"/>
          </w:tcPr>
          <w:p w14:paraId="51669013">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0.048</w:t>
            </w:r>
          </w:p>
        </w:tc>
        <w:tc>
          <w:tcPr>
            <w:tcW w:w="310" w:type="pct"/>
            <w:tcBorders>
              <w:tl2br w:val="nil"/>
              <w:tr2bl w:val="nil"/>
            </w:tcBorders>
            <w:shd w:val="clear" w:color="auto" w:fill="auto"/>
            <w:noWrap/>
            <w:vAlign w:val="center"/>
          </w:tcPr>
          <w:p w14:paraId="5289DAAB">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0.048</w:t>
            </w:r>
          </w:p>
        </w:tc>
      </w:tr>
      <w:tr w14:paraId="550436D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372" w:type="pct"/>
            <w:tcBorders>
              <w:tl2br w:val="nil"/>
              <w:tr2bl w:val="nil"/>
            </w:tcBorders>
            <w:shd w:val="clear" w:color="auto" w:fill="auto"/>
            <w:vAlign w:val="center"/>
          </w:tcPr>
          <w:p w14:paraId="74A5FE25">
            <w:pPr>
              <w:keepNext w:val="0"/>
              <w:keepLines w:val="0"/>
              <w:widowControl/>
              <w:suppressLineNumbers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氟化物</w:t>
            </w:r>
            <w:r>
              <w:rPr>
                <w:rFonts w:hint="eastAsia" w:ascii="宋体" w:hAnsi="宋体" w:eastAsia="宋体" w:cs="宋体"/>
                <w:color w:val="auto"/>
                <w:sz w:val="21"/>
                <w:szCs w:val="21"/>
                <w:highlight w:val="none"/>
                <w:u w:val="none"/>
                <w:lang w:val="en-US" w:eastAsia="zh-CN" w:bidi="ar"/>
              </w:rPr>
              <w:t>（</w:t>
            </w:r>
            <w:r>
              <w:rPr>
                <w:rFonts w:hint="default" w:ascii="Times New Roman" w:hAnsi="Times New Roman" w:eastAsia="宋体" w:cs="Times New Roman"/>
                <w:color w:val="auto"/>
                <w:sz w:val="21"/>
                <w:szCs w:val="21"/>
                <w:highlight w:val="none"/>
                <w:u w:val="none"/>
                <w:lang w:val="en-US" w:eastAsia="zh-CN" w:bidi="ar"/>
              </w:rPr>
              <w:t>mg/L</w:t>
            </w:r>
            <w:r>
              <w:rPr>
                <w:rFonts w:hint="eastAsia" w:ascii="宋体" w:hAnsi="宋体" w:eastAsia="宋体" w:cs="宋体"/>
                <w:color w:val="auto"/>
                <w:sz w:val="21"/>
                <w:szCs w:val="21"/>
                <w:highlight w:val="none"/>
                <w:u w:val="none"/>
                <w:lang w:val="en-US" w:eastAsia="zh-CN" w:bidi="ar"/>
              </w:rPr>
              <w:t>）</w:t>
            </w:r>
          </w:p>
        </w:tc>
        <w:tc>
          <w:tcPr>
            <w:tcW w:w="281" w:type="pct"/>
            <w:tcBorders>
              <w:tl2br w:val="nil"/>
              <w:tr2bl w:val="nil"/>
            </w:tcBorders>
            <w:shd w:val="clear" w:color="auto" w:fill="auto"/>
            <w:noWrap/>
            <w:vAlign w:val="center"/>
          </w:tcPr>
          <w:p w14:paraId="7D438617">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0.100</w:t>
            </w:r>
          </w:p>
        </w:tc>
        <w:tc>
          <w:tcPr>
            <w:tcW w:w="309" w:type="pct"/>
            <w:tcBorders>
              <w:tl2br w:val="nil"/>
              <w:tr2bl w:val="nil"/>
            </w:tcBorders>
            <w:shd w:val="clear" w:color="auto" w:fill="auto"/>
            <w:noWrap/>
            <w:vAlign w:val="center"/>
          </w:tcPr>
          <w:p w14:paraId="37720BAC">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0.080</w:t>
            </w:r>
          </w:p>
        </w:tc>
        <w:tc>
          <w:tcPr>
            <w:tcW w:w="307" w:type="pct"/>
            <w:tcBorders>
              <w:tl2br w:val="nil"/>
              <w:tr2bl w:val="nil"/>
            </w:tcBorders>
            <w:shd w:val="clear" w:color="auto" w:fill="auto"/>
            <w:noWrap/>
            <w:vAlign w:val="center"/>
          </w:tcPr>
          <w:p w14:paraId="596B863A">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0.120</w:t>
            </w:r>
          </w:p>
        </w:tc>
        <w:tc>
          <w:tcPr>
            <w:tcW w:w="310" w:type="pct"/>
            <w:tcBorders>
              <w:tl2br w:val="nil"/>
              <w:tr2bl w:val="nil"/>
            </w:tcBorders>
            <w:shd w:val="clear" w:color="auto" w:fill="auto"/>
            <w:noWrap/>
            <w:vAlign w:val="center"/>
          </w:tcPr>
          <w:p w14:paraId="78CD7D19">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0.120</w:t>
            </w:r>
          </w:p>
        </w:tc>
        <w:tc>
          <w:tcPr>
            <w:tcW w:w="330" w:type="pct"/>
            <w:tcBorders>
              <w:tl2br w:val="nil"/>
              <w:tr2bl w:val="nil"/>
            </w:tcBorders>
            <w:shd w:val="clear" w:color="auto" w:fill="auto"/>
            <w:noWrap/>
            <w:vAlign w:val="center"/>
          </w:tcPr>
          <w:p w14:paraId="1661ACC6">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0.120</w:t>
            </w:r>
          </w:p>
        </w:tc>
        <w:tc>
          <w:tcPr>
            <w:tcW w:w="290" w:type="pct"/>
            <w:tcBorders>
              <w:tl2br w:val="nil"/>
              <w:tr2bl w:val="nil"/>
            </w:tcBorders>
            <w:shd w:val="clear" w:color="auto" w:fill="auto"/>
            <w:noWrap/>
            <w:vAlign w:val="center"/>
          </w:tcPr>
          <w:p w14:paraId="31C4C16A">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0.060</w:t>
            </w:r>
          </w:p>
        </w:tc>
        <w:tc>
          <w:tcPr>
            <w:tcW w:w="310" w:type="pct"/>
            <w:tcBorders>
              <w:tl2br w:val="nil"/>
              <w:tr2bl w:val="nil"/>
            </w:tcBorders>
            <w:shd w:val="clear" w:color="auto" w:fill="auto"/>
            <w:noWrap/>
            <w:vAlign w:val="center"/>
          </w:tcPr>
          <w:p w14:paraId="57974174">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0.130</w:t>
            </w:r>
          </w:p>
        </w:tc>
        <w:tc>
          <w:tcPr>
            <w:tcW w:w="310" w:type="pct"/>
            <w:tcBorders>
              <w:tl2br w:val="nil"/>
              <w:tr2bl w:val="nil"/>
            </w:tcBorders>
            <w:shd w:val="clear" w:color="auto" w:fill="auto"/>
            <w:noWrap/>
            <w:vAlign w:val="center"/>
          </w:tcPr>
          <w:p w14:paraId="75643B7E">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0.080</w:t>
            </w:r>
          </w:p>
        </w:tc>
        <w:tc>
          <w:tcPr>
            <w:tcW w:w="310" w:type="pct"/>
            <w:tcBorders>
              <w:tl2br w:val="nil"/>
              <w:tr2bl w:val="nil"/>
            </w:tcBorders>
            <w:shd w:val="clear" w:color="auto" w:fill="auto"/>
            <w:noWrap/>
            <w:vAlign w:val="center"/>
          </w:tcPr>
          <w:p w14:paraId="078AF0AC">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0.080</w:t>
            </w:r>
          </w:p>
        </w:tc>
        <w:tc>
          <w:tcPr>
            <w:tcW w:w="310" w:type="pct"/>
            <w:tcBorders>
              <w:tl2br w:val="nil"/>
              <w:tr2bl w:val="nil"/>
            </w:tcBorders>
            <w:shd w:val="clear" w:color="auto" w:fill="auto"/>
            <w:noWrap/>
            <w:vAlign w:val="center"/>
          </w:tcPr>
          <w:p w14:paraId="104B19F4">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0.100</w:t>
            </w:r>
          </w:p>
        </w:tc>
        <w:tc>
          <w:tcPr>
            <w:tcW w:w="310" w:type="pct"/>
            <w:tcBorders>
              <w:tl2br w:val="nil"/>
              <w:tr2bl w:val="nil"/>
            </w:tcBorders>
            <w:shd w:val="clear" w:color="auto" w:fill="auto"/>
            <w:noWrap/>
            <w:vAlign w:val="center"/>
          </w:tcPr>
          <w:p w14:paraId="621A2C18">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0.070</w:t>
            </w:r>
          </w:p>
        </w:tc>
        <w:tc>
          <w:tcPr>
            <w:tcW w:w="310" w:type="pct"/>
            <w:tcBorders>
              <w:tl2br w:val="nil"/>
              <w:tr2bl w:val="nil"/>
            </w:tcBorders>
            <w:shd w:val="clear" w:color="auto" w:fill="auto"/>
            <w:noWrap/>
            <w:vAlign w:val="center"/>
          </w:tcPr>
          <w:p w14:paraId="2AA0CDCC">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0.060</w:t>
            </w:r>
          </w:p>
        </w:tc>
        <w:tc>
          <w:tcPr>
            <w:tcW w:w="310" w:type="pct"/>
            <w:tcBorders>
              <w:tl2br w:val="nil"/>
              <w:tr2bl w:val="nil"/>
            </w:tcBorders>
            <w:shd w:val="clear" w:color="auto" w:fill="auto"/>
            <w:noWrap/>
            <w:vAlign w:val="center"/>
          </w:tcPr>
          <w:p w14:paraId="7DE22C5A">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0.100</w:t>
            </w:r>
          </w:p>
        </w:tc>
        <w:tc>
          <w:tcPr>
            <w:tcW w:w="315" w:type="pct"/>
            <w:tcBorders>
              <w:tl2br w:val="nil"/>
              <w:tr2bl w:val="nil"/>
            </w:tcBorders>
            <w:shd w:val="clear" w:color="auto" w:fill="auto"/>
            <w:noWrap/>
            <w:vAlign w:val="center"/>
          </w:tcPr>
          <w:p w14:paraId="034B7658">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0.150</w:t>
            </w:r>
          </w:p>
        </w:tc>
        <w:tc>
          <w:tcPr>
            <w:tcW w:w="310" w:type="pct"/>
            <w:tcBorders>
              <w:tl2br w:val="nil"/>
              <w:tr2bl w:val="nil"/>
            </w:tcBorders>
            <w:shd w:val="clear" w:color="auto" w:fill="auto"/>
            <w:noWrap/>
            <w:vAlign w:val="center"/>
          </w:tcPr>
          <w:p w14:paraId="1A0367AB">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0.150</w:t>
            </w:r>
          </w:p>
        </w:tc>
      </w:tr>
      <w:tr w14:paraId="3901AF3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372" w:type="pct"/>
            <w:tcBorders>
              <w:tl2br w:val="nil"/>
              <w:tr2bl w:val="nil"/>
            </w:tcBorders>
            <w:shd w:val="clear" w:color="auto" w:fill="auto"/>
            <w:vAlign w:val="center"/>
          </w:tcPr>
          <w:p w14:paraId="417AD09E">
            <w:pPr>
              <w:keepNext w:val="0"/>
              <w:keepLines w:val="0"/>
              <w:widowControl/>
              <w:suppressLineNumbers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砷（</w:t>
            </w:r>
            <w:r>
              <w:rPr>
                <w:rFonts w:hint="default" w:ascii="Times New Roman" w:hAnsi="Times New Roman" w:eastAsia="宋体" w:cs="Times New Roman"/>
                <w:color w:val="auto"/>
                <w:sz w:val="21"/>
                <w:szCs w:val="21"/>
                <w:highlight w:val="none"/>
                <w:u w:val="none"/>
                <w:lang w:val="en-US" w:eastAsia="zh-CN" w:bidi="ar"/>
              </w:rPr>
              <w:t>mg/L</w:t>
            </w:r>
            <w:r>
              <w:rPr>
                <w:rFonts w:hint="eastAsia" w:ascii="宋体" w:hAnsi="宋体" w:eastAsia="宋体" w:cs="宋体"/>
                <w:color w:val="auto"/>
                <w:sz w:val="21"/>
                <w:szCs w:val="21"/>
                <w:highlight w:val="none"/>
                <w:u w:val="none"/>
                <w:lang w:val="en-US" w:eastAsia="zh-CN" w:bidi="ar"/>
              </w:rPr>
              <w:t>）</w:t>
            </w:r>
          </w:p>
        </w:tc>
        <w:tc>
          <w:tcPr>
            <w:tcW w:w="281" w:type="pct"/>
            <w:tcBorders>
              <w:tl2br w:val="nil"/>
              <w:tr2bl w:val="nil"/>
            </w:tcBorders>
            <w:shd w:val="clear" w:color="auto" w:fill="auto"/>
            <w:noWrap/>
            <w:vAlign w:val="center"/>
          </w:tcPr>
          <w:p w14:paraId="4C09AA81">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0.750</w:t>
            </w:r>
          </w:p>
        </w:tc>
        <w:tc>
          <w:tcPr>
            <w:tcW w:w="309" w:type="pct"/>
            <w:tcBorders>
              <w:tl2br w:val="nil"/>
              <w:tr2bl w:val="nil"/>
            </w:tcBorders>
            <w:shd w:val="clear" w:color="auto" w:fill="auto"/>
            <w:noWrap/>
            <w:vAlign w:val="center"/>
          </w:tcPr>
          <w:p w14:paraId="21B1F8A5">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0.700</w:t>
            </w:r>
          </w:p>
        </w:tc>
        <w:tc>
          <w:tcPr>
            <w:tcW w:w="307" w:type="pct"/>
            <w:tcBorders>
              <w:tl2br w:val="nil"/>
              <w:tr2bl w:val="nil"/>
            </w:tcBorders>
            <w:shd w:val="clear" w:color="auto" w:fill="auto"/>
            <w:noWrap/>
            <w:vAlign w:val="center"/>
          </w:tcPr>
          <w:p w14:paraId="3BF0A5BD">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0.760</w:t>
            </w:r>
          </w:p>
        </w:tc>
        <w:tc>
          <w:tcPr>
            <w:tcW w:w="310" w:type="pct"/>
            <w:tcBorders>
              <w:tl2br w:val="nil"/>
              <w:tr2bl w:val="nil"/>
            </w:tcBorders>
            <w:shd w:val="clear" w:color="auto" w:fill="auto"/>
            <w:noWrap/>
            <w:vAlign w:val="center"/>
          </w:tcPr>
          <w:p w14:paraId="47526A7D">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0.720</w:t>
            </w:r>
          </w:p>
        </w:tc>
        <w:tc>
          <w:tcPr>
            <w:tcW w:w="330" w:type="pct"/>
            <w:tcBorders>
              <w:tl2br w:val="nil"/>
              <w:tr2bl w:val="nil"/>
            </w:tcBorders>
            <w:shd w:val="clear" w:color="auto" w:fill="auto"/>
            <w:noWrap/>
            <w:vAlign w:val="center"/>
          </w:tcPr>
          <w:p w14:paraId="078F10A3">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0.900</w:t>
            </w:r>
          </w:p>
        </w:tc>
        <w:tc>
          <w:tcPr>
            <w:tcW w:w="290" w:type="pct"/>
            <w:tcBorders>
              <w:tl2br w:val="nil"/>
              <w:tr2bl w:val="nil"/>
            </w:tcBorders>
            <w:shd w:val="clear" w:color="auto" w:fill="auto"/>
            <w:noWrap/>
            <w:vAlign w:val="center"/>
          </w:tcPr>
          <w:p w14:paraId="30527A40">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0.540</w:t>
            </w:r>
          </w:p>
        </w:tc>
        <w:tc>
          <w:tcPr>
            <w:tcW w:w="310" w:type="pct"/>
            <w:tcBorders>
              <w:tl2br w:val="nil"/>
              <w:tr2bl w:val="nil"/>
            </w:tcBorders>
            <w:shd w:val="clear" w:color="auto" w:fill="auto"/>
            <w:noWrap/>
            <w:vAlign w:val="center"/>
          </w:tcPr>
          <w:p w14:paraId="32333051">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0.900</w:t>
            </w:r>
          </w:p>
        </w:tc>
        <w:tc>
          <w:tcPr>
            <w:tcW w:w="310" w:type="pct"/>
            <w:tcBorders>
              <w:tl2br w:val="nil"/>
              <w:tr2bl w:val="nil"/>
            </w:tcBorders>
            <w:shd w:val="clear" w:color="auto" w:fill="auto"/>
            <w:noWrap/>
            <w:vAlign w:val="center"/>
          </w:tcPr>
          <w:p w14:paraId="6D0B55E5">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0.720</w:t>
            </w:r>
          </w:p>
        </w:tc>
        <w:tc>
          <w:tcPr>
            <w:tcW w:w="310" w:type="pct"/>
            <w:tcBorders>
              <w:tl2br w:val="nil"/>
              <w:tr2bl w:val="nil"/>
            </w:tcBorders>
            <w:shd w:val="clear" w:color="auto" w:fill="auto"/>
            <w:noWrap/>
            <w:vAlign w:val="center"/>
          </w:tcPr>
          <w:p w14:paraId="43F93A4A">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0.840</w:t>
            </w:r>
          </w:p>
        </w:tc>
        <w:tc>
          <w:tcPr>
            <w:tcW w:w="310" w:type="pct"/>
            <w:tcBorders>
              <w:tl2br w:val="nil"/>
              <w:tr2bl w:val="nil"/>
            </w:tcBorders>
            <w:shd w:val="clear" w:color="auto" w:fill="auto"/>
            <w:noWrap/>
            <w:vAlign w:val="center"/>
          </w:tcPr>
          <w:p w14:paraId="1ACD8764">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0.640</w:t>
            </w:r>
          </w:p>
        </w:tc>
        <w:tc>
          <w:tcPr>
            <w:tcW w:w="310" w:type="pct"/>
            <w:tcBorders>
              <w:tl2br w:val="nil"/>
              <w:tr2bl w:val="nil"/>
            </w:tcBorders>
            <w:shd w:val="clear" w:color="auto" w:fill="auto"/>
            <w:noWrap/>
            <w:vAlign w:val="center"/>
          </w:tcPr>
          <w:p w14:paraId="0EFD7682">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0.970</w:t>
            </w:r>
          </w:p>
        </w:tc>
        <w:tc>
          <w:tcPr>
            <w:tcW w:w="310" w:type="pct"/>
            <w:tcBorders>
              <w:tl2br w:val="nil"/>
              <w:tr2bl w:val="nil"/>
            </w:tcBorders>
            <w:shd w:val="clear" w:color="auto" w:fill="auto"/>
            <w:noWrap/>
            <w:vAlign w:val="center"/>
          </w:tcPr>
          <w:p w14:paraId="5B9D6211">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0.840</w:t>
            </w:r>
          </w:p>
        </w:tc>
        <w:tc>
          <w:tcPr>
            <w:tcW w:w="310" w:type="pct"/>
            <w:tcBorders>
              <w:tl2br w:val="nil"/>
              <w:tr2bl w:val="nil"/>
            </w:tcBorders>
            <w:shd w:val="clear" w:color="auto" w:fill="auto"/>
            <w:noWrap/>
            <w:vAlign w:val="center"/>
          </w:tcPr>
          <w:p w14:paraId="749F6792">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0.990</w:t>
            </w:r>
          </w:p>
        </w:tc>
        <w:tc>
          <w:tcPr>
            <w:tcW w:w="315" w:type="pct"/>
            <w:tcBorders>
              <w:tl2br w:val="nil"/>
              <w:tr2bl w:val="nil"/>
            </w:tcBorders>
            <w:shd w:val="clear" w:color="auto" w:fill="auto"/>
            <w:noWrap/>
            <w:vAlign w:val="center"/>
          </w:tcPr>
          <w:p w14:paraId="4E52917C">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0.910</w:t>
            </w:r>
          </w:p>
        </w:tc>
        <w:tc>
          <w:tcPr>
            <w:tcW w:w="310" w:type="pct"/>
            <w:tcBorders>
              <w:tl2br w:val="nil"/>
              <w:tr2bl w:val="nil"/>
            </w:tcBorders>
            <w:shd w:val="clear" w:color="auto" w:fill="auto"/>
            <w:noWrap/>
            <w:vAlign w:val="center"/>
          </w:tcPr>
          <w:p w14:paraId="24063811">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0.850</w:t>
            </w:r>
          </w:p>
        </w:tc>
      </w:tr>
      <w:tr w14:paraId="142D542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372" w:type="pct"/>
            <w:tcBorders>
              <w:tl2br w:val="nil"/>
              <w:tr2bl w:val="nil"/>
            </w:tcBorders>
            <w:shd w:val="clear" w:color="auto" w:fill="auto"/>
            <w:vAlign w:val="center"/>
          </w:tcPr>
          <w:p w14:paraId="6A707B46">
            <w:pPr>
              <w:keepNext w:val="0"/>
              <w:keepLines w:val="0"/>
              <w:widowControl/>
              <w:suppressLineNumbers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汞（</w:t>
            </w:r>
            <w:r>
              <w:rPr>
                <w:rFonts w:hint="default" w:ascii="Times New Roman" w:hAnsi="Times New Roman" w:eastAsia="宋体" w:cs="Times New Roman"/>
                <w:color w:val="auto"/>
                <w:sz w:val="21"/>
                <w:szCs w:val="21"/>
                <w:highlight w:val="none"/>
                <w:u w:val="none"/>
                <w:lang w:val="en-US" w:eastAsia="zh-CN" w:bidi="ar"/>
              </w:rPr>
              <w:t>mg/L</w:t>
            </w:r>
            <w:r>
              <w:rPr>
                <w:rFonts w:hint="eastAsia" w:ascii="宋体" w:hAnsi="宋体" w:eastAsia="宋体" w:cs="宋体"/>
                <w:color w:val="auto"/>
                <w:sz w:val="21"/>
                <w:szCs w:val="21"/>
                <w:highlight w:val="none"/>
                <w:u w:val="none"/>
                <w:lang w:val="en-US" w:eastAsia="zh-CN" w:bidi="ar"/>
              </w:rPr>
              <w:t>）</w:t>
            </w:r>
          </w:p>
        </w:tc>
        <w:tc>
          <w:tcPr>
            <w:tcW w:w="281" w:type="pct"/>
            <w:tcBorders>
              <w:tl2br w:val="nil"/>
              <w:tr2bl w:val="nil"/>
            </w:tcBorders>
            <w:shd w:val="clear" w:color="auto" w:fill="auto"/>
            <w:noWrap/>
            <w:vAlign w:val="center"/>
          </w:tcPr>
          <w:p w14:paraId="32DEADF0">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0.630</w:t>
            </w:r>
          </w:p>
        </w:tc>
        <w:tc>
          <w:tcPr>
            <w:tcW w:w="309" w:type="pct"/>
            <w:tcBorders>
              <w:tl2br w:val="nil"/>
              <w:tr2bl w:val="nil"/>
            </w:tcBorders>
            <w:shd w:val="clear" w:color="auto" w:fill="auto"/>
            <w:noWrap/>
            <w:vAlign w:val="center"/>
          </w:tcPr>
          <w:p w14:paraId="04823B90">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0.300</w:t>
            </w:r>
          </w:p>
        </w:tc>
        <w:tc>
          <w:tcPr>
            <w:tcW w:w="307" w:type="pct"/>
            <w:tcBorders>
              <w:tl2br w:val="nil"/>
              <w:tr2bl w:val="nil"/>
            </w:tcBorders>
            <w:shd w:val="clear" w:color="auto" w:fill="auto"/>
            <w:noWrap/>
            <w:vAlign w:val="center"/>
          </w:tcPr>
          <w:p w14:paraId="65BD5324">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0.500</w:t>
            </w:r>
          </w:p>
        </w:tc>
        <w:tc>
          <w:tcPr>
            <w:tcW w:w="310" w:type="pct"/>
            <w:tcBorders>
              <w:tl2br w:val="nil"/>
              <w:tr2bl w:val="nil"/>
            </w:tcBorders>
            <w:shd w:val="clear" w:color="auto" w:fill="auto"/>
            <w:noWrap/>
            <w:vAlign w:val="center"/>
          </w:tcPr>
          <w:p w14:paraId="04CA191A">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0.600</w:t>
            </w:r>
          </w:p>
        </w:tc>
        <w:tc>
          <w:tcPr>
            <w:tcW w:w="330" w:type="pct"/>
            <w:tcBorders>
              <w:tl2br w:val="nil"/>
              <w:tr2bl w:val="nil"/>
            </w:tcBorders>
            <w:shd w:val="clear" w:color="auto" w:fill="auto"/>
            <w:noWrap/>
            <w:vAlign w:val="center"/>
          </w:tcPr>
          <w:p w14:paraId="61980BE9">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0.430</w:t>
            </w:r>
          </w:p>
        </w:tc>
        <w:tc>
          <w:tcPr>
            <w:tcW w:w="290" w:type="pct"/>
            <w:tcBorders>
              <w:tl2br w:val="nil"/>
              <w:tr2bl w:val="nil"/>
            </w:tcBorders>
            <w:shd w:val="clear" w:color="auto" w:fill="auto"/>
            <w:noWrap/>
            <w:vAlign w:val="center"/>
          </w:tcPr>
          <w:p w14:paraId="748002BC">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0.440</w:t>
            </w:r>
          </w:p>
        </w:tc>
        <w:tc>
          <w:tcPr>
            <w:tcW w:w="310" w:type="pct"/>
            <w:tcBorders>
              <w:tl2br w:val="nil"/>
              <w:tr2bl w:val="nil"/>
            </w:tcBorders>
            <w:shd w:val="clear" w:color="auto" w:fill="auto"/>
            <w:noWrap/>
            <w:vAlign w:val="center"/>
          </w:tcPr>
          <w:p w14:paraId="337402FE">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0.520</w:t>
            </w:r>
          </w:p>
        </w:tc>
        <w:tc>
          <w:tcPr>
            <w:tcW w:w="310" w:type="pct"/>
            <w:tcBorders>
              <w:tl2br w:val="nil"/>
              <w:tr2bl w:val="nil"/>
            </w:tcBorders>
            <w:shd w:val="clear" w:color="auto" w:fill="auto"/>
            <w:noWrap/>
            <w:vAlign w:val="center"/>
          </w:tcPr>
          <w:p w14:paraId="67BBBC84">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0.660</w:t>
            </w:r>
          </w:p>
        </w:tc>
        <w:tc>
          <w:tcPr>
            <w:tcW w:w="310" w:type="pct"/>
            <w:tcBorders>
              <w:tl2br w:val="nil"/>
              <w:tr2bl w:val="nil"/>
            </w:tcBorders>
            <w:shd w:val="clear" w:color="auto" w:fill="auto"/>
            <w:noWrap/>
            <w:vAlign w:val="center"/>
          </w:tcPr>
          <w:p w14:paraId="2114B99D">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0.630</w:t>
            </w:r>
          </w:p>
        </w:tc>
        <w:tc>
          <w:tcPr>
            <w:tcW w:w="310" w:type="pct"/>
            <w:tcBorders>
              <w:tl2br w:val="nil"/>
              <w:tr2bl w:val="nil"/>
            </w:tcBorders>
            <w:shd w:val="clear" w:color="auto" w:fill="auto"/>
            <w:noWrap/>
            <w:vAlign w:val="center"/>
          </w:tcPr>
          <w:p w14:paraId="67EF46A3">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0.830</w:t>
            </w:r>
          </w:p>
        </w:tc>
        <w:tc>
          <w:tcPr>
            <w:tcW w:w="310" w:type="pct"/>
            <w:tcBorders>
              <w:tl2br w:val="nil"/>
              <w:tr2bl w:val="nil"/>
            </w:tcBorders>
            <w:shd w:val="clear" w:color="auto" w:fill="auto"/>
            <w:noWrap/>
            <w:vAlign w:val="center"/>
          </w:tcPr>
          <w:p w14:paraId="343179AF">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0.690</w:t>
            </w:r>
          </w:p>
        </w:tc>
        <w:tc>
          <w:tcPr>
            <w:tcW w:w="310" w:type="pct"/>
            <w:tcBorders>
              <w:tl2br w:val="nil"/>
              <w:tr2bl w:val="nil"/>
            </w:tcBorders>
            <w:shd w:val="clear" w:color="auto" w:fill="auto"/>
            <w:noWrap/>
            <w:vAlign w:val="center"/>
          </w:tcPr>
          <w:p w14:paraId="08A859CD">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0.710</w:t>
            </w:r>
          </w:p>
        </w:tc>
        <w:tc>
          <w:tcPr>
            <w:tcW w:w="310" w:type="pct"/>
            <w:tcBorders>
              <w:tl2br w:val="nil"/>
              <w:tr2bl w:val="nil"/>
            </w:tcBorders>
            <w:shd w:val="clear" w:color="auto" w:fill="auto"/>
            <w:noWrap/>
            <w:vAlign w:val="center"/>
          </w:tcPr>
          <w:p w14:paraId="3C373F50">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0.960</w:t>
            </w:r>
          </w:p>
        </w:tc>
        <w:tc>
          <w:tcPr>
            <w:tcW w:w="315" w:type="pct"/>
            <w:tcBorders>
              <w:tl2br w:val="nil"/>
              <w:tr2bl w:val="nil"/>
            </w:tcBorders>
            <w:shd w:val="clear" w:color="auto" w:fill="auto"/>
            <w:noWrap/>
            <w:vAlign w:val="center"/>
          </w:tcPr>
          <w:p w14:paraId="3DB2E8CB">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0.510</w:t>
            </w:r>
          </w:p>
        </w:tc>
        <w:tc>
          <w:tcPr>
            <w:tcW w:w="310" w:type="pct"/>
            <w:tcBorders>
              <w:tl2br w:val="nil"/>
              <w:tr2bl w:val="nil"/>
            </w:tcBorders>
            <w:shd w:val="clear" w:color="auto" w:fill="auto"/>
            <w:noWrap/>
            <w:vAlign w:val="center"/>
          </w:tcPr>
          <w:p w14:paraId="0B4210E2">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0.460</w:t>
            </w:r>
          </w:p>
        </w:tc>
      </w:tr>
      <w:tr w14:paraId="7C71B2E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372" w:type="pct"/>
            <w:tcBorders>
              <w:tl2br w:val="nil"/>
              <w:tr2bl w:val="nil"/>
            </w:tcBorders>
            <w:shd w:val="clear" w:color="auto" w:fill="auto"/>
            <w:vAlign w:val="center"/>
          </w:tcPr>
          <w:p w14:paraId="23FB45D4">
            <w:pPr>
              <w:keepNext w:val="0"/>
              <w:keepLines w:val="0"/>
              <w:widowControl/>
              <w:suppressLineNumbers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硒（</w:t>
            </w:r>
            <w:r>
              <w:rPr>
                <w:rFonts w:hint="default" w:ascii="Times New Roman" w:hAnsi="Times New Roman" w:eastAsia="宋体" w:cs="Times New Roman"/>
                <w:color w:val="auto"/>
                <w:sz w:val="21"/>
                <w:szCs w:val="21"/>
                <w:highlight w:val="none"/>
                <w:u w:val="none"/>
                <w:lang w:val="en-US" w:eastAsia="zh-CN" w:bidi="ar"/>
              </w:rPr>
              <w:t>mg/L</w:t>
            </w:r>
            <w:r>
              <w:rPr>
                <w:rFonts w:hint="eastAsia" w:ascii="宋体" w:hAnsi="宋体" w:eastAsia="宋体" w:cs="宋体"/>
                <w:color w:val="auto"/>
                <w:sz w:val="21"/>
                <w:szCs w:val="21"/>
                <w:highlight w:val="none"/>
                <w:u w:val="none"/>
                <w:lang w:val="en-US" w:eastAsia="zh-CN" w:bidi="ar"/>
              </w:rPr>
              <w:t>）</w:t>
            </w:r>
          </w:p>
        </w:tc>
        <w:tc>
          <w:tcPr>
            <w:tcW w:w="281" w:type="pct"/>
            <w:tcBorders>
              <w:tl2br w:val="nil"/>
              <w:tr2bl w:val="nil"/>
            </w:tcBorders>
            <w:shd w:val="clear" w:color="auto" w:fill="auto"/>
            <w:noWrap/>
            <w:vAlign w:val="center"/>
          </w:tcPr>
          <w:p w14:paraId="53C6404C">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09" w:type="pct"/>
            <w:tcBorders>
              <w:tl2br w:val="nil"/>
              <w:tr2bl w:val="nil"/>
            </w:tcBorders>
            <w:shd w:val="clear" w:color="auto" w:fill="auto"/>
            <w:noWrap/>
            <w:vAlign w:val="center"/>
          </w:tcPr>
          <w:p w14:paraId="262DC597">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07" w:type="pct"/>
            <w:tcBorders>
              <w:tl2br w:val="nil"/>
              <w:tr2bl w:val="nil"/>
            </w:tcBorders>
            <w:shd w:val="clear" w:color="auto" w:fill="auto"/>
            <w:noWrap/>
            <w:vAlign w:val="center"/>
          </w:tcPr>
          <w:p w14:paraId="3A88DF2A">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10" w:type="pct"/>
            <w:tcBorders>
              <w:tl2br w:val="nil"/>
              <w:tr2bl w:val="nil"/>
            </w:tcBorders>
            <w:shd w:val="clear" w:color="auto" w:fill="auto"/>
            <w:noWrap/>
            <w:vAlign w:val="center"/>
          </w:tcPr>
          <w:p w14:paraId="3A4577B4">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0.080</w:t>
            </w:r>
          </w:p>
        </w:tc>
        <w:tc>
          <w:tcPr>
            <w:tcW w:w="330" w:type="pct"/>
            <w:tcBorders>
              <w:tl2br w:val="nil"/>
              <w:tr2bl w:val="nil"/>
            </w:tcBorders>
            <w:shd w:val="clear" w:color="auto" w:fill="auto"/>
            <w:noWrap/>
            <w:vAlign w:val="center"/>
          </w:tcPr>
          <w:p w14:paraId="5F12B434">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0.110</w:t>
            </w:r>
          </w:p>
        </w:tc>
        <w:tc>
          <w:tcPr>
            <w:tcW w:w="290" w:type="pct"/>
            <w:tcBorders>
              <w:tl2br w:val="nil"/>
              <w:tr2bl w:val="nil"/>
            </w:tcBorders>
            <w:shd w:val="clear" w:color="auto" w:fill="auto"/>
            <w:noWrap/>
            <w:vAlign w:val="center"/>
          </w:tcPr>
          <w:p w14:paraId="21730305">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10" w:type="pct"/>
            <w:tcBorders>
              <w:tl2br w:val="nil"/>
              <w:tr2bl w:val="nil"/>
            </w:tcBorders>
            <w:shd w:val="clear" w:color="auto" w:fill="auto"/>
            <w:noWrap/>
            <w:vAlign w:val="center"/>
          </w:tcPr>
          <w:p w14:paraId="1CBB7F84">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10" w:type="pct"/>
            <w:tcBorders>
              <w:tl2br w:val="nil"/>
              <w:tr2bl w:val="nil"/>
            </w:tcBorders>
            <w:shd w:val="clear" w:color="auto" w:fill="auto"/>
            <w:noWrap/>
            <w:vAlign w:val="center"/>
          </w:tcPr>
          <w:p w14:paraId="636EA1AE">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10" w:type="pct"/>
            <w:tcBorders>
              <w:tl2br w:val="nil"/>
              <w:tr2bl w:val="nil"/>
            </w:tcBorders>
            <w:shd w:val="clear" w:color="auto" w:fill="auto"/>
            <w:noWrap/>
            <w:vAlign w:val="center"/>
          </w:tcPr>
          <w:p w14:paraId="16AB64E3">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0.130</w:t>
            </w:r>
          </w:p>
        </w:tc>
        <w:tc>
          <w:tcPr>
            <w:tcW w:w="310" w:type="pct"/>
            <w:tcBorders>
              <w:tl2br w:val="nil"/>
              <w:tr2bl w:val="nil"/>
            </w:tcBorders>
            <w:shd w:val="clear" w:color="auto" w:fill="auto"/>
            <w:noWrap/>
            <w:vAlign w:val="center"/>
          </w:tcPr>
          <w:p w14:paraId="133274F9">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10" w:type="pct"/>
            <w:tcBorders>
              <w:tl2br w:val="nil"/>
              <w:tr2bl w:val="nil"/>
            </w:tcBorders>
            <w:shd w:val="clear" w:color="auto" w:fill="auto"/>
            <w:noWrap/>
            <w:vAlign w:val="center"/>
          </w:tcPr>
          <w:p w14:paraId="539DBE15">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10" w:type="pct"/>
            <w:tcBorders>
              <w:tl2br w:val="nil"/>
              <w:tr2bl w:val="nil"/>
            </w:tcBorders>
            <w:shd w:val="clear" w:color="auto" w:fill="auto"/>
            <w:noWrap/>
            <w:vAlign w:val="center"/>
          </w:tcPr>
          <w:p w14:paraId="6D65BFC8">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10" w:type="pct"/>
            <w:tcBorders>
              <w:tl2br w:val="nil"/>
              <w:tr2bl w:val="nil"/>
            </w:tcBorders>
            <w:shd w:val="clear" w:color="auto" w:fill="auto"/>
            <w:noWrap/>
            <w:vAlign w:val="center"/>
          </w:tcPr>
          <w:p w14:paraId="2486A8F5">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0.300</w:t>
            </w:r>
          </w:p>
        </w:tc>
        <w:tc>
          <w:tcPr>
            <w:tcW w:w="315" w:type="pct"/>
            <w:tcBorders>
              <w:tl2br w:val="nil"/>
              <w:tr2bl w:val="nil"/>
            </w:tcBorders>
            <w:shd w:val="clear" w:color="auto" w:fill="auto"/>
            <w:noWrap/>
            <w:vAlign w:val="center"/>
          </w:tcPr>
          <w:p w14:paraId="0AAC01D0">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10" w:type="pct"/>
            <w:tcBorders>
              <w:tl2br w:val="nil"/>
              <w:tr2bl w:val="nil"/>
            </w:tcBorders>
            <w:shd w:val="clear" w:color="auto" w:fill="auto"/>
            <w:noWrap/>
            <w:vAlign w:val="center"/>
          </w:tcPr>
          <w:p w14:paraId="1571E367">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0.250</w:t>
            </w:r>
          </w:p>
        </w:tc>
      </w:tr>
      <w:tr w14:paraId="5098C99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372" w:type="pct"/>
            <w:tcBorders>
              <w:tl2br w:val="nil"/>
              <w:tr2bl w:val="nil"/>
            </w:tcBorders>
            <w:shd w:val="clear" w:color="auto" w:fill="auto"/>
            <w:vAlign w:val="center"/>
          </w:tcPr>
          <w:p w14:paraId="640DDF5D">
            <w:pPr>
              <w:keepNext w:val="0"/>
              <w:keepLines w:val="0"/>
              <w:widowControl/>
              <w:suppressLineNumbers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总硬度</w:t>
            </w:r>
            <w:r>
              <w:rPr>
                <w:rFonts w:hint="eastAsia" w:ascii="宋体" w:hAnsi="宋体" w:eastAsia="宋体" w:cs="宋体"/>
                <w:color w:val="auto"/>
                <w:sz w:val="21"/>
                <w:szCs w:val="21"/>
                <w:highlight w:val="none"/>
                <w:u w:val="none"/>
                <w:lang w:val="en-US" w:eastAsia="zh-CN" w:bidi="ar"/>
              </w:rPr>
              <w:t>（</w:t>
            </w:r>
            <w:r>
              <w:rPr>
                <w:rFonts w:hint="default" w:ascii="Times New Roman" w:hAnsi="Times New Roman" w:eastAsia="宋体" w:cs="Times New Roman"/>
                <w:color w:val="auto"/>
                <w:sz w:val="21"/>
                <w:szCs w:val="21"/>
                <w:highlight w:val="none"/>
                <w:u w:val="none"/>
                <w:lang w:val="en-US" w:eastAsia="zh-CN" w:bidi="ar"/>
              </w:rPr>
              <w:t>mg/L</w:t>
            </w:r>
            <w:r>
              <w:rPr>
                <w:rFonts w:hint="eastAsia" w:ascii="宋体" w:hAnsi="宋体" w:eastAsia="宋体" w:cs="宋体"/>
                <w:color w:val="auto"/>
                <w:sz w:val="21"/>
                <w:szCs w:val="21"/>
                <w:highlight w:val="none"/>
                <w:u w:val="none"/>
                <w:lang w:val="en-US" w:eastAsia="zh-CN" w:bidi="ar"/>
              </w:rPr>
              <w:t>）</w:t>
            </w:r>
          </w:p>
        </w:tc>
        <w:tc>
          <w:tcPr>
            <w:tcW w:w="281" w:type="pct"/>
            <w:tcBorders>
              <w:tl2br w:val="nil"/>
              <w:tr2bl w:val="nil"/>
            </w:tcBorders>
            <w:shd w:val="clear" w:color="auto" w:fill="auto"/>
            <w:noWrap/>
            <w:vAlign w:val="center"/>
          </w:tcPr>
          <w:p w14:paraId="112D066E">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0.527</w:t>
            </w:r>
          </w:p>
        </w:tc>
        <w:tc>
          <w:tcPr>
            <w:tcW w:w="309" w:type="pct"/>
            <w:tcBorders>
              <w:tl2br w:val="nil"/>
              <w:tr2bl w:val="nil"/>
            </w:tcBorders>
            <w:shd w:val="clear" w:color="auto" w:fill="auto"/>
            <w:noWrap/>
            <w:vAlign w:val="center"/>
          </w:tcPr>
          <w:p w14:paraId="4C20796F">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0.640</w:t>
            </w:r>
          </w:p>
        </w:tc>
        <w:tc>
          <w:tcPr>
            <w:tcW w:w="307" w:type="pct"/>
            <w:tcBorders>
              <w:tl2br w:val="nil"/>
              <w:tr2bl w:val="nil"/>
            </w:tcBorders>
            <w:shd w:val="clear" w:color="auto" w:fill="auto"/>
            <w:noWrap/>
            <w:vAlign w:val="center"/>
          </w:tcPr>
          <w:p w14:paraId="63CB6B1F">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0.524</w:t>
            </w:r>
          </w:p>
        </w:tc>
        <w:tc>
          <w:tcPr>
            <w:tcW w:w="310" w:type="pct"/>
            <w:tcBorders>
              <w:tl2br w:val="nil"/>
              <w:tr2bl w:val="nil"/>
            </w:tcBorders>
            <w:shd w:val="clear" w:color="auto" w:fill="auto"/>
            <w:noWrap/>
            <w:vAlign w:val="center"/>
          </w:tcPr>
          <w:p w14:paraId="790BA0DE">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0.542</w:t>
            </w:r>
          </w:p>
        </w:tc>
        <w:tc>
          <w:tcPr>
            <w:tcW w:w="330" w:type="pct"/>
            <w:tcBorders>
              <w:tl2br w:val="nil"/>
              <w:tr2bl w:val="nil"/>
            </w:tcBorders>
            <w:shd w:val="clear" w:color="auto" w:fill="auto"/>
            <w:noWrap/>
            <w:vAlign w:val="center"/>
          </w:tcPr>
          <w:p w14:paraId="5756EE8B">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0.511</w:t>
            </w:r>
          </w:p>
        </w:tc>
        <w:tc>
          <w:tcPr>
            <w:tcW w:w="290" w:type="pct"/>
            <w:tcBorders>
              <w:tl2br w:val="nil"/>
              <w:tr2bl w:val="nil"/>
            </w:tcBorders>
            <w:shd w:val="clear" w:color="auto" w:fill="auto"/>
            <w:noWrap/>
            <w:vAlign w:val="center"/>
          </w:tcPr>
          <w:p w14:paraId="4D039BCD">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0.631</w:t>
            </w:r>
          </w:p>
        </w:tc>
        <w:tc>
          <w:tcPr>
            <w:tcW w:w="310" w:type="pct"/>
            <w:tcBorders>
              <w:tl2br w:val="nil"/>
              <w:tr2bl w:val="nil"/>
            </w:tcBorders>
            <w:shd w:val="clear" w:color="auto" w:fill="auto"/>
            <w:noWrap/>
            <w:vAlign w:val="center"/>
          </w:tcPr>
          <w:p w14:paraId="44A472E7">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0.524</w:t>
            </w:r>
          </w:p>
        </w:tc>
        <w:tc>
          <w:tcPr>
            <w:tcW w:w="310" w:type="pct"/>
            <w:tcBorders>
              <w:tl2br w:val="nil"/>
              <w:tr2bl w:val="nil"/>
            </w:tcBorders>
            <w:shd w:val="clear" w:color="auto" w:fill="auto"/>
            <w:noWrap/>
            <w:vAlign w:val="center"/>
          </w:tcPr>
          <w:p w14:paraId="240E36D4">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0.551</w:t>
            </w:r>
          </w:p>
        </w:tc>
        <w:tc>
          <w:tcPr>
            <w:tcW w:w="310" w:type="pct"/>
            <w:tcBorders>
              <w:tl2br w:val="nil"/>
              <w:tr2bl w:val="nil"/>
            </w:tcBorders>
            <w:shd w:val="clear" w:color="auto" w:fill="auto"/>
            <w:noWrap/>
            <w:vAlign w:val="center"/>
          </w:tcPr>
          <w:p w14:paraId="295494BB">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0.631</w:t>
            </w:r>
          </w:p>
        </w:tc>
        <w:tc>
          <w:tcPr>
            <w:tcW w:w="310" w:type="pct"/>
            <w:tcBorders>
              <w:tl2br w:val="nil"/>
              <w:tr2bl w:val="nil"/>
            </w:tcBorders>
            <w:shd w:val="clear" w:color="auto" w:fill="auto"/>
            <w:noWrap/>
            <w:vAlign w:val="center"/>
          </w:tcPr>
          <w:p w14:paraId="395675A3">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0.656</w:t>
            </w:r>
          </w:p>
        </w:tc>
        <w:tc>
          <w:tcPr>
            <w:tcW w:w="310" w:type="pct"/>
            <w:tcBorders>
              <w:tl2br w:val="nil"/>
              <w:tr2bl w:val="nil"/>
            </w:tcBorders>
            <w:shd w:val="clear" w:color="auto" w:fill="auto"/>
            <w:noWrap/>
            <w:vAlign w:val="center"/>
          </w:tcPr>
          <w:p w14:paraId="7B6DF983">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0.471</w:t>
            </w:r>
          </w:p>
        </w:tc>
        <w:tc>
          <w:tcPr>
            <w:tcW w:w="310" w:type="pct"/>
            <w:tcBorders>
              <w:tl2br w:val="nil"/>
              <w:tr2bl w:val="nil"/>
            </w:tcBorders>
            <w:shd w:val="clear" w:color="auto" w:fill="auto"/>
            <w:noWrap/>
            <w:vAlign w:val="center"/>
          </w:tcPr>
          <w:p w14:paraId="686DF4B5">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0.449</w:t>
            </w:r>
          </w:p>
        </w:tc>
        <w:tc>
          <w:tcPr>
            <w:tcW w:w="310" w:type="pct"/>
            <w:tcBorders>
              <w:tl2br w:val="nil"/>
              <w:tr2bl w:val="nil"/>
            </w:tcBorders>
            <w:shd w:val="clear" w:color="auto" w:fill="auto"/>
            <w:noWrap/>
            <w:vAlign w:val="center"/>
          </w:tcPr>
          <w:p w14:paraId="6FAFB682">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0.422</w:t>
            </w:r>
          </w:p>
        </w:tc>
        <w:tc>
          <w:tcPr>
            <w:tcW w:w="315" w:type="pct"/>
            <w:tcBorders>
              <w:tl2br w:val="nil"/>
              <w:tr2bl w:val="nil"/>
            </w:tcBorders>
            <w:shd w:val="clear" w:color="auto" w:fill="auto"/>
            <w:noWrap/>
            <w:vAlign w:val="center"/>
          </w:tcPr>
          <w:p w14:paraId="7C6FE247">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0.616</w:t>
            </w:r>
          </w:p>
        </w:tc>
        <w:tc>
          <w:tcPr>
            <w:tcW w:w="310" w:type="pct"/>
            <w:tcBorders>
              <w:tl2br w:val="nil"/>
              <w:tr2bl w:val="nil"/>
            </w:tcBorders>
            <w:shd w:val="clear" w:color="auto" w:fill="auto"/>
            <w:noWrap/>
            <w:vAlign w:val="center"/>
          </w:tcPr>
          <w:p w14:paraId="22E91991">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0.616</w:t>
            </w:r>
          </w:p>
        </w:tc>
      </w:tr>
      <w:tr w14:paraId="0EA08EC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372" w:type="pct"/>
            <w:tcBorders>
              <w:tl2br w:val="nil"/>
              <w:tr2bl w:val="nil"/>
            </w:tcBorders>
            <w:shd w:val="clear" w:color="auto" w:fill="auto"/>
            <w:vAlign w:val="center"/>
          </w:tcPr>
          <w:p w14:paraId="6FF72837">
            <w:pPr>
              <w:keepNext w:val="0"/>
              <w:keepLines w:val="0"/>
              <w:widowControl/>
              <w:suppressLineNumbers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溶解性总固体</w:t>
            </w:r>
            <w:r>
              <w:rPr>
                <w:rFonts w:hint="eastAsia" w:ascii="宋体" w:hAnsi="宋体" w:eastAsia="宋体" w:cs="宋体"/>
                <w:color w:val="auto"/>
                <w:sz w:val="21"/>
                <w:szCs w:val="21"/>
                <w:highlight w:val="none"/>
                <w:u w:val="none"/>
                <w:lang w:val="en-US" w:eastAsia="zh-CN" w:bidi="ar"/>
              </w:rPr>
              <w:t>（</w:t>
            </w:r>
            <w:r>
              <w:rPr>
                <w:rFonts w:hint="default" w:ascii="Times New Roman" w:hAnsi="Times New Roman" w:eastAsia="宋体" w:cs="Times New Roman"/>
                <w:color w:val="auto"/>
                <w:sz w:val="21"/>
                <w:szCs w:val="21"/>
                <w:highlight w:val="none"/>
                <w:u w:val="none"/>
                <w:lang w:val="en-US" w:eastAsia="zh-CN" w:bidi="ar"/>
              </w:rPr>
              <w:t>mg/L</w:t>
            </w:r>
            <w:r>
              <w:rPr>
                <w:rFonts w:hint="eastAsia" w:ascii="宋体" w:hAnsi="宋体" w:eastAsia="宋体" w:cs="宋体"/>
                <w:color w:val="auto"/>
                <w:sz w:val="21"/>
                <w:szCs w:val="21"/>
                <w:highlight w:val="none"/>
                <w:u w:val="none"/>
                <w:lang w:val="en-US" w:eastAsia="zh-CN" w:bidi="ar"/>
              </w:rPr>
              <w:t>）</w:t>
            </w:r>
          </w:p>
        </w:tc>
        <w:tc>
          <w:tcPr>
            <w:tcW w:w="281" w:type="pct"/>
            <w:tcBorders>
              <w:tl2br w:val="nil"/>
              <w:tr2bl w:val="nil"/>
            </w:tcBorders>
            <w:shd w:val="clear" w:color="auto" w:fill="auto"/>
            <w:noWrap/>
            <w:vAlign w:val="center"/>
          </w:tcPr>
          <w:p w14:paraId="10FF0392">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0.419</w:t>
            </w:r>
          </w:p>
        </w:tc>
        <w:tc>
          <w:tcPr>
            <w:tcW w:w="309" w:type="pct"/>
            <w:tcBorders>
              <w:tl2br w:val="nil"/>
              <w:tr2bl w:val="nil"/>
            </w:tcBorders>
            <w:shd w:val="clear" w:color="auto" w:fill="auto"/>
            <w:noWrap/>
            <w:vAlign w:val="center"/>
          </w:tcPr>
          <w:p w14:paraId="749FF0C2">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0.476</w:t>
            </w:r>
          </w:p>
        </w:tc>
        <w:tc>
          <w:tcPr>
            <w:tcW w:w="307" w:type="pct"/>
            <w:tcBorders>
              <w:tl2br w:val="nil"/>
              <w:tr2bl w:val="nil"/>
            </w:tcBorders>
            <w:shd w:val="clear" w:color="auto" w:fill="auto"/>
            <w:noWrap/>
            <w:vAlign w:val="center"/>
          </w:tcPr>
          <w:p w14:paraId="27CE5B65">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0.541</w:t>
            </w:r>
          </w:p>
        </w:tc>
        <w:tc>
          <w:tcPr>
            <w:tcW w:w="310" w:type="pct"/>
            <w:tcBorders>
              <w:tl2br w:val="nil"/>
              <w:tr2bl w:val="nil"/>
            </w:tcBorders>
            <w:shd w:val="clear" w:color="auto" w:fill="auto"/>
            <w:noWrap/>
            <w:vAlign w:val="center"/>
          </w:tcPr>
          <w:p w14:paraId="039EBF28">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0.466</w:t>
            </w:r>
          </w:p>
        </w:tc>
        <w:tc>
          <w:tcPr>
            <w:tcW w:w="330" w:type="pct"/>
            <w:tcBorders>
              <w:tl2br w:val="nil"/>
              <w:tr2bl w:val="nil"/>
            </w:tcBorders>
            <w:shd w:val="clear" w:color="auto" w:fill="auto"/>
            <w:noWrap/>
            <w:vAlign w:val="center"/>
          </w:tcPr>
          <w:p w14:paraId="3C0B8135">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0.452</w:t>
            </w:r>
          </w:p>
        </w:tc>
        <w:tc>
          <w:tcPr>
            <w:tcW w:w="290" w:type="pct"/>
            <w:tcBorders>
              <w:tl2br w:val="nil"/>
              <w:tr2bl w:val="nil"/>
            </w:tcBorders>
            <w:shd w:val="clear" w:color="auto" w:fill="auto"/>
            <w:noWrap/>
            <w:vAlign w:val="center"/>
          </w:tcPr>
          <w:p w14:paraId="3DEC984E">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0.517</w:t>
            </w:r>
          </w:p>
        </w:tc>
        <w:tc>
          <w:tcPr>
            <w:tcW w:w="310" w:type="pct"/>
            <w:tcBorders>
              <w:tl2br w:val="nil"/>
              <w:tr2bl w:val="nil"/>
            </w:tcBorders>
            <w:shd w:val="clear" w:color="auto" w:fill="auto"/>
            <w:noWrap/>
            <w:vAlign w:val="center"/>
          </w:tcPr>
          <w:p w14:paraId="63B490AF">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0.356</w:t>
            </w:r>
          </w:p>
        </w:tc>
        <w:tc>
          <w:tcPr>
            <w:tcW w:w="310" w:type="pct"/>
            <w:tcBorders>
              <w:tl2br w:val="nil"/>
              <w:tr2bl w:val="nil"/>
            </w:tcBorders>
            <w:shd w:val="clear" w:color="auto" w:fill="auto"/>
            <w:noWrap/>
            <w:vAlign w:val="center"/>
          </w:tcPr>
          <w:p w14:paraId="12129617">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0.477</w:t>
            </w:r>
          </w:p>
        </w:tc>
        <w:tc>
          <w:tcPr>
            <w:tcW w:w="310" w:type="pct"/>
            <w:tcBorders>
              <w:tl2br w:val="nil"/>
              <w:tr2bl w:val="nil"/>
            </w:tcBorders>
            <w:shd w:val="clear" w:color="auto" w:fill="auto"/>
            <w:noWrap/>
            <w:vAlign w:val="center"/>
          </w:tcPr>
          <w:p w14:paraId="2F38B8BB">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0.459</w:t>
            </w:r>
          </w:p>
        </w:tc>
        <w:tc>
          <w:tcPr>
            <w:tcW w:w="310" w:type="pct"/>
            <w:tcBorders>
              <w:tl2br w:val="nil"/>
              <w:tr2bl w:val="nil"/>
            </w:tcBorders>
            <w:shd w:val="clear" w:color="auto" w:fill="auto"/>
            <w:noWrap/>
            <w:vAlign w:val="center"/>
          </w:tcPr>
          <w:p w14:paraId="6EA378BC">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0.443</w:t>
            </w:r>
          </w:p>
        </w:tc>
        <w:tc>
          <w:tcPr>
            <w:tcW w:w="310" w:type="pct"/>
            <w:tcBorders>
              <w:tl2br w:val="nil"/>
              <w:tr2bl w:val="nil"/>
            </w:tcBorders>
            <w:shd w:val="clear" w:color="auto" w:fill="auto"/>
            <w:noWrap/>
            <w:vAlign w:val="center"/>
          </w:tcPr>
          <w:p w14:paraId="3E1A4D25">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0.331</w:t>
            </w:r>
          </w:p>
        </w:tc>
        <w:tc>
          <w:tcPr>
            <w:tcW w:w="310" w:type="pct"/>
            <w:tcBorders>
              <w:tl2br w:val="nil"/>
              <w:tr2bl w:val="nil"/>
            </w:tcBorders>
            <w:shd w:val="clear" w:color="auto" w:fill="auto"/>
            <w:noWrap/>
            <w:vAlign w:val="center"/>
          </w:tcPr>
          <w:p w14:paraId="22846EAE">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0.371</w:t>
            </w:r>
          </w:p>
        </w:tc>
        <w:tc>
          <w:tcPr>
            <w:tcW w:w="310" w:type="pct"/>
            <w:tcBorders>
              <w:tl2br w:val="nil"/>
              <w:tr2bl w:val="nil"/>
            </w:tcBorders>
            <w:shd w:val="clear" w:color="auto" w:fill="auto"/>
            <w:noWrap/>
            <w:vAlign w:val="center"/>
          </w:tcPr>
          <w:p w14:paraId="185A7E15">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0.341</w:t>
            </w:r>
          </w:p>
        </w:tc>
        <w:tc>
          <w:tcPr>
            <w:tcW w:w="315" w:type="pct"/>
            <w:tcBorders>
              <w:tl2br w:val="nil"/>
              <w:tr2bl w:val="nil"/>
            </w:tcBorders>
            <w:shd w:val="clear" w:color="auto" w:fill="auto"/>
            <w:noWrap/>
            <w:vAlign w:val="center"/>
          </w:tcPr>
          <w:p w14:paraId="4EB0C031">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0.335</w:t>
            </w:r>
          </w:p>
        </w:tc>
        <w:tc>
          <w:tcPr>
            <w:tcW w:w="310" w:type="pct"/>
            <w:tcBorders>
              <w:tl2br w:val="nil"/>
              <w:tr2bl w:val="nil"/>
            </w:tcBorders>
            <w:shd w:val="clear" w:color="auto" w:fill="auto"/>
            <w:noWrap/>
            <w:vAlign w:val="center"/>
          </w:tcPr>
          <w:p w14:paraId="0C362825">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0.334</w:t>
            </w:r>
          </w:p>
        </w:tc>
      </w:tr>
      <w:tr w14:paraId="0D92CD1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372" w:type="pct"/>
            <w:tcBorders>
              <w:tl2br w:val="nil"/>
              <w:tr2bl w:val="nil"/>
            </w:tcBorders>
            <w:shd w:val="clear" w:color="auto" w:fill="auto"/>
            <w:vAlign w:val="center"/>
          </w:tcPr>
          <w:p w14:paraId="223AA605">
            <w:pPr>
              <w:keepNext w:val="0"/>
              <w:keepLines w:val="0"/>
              <w:widowControl/>
              <w:suppressLineNumbers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菌落总数（</w:t>
            </w:r>
            <w:r>
              <w:rPr>
                <w:rFonts w:hint="default" w:ascii="Times New Roman" w:hAnsi="Times New Roman" w:eastAsia="宋体" w:cs="Times New Roman"/>
                <w:color w:val="auto"/>
                <w:sz w:val="21"/>
                <w:szCs w:val="21"/>
                <w:highlight w:val="none"/>
                <w:u w:val="none"/>
                <w:lang w:val="en-US" w:eastAsia="zh-CN" w:bidi="ar"/>
              </w:rPr>
              <w:t>CFU/mL</w:t>
            </w:r>
            <w:r>
              <w:rPr>
                <w:rFonts w:hint="eastAsia" w:ascii="宋体" w:hAnsi="宋体" w:eastAsia="宋体" w:cs="宋体"/>
                <w:color w:val="auto"/>
                <w:sz w:val="21"/>
                <w:szCs w:val="21"/>
                <w:highlight w:val="none"/>
                <w:u w:val="none"/>
                <w:lang w:val="en-US" w:eastAsia="zh-CN" w:bidi="ar"/>
              </w:rPr>
              <w:t>）</w:t>
            </w:r>
          </w:p>
        </w:tc>
        <w:tc>
          <w:tcPr>
            <w:tcW w:w="281" w:type="pct"/>
            <w:tcBorders>
              <w:tl2br w:val="nil"/>
              <w:tr2bl w:val="nil"/>
            </w:tcBorders>
            <w:shd w:val="clear" w:color="auto" w:fill="auto"/>
            <w:noWrap/>
            <w:vAlign w:val="center"/>
          </w:tcPr>
          <w:p w14:paraId="016B12F1">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0.740</w:t>
            </w:r>
          </w:p>
        </w:tc>
        <w:tc>
          <w:tcPr>
            <w:tcW w:w="309" w:type="pct"/>
            <w:tcBorders>
              <w:tl2br w:val="nil"/>
              <w:tr2bl w:val="nil"/>
            </w:tcBorders>
            <w:shd w:val="clear" w:color="auto" w:fill="auto"/>
            <w:noWrap/>
            <w:vAlign w:val="center"/>
          </w:tcPr>
          <w:p w14:paraId="147B1719">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0.810</w:t>
            </w:r>
          </w:p>
        </w:tc>
        <w:tc>
          <w:tcPr>
            <w:tcW w:w="307" w:type="pct"/>
            <w:tcBorders>
              <w:tl2br w:val="nil"/>
              <w:tr2bl w:val="nil"/>
            </w:tcBorders>
            <w:shd w:val="clear" w:color="auto" w:fill="auto"/>
            <w:noWrap/>
            <w:vAlign w:val="center"/>
          </w:tcPr>
          <w:p w14:paraId="56C79C81">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0.460</w:t>
            </w:r>
          </w:p>
        </w:tc>
        <w:tc>
          <w:tcPr>
            <w:tcW w:w="310" w:type="pct"/>
            <w:tcBorders>
              <w:tl2br w:val="nil"/>
              <w:tr2bl w:val="nil"/>
            </w:tcBorders>
            <w:shd w:val="clear" w:color="auto" w:fill="auto"/>
            <w:noWrap/>
            <w:vAlign w:val="center"/>
          </w:tcPr>
          <w:p w14:paraId="5087A67D">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0.440</w:t>
            </w:r>
          </w:p>
        </w:tc>
        <w:tc>
          <w:tcPr>
            <w:tcW w:w="330" w:type="pct"/>
            <w:tcBorders>
              <w:tl2br w:val="nil"/>
              <w:tr2bl w:val="nil"/>
            </w:tcBorders>
            <w:shd w:val="clear" w:color="auto" w:fill="auto"/>
            <w:noWrap/>
            <w:vAlign w:val="center"/>
          </w:tcPr>
          <w:p w14:paraId="49E7E78D">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0.490</w:t>
            </w:r>
          </w:p>
        </w:tc>
        <w:tc>
          <w:tcPr>
            <w:tcW w:w="290" w:type="pct"/>
            <w:tcBorders>
              <w:tl2br w:val="nil"/>
              <w:tr2bl w:val="nil"/>
            </w:tcBorders>
            <w:shd w:val="clear" w:color="auto" w:fill="auto"/>
            <w:noWrap/>
            <w:vAlign w:val="center"/>
          </w:tcPr>
          <w:p w14:paraId="2EF8BAF3">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0.280</w:t>
            </w:r>
          </w:p>
        </w:tc>
        <w:tc>
          <w:tcPr>
            <w:tcW w:w="310" w:type="pct"/>
            <w:tcBorders>
              <w:tl2br w:val="nil"/>
              <w:tr2bl w:val="nil"/>
            </w:tcBorders>
            <w:shd w:val="clear" w:color="auto" w:fill="auto"/>
            <w:noWrap/>
            <w:vAlign w:val="center"/>
          </w:tcPr>
          <w:p w14:paraId="4B31C005">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0.460</w:t>
            </w:r>
          </w:p>
        </w:tc>
        <w:tc>
          <w:tcPr>
            <w:tcW w:w="310" w:type="pct"/>
            <w:tcBorders>
              <w:tl2br w:val="nil"/>
              <w:tr2bl w:val="nil"/>
            </w:tcBorders>
            <w:shd w:val="clear" w:color="auto" w:fill="auto"/>
            <w:noWrap/>
            <w:vAlign w:val="center"/>
          </w:tcPr>
          <w:p w14:paraId="5753A981">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0.430</w:t>
            </w:r>
          </w:p>
        </w:tc>
        <w:tc>
          <w:tcPr>
            <w:tcW w:w="310" w:type="pct"/>
            <w:tcBorders>
              <w:tl2br w:val="nil"/>
              <w:tr2bl w:val="nil"/>
            </w:tcBorders>
            <w:shd w:val="clear" w:color="auto" w:fill="auto"/>
            <w:noWrap/>
            <w:vAlign w:val="center"/>
          </w:tcPr>
          <w:p w14:paraId="65A2E47A">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0.650</w:t>
            </w:r>
          </w:p>
        </w:tc>
        <w:tc>
          <w:tcPr>
            <w:tcW w:w="310" w:type="pct"/>
            <w:tcBorders>
              <w:tl2br w:val="nil"/>
              <w:tr2bl w:val="nil"/>
            </w:tcBorders>
            <w:shd w:val="clear" w:color="auto" w:fill="auto"/>
            <w:noWrap/>
            <w:vAlign w:val="center"/>
          </w:tcPr>
          <w:p w14:paraId="52B6A2AE">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0.870</w:t>
            </w:r>
          </w:p>
        </w:tc>
        <w:tc>
          <w:tcPr>
            <w:tcW w:w="310" w:type="pct"/>
            <w:tcBorders>
              <w:tl2br w:val="nil"/>
              <w:tr2bl w:val="nil"/>
            </w:tcBorders>
            <w:shd w:val="clear" w:color="auto" w:fill="auto"/>
            <w:noWrap/>
            <w:vAlign w:val="center"/>
          </w:tcPr>
          <w:p w14:paraId="7D4AD545">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0.560</w:t>
            </w:r>
          </w:p>
        </w:tc>
        <w:tc>
          <w:tcPr>
            <w:tcW w:w="310" w:type="pct"/>
            <w:tcBorders>
              <w:tl2br w:val="nil"/>
              <w:tr2bl w:val="nil"/>
            </w:tcBorders>
            <w:shd w:val="clear" w:color="auto" w:fill="auto"/>
            <w:noWrap/>
            <w:vAlign w:val="center"/>
          </w:tcPr>
          <w:p w14:paraId="2DABFDAF">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0.630</w:t>
            </w:r>
          </w:p>
        </w:tc>
        <w:tc>
          <w:tcPr>
            <w:tcW w:w="310" w:type="pct"/>
            <w:tcBorders>
              <w:tl2br w:val="nil"/>
              <w:tr2bl w:val="nil"/>
            </w:tcBorders>
            <w:shd w:val="clear" w:color="auto" w:fill="auto"/>
            <w:noWrap/>
            <w:vAlign w:val="center"/>
          </w:tcPr>
          <w:p w14:paraId="74F777CE">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0.740</w:t>
            </w:r>
          </w:p>
        </w:tc>
        <w:tc>
          <w:tcPr>
            <w:tcW w:w="315" w:type="pct"/>
            <w:tcBorders>
              <w:tl2br w:val="nil"/>
              <w:tr2bl w:val="nil"/>
            </w:tcBorders>
            <w:shd w:val="clear" w:color="auto" w:fill="auto"/>
            <w:noWrap/>
            <w:vAlign w:val="center"/>
          </w:tcPr>
          <w:p w14:paraId="3B809593">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0.210</w:t>
            </w:r>
          </w:p>
        </w:tc>
        <w:tc>
          <w:tcPr>
            <w:tcW w:w="310" w:type="pct"/>
            <w:tcBorders>
              <w:tl2br w:val="nil"/>
              <w:tr2bl w:val="nil"/>
            </w:tcBorders>
            <w:shd w:val="clear" w:color="auto" w:fill="auto"/>
            <w:noWrap/>
            <w:vAlign w:val="center"/>
          </w:tcPr>
          <w:p w14:paraId="660D9204">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0.180</w:t>
            </w:r>
          </w:p>
        </w:tc>
      </w:tr>
    </w:tbl>
    <w:p w14:paraId="1AB95D9C">
      <w:pPr>
        <w:pStyle w:val="28"/>
        <w:jc w:val="both"/>
        <w:rPr>
          <w:rFonts w:hint="eastAsia" w:eastAsia="黑体"/>
          <w:color w:val="auto"/>
          <w:sz w:val="21"/>
          <w:szCs w:val="21"/>
          <w:highlight w:val="none"/>
          <w:lang w:eastAsia="zh-CN"/>
        </w:rPr>
      </w:pPr>
      <w:r>
        <w:rPr>
          <w:rFonts w:hint="eastAsia"/>
          <w:color w:val="auto"/>
          <w:sz w:val="21"/>
          <w:szCs w:val="21"/>
          <w:highlight w:val="none"/>
          <w:lang w:eastAsia="zh-CN"/>
        </w:rPr>
        <w:t>注：低于检出限</w:t>
      </w:r>
      <w:r>
        <w:rPr>
          <w:rFonts w:hint="eastAsia"/>
          <w:color w:val="auto"/>
          <w:sz w:val="21"/>
          <w:szCs w:val="21"/>
          <w:highlight w:val="none"/>
          <w:lang w:val="en-US" w:eastAsia="zh-CN"/>
        </w:rPr>
        <w:t>指标</w:t>
      </w:r>
      <w:r>
        <w:rPr>
          <w:rFonts w:hint="eastAsia"/>
          <w:color w:val="auto"/>
          <w:sz w:val="21"/>
          <w:szCs w:val="21"/>
          <w:highlight w:val="none"/>
          <w:lang w:eastAsia="zh-CN"/>
        </w:rPr>
        <w:t>不进行单项标准指数评价。</w:t>
      </w:r>
    </w:p>
    <w:p w14:paraId="4CDBB224">
      <w:pPr>
        <w:pStyle w:val="27"/>
        <w:rPr>
          <w:color w:val="auto"/>
          <w:highlight w:val="none"/>
        </w:rPr>
        <w:sectPr>
          <w:pgSz w:w="23811" w:h="16838" w:orient="landscape"/>
          <w:pgMar w:top="1474" w:right="1474" w:bottom="1474" w:left="1474" w:header="964" w:footer="992" w:gutter="0"/>
          <w:pgBorders>
            <w:top w:val="none" w:sz="0" w:space="0"/>
            <w:left w:val="none" w:sz="0" w:space="0"/>
            <w:bottom w:val="none" w:sz="0" w:space="0"/>
            <w:right w:val="none" w:sz="0" w:space="0"/>
          </w:pgBorders>
          <w:pgNumType w:fmt="decimal"/>
          <w:cols w:space="720" w:num="1"/>
          <w:docGrid w:type="linesAndChars" w:linePitch="347" w:charSpace="-1024"/>
        </w:sectPr>
      </w:pPr>
    </w:p>
    <w:p w14:paraId="399832F6">
      <w:pPr>
        <w:ind w:firstLine="470"/>
        <w:rPr>
          <w:color w:val="auto"/>
          <w:highlight w:val="none"/>
        </w:rPr>
      </w:pPr>
      <w:bookmarkStart w:id="64" w:name="OLE_LINK221"/>
      <w:bookmarkStart w:id="65" w:name="OLE_LINK222"/>
      <w:r>
        <w:rPr>
          <w:rFonts w:hint="eastAsia"/>
          <w:color w:val="auto"/>
          <w:highlight w:val="none"/>
        </w:rPr>
        <w:t>根据上述评价结果可知，</w:t>
      </w:r>
      <w:r>
        <w:rPr>
          <w:rFonts w:hint="eastAsia"/>
          <w:color w:val="auto"/>
          <w:highlight w:val="none"/>
          <w:lang w:eastAsia="zh-CN"/>
        </w:rPr>
        <w:t>各</w:t>
      </w:r>
      <w:r>
        <w:rPr>
          <w:rFonts w:hint="eastAsia"/>
          <w:color w:val="auto"/>
          <w:highlight w:val="none"/>
        </w:rPr>
        <w:t>取水井</w:t>
      </w:r>
      <w:r>
        <w:rPr>
          <w:rFonts w:hint="eastAsia"/>
          <w:color w:val="auto"/>
          <w:highlight w:val="none"/>
          <w:lang w:eastAsia="zh-CN"/>
        </w:rPr>
        <w:t>除</w:t>
      </w:r>
      <w:r>
        <w:rPr>
          <w:rFonts w:hint="eastAsia"/>
          <w:color w:val="auto"/>
          <w:highlight w:val="none"/>
        </w:rPr>
        <w:t>锰</w:t>
      </w:r>
      <w:r>
        <w:rPr>
          <w:rFonts w:hint="eastAsia"/>
          <w:color w:val="auto"/>
          <w:highlight w:val="none"/>
          <w:lang w:eastAsia="zh-CN"/>
        </w:rPr>
        <w:t>外均达到</w:t>
      </w:r>
      <w:r>
        <w:rPr>
          <w:rFonts w:hint="eastAsia"/>
          <w:color w:val="auto"/>
          <w:highlight w:val="none"/>
        </w:rPr>
        <w:t>《地下水质量标准》（GB/T 14848-2017）中的Ⅲ类要求，锰超标主要受区域原生地质因素影响</w:t>
      </w:r>
      <w:r>
        <w:rPr>
          <w:rFonts w:hint="eastAsia"/>
          <w:color w:val="auto"/>
          <w:highlight w:val="none"/>
          <w:lang w:eastAsia="zh-CN"/>
        </w:rPr>
        <w:t>。</w:t>
      </w:r>
      <w:r>
        <w:rPr>
          <w:rFonts w:hint="eastAsia"/>
          <w:color w:val="auto"/>
          <w:highlight w:val="none"/>
          <w:lang w:val="en-US" w:eastAsia="zh-CN"/>
        </w:rPr>
        <w:t>各水源地</w:t>
      </w:r>
      <w:r>
        <w:rPr>
          <w:rFonts w:hint="eastAsia"/>
          <w:color w:val="auto"/>
          <w:highlight w:val="none"/>
        </w:rPr>
        <w:t>取水井输水管线均已铺设完毕，</w:t>
      </w:r>
      <w:r>
        <w:rPr>
          <w:rFonts w:hint="eastAsia"/>
          <w:color w:val="auto"/>
          <w:sz w:val="24"/>
          <w:szCs w:val="24"/>
          <w:highlight w:val="none"/>
        </w:rPr>
        <w:t>各净水间均设有</w:t>
      </w:r>
      <w:r>
        <w:rPr>
          <w:rFonts w:hint="eastAsia"/>
          <w:color w:val="auto"/>
          <w:sz w:val="24"/>
          <w:szCs w:val="24"/>
          <w:highlight w:val="none"/>
          <w:lang w:eastAsia="zh-CN"/>
        </w:rPr>
        <w:t>净化</w:t>
      </w:r>
      <w:r>
        <w:rPr>
          <w:rFonts w:hint="eastAsia"/>
          <w:color w:val="auto"/>
          <w:sz w:val="24"/>
          <w:szCs w:val="24"/>
          <w:highlight w:val="none"/>
        </w:rPr>
        <w:t>装置</w:t>
      </w:r>
      <w:r>
        <w:rPr>
          <w:rFonts w:hint="eastAsia"/>
          <w:color w:val="auto"/>
          <w:highlight w:val="none"/>
        </w:rPr>
        <w:t>，</w:t>
      </w:r>
      <w:r>
        <w:rPr>
          <w:rFonts w:hint="eastAsia" w:ascii="Times New Roman" w:hAnsi="Times New Roman" w:cs="Times New Roman"/>
          <w:color w:val="auto"/>
          <w:highlight w:val="none"/>
        </w:rPr>
        <w:t>经“机械曝气→锰砂过滤</w:t>
      </w:r>
      <w:r>
        <w:rPr>
          <w:rFonts w:hint="eastAsia" w:ascii="Times New Roman" w:hAnsi="Times New Roman" w:cs="Times New Roman"/>
          <w:color w:val="auto"/>
          <w:highlight w:val="none"/>
          <w:lang w:val="en-US" w:eastAsia="zh-CN"/>
        </w:rPr>
        <w:t>/二级除铁锰</w:t>
      </w:r>
      <w:r>
        <w:rPr>
          <w:rFonts w:hint="eastAsia" w:ascii="Times New Roman" w:hAnsi="Times New Roman" w:cs="Times New Roman"/>
          <w:color w:val="auto"/>
          <w:highlight w:val="none"/>
        </w:rPr>
        <w:t>→消毒（次氯酸钠</w:t>
      </w:r>
      <w:r>
        <w:rPr>
          <w:rFonts w:hint="eastAsia" w:ascii="Times New Roman" w:hAnsi="Times New Roman" w:cs="Times New Roman"/>
          <w:color w:val="auto"/>
          <w:highlight w:val="none"/>
          <w:lang w:val="en-US" w:eastAsia="zh-CN"/>
        </w:rPr>
        <w:t>/二氧化</w:t>
      </w:r>
      <w:r>
        <w:rPr>
          <w:rFonts w:hint="eastAsia"/>
          <w:color w:val="auto"/>
          <w:highlight w:val="none"/>
          <w:lang w:val="en-US" w:eastAsia="zh-CN"/>
        </w:rPr>
        <w:t>氯</w:t>
      </w:r>
      <w:r>
        <w:rPr>
          <w:rFonts w:hint="eastAsia"/>
          <w:color w:val="auto"/>
          <w:highlight w:val="none"/>
        </w:rPr>
        <w:t>消毒）”处理后可有效去除原水中锰等污染物。</w:t>
      </w:r>
      <w:bookmarkEnd w:id="64"/>
      <w:bookmarkEnd w:id="65"/>
    </w:p>
    <w:p w14:paraId="34C90979">
      <w:pPr>
        <w:pStyle w:val="3"/>
        <w:rPr>
          <w:color w:val="auto"/>
          <w:highlight w:val="none"/>
          <w:lang w:val="en-US"/>
        </w:rPr>
      </w:pPr>
      <w:bookmarkStart w:id="66" w:name="_Toc18289"/>
      <w:bookmarkStart w:id="67" w:name="_Toc23483"/>
      <w:r>
        <w:rPr>
          <w:rFonts w:hint="eastAsia"/>
          <w:color w:val="auto"/>
          <w:highlight w:val="none"/>
        </w:rPr>
        <w:t>2.8</w:t>
      </w:r>
      <w:r>
        <w:rPr>
          <w:rFonts w:hint="eastAsia"/>
          <w:color w:val="auto"/>
          <w:highlight w:val="none"/>
          <w:lang w:val="en-US"/>
        </w:rPr>
        <w:t>饮用水水源地周边及上游污染源调查</w:t>
      </w:r>
      <w:bookmarkEnd w:id="66"/>
      <w:bookmarkEnd w:id="67"/>
    </w:p>
    <w:p w14:paraId="71EB0C58">
      <w:pPr>
        <w:pStyle w:val="4"/>
        <w:rPr>
          <w:color w:val="auto"/>
          <w:highlight w:val="none"/>
        </w:rPr>
      </w:pPr>
      <w:bookmarkStart w:id="68" w:name="_Toc26490"/>
      <w:r>
        <w:rPr>
          <w:rFonts w:hint="eastAsia"/>
          <w:color w:val="auto"/>
          <w:highlight w:val="none"/>
        </w:rPr>
        <w:t>2.8.1调查范围</w:t>
      </w:r>
      <w:bookmarkEnd w:id="68"/>
    </w:p>
    <w:p w14:paraId="5584863E">
      <w:pPr>
        <w:keepNext w:val="0"/>
        <w:keepLines w:val="0"/>
        <w:pageBreakBefore w:val="0"/>
        <w:widowControl w:val="0"/>
        <w:kinsoku/>
        <w:wordWrap/>
        <w:overflowPunct/>
        <w:topLinePunct w:val="0"/>
        <w:autoSpaceDN/>
        <w:bidi w:val="0"/>
        <w:adjustRightInd/>
        <w:snapToGrid/>
        <w:spacing w:line="360" w:lineRule="auto"/>
        <w:ind w:firstLine="472" w:firstLineChars="200"/>
        <w:textAlignment w:val="auto"/>
        <w:rPr>
          <w:color w:val="auto"/>
          <w:kern w:val="0"/>
          <w:sz w:val="24"/>
          <w:szCs w:val="24"/>
          <w:highlight w:val="none"/>
        </w:rPr>
      </w:pPr>
      <w:r>
        <w:rPr>
          <w:rFonts w:hint="eastAsia"/>
          <w:color w:val="auto"/>
          <w:highlight w:val="none"/>
          <w:lang w:eastAsia="zh-CN"/>
        </w:rPr>
        <w:t>根据</w:t>
      </w:r>
      <w:r>
        <w:rPr>
          <w:rFonts w:hint="eastAsia"/>
          <w:color w:val="auto"/>
          <w:highlight w:val="none"/>
        </w:rPr>
        <w:t>《饮用水水源保护区划分技术规范》（HJ 338-2018）</w:t>
      </w:r>
      <w:r>
        <w:rPr>
          <w:rFonts w:hint="eastAsia"/>
          <w:color w:val="auto"/>
          <w:highlight w:val="none"/>
          <w:lang w:eastAsia="zh-CN"/>
        </w:rPr>
        <w:t>，</w:t>
      </w:r>
      <w:r>
        <w:rPr>
          <w:rFonts w:hint="eastAsia"/>
          <w:color w:val="auto"/>
          <w:highlight w:val="none"/>
        </w:rPr>
        <w:t>充分考虑</w:t>
      </w:r>
      <w:r>
        <w:rPr>
          <w:rFonts w:hint="eastAsia"/>
          <w:color w:val="auto"/>
          <w:highlight w:val="none"/>
          <w:lang w:val="en-US" w:eastAsia="zh-CN"/>
        </w:rPr>
        <w:t>各</w:t>
      </w:r>
      <w:r>
        <w:rPr>
          <w:rFonts w:hint="eastAsia"/>
          <w:color w:val="auto"/>
          <w:highlight w:val="none"/>
        </w:rPr>
        <w:t>取水井类型</w:t>
      </w:r>
      <w:r>
        <w:rPr>
          <w:rFonts w:hint="eastAsia"/>
          <w:color w:val="auto"/>
          <w:highlight w:val="none"/>
          <w:lang w:eastAsia="zh-CN"/>
        </w:rPr>
        <w:t>、</w:t>
      </w:r>
      <w:r>
        <w:rPr>
          <w:rFonts w:hint="eastAsia"/>
          <w:color w:val="auto"/>
          <w:highlight w:val="none"/>
        </w:rPr>
        <w:t>地下水流向、区域地形等因素，</w:t>
      </w:r>
      <w:r>
        <w:rPr>
          <w:color w:val="auto"/>
          <w:kern w:val="0"/>
          <w:sz w:val="24"/>
          <w:szCs w:val="24"/>
          <w:highlight w:val="none"/>
        </w:rPr>
        <w:t>本次污染源调查范围为取水井</w:t>
      </w:r>
      <w:r>
        <w:rPr>
          <w:rFonts w:hint="eastAsia"/>
          <w:color w:val="auto"/>
          <w:kern w:val="0"/>
          <w:sz w:val="24"/>
          <w:szCs w:val="24"/>
          <w:highlight w:val="none"/>
        </w:rPr>
        <w:t>上游1000</w:t>
      </w:r>
      <w:r>
        <w:rPr>
          <w:rFonts w:hint="default"/>
          <w:color w:val="auto"/>
          <w:kern w:val="0"/>
          <w:sz w:val="24"/>
          <w:szCs w:val="24"/>
          <w:highlight w:val="none"/>
          <w:lang w:val="en-US"/>
        </w:rPr>
        <w:t>米</w:t>
      </w:r>
      <w:r>
        <w:rPr>
          <w:rFonts w:hint="eastAsia"/>
          <w:color w:val="auto"/>
          <w:kern w:val="0"/>
          <w:sz w:val="24"/>
          <w:szCs w:val="24"/>
          <w:highlight w:val="none"/>
        </w:rPr>
        <w:t>、两侧及下游300</w:t>
      </w:r>
      <w:r>
        <w:rPr>
          <w:rFonts w:hint="default"/>
          <w:color w:val="auto"/>
          <w:kern w:val="0"/>
          <w:sz w:val="24"/>
          <w:szCs w:val="24"/>
          <w:highlight w:val="none"/>
          <w:lang w:val="en-US"/>
        </w:rPr>
        <w:t>米</w:t>
      </w:r>
      <w:r>
        <w:rPr>
          <w:rFonts w:hint="eastAsia"/>
          <w:color w:val="auto"/>
          <w:kern w:val="0"/>
          <w:sz w:val="24"/>
          <w:szCs w:val="24"/>
          <w:highlight w:val="none"/>
        </w:rPr>
        <w:t>区域</w:t>
      </w:r>
      <w:r>
        <w:rPr>
          <w:color w:val="auto"/>
          <w:kern w:val="0"/>
          <w:sz w:val="24"/>
          <w:szCs w:val="24"/>
          <w:highlight w:val="none"/>
        </w:rPr>
        <w:t>，</w:t>
      </w:r>
      <w:r>
        <w:rPr>
          <w:rFonts w:hint="eastAsia"/>
          <w:color w:val="auto"/>
          <w:kern w:val="0"/>
          <w:sz w:val="24"/>
          <w:szCs w:val="24"/>
          <w:highlight w:val="none"/>
          <w:lang w:val="en-US" w:eastAsia="zh-CN"/>
        </w:rPr>
        <w:t>各取水井</w:t>
      </w:r>
      <w:r>
        <w:rPr>
          <w:color w:val="auto"/>
          <w:kern w:val="0"/>
          <w:sz w:val="24"/>
          <w:szCs w:val="24"/>
          <w:highlight w:val="none"/>
        </w:rPr>
        <w:t>周边及上游污染源分布</w:t>
      </w:r>
      <w:r>
        <w:rPr>
          <w:rFonts w:hint="eastAsia"/>
          <w:color w:val="auto"/>
          <w:kern w:val="0"/>
          <w:sz w:val="24"/>
          <w:szCs w:val="24"/>
          <w:highlight w:val="none"/>
          <w:lang w:eastAsia="zh-CN"/>
        </w:rPr>
        <w:t>情况</w:t>
      </w:r>
      <w:r>
        <w:rPr>
          <w:color w:val="auto"/>
          <w:kern w:val="0"/>
          <w:sz w:val="24"/>
          <w:szCs w:val="24"/>
          <w:highlight w:val="none"/>
        </w:rPr>
        <w:t>见</w:t>
      </w:r>
      <w:r>
        <w:rPr>
          <w:rFonts w:hint="eastAsia"/>
          <w:color w:val="auto"/>
          <w:kern w:val="0"/>
          <w:sz w:val="24"/>
          <w:szCs w:val="24"/>
          <w:highlight w:val="none"/>
          <w:lang w:eastAsia="zh-CN"/>
        </w:rPr>
        <w:t>附</w:t>
      </w:r>
      <w:r>
        <w:rPr>
          <w:color w:val="auto"/>
          <w:kern w:val="0"/>
          <w:sz w:val="24"/>
          <w:szCs w:val="24"/>
          <w:highlight w:val="none"/>
        </w:rPr>
        <w:t>图</w:t>
      </w:r>
      <w:r>
        <w:rPr>
          <w:rFonts w:hint="eastAsia"/>
          <w:color w:val="auto"/>
          <w:kern w:val="0"/>
          <w:sz w:val="24"/>
          <w:szCs w:val="24"/>
          <w:highlight w:val="none"/>
          <w:lang w:val="en-US" w:eastAsia="zh-CN"/>
        </w:rPr>
        <w:t>4</w:t>
      </w:r>
      <w:r>
        <w:rPr>
          <w:color w:val="auto"/>
          <w:kern w:val="0"/>
          <w:sz w:val="24"/>
          <w:szCs w:val="24"/>
          <w:highlight w:val="none"/>
        </w:rPr>
        <w:t>。</w:t>
      </w:r>
    </w:p>
    <w:p w14:paraId="6B3AA00F">
      <w:pPr>
        <w:pStyle w:val="4"/>
        <w:rPr>
          <w:color w:val="auto"/>
          <w:highlight w:val="none"/>
        </w:rPr>
      </w:pPr>
      <w:bookmarkStart w:id="69" w:name="_Toc211"/>
      <w:r>
        <w:rPr>
          <w:rFonts w:hint="eastAsia"/>
          <w:color w:val="auto"/>
          <w:highlight w:val="none"/>
        </w:rPr>
        <w:t>2.8.2污染情况</w:t>
      </w:r>
      <w:bookmarkEnd w:id="69"/>
    </w:p>
    <w:p w14:paraId="2AC3514B">
      <w:pPr>
        <w:ind w:firstLine="470"/>
        <w:rPr>
          <w:rFonts w:hint="default"/>
          <w:color w:val="auto"/>
          <w:highlight w:val="none"/>
          <w:lang w:val="en-US"/>
        </w:rPr>
      </w:pPr>
      <w:r>
        <w:rPr>
          <w:rFonts w:hint="eastAsia"/>
          <w:color w:val="auto"/>
          <w:highlight w:val="none"/>
        </w:rPr>
        <w:t>依据《饮用水水源保护区划分技术规范》（HJ 338-2018）中附录A.8中污染源调查的要求，对调查范围可能对水源地水质造成影响的污染源分类调查，包括点源、非点源、固体废物堆放（填埋）场、流动源。</w:t>
      </w:r>
    </w:p>
    <w:p w14:paraId="61E93F45">
      <w:pPr>
        <w:pStyle w:val="5"/>
        <w:bidi w:val="0"/>
        <w:ind w:firstLine="472" w:firstLineChars="200"/>
        <w:rPr>
          <w:rFonts w:hint="default"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（1）绥化市庆安县发展乡饮用水水源地</w:t>
      </w:r>
    </w:p>
    <w:p w14:paraId="734A30CF">
      <w:pPr>
        <w:ind w:firstLine="470"/>
        <w:rPr>
          <w:rFonts w:hint="eastAsia" w:eastAsia="宋体"/>
          <w:color w:val="auto"/>
          <w:highlight w:val="none"/>
          <w:lang w:eastAsia="zh-CN"/>
        </w:rPr>
      </w:pPr>
      <w:r>
        <w:rPr>
          <w:rFonts w:hint="eastAsia" w:ascii="Times New Roman" w:hAnsi="Times New Roman" w:eastAsia="宋体" w:cs="Times New Roman"/>
          <w:color w:val="auto"/>
          <w:kern w:val="2"/>
          <w:sz w:val="24"/>
          <w:szCs w:val="24"/>
          <w:highlight w:val="none"/>
          <w:lang w:val="en-US" w:eastAsia="zh-CN" w:bidi="ar-SA"/>
        </w:rPr>
        <w:t>绥化市庆安县发展乡饮用水水源地</w:t>
      </w:r>
      <w:r>
        <w:rPr>
          <w:rFonts w:hint="eastAsia"/>
          <w:color w:val="auto"/>
          <w:kern w:val="0"/>
          <w:sz w:val="24"/>
          <w:szCs w:val="24"/>
          <w:highlight w:val="none"/>
          <w:lang w:eastAsia="zh-CN"/>
        </w:rPr>
        <w:t>污</w:t>
      </w:r>
      <w:r>
        <w:rPr>
          <w:color w:val="auto"/>
          <w:kern w:val="0"/>
          <w:sz w:val="24"/>
          <w:szCs w:val="24"/>
          <w:highlight w:val="none"/>
        </w:rPr>
        <w:t>染源调查范围为取水井</w:t>
      </w:r>
      <w:r>
        <w:rPr>
          <w:rFonts w:hint="eastAsia"/>
          <w:color w:val="auto"/>
          <w:kern w:val="0"/>
          <w:sz w:val="24"/>
          <w:szCs w:val="24"/>
          <w:highlight w:val="none"/>
        </w:rPr>
        <w:t>上游1000</w:t>
      </w:r>
      <w:r>
        <w:rPr>
          <w:rFonts w:hint="default"/>
          <w:color w:val="auto"/>
          <w:kern w:val="0"/>
          <w:sz w:val="24"/>
          <w:szCs w:val="24"/>
          <w:highlight w:val="none"/>
          <w:lang w:val="en-US"/>
        </w:rPr>
        <w:t>米</w:t>
      </w:r>
      <w:r>
        <w:rPr>
          <w:rFonts w:hint="eastAsia"/>
          <w:color w:val="auto"/>
          <w:kern w:val="0"/>
          <w:sz w:val="24"/>
          <w:szCs w:val="24"/>
          <w:highlight w:val="none"/>
        </w:rPr>
        <w:t>、两侧及下游300</w:t>
      </w:r>
      <w:r>
        <w:rPr>
          <w:rFonts w:hint="default"/>
          <w:color w:val="auto"/>
          <w:kern w:val="0"/>
          <w:sz w:val="24"/>
          <w:szCs w:val="24"/>
          <w:highlight w:val="none"/>
          <w:lang w:val="en-US"/>
        </w:rPr>
        <w:t>米</w:t>
      </w:r>
      <w:r>
        <w:rPr>
          <w:rFonts w:hint="eastAsia"/>
          <w:color w:val="auto"/>
          <w:kern w:val="0"/>
          <w:sz w:val="24"/>
          <w:szCs w:val="24"/>
          <w:highlight w:val="none"/>
        </w:rPr>
        <w:t>区域</w:t>
      </w:r>
      <w:r>
        <w:rPr>
          <w:rFonts w:hint="eastAsia"/>
          <w:color w:val="auto"/>
          <w:kern w:val="0"/>
          <w:sz w:val="24"/>
          <w:szCs w:val="24"/>
          <w:highlight w:val="none"/>
          <w:lang w:eastAsia="zh-CN"/>
        </w:rPr>
        <w:t>，调查面积为</w:t>
      </w:r>
      <w:r>
        <w:rPr>
          <w:rFonts w:hint="eastAsia"/>
          <w:color w:val="auto"/>
          <w:kern w:val="0"/>
          <w:sz w:val="24"/>
          <w:szCs w:val="24"/>
          <w:highlight w:val="none"/>
          <w:lang w:val="en-US" w:eastAsia="zh-CN"/>
        </w:rPr>
        <w:t>190.65</w:t>
      </w:r>
      <w:r>
        <w:rPr>
          <w:rFonts w:hint="eastAsia"/>
          <w:color w:val="auto"/>
          <w:kern w:val="0"/>
          <w:sz w:val="24"/>
          <w:szCs w:val="24"/>
          <w:highlight w:val="none"/>
          <w:lang w:eastAsia="zh-CN"/>
        </w:rPr>
        <w:t>公顷。调查范围内污染情况如下：</w:t>
      </w:r>
    </w:p>
    <w:p w14:paraId="156037E2">
      <w:pPr>
        <w:ind w:firstLine="470"/>
        <w:rPr>
          <w:color w:val="auto"/>
          <w:highlight w:val="none"/>
        </w:rPr>
      </w:pPr>
      <w:r>
        <w:rPr>
          <w:rFonts w:hint="eastAsia"/>
          <w:color w:val="auto"/>
          <w:highlight w:val="none"/>
        </w:rPr>
        <w:t>1）点源</w:t>
      </w:r>
    </w:p>
    <w:p w14:paraId="22D8914B">
      <w:pPr>
        <w:ind w:firstLine="470"/>
        <w:rPr>
          <w:rFonts w:hint="eastAsia"/>
          <w:color w:val="auto"/>
          <w:highlight w:val="none"/>
          <w:lang w:eastAsia="zh-CN"/>
        </w:rPr>
      </w:pPr>
      <w:r>
        <w:rPr>
          <w:rFonts w:hint="eastAsia"/>
          <w:color w:val="auto"/>
          <w:highlight w:val="none"/>
        </w:rPr>
        <w:t>点源包括工业或生活排污口、规模化畜禽养殖</w:t>
      </w:r>
      <w:r>
        <w:rPr>
          <w:rFonts w:hint="eastAsia"/>
          <w:color w:val="auto"/>
          <w:highlight w:val="none"/>
          <w:lang w:eastAsia="zh-CN"/>
        </w:rPr>
        <w:t>等</w:t>
      </w:r>
      <w:r>
        <w:rPr>
          <w:rFonts w:hint="eastAsia"/>
          <w:color w:val="auto"/>
          <w:highlight w:val="none"/>
        </w:rPr>
        <w:t>。经过实地走访调查，调查范围不存在石化、冶炼、制药、加油站、尾矿库、填埋场、工业废水排放口和规模化畜禽养殖等设施及场所</w:t>
      </w:r>
      <w:r>
        <w:rPr>
          <w:rFonts w:hint="eastAsia"/>
          <w:color w:val="auto"/>
          <w:highlight w:val="none"/>
          <w:lang w:eastAsia="zh-CN"/>
        </w:rPr>
        <w:t>。</w:t>
      </w:r>
    </w:p>
    <w:p w14:paraId="1EFC1F0E">
      <w:pPr>
        <w:ind w:firstLine="470"/>
        <w:rPr>
          <w:color w:val="auto"/>
          <w:highlight w:val="none"/>
        </w:rPr>
      </w:pPr>
      <w:r>
        <w:rPr>
          <w:rFonts w:hint="eastAsia"/>
          <w:color w:val="auto"/>
          <w:highlight w:val="none"/>
        </w:rPr>
        <w:t>2）非点源</w:t>
      </w:r>
    </w:p>
    <w:p w14:paraId="6A5CB033">
      <w:pPr>
        <w:ind w:firstLine="470"/>
        <w:rPr>
          <w:color w:val="auto"/>
          <w:highlight w:val="none"/>
        </w:rPr>
      </w:pPr>
      <w:r>
        <w:rPr>
          <w:rFonts w:hint="eastAsia"/>
          <w:color w:val="auto"/>
          <w:highlight w:val="none"/>
        </w:rPr>
        <w:t>水源地</w:t>
      </w:r>
      <w:r>
        <w:rPr>
          <w:rFonts w:hint="eastAsia"/>
          <w:color w:val="auto"/>
          <w:highlight w:val="none"/>
          <w:lang w:eastAsia="zh-CN"/>
        </w:rPr>
        <w:t>评价范围内</w:t>
      </w:r>
      <w:r>
        <w:rPr>
          <w:rFonts w:hint="eastAsia"/>
          <w:color w:val="auto"/>
          <w:highlight w:val="none"/>
        </w:rPr>
        <w:t>污染源主要为非点源污染，包括以下两方面：一是村屯居民生活产生的生活污水、生活垃圾，畜禽养殖产生的排泄物等；二是农田施用化肥农药，不能被作物吸收利用随地表径流流失的部分。</w:t>
      </w:r>
    </w:p>
    <w:p w14:paraId="0A00B076">
      <w:pPr>
        <w:ind w:firstLine="470" w:firstLineChars="0"/>
        <w:rPr>
          <w:color w:val="auto"/>
          <w:highlight w:val="none"/>
        </w:rPr>
      </w:pPr>
      <w:r>
        <w:rPr>
          <w:rFonts w:hint="eastAsia" w:ascii="宋体" w:hAnsi="宋体"/>
          <w:color w:val="auto"/>
          <w:highlight w:val="none"/>
        </w:rPr>
        <w:t>①</w:t>
      </w:r>
      <w:r>
        <w:rPr>
          <w:rFonts w:hint="eastAsia"/>
          <w:color w:val="auto"/>
          <w:highlight w:val="none"/>
        </w:rPr>
        <w:t>居民区生活污水、生活垃圾污染</w:t>
      </w:r>
    </w:p>
    <w:p w14:paraId="2F858872">
      <w:pPr>
        <w:ind w:firstLine="470"/>
        <w:rPr>
          <w:rFonts w:hint="eastAsia"/>
          <w:color w:val="auto"/>
          <w:highlight w:val="none"/>
        </w:rPr>
      </w:pPr>
      <w:r>
        <w:rPr>
          <w:rFonts w:hint="eastAsia"/>
          <w:color w:val="auto"/>
          <w:highlight w:val="none"/>
        </w:rPr>
        <w:t>经过实地走访调查，调查范围内主要生活污染源为</w:t>
      </w:r>
      <w:r>
        <w:rPr>
          <w:rFonts w:hint="eastAsia"/>
          <w:color w:val="auto"/>
          <w:highlight w:val="none"/>
          <w:lang w:eastAsia="zh-CN"/>
        </w:rPr>
        <w:t>八部屯（与水井</w:t>
      </w:r>
      <w:r>
        <w:rPr>
          <w:rFonts w:hint="eastAsia"/>
          <w:color w:val="auto"/>
          <w:highlight w:val="none"/>
          <w:lang w:val="en-US" w:eastAsia="zh-CN"/>
        </w:rPr>
        <w:t>1#最近距离48米</w:t>
      </w:r>
      <w:r>
        <w:rPr>
          <w:rFonts w:hint="eastAsia"/>
          <w:color w:val="auto"/>
          <w:highlight w:val="none"/>
          <w:lang w:eastAsia="zh-CN"/>
        </w:rPr>
        <w:t>）</w:t>
      </w:r>
      <w:r>
        <w:rPr>
          <w:rFonts w:hint="eastAsia"/>
          <w:color w:val="auto"/>
          <w:highlight w:val="none"/>
        </w:rPr>
        <w:t>的农村生活污水、生活垃圾。调查范围内居民总数约为</w:t>
      </w:r>
      <w:r>
        <w:rPr>
          <w:rFonts w:hint="eastAsia"/>
          <w:color w:val="auto"/>
          <w:highlight w:val="none"/>
          <w:lang w:val="en-US" w:eastAsia="zh-CN"/>
        </w:rPr>
        <w:t>35</w:t>
      </w:r>
      <w:r>
        <w:rPr>
          <w:rFonts w:hint="eastAsia"/>
          <w:color w:val="auto"/>
          <w:highlight w:val="none"/>
        </w:rPr>
        <w:t>人，根据黑龙江省地方标准《用水定额》（DB 23/T 727-202</w:t>
      </w:r>
      <w:r>
        <w:rPr>
          <w:rFonts w:hint="eastAsia"/>
          <w:color w:val="auto"/>
          <w:highlight w:val="none"/>
          <w:lang w:val="en-US" w:eastAsia="zh-CN"/>
        </w:rPr>
        <w:t>5</w:t>
      </w:r>
      <w:r>
        <w:rPr>
          <w:rFonts w:hint="eastAsia"/>
          <w:color w:val="auto"/>
          <w:highlight w:val="none"/>
        </w:rPr>
        <w:t>），生活用水按每人80升/天计，用水量为</w:t>
      </w:r>
      <w:r>
        <w:rPr>
          <w:rFonts w:hint="eastAsia"/>
          <w:color w:val="auto"/>
          <w:highlight w:val="none"/>
          <w:lang w:val="en-US" w:eastAsia="zh-CN"/>
        </w:rPr>
        <w:t>2.8</w:t>
      </w:r>
      <w:r>
        <w:rPr>
          <w:rFonts w:hint="eastAsia"/>
          <w:color w:val="auto"/>
          <w:highlight w:val="none"/>
        </w:rPr>
        <w:t>立方米/天、</w:t>
      </w:r>
      <w:r>
        <w:rPr>
          <w:rFonts w:hint="eastAsia"/>
          <w:color w:val="auto"/>
          <w:highlight w:val="none"/>
          <w:lang w:val="en-US" w:eastAsia="zh-CN"/>
        </w:rPr>
        <w:t>1022</w:t>
      </w:r>
      <w:r>
        <w:rPr>
          <w:rFonts w:hint="eastAsia"/>
          <w:color w:val="auto"/>
          <w:highlight w:val="none"/>
        </w:rPr>
        <w:t>立方米/年，</w:t>
      </w:r>
      <w:r>
        <w:rPr>
          <w:color w:val="auto"/>
          <w:highlight w:val="none"/>
        </w:rPr>
        <w:t>生活污水按用水量的80%计算，</w:t>
      </w:r>
      <w:r>
        <w:rPr>
          <w:rFonts w:hint="eastAsia"/>
          <w:color w:val="auto"/>
          <w:highlight w:val="none"/>
          <w:lang w:eastAsia="zh-CN"/>
        </w:rPr>
        <w:t>产生量</w:t>
      </w:r>
      <w:r>
        <w:rPr>
          <w:color w:val="auto"/>
          <w:highlight w:val="none"/>
        </w:rPr>
        <w:t>为</w:t>
      </w:r>
      <w:r>
        <w:rPr>
          <w:rFonts w:hint="eastAsia"/>
          <w:color w:val="auto"/>
          <w:highlight w:val="none"/>
          <w:lang w:val="en-US" w:eastAsia="zh-CN"/>
        </w:rPr>
        <w:t>2.24</w:t>
      </w:r>
      <w:r>
        <w:rPr>
          <w:rFonts w:hint="eastAsia"/>
          <w:color w:val="auto"/>
          <w:highlight w:val="none"/>
        </w:rPr>
        <w:t>立方米/天、</w:t>
      </w:r>
      <w:r>
        <w:rPr>
          <w:rFonts w:hint="eastAsia"/>
          <w:color w:val="auto"/>
          <w:highlight w:val="none"/>
          <w:lang w:val="en-US" w:eastAsia="zh-CN"/>
        </w:rPr>
        <w:t>817.6</w:t>
      </w:r>
      <w:r>
        <w:rPr>
          <w:rFonts w:hint="eastAsia"/>
          <w:color w:val="auto"/>
          <w:highlight w:val="none"/>
        </w:rPr>
        <w:t>立方米/年，COD和氨氮的</w:t>
      </w:r>
      <w:r>
        <w:rPr>
          <w:rFonts w:hint="eastAsia"/>
          <w:color w:val="auto"/>
          <w:highlight w:val="none"/>
          <w:lang w:eastAsia="zh-CN"/>
        </w:rPr>
        <w:t>产生</w:t>
      </w:r>
      <w:r>
        <w:rPr>
          <w:rFonts w:hint="eastAsia"/>
          <w:color w:val="auto"/>
          <w:highlight w:val="none"/>
        </w:rPr>
        <w:t>浓度按300毫克/升、30毫克/升计，则COD</w:t>
      </w:r>
      <w:r>
        <w:rPr>
          <w:rFonts w:hint="eastAsia"/>
          <w:color w:val="auto"/>
          <w:highlight w:val="none"/>
          <w:lang w:eastAsia="zh-CN"/>
        </w:rPr>
        <w:t>产生量</w:t>
      </w:r>
      <w:r>
        <w:rPr>
          <w:rFonts w:hint="eastAsia"/>
          <w:color w:val="auto"/>
          <w:highlight w:val="none"/>
        </w:rPr>
        <w:t>为</w:t>
      </w:r>
      <w:r>
        <w:rPr>
          <w:rFonts w:hint="eastAsia"/>
          <w:color w:val="auto"/>
          <w:highlight w:val="none"/>
          <w:lang w:val="en-US" w:eastAsia="zh-CN"/>
        </w:rPr>
        <w:t>0.25</w:t>
      </w:r>
      <w:r>
        <w:rPr>
          <w:rFonts w:hint="eastAsia"/>
          <w:color w:val="auto"/>
          <w:highlight w:val="none"/>
        </w:rPr>
        <w:t>吨/年，氨氮</w:t>
      </w:r>
      <w:r>
        <w:rPr>
          <w:rFonts w:hint="eastAsia"/>
          <w:color w:val="auto"/>
          <w:highlight w:val="none"/>
          <w:lang w:eastAsia="zh-CN"/>
        </w:rPr>
        <w:t>产生量</w:t>
      </w:r>
      <w:r>
        <w:rPr>
          <w:rFonts w:hint="eastAsia"/>
          <w:color w:val="auto"/>
          <w:highlight w:val="none"/>
        </w:rPr>
        <w:t>为</w:t>
      </w:r>
      <w:r>
        <w:rPr>
          <w:rFonts w:hint="eastAsia"/>
          <w:color w:val="auto"/>
          <w:highlight w:val="none"/>
          <w:lang w:val="en-US" w:eastAsia="zh-CN"/>
        </w:rPr>
        <w:t>0.025</w:t>
      </w:r>
      <w:r>
        <w:rPr>
          <w:rFonts w:hint="eastAsia"/>
          <w:color w:val="auto"/>
          <w:highlight w:val="none"/>
        </w:rPr>
        <w:t>吨/年；生活垃圾按</w:t>
      </w:r>
      <w:r>
        <w:rPr>
          <w:color w:val="auto"/>
          <w:highlight w:val="none"/>
        </w:rPr>
        <w:t>0.5</w:t>
      </w:r>
      <w:r>
        <w:rPr>
          <w:rFonts w:hint="eastAsia"/>
          <w:color w:val="auto"/>
          <w:highlight w:val="none"/>
        </w:rPr>
        <w:t>千克</w:t>
      </w:r>
      <w:r>
        <w:rPr>
          <w:color w:val="auto"/>
          <w:highlight w:val="none"/>
        </w:rPr>
        <w:t>/人/天计算，</w:t>
      </w:r>
      <w:r>
        <w:rPr>
          <w:rFonts w:hint="eastAsia"/>
          <w:color w:val="auto"/>
          <w:highlight w:val="none"/>
        </w:rPr>
        <w:t>则</w:t>
      </w:r>
      <w:r>
        <w:rPr>
          <w:color w:val="auto"/>
          <w:highlight w:val="none"/>
        </w:rPr>
        <w:t>产生量为</w:t>
      </w:r>
      <w:r>
        <w:rPr>
          <w:rFonts w:hint="eastAsia"/>
          <w:color w:val="auto"/>
          <w:highlight w:val="none"/>
          <w:lang w:val="en-US" w:eastAsia="zh-CN"/>
        </w:rPr>
        <w:t>6.4</w:t>
      </w:r>
      <w:r>
        <w:rPr>
          <w:rFonts w:hint="eastAsia"/>
          <w:color w:val="auto"/>
          <w:highlight w:val="none"/>
        </w:rPr>
        <w:t>吨/年</w:t>
      </w:r>
      <w:r>
        <w:rPr>
          <w:color w:val="auto"/>
          <w:highlight w:val="none"/>
        </w:rPr>
        <w:t>。</w:t>
      </w:r>
      <w:r>
        <w:rPr>
          <w:rFonts w:hint="eastAsia"/>
          <w:color w:val="auto"/>
          <w:highlight w:val="none"/>
          <w:lang w:eastAsia="zh-CN"/>
        </w:rPr>
        <w:t>目前</w:t>
      </w:r>
      <w:r>
        <w:rPr>
          <w:rFonts w:hint="eastAsia"/>
          <w:color w:val="auto"/>
          <w:highlight w:val="none"/>
        </w:rPr>
        <w:t>居民生活污水散排，粪污进入自家旱厕</w:t>
      </w:r>
      <w:r>
        <w:rPr>
          <w:rFonts w:hint="eastAsia"/>
          <w:color w:val="auto"/>
          <w:highlight w:val="none"/>
          <w:lang w:eastAsia="zh-CN"/>
        </w:rPr>
        <w:t>；</w:t>
      </w:r>
      <w:r>
        <w:rPr>
          <w:rFonts w:hint="eastAsia"/>
          <w:color w:val="auto"/>
          <w:sz w:val="24"/>
          <w:szCs w:val="24"/>
          <w:highlight w:val="none"/>
        </w:rPr>
        <w:t>居民生活垃圾统一收集后由环卫部门进行清运，无垃圾堆放点。</w:t>
      </w:r>
    </w:p>
    <w:p w14:paraId="06531D7A">
      <w:pPr>
        <w:ind w:firstLine="470"/>
        <w:rPr>
          <w:color w:val="auto"/>
          <w:highlight w:val="none"/>
        </w:rPr>
      </w:pPr>
      <w:r>
        <w:rPr>
          <w:rFonts w:hint="eastAsia"/>
          <w:color w:val="auto"/>
          <w:highlight w:val="none"/>
        </w:rPr>
        <w:t>②畜禽养殖排泄物污染</w:t>
      </w:r>
    </w:p>
    <w:p w14:paraId="10920B68">
      <w:pPr>
        <w:ind w:firstLine="470"/>
        <w:rPr>
          <w:color w:val="auto"/>
          <w:highlight w:val="none"/>
        </w:rPr>
      </w:pPr>
      <w:r>
        <w:rPr>
          <w:rFonts w:hint="eastAsia"/>
          <w:color w:val="auto"/>
          <w:highlight w:val="none"/>
        </w:rPr>
        <w:t>调查范围内</w:t>
      </w:r>
      <w:r>
        <w:rPr>
          <w:rFonts w:hint="eastAsia"/>
          <w:color w:val="auto"/>
          <w:highlight w:val="none"/>
          <w:lang w:eastAsia="zh-CN"/>
        </w:rPr>
        <w:t>存在村屯居民零散</w:t>
      </w:r>
      <w:r>
        <w:rPr>
          <w:rFonts w:hint="eastAsia"/>
          <w:color w:val="auto"/>
          <w:highlight w:val="none"/>
        </w:rPr>
        <w:t>畜禽养殖，畜禽养殖排泄物存在对地下水水质造成影响的可能性。</w:t>
      </w:r>
    </w:p>
    <w:p w14:paraId="0E05E55B">
      <w:pPr>
        <w:ind w:firstLine="470"/>
        <w:rPr>
          <w:color w:val="auto"/>
          <w:highlight w:val="none"/>
        </w:rPr>
      </w:pPr>
      <w:r>
        <w:rPr>
          <w:rFonts w:hint="eastAsia"/>
          <w:color w:val="auto"/>
          <w:highlight w:val="none"/>
        </w:rPr>
        <w:t>③化肥农药污染</w:t>
      </w:r>
    </w:p>
    <w:p w14:paraId="7ACAF6FF">
      <w:pPr>
        <w:spacing w:line="360" w:lineRule="auto"/>
        <w:ind w:firstLine="472" w:firstLineChars="200"/>
        <w:rPr>
          <w:color w:val="auto"/>
          <w:sz w:val="24"/>
          <w:szCs w:val="24"/>
          <w:highlight w:val="none"/>
        </w:rPr>
      </w:pPr>
      <w:r>
        <w:rPr>
          <w:rFonts w:hint="eastAsia"/>
          <w:color w:val="auto"/>
          <w:highlight w:val="none"/>
        </w:rPr>
        <w:t>调查范围内农业面源污染来自耕地使用的农药和化肥的流失，根据实地调查，</w:t>
      </w:r>
      <w:r>
        <w:rPr>
          <w:rFonts w:hint="eastAsia"/>
          <w:color w:val="auto"/>
          <w:kern w:val="0"/>
          <w:sz w:val="24"/>
          <w:szCs w:val="24"/>
          <w:highlight w:val="none"/>
        </w:rPr>
        <w:t>调查范围内约有农田</w:t>
      </w:r>
      <w:r>
        <w:rPr>
          <w:rFonts w:hint="eastAsia"/>
          <w:color w:val="auto"/>
          <w:kern w:val="0"/>
          <w:sz w:val="24"/>
          <w:szCs w:val="24"/>
          <w:highlight w:val="none"/>
          <w:lang w:val="en-US" w:eastAsia="zh-CN"/>
        </w:rPr>
        <w:t>88</w:t>
      </w:r>
      <w:r>
        <w:rPr>
          <w:rFonts w:hint="eastAsia"/>
          <w:color w:val="auto"/>
          <w:kern w:val="0"/>
          <w:sz w:val="24"/>
          <w:szCs w:val="24"/>
          <w:highlight w:val="none"/>
        </w:rPr>
        <w:t>公顷，种植作物主要为玉米</w:t>
      </w:r>
      <w:r>
        <w:rPr>
          <w:rFonts w:hint="eastAsia"/>
          <w:color w:val="auto"/>
          <w:kern w:val="0"/>
          <w:sz w:val="24"/>
          <w:szCs w:val="24"/>
          <w:highlight w:val="none"/>
          <w:lang w:eastAsia="zh-CN"/>
        </w:rPr>
        <w:t>、大豆</w:t>
      </w:r>
      <w:r>
        <w:rPr>
          <w:rFonts w:hint="eastAsia"/>
          <w:color w:val="auto"/>
          <w:kern w:val="0"/>
          <w:sz w:val="24"/>
          <w:szCs w:val="24"/>
          <w:highlight w:val="none"/>
        </w:rPr>
        <w:t>。</w:t>
      </w:r>
      <w:r>
        <w:rPr>
          <w:rFonts w:hint="eastAsia"/>
          <w:color w:val="auto"/>
          <w:highlight w:val="none"/>
        </w:rPr>
        <w:t>大多数除草剂都是中低浓度时对植物有毒性，在高浓度时则对人类及牲畜产生毒性。农药的细粒、喷剂和团粒施用于农田，经土壤向下渗透。根据实地典型调查，化肥利用以氮肥为主，磷、钾肥施用相对较少。其中氮肥以尿素[CO（NH</w:t>
      </w:r>
      <w:r>
        <w:rPr>
          <w:rFonts w:hint="eastAsia"/>
          <w:color w:val="auto"/>
          <w:highlight w:val="none"/>
          <w:vertAlign w:val="subscript"/>
        </w:rPr>
        <w:t>2</w:t>
      </w:r>
      <w:r>
        <w:rPr>
          <w:rFonts w:hint="eastAsia"/>
          <w:color w:val="auto"/>
          <w:highlight w:val="none"/>
        </w:rPr>
        <w:t>）</w:t>
      </w:r>
      <w:r>
        <w:rPr>
          <w:rFonts w:hint="eastAsia"/>
          <w:color w:val="auto"/>
          <w:highlight w:val="none"/>
          <w:vertAlign w:val="subscript"/>
        </w:rPr>
        <w:t>2</w:t>
      </w:r>
      <w:r>
        <w:rPr>
          <w:rFonts w:hint="eastAsia"/>
          <w:color w:val="auto"/>
          <w:highlight w:val="none"/>
        </w:rPr>
        <w:t>]、碳酸氢氨[NH</w:t>
      </w:r>
      <w:r>
        <w:rPr>
          <w:rFonts w:hint="eastAsia"/>
          <w:color w:val="auto"/>
          <w:highlight w:val="none"/>
          <w:vertAlign w:val="subscript"/>
        </w:rPr>
        <w:t>4</w:t>
      </w:r>
      <w:r>
        <w:rPr>
          <w:rFonts w:hint="eastAsia"/>
          <w:color w:val="auto"/>
          <w:highlight w:val="none"/>
        </w:rPr>
        <w:t>HCO</w:t>
      </w:r>
      <w:r>
        <w:rPr>
          <w:rFonts w:hint="eastAsia"/>
          <w:color w:val="auto"/>
          <w:highlight w:val="none"/>
          <w:vertAlign w:val="subscript"/>
        </w:rPr>
        <w:t>3</w:t>
      </w:r>
      <w:r>
        <w:rPr>
          <w:rFonts w:hint="eastAsia"/>
          <w:color w:val="auto"/>
          <w:highlight w:val="none"/>
        </w:rPr>
        <w:t>]为主，钾肥以硫酸钾[K</w:t>
      </w:r>
      <w:r>
        <w:rPr>
          <w:rFonts w:hint="eastAsia"/>
          <w:color w:val="auto"/>
          <w:highlight w:val="none"/>
          <w:vertAlign w:val="subscript"/>
        </w:rPr>
        <w:t>2</w:t>
      </w:r>
      <w:r>
        <w:rPr>
          <w:rFonts w:hint="eastAsia"/>
          <w:color w:val="auto"/>
          <w:highlight w:val="none"/>
        </w:rPr>
        <w:t>SO</w:t>
      </w:r>
      <w:r>
        <w:rPr>
          <w:rFonts w:hint="eastAsia"/>
          <w:color w:val="auto"/>
          <w:highlight w:val="none"/>
          <w:vertAlign w:val="subscript"/>
        </w:rPr>
        <w:t>4</w:t>
      </w:r>
      <w:r>
        <w:rPr>
          <w:rFonts w:hint="eastAsia"/>
          <w:color w:val="auto"/>
          <w:highlight w:val="none"/>
        </w:rPr>
        <w:t>]、氯化钾[KCl]为主，磷肥主要是磷酸二铵[（NH</w:t>
      </w:r>
      <w:r>
        <w:rPr>
          <w:rFonts w:hint="eastAsia"/>
          <w:color w:val="auto"/>
          <w:highlight w:val="none"/>
          <w:vertAlign w:val="subscript"/>
        </w:rPr>
        <w:t>4</w:t>
      </w:r>
      <w:r>
        <w:rPr>
          <w:rFonts w:hint="eastAsia"/>
          <w:color w:val="auto"/>
          <w:highlight w:val="none"/>
        </w:rPr>
        <w:t>）</w:t>
      </w:r>
      <w:r>
        <w:rPr>
          <w:rFonts w:hint="eastAsia"/>
          <w:color w:val="auto"/>
          <w:highlight w:val="none"/>
          <w:vertAlign w:val="subscript"/>
        </w:rPr>
        <w:t>2</w:t>
      </w:r>
      <w:r>
        <w:rPr>
          <w:rFonts w:hint="eastAsia"/>
          <w:color w:val="auto"/>
          <w:highlight w:val="none"/>
        </w:rPr>
        <w:t>HPO</w:t>
      </w:r>
      <w:r>
        <w:rPr>
          <w:rFonts w:hint="eastAsia"/>
          <w:color w:val="auto"/>
          <w:highlight w:val="none"/>
          <w:vertAlign w:val="subscript"/>
        </w:rPr>
        <w:t>4</w:t>
      </w:r>
      <w:r>
        <w:rPr>
          <w:rFonts w:hint="eastAsia"/>
          <w:color w:val="auto"/>
          <w:highlight w:val="none"/>
        </w:rPr>
        <w:t>]。农田施用的农药有除草剂和杀虫剂，施用方式以喷雾法和毒土法为主。</w:t>
      </w:r>
      <w:r>
        <w:rPr>
          <w:color w:val="auto"/>
          <w:kern w:val="0"/>
          <w:sz w:val="24"/>
          <w:szCs w:val="24"/>
          <w:highlight w:val="none"/>
        </w:rPr>
        <w:t>如</w:t>
      </w:r>
      <w:r>
        <w:rPr>
          <w:rFonts w:hint="eastAsia"/>
          <w:color w:val="auto"/>
          <w:kern w:val="0"/>
          <w:sz w:val="24"/>
          <w:szCs w:val="24"/>
          <w:highlight w:val="none"/>
        </w:rPr>
        <w:t>化肥</w:t>
      </w:r>
      <w:r>
        <w:rPr>
          <w:color w:val="auto"/>
          <w:kern w:val="0"/>
          <w:sz w:val="24"/>
          <w:szCs w:val="24"/>
          <w:highlight w:val="none"/>
        </w:rPr>
        <w:t>农药使用不当，</w:t>
      </w:r>
      <w:r>
        <w:rPr>
          <w:rFonts w:hint="eastAsia"/>
          <w:color w:val="auto"/>
          <w:kern w:val="0"/>
          <w:sz w:val="24"/>
          <w:szCs w:val="24"/>
          <w:highlight w:val="none"/>
        </w:rPr>
        <w:t>存在</w:t>
      </w:r>
      <w:r>
        <w:rPr>
          <w:color w:val="auto"/>
          <w:kern w:val="0"/>
          <w:sz w:val="24"/>
          <w:szCs w:val="24"/>
          <w:highlight w:val="none"/>
        </w:rPr>
        <w:t>对地下水水质造成影响</w:t>
      </w:r>
      <w:r>
        <w:rPr>
          <w:rFonts w:hint="eastAsia"/>
          <w:color w:val="auto"/>
          <w:kern w:val="0"/>
          <w:sz w:val="24"/>
          <w:szCs w:val="24"/>
          <w:highlight w:val="none"/>
        </w:rPr>
        <w:t>的</w:t>
      </w:r>
      <w:r>
        <w:rPr>
          <w:color w:val="auto"/>
          <w:kern w:val="0"/>
          <w:sz w:val="24"/>
          <w:szCs w:val="24"/>
          <w:highlight w:val="none"/>
        </w:rPr>
        <w:t>可能性。</w:t>
      </w:r>
    </w:p>
    <w:p w14:paraId="575B74D1">
      <w:pPr>
        <w:pStyle w:val="36"/>
        <w:ind w:firstLine="470"/>
        <w:rPr>
          <w:color w:val="auto"/>
          <w:highlight w:val="none"/>
        </w:rPr>
      </w:pPr>
      <w:r>
        <w:rPr>
          <w:rFonts w:hint="eastAsia"/>
          <w:color w:val="auto"/>
          <w:highlight w:val="none"/>
        </w:rPr>
        <w:t>3）固体废物堆放（填埋）场</w:t>
      </w:r>
    </w:p>
    <w:p w14:paraId="16D44A0F">
      <w:pPr>
        <w:pStyle w:val="36"/>
        <w:ind w:firstLine="470"/>
        <w:rPr>
          <w:color w:val="auto"/>
          <w:highlight w:val="none"/>
        </w:rPr>
      </w:pPr>
      <w:r>
        <w:rPr>
          <w:rFonts w:hint="eastAsia"/>
          <w:color w:val="auto"/>
          <w:highlight w:val="none"/>
        </w:rPr>
        <w:t>经走访调查，调查范围内，未发现固体废物堆放（填埋）场。</w:t>
      </w:r>
    </w:p>
    <w:p w14:paraId="74364A8B">
      <w:pPr>
        <w:pStyle w:val="36"/>
        <w:ind w:firstLine="470"/>
        <w:rPr>
          <w:rFonts w:hint="eastAsia" w:eastAsia="宋体"/>
          <w:color w:val="auto"/>
          <w:highlight w:val="none"/>
          <w:lang w:eastAsia="zh-CN"/>
        </w:rPr>
      </w:pPr>
      <w:r>
        <w:rPr>
          <w:rFonts w:hint="eastAsia"/>
          <w:color w:val="auto"/>
          <w:highlight w:val="none"/>
        </w:rPr>
        <w:t>4）流动源</w:t>
      </w:r>
      <w:r>
        <w:rPr>
          <w:rFonts w:hint="eastAsia"/>
          <w:color w:val="auto"/>
          <w:highlight w:val="none"/>
          <w:lang w:eastAsia="zh-CN"/>
        </w:rPr>
        <w:t>和其他</w:t>
      </w:r>
    </w:p>
    <w:p w14:paraId="33954BEC">
      <w:pPr>
        <w:spacing w:line="360" w:lineRule="auto"/>
        <w:ind w:firstLine="472" w:firstLineChars="200"/>
        <w:rPr>
          <w:rFonts w:hint="eastAsia"/>
          <w:color w:val="auto"/>
          <w:highlight w:val="none"/>
        </w:rPr>
      </w:pPr>
      <w:r>
        <w:rPr>
          <w:rFonts w:hint="eastAsia"/>
          <w:color w:val="auto"/>
          <w:highlight w:val="none"/>
        </w:rPr>
        <w:t>经</w:t>
      </w:r>
      <w:r>
        <w:rPr>
          <w:rFonts w:hint="eastAsia"/>
          <w:color w:val="auto"/>
          <w:highlight w:val="none"/>
          <w:lang w:eastAsia="zh-CN"/>
        </w:rPr>
        <w:t>现场</w:t>
      </w:r>
      <w:r>
        <w:rPr>
          <w:rFonts w:hint="eastAsia"/>
          <w:color w:val="auto"/>
          <w:highlight w:val="none"/>
        </w:rPr>
        <w:t>调查，</w:t>
      </w:r>
      <w:r>
        <w:rPr>
          <w:rFonts w:hint="eastAsia" w:ascii="Times New Roman" w:hAnsi="Times New Roman" w:eastAsia="宋体" w:cs="Times New Roman"/>
          <w:color w:val="auto"/>
          <w:highlight w:val="none"/>
        </w:rPr>
        <w:t>调查范围内流动源为乡村道路</w:t>
      </w:r>
      <w:r>
        <w:rPr>
          <w:rFonts w:hint="eastAsia" w:cs="Times New Roman"/>
          <w:color w:val="auto"/>
          <w:highlight w:val="none"/>
          <w:lang w:eastAsia="zh-CN"/>
        </w:rPr>
        <w:t>和沟渠</w:t>
      </w:r>
      <w:r>
        <w:rPr>
          <w:rFonts w:hint="eastAsia" w:ascii="Times New Roman" w:hAnsi="Times New Roman" w:eastAsia="宋体" w:cs="Times New Roman"/>
          <w:color w:val="auto"/>
          <w:highlight w:val="none"/>
          <w:lang w:val="en-US" w:eastAsia="zh-CN"/>
        </w:rPr>
        <w:t>，</w:t>
      </w:r>
      <w:r>
        <w:rPr>
          <w:rFonts w:hint="eastAsia" w:ascii="Times New Roman" w:hAnsi="Times New Roman" w:eastAsia="宋体" w:cs="Times New Roman"/>
          <w:color w:val="auto"/>
          <w:highlight w:val="none"/>
        </w:rPr>
        <w:t>乡村道路存在拉运农药等危险物品的车辆，车</w:t>
      </w:r>
      <w:r>
        <w:rPr>
          <w:rFonts w:hint="eastAsia"/>
          <w:color w:val="auto"/>
          <w:highlight w:val="none"/>
        </w:rPr>
        <w:t>辆突发事故造成</w:t>
      </w:r>
      <w:r>
        <w:rPr>
          <w:rFonts w:hint="eastAsia"/>
          <w:color w:val="auto"/>
          <w:highlight w:val="none"/>
          <w:lang w:eastAsia="zh-CN"/>
        </w:rPr>
        <w:t>农药等</w:t>
      </w:r>
      <w:r>
        <w:rPr>
          <w:rFonts w:hint="eastAsia"/>
          <w:color w:val="auto"/>
          <w:highlight w:val="none"/>
        </w:rPr>
        <w:t>泄漏将进入地下水，存在隐患</w:t>
      </w:r>
      <w:r>
        <w:rPr>
          <w:rFonts w:hint="eastAsia"/>
          <w:color w:val="auto"/>
          <w:kern w:val="0"/>
          <w:sz w:val="24"/>
          <w:szCs w:val="24"/>
          <w:highlight w:val="none"/>
        </w:rPr>
        <w:t>，最近村道位于取水井</w:t>
      </w:r>
      <w:r>
        <w:rPr>
          <w:rFonts w:hint="eastAsia"/>
          <w:color w:val="auto"/>
          <w:kern w:val="0"/>
          <w:sz w:val="24"/>
          <w:szCs w:val="24"/>
          <w:highlight w:val="none"/>
          <w:lang w:val="en-US" w:eastAsia="zh-CN"/>
        </w:rPr>
        <w:t>8#南</w:t>
      </w:r>
      <w:r>
        <w:rPr>
          <w:rFonts w:hint="eastAsia"/>
          <w:color w:val="auto"/>
          <w:kern w:val="0"/>
          <w:sz w:val="24"/>
          <w:szCs w:val="24"/>
          <w:highlight w:val="none"/>
        </w:rPr>
        <w:t>侧</w:t>
      </w:r>
      <w:r>
        <w:rPr>
          <w:rFonts w:hint="eastAsia"/>
          <w:color w:val="auto"/>
          <w:kern w:val="0"/>
          <w:sz w:val="24"/>
          <w:szCs w:val="24"/>
          <w:highlight w:val="none"/>
          <w:lang w:val="en-US" w:eastAsia="zh-CN"/>
        </w:rPr>
        <w:t>8</w:t>
      </w:r>
      <w:r>
        <w:rPr>
          <w:rFonts w:hint="eastAsia"/>
          <w:color w:val="auto"/>
          <w:kern w:val="0"/>
          <w:sz w:val="24"/>
          <w:szCs w:val="24"/>
          <w:highlight w:val="none"/>
        </w:rPr>
        <w:t>米处。</w:t>
      </w:r>
      <w:r>
        <w:rPr>
          <w:rFonts w:hint="eastAsia"/>
          <w:color w:val="auto"/>
          <w:highlight w:val="none"/>
          <w:lang w:eastAsia="zh-CN"/>
        </w:rPr>
        <w:t>沟渠</w:t>
      </w:r>
      <w:r>
        <w:rPr>
          <w:rFonts w:hint="eastAsia" w:cs="Times New Roman"/>
          <w:color w:val="auto"/>
          <w:highlight w:val="none"/>
          <w:lang w:val="en-US" w:eastAsia="zh-CN"/>
        </w:rPr>
        <w:t>不涉及农田灌溉，</w:t>
      </w:r>
      <w:r>
        <w:rPr>
          <w:rFonts w:hint="eastAsia" w:ascii="Times New Roman" w:cs="Times New Roman"/>
          <w:color w:val="auto"/>
          <w:highlight w:val="none"/>
          <w:lang w:val="en-US" w:eastAsia="zh-CN"/>
        </w:rPr>
        <w:t>不会对地下水水质造成污染</w:t>
      </w:r>
      <w:r>
        <w:rPr>
          <w:rFonts w:hint="eastAsia" w:cs="Times New Roman"/>
          <w:color w:val="auto"/>
          <w:highlight w:val="none"/>
          <w:lang w:val="en-US" w:eastAsia="zh-CN"/>
        </w:rPr>
        <w:t>。</w:t>
      </w:r>
    </w:p>
    <w:p w14:paraId="062869D8">
      <w:pPr>
        <w:pStyle w:val="5"/>
        <w:bidi w:val="0"/>
        <w:ind w:firstLine="472" w:firstLineChars="200"/>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（2）绥化市庆安县建民乡饮用水水源地</w:t>
      </w:r>
    </w:p>
    <w:p w14:paraId="0E976DC2">
      <w:pPr>
        <w:ind w:firstLine="470"/>
        <w:rPr>
          <w:rFonts w:hint="eastAsia" w:eastAsia="宋体"/>
          <w:color w:val="auto"/>
          <w:highlight w:val="none"/>
          <w:lang w:eastAsia="zh-CN"/>
        </w:rPr>
      </w:pPr>
      <w:r>
        <w:rPr>
          <w:rFonts w:hint="eastAsia" w:ascii="Times New Roman" w:hAnsi="Times New Roman" w:eastAsia="宋体" w:cs="Times New Roman"/>
          <w:color w:val="auto"/>
          <w:kern w:val="2"/>
          <w:sz w:val="24"/>
          <w:szCs w:val="24"/>
          <w:highlight w:val="none"/>
          <w:lang w:val="en-US" w:eastAsia="zh-CN" w:bidi="ar-SA"/>
        </w:rPr>
        <w:t>绥化市庆安县建民乡饮用水水源地</w:t>
      </w:r>
      <w:r>
        <w:rPr>
          <w:rFonts w:hint="eastAsia"/>
          <w:color w:val="auto"/>
          <w:kern w:val="0"/>
          <w:sz w:val="24"/>
          <w:szCs w:val="24"/>
          <w:highlight w:val="none"/>
          <w:lang w:eastAsia="zh-CN"/>
        </w:rPr>
        <w:t>污</w:t>
      </w:r>
      <w:r>
        <w:rPr>
          <w:color w:val="auto"/>
          <w:kern w:val="0"/>
          <w:sz w:val="24"/>
          <w:szCs w:val="24"/>
          <w:highlight w:val="none"/>
        </w:rPr>
        <w:t>染源调查范围为取水井</w:t>
      </w:r>
      <w:r>
        <w:rPr>
          <w:rFonts w:hint="eastAsia"/>
          <w:color w:val="auto"/>
          <w:kern w:val="0"/>
          <w:sz w:val="24"/>
          <w:szCs w:val="24"/>
          <w:highlight w:val="none"/>
        </w:rPr>
        <w:t>上游1000</w:t>
      </w:r>
      <w:r>
        <w:rPr>
          <w:rFonts w:hint="default"/>
          <w:color w:val="auto"/>
          <w:kern w:val="0"/>
          <w:sz w:val="24"/>
          <w:szCs w:val="24"/>
          <w:highlight w:val="none"/>
          <w:lang w:val="en-US"/>
        </w:rPr>
        <w:t>米</w:t>
      </w:r>
      <w:r>
        <w:rPr>
          <w:rFonts w:hint="eastAsia"/>
          <w:color w:val="auto"/>
          <w:kern w:val="0"/>
          <w:sz w:val="24"/>
          <w:szCs w:val="24"/>
          <w:highlight w:val="none"/>
        </w:rPr>
        <w:t>、两侧及下游300</w:t>
      </w:r>
      <w:r>
        <w:rPr>
          <w:rFonts w:hint="default"/>
          <w:color w:val="auto"/>
          <w:kern w:val="0"/>
          <w:sz w:val="24"/>
          <w:szCs w:val="24"/>
          <w:highlight w:val="none"/>
          <w:lang w:val="en-US"/>
        </w:rPr>
        <w:t>米</w:t>
      </w:r>
      <w:r>
        <w:rPr>
          <w:rFonts w:hint="eastAsia"/>
          <w:color w:val="auto"/>
          <w:kern w:val="0"/>
          <w:sz w:val="24"/>
          <w:szCs w:val="24"/>
          <w:highlight w:val="none"/>
        </w:rPr>
        <w:t>区域</w:t>
      </w:r>
      <w:r>
        <w:rPr>
          <w:rFonts w:hint="eastAsia"/>
          <w:color w:val="auto"/>
          <w:kern w:val="0"/>
          <w:sz w:val="24"/>
          <w:szCs w:val="24"/>
          <w:highlight w:val="none"/>
          <w:lang w:eastAsia="zh-CN"/>
        </w:rPr>
        <w:t>，调查面积为</w:t>
      </w:r>
      <w:r>
        <w:rPr>
          <w:rFonts w:hint="eastAsia"/>
          <w:color w:val="auto"/>
          <w:highlight w:val="none"/>
          <w:lang w:val="en-US" w:eastAsia="zh-CN"/>
        </w:rPr>
        <w:t>248.98</w:t>
      </w:r>
      <w:r>
        <w:rPr>
          <w:rFonts w:hint="eastAsia"/>
          <w:color w:val="auto"/>
          <w:kern w:val="0"/>
          <w:sz w:val="24"/>
          <w:szCs w:val="24"/>
          <w:highlight w:val="none"/>
          <w:lang w:eastAsia="zh-CN"/>
        </w:rPr>
        <w:t>公顷。调查范围内污染情况如下：</w:t>
      </w:r>
    </w:p>
    <w:p w14:paraId="5B0ADF14">
      <w:pPr>
        <w:ind w:firstLine="470"/>
        <w:rPr>
          <w:color w:val="auto"/>
          <w:highlight w:val="none"/>
        </w:rPr>
      </w:pPr>
      <w:r>
        <w:rPr>
          <w:rFonts w:hint="eastAsia"/>
          <w:color w:val="auto"/>
          <w:highlight w:val="none"/>
        </w:rPr>
        <w:t>1）点源</w:t>
      </w:r>
    </w:p>
    <w:p w14:paraId="2857C665">
      <w:pPr>
        <w:ind w:firstLine="470"/>
        <w:rPr>
          <w:rFonts w:hint="eastAsia"/>
          <w:color w:val="auto"/>
          <w:highlight w:val="none"/>
          <w:lang w:eastAsia="zh-CN"/>
        </w:rPr>
      </w:pPr>
      <w:r>
        <w:rPr>
          <w:rFonts w:hint="eastAsia"/>
          <w:color w:val="auto"/>
          <w:highlight w:val="none"/>
        </w:rPr>
        <w:t>点源包括工业或生活排污口、规模化畜禽养殖</w:t>
      </w:r>
      <w:r>
        <w:rPr>
          <w:rFonts w:hint="eastAsia"/>
          <w:color w:val="auto"/>
          <w:highlight w:val="none"/>
          <w:lang w:eastAsia="zh-CN"/>
        </w:rPr>
        <w:t>等</w:t>
      </w:r>
      <w:r>
        <w:rPr>
          <w:rFonts w:hint="eastAsia"/>
          <w:color w:val="auto"/>
          <w:highlight w:val="none"/>
        </w:rPr>
        <w:t>。经过实地走访调查，调查范围不存在石化、冶炼、制药、加油站、尾矿库、填埋场、工业废水排放口和规模化畜禽养殖等设施及场所</w:t>
      </w:r>
      <w:r>
        <w:rPr>
          <w:rFonts w:hint="eastAsia"/>
          <w:color w:val="auto"/>
          <w:highlight w:val="none"/>
          <w:lang w:eastAsia="zh-CN"/>
        </w:rPr>
        <w:t>。</w:t>
      </w:r>
    </w:p>
    <w:p w14:paraId="162C5D7C">
      <w:pPr>
        <w:ind w:firstLine="470"/>
        <w:rPr>
          <w:color w:val="auto"/>
          <w:highlight w:val="none"/>
        </w:rPr>
      </w:pPr>
      <w:r>
        <w:rPr>
          <w:rFonts w:hint="eastAsia"/>
          <w:color w:val="auto"/>
          <w:highlight w:val="none"/>
        </w:rPr>
        <w:t>2）非点源</w:t>
      </w:r>
    </w:p>
    <w:p w14:paraId="47AAE3F0">
      <w:pPr>
        <w:ind w:firstLine="470"/>
        <w:rPr>
          <w:color w:val="auto"/>
          <w:highlight w:val="none"/>
        </w:rPr>
      </w:pPr>
      <w:r>
        <w:rPr>
          <w:rFonts w:hint="eastAsia"/>
          <w:color w:val="auto"/>
          <w:highlight w:val="none"/>
        </w:rPr>
        <w:t>水源地</w:t>
      </w:r>
      <w:r>
        <w:rPr>
          <w:rFonts w:hint="eastAsia"/>
          <w:color w:val="auto"/>
          <w:highlight w:val="none"/>
          <w:lang w:eastAsia="zh-CN"/>
        </w:rPr>
        <w:t>评价范围内</w:t>
      </w:r>
      <w:r>
        <w:rPr>
          <w:rFonts w:hint="eastAsia"/>
          <w:color w:val="auto"/>
          <w:highlight w:val="none"/>
        </w:rPr>
        <w:t>污染源主要为非点源污染，包括以下两方面：一是村屯居民生活产生的生活污水、生活垃圾，畜禽养殖产生的排泄物等；二是农田施用化肥农药，不能被作物吸收利用随地表径流流失的部分。</w:t>
      </w:r>
    </w:p>
    <w:p w14:paraId="34C320F7">
      <w:pPr>
        <w:ind w:firstLine="470" w:firstLineChars="0"/>
        <w:rPr>
          <w:color w:val="auto"/>
          <w:highlight w:val="none"/>
        </w:rPr>
      </w:pPr>
      <w:r>
        <w:rPr>
          <w:rFonts w:hint="eastAsia" w:ascii="宋体" w:hAnsi="宋体"/>
          <w:color w:val="auto"/>
          <w:highlight w:val="none"/>
        </w:rPr>
        <w:t>①</w:t>
      </w:r>
      <w:r>
        <w:rPr>
          <w:rFonts w:hint="eastAsia"/>
          <w:color w:val="auto"/>
          <w:highlight w:val="none"/>
        </w:rPr>
        <w:t>居民区生活污水、生活垃圾污染</w:t>
      </w:r>
    </w:p>
    <w:p w14:paraId="752F738A">
      <w:pPr>
        <w:ind w:firstLine="470"/>
        <w:rPr>
          <w:color w:val="auto"/>
          <w:highlight w:val="none"/>
        </w:rPr>
      </w:pPr>
      <w:r>
        <w:rPr>
          <w:rFonts w:hint="eastAsia"/>
          <w:color w:val="auto"/>
          <w:highlight w:val="none"/>
        </w:rPr>
        <w:t>经过实地走访调查，调查范围内主要生活污染源为</w:t>
      </w:r>
      <w:r>
        <w:rPr>
          <w:rFonts w:hint="eastAsia"/>
          <w:color w:val="auto"/>
          <w:highlight w:val="none"/>
          <w:lang w:eastAsia="zh-CN"/>
        </w:rPr>
        <w:t>建功村（与水井</w:t>
      </w:r>
      <w:r>
        <w:rPr>
          <w:rFonts w:hint="eastAsia"/>
          <w:color w:val="auto"/>
          <w:highlight w:val="none"/>
          <w:lang w:val="en-US" w:eastAsia="zh-CN"/>
        </w:rPr>
        <w:t>1#最近距离48米</w:t>
      </w:r>
      <w:r>
        <w:rPr>
          <w:rFonts w:hint="eastAsia"/>
          <w:color w:val="auto"/>
          <w:highlight w:val="none"/>
          <w:lang w:eastAsia="zh-CN"/>
        </w:rPr>
        <w:t>）、后王家屯（与水井</w:t>
      </w:r>
      <w:r>
        <w:rPr>
          <w:rFonts w:hint="eastAsia"/>
          <w:color w:val="auto"/>
          <w:highlight w:val="none"/>
          <w:lang w:val="en-US" w:eastAsia="zh-CN"/>
        </w:rPr>
        <w:t>2#最近距离34米</w:t>
      </w:r>
      <w:r>
        <w:rPr>
          <w:rFonts w:hint="eastAsia"/>
          <w:color w:val="auto"/>
          <w:highlight w:val="none"/>
          <w:lang w:eastAsia="zh-CN"/>
        </w:rPr>
        <w:t>）、前高家屯（与水井</w:t>
      </w:r>
      <w:r>
        <w:rPr>
          <w:rFonts w:hint="eastAsia"/>
          <w:color w:val="auto"/>
          <w:highlight w:val="none"/>
          <w:lang w:val="en-US" w:eastAsia="zh-CN"/>
        </w:rPr>
        <w:t>3#最近距离48米</w:t>
      </w:r>
      <w:r>
        <w:rPr>
          <w:rFonts w:hint="eastAsia"/>
          <w:color w:val="auto"/>
          <w:highlight w:val="none"/>
          <w:lang w:eastAsia="zh-CN"/>
        </w:rPr>
        <w:t>）、三门李家屯（与水井</w:t>
      </w:r>
      <w:r>
        <w:rPr>
          <w:rFonts w:hint="eastAsia"/>
          <w:color w:val="auto"/>
          <w:highlight w:val="none"/>
          <w:lang w:val="en-US" w:eastAsia="zh-CN"/>
        </w:rPr>
        <w:t>1#最近距离158米</w:t>
      </w:r>
      <w:r>
        <w:rPr>
          <w:rFonts w:hint="eastAsia"/>
          <w:color w:val="auto"/>
          <w:highlight w:val="none"/>
          <w:lang w:eastAsia="zh-CN"/>
        </w:rPr>
        <w:t>）</w:t>
      </w:r>
      <w:r>
        <w:rPr>
          <w:rFonts w:hint="eastAsia"/>
          <w:color w:val="auto"/>
          <w:highlight w:val="none"/>
        </w:rPr>
        <w:t>的农村生活污水、生活垃圾。调查范围内居民总数约为</w:t>
      </w:r>
      <w:r>
        <w:rPr>
          <w:rFonts w:hint="eastAsia"/>
          <w:color w:val="auto"/>
          <w:highlight w:val="none"/>
          <w:lang w:val="en-US" w:eastAsia="zh-CN"/>
        </w:rPr>
        <w:t>210</w:t>
      </w:r>
      <w:r>
        <w:rPr>
          <w:rFonts w:hint="eastAsia"/>
          <w:color w:val="auto"/>
          <w:highlight w:val="none"/>
        </w:rPr>
        <w:t>人，根据黑龙江省地方标准《用水定额》（DB 23/T 727-20</w:t>
      </w:r>
      <w:r>
        <w:rPr>
          <w:rFonts w:hint="eastAsia"/>
          <w:color w:val="auto"/>
          <w:highlight w:val="none"/>
          <w:lang w:val="en-US" w:eastAsia="zh-CN"/>
        </w:rPr>
        <w:t>25</w:t>
      </w:r>
      <w:r>
        <w:rPr>
          <w:rFonts w:hint="eastAsia"/>
          <w:color w:val="auto"/>
          <w:highlight w:val="none"/>
        </w:rPr>
        <w:t>），生活用水按每人80升/天计，用水量为</w:t>
      </w:r>
      <w:r>
        <w:rPr>
          <w:rFonts w:hint="eastAsia"/>
          <w:color w:val="auto"/>
          <w:highlight w:val="none"/>
          <w:lang w:val="en-US" w:eastAsia="zh-CN"/>
        </w:rPr>
        <w:t>16.8</w:t>
      </w:r>
      <w:r>
        <w:rPr>
          <w:rFonts w:hint="eastAsia"/>
          <w:color w:val="auto"/>
          <w:highlight w:val="none"/>
        </w:rPr>
        <w:t>立方米/天、</w:t>
      </w:r>
      <w:r>
        <w:rPr>
          <w:rFonts w:hint="eastAsia"/>
          <w:color w:val="auto"/>
          <w:highlight w:val="none"/>
          <w:lang w:val="en-US" w:eastAsia="zh-CN"/>
        </w:rPr>
        <w:t>6132</w:t>
      </w:r>
      <w:r>
        <w:rPr>
          <w:rFonts w:hint="eastAsia"/>
          <w:color w:val="auto"/>
          <w:highlight w:val="none"/>
        </w:rPr>
        <w:t>立方米/年，</w:t>
      </w:r>
      <w:r>
        <w:rPr>
          <w:color w:val="auto"/>
          <w:highlight w:val="none"/>
        </w:rPr>
        <w:t>生活污水按用水量的80%计算，</w:t>
      </w:r>
      <w:r>
        <w:rPr>
          <w:rFonts w:hint="eastAsia"/>
          <w:color w:val="auto"/>
          <w:highlight w:val="none"/>
          <w:lang w:eastAsia="zh-CN"/>
        </w:rPr>
        <w:t>产生量</w:t>
      </w:r>
      <w:r>
        <w:rPr>
          <w:color w:val="auto"/>
          <w:highlight w:val="none"/>
        </w:rPr>
        <w:t>为</w:t>
      </w:r>
      <w:r>
        <w:rPr>
          <w:rFonts w:hint="eastAsia"/>
          <w:color w:val="auto"/>
          <w:highlight w:val="none"/>
          <w:lang w:val="en-US" w:eastAsia="zh-CN"/>
        </w:rPr>
        <w:t>13.44</w:t>
      </w:r>
      <w:r>
        <w:rPr>
          <w:rFonts w:hint="eastAsia"/>
          <w:color w:val="auto"/>
          <w:highlight w:val="none"/>
        </w:rPr>
        <w:t>立方米/天、</w:t>
      </w:r>
      <w:r>
        <w:rPr>
          <w:rFonts w:hint="eastAsia"/>
          <w:color w:val="auto"/>
          <w:highlight w:val="none"/>
          <w:lang w:val="en-US" w:eastAsia="zh-CN"/>
        </w:rPr>
        <w:t>4905.6</w:t>
      </w:r>
      <w:r>
        <w:rPr>
          <w:rFonts w:hint="eastAsia"/>
          <w:color w:val="auto"/>
          <w:highlight w:val="none"/>
        </w:rPr>
        <w:t>立方米/年，COD和氨氮的</w:t>
      </w:r>
      <w:r>
        <w:rPr>
          <w:rFonts w:hint="eastAsia"/>
          <w:color w:val="auto"/>
          <w:highlight w:val="none"/>
          <w:lang w:eastAsia="zh-CN"/>
        </w:rPr>
        <w:t>产生</w:t>
      </w:r>
      <w:r>
        <w:rPr>
          <w:rFonts w:hint="eastAsia"/>
          <w:color w:val="auto"/>
          <w:highlight w:val="none"/>
        </w:rPr>
        <w:t>浓度按300毫克/升、30毫克/升计，则COD</w:t>
      </w:r>
      <w:r>
        <w:rPr>
          <w:rFonts w:hint="eastAsia"/>
          <w:color w:val="auto"/>
          <w:highlight w:val="none"/>
          <w:lang w:eastAsia="zh-CN"/>
        </w:rPr>
        <w:t>产生量</w:t>
      </w:r>
      <w:r>
        <w:rPr>
          <w:rFonts w:hint="eastAsia"/>
          <w:color w:val="auto"/>
          <w:highlight w:val="none"/>
        </w:rPr>
        <w:t>为</w:t>
      </w:r>
      <w:r>
        <w:rPr>
          <w:rFonts w:hint="eastAsia"/>
          <w:color w:val="auto"/>
          <w:highlight w:val="none"/>
          <w:lang w:val="en-US" w:eastAsia="zh-CN"/>
        </w:rPr>
        <w:t>1.47</w:t>
      </w:r>
      <w:r>
        <w:rPr>
          <w:rFonts w:hint="eastAsia"/>
          <w:color w:val="auto"/>
          <w:highlight w:val="none"/>
        </w:rPr>
        <w:t>吨/年，氨氮</w:t>
      </w:r>
      <w:r>
        <w:rPr>
          <w:rFonts w:hint="eastAsia"/>
          <w:color w:val="auto"/>
          <w:highlight w:val="none"/>
          <w:lang w:eastAsia="zh-CN"/>
        </w:rPr>
        <w:t>产生量</w:t>
      </w:r>
      <w:r>
        <w:rPr>
          <w:rFonts w:hint="eastAsia"/>
          <w:color w:val="auto"/>
          <w:highlight w:val="none"/>
        </w:rPr>
        <w:t>为</w:t>
      </w:r>
      <w:r>
        <w:rPr>
          <w:rFonts w:hint="eastAsia"/>
          <w:color w:val="auto"/>
          <w:highlight w:val="none"/>
          <w:lang w:val="en-US" w:eastAsia="zh-CN"/>
        </w:rPr>
        <w:t>0.147</w:t>
      </w:r>
      <w:r>
        <w:rPr>
          <w:rFonts w:hint="eastAsia"/>
          <w:color w:val="auto"/>
          <w:highlight w:val="none"/>
        </w:rPr>
        <w:t>吨/年；生活垃圾按</w:t>
      </w:r>
      <w:r>
        <w:rPr>
          <w:color w:val="auto"/>
          <w:highlight w:val="none"/>
        </w:rPr>
        <w:t>0.5</w:t>
      </w:r>
      <w:r>
        <w:rPr>
          <w:rFonts w:hint="eastAsia"/>
          <w:color w:val="auto"/>
          <w:highlight w:val="none"/>
        </w:rPr>
        <w:t>千克</w:t>
      </w:r>
      <w:r>
        <w:rPr>
          <w:color w:val="auto"/>
          <w:highlight w:val="none"/>
        </w:rPr>
        <w:t>/人/天计算，</w:t>
      </w:r>
      <w:r>
        <w:rPr>
          <w:rFonts w:hint="eastAsia"/>
          <w:color w:val="auto"/>
          <w:highlight w:val="none"/>
        </w:rPr>
        <w:t>则</w:t>
      </w:r>
      <w:r>
        <w:rPr>
          <w:color w:val="auto"/>
          <w:highlight w:val="none"/>
        </w:rPr>
        <w:t>产生量为</w:t>
      </w:r>
      <w:r>
        <w:rPr>
          <w:rFonts w:hint="eastAsia"/>
          <w:color w:val="auto"/>
          <w:highlight w:val="none"/>
          <w:lang w:val="en-US" w:eastAsia="zh-CN"/>
        </w:rPr>
        <w:t>38.3</w:t>
      </w:r>
      <w:r>
        <w:rPr>
          <w:rFonts w:hint="eastAsia"/>
          <w:color w:val="auto"/>
          <w:highlight w:val="none"/>
        </w:rPr>
        <w:t>吨/年</w:t>
      </w:r>
      <w:r>
        <w:rPr>
          <w:color w:val="auto"/>
          <w:highlight w:val="none"/>
        </w:rPr>
        <w:t>。</w:t>
      </w:r>
      <w:r>
        <w:rPr>
          <w:rFonts w:hint="eastAsia"/>
          <w:color w:val="auto"/>
          <w:highlight w:val="none"/>
          <w:lang w:eastAsia="zh-CN"/>
        </w:rPr>
        <w:t>目前</w:t>
      </w:r>
      <w:r>
        <w:rPr>
          <w:rFonts w:hint="eastAsia"/>
          <w:color w:val="auto"/>
          <w:highlight w:val="none"/>
        </w:rPr>
        <w:t>居民生活污水散排，粪污进入自家旱厕</w:t>
      </w:r>
      <w:r>
        <w:rPr>
          <w:rFonts w:hint="eastAsia"/>
          <w:color w:val="auto"/>
          <w:highlight w:val="none"/>
          <w:lang w:eastAsia="zh-CN"/>
        </w:rPr>
        <w:t>；</w:t>
      </w:r>
      <w:r>
        <w:rPr>
          <w:rFonts w:hint="eastAsia"/>
          <w:color w:val="auto"/>
          <w:sz w:val="24"/>
          <w:szCs w:val="24"/>
          <w:highlight w:val="none"/>
        </w:rPr>
        <w:t>居民生活垃圾统一收集后由环卫部门进行清运，无垃圾堆放点。</w:t>
      </w:r>
    </w:p>
    <w:p w14:paraId="47E5F49E">
      <w:pPr>
        <w:ind w:firstLine="470"/>
        <w:rPr>
          <w:color w:val="auto"/>
          <w:highlight w:val="none"/>
        </w:rPr>
      </w:pPr>
      <w:r>
        <w:rPr>
          <w:rFonts w:hint="eastAsia"/>
          <w:color w:val="auto"/>
          <w:highlight w:val="none"/>
        </w:rPr>
        <w:t>②畜禽养殖排泄物污染</w:t>
      </w:r>
    </w:p>
    <w:p w14:paraId="02E559CD">
      <w:pPr>
        <w:ind w:firstLine="470"/>
        <w:rPr>
          <w:color w:val="auto"/>
          <w:highlight w:val="none"/>
        </w:rPr>
      </w:pPr>
      <w:r>
        <w:rPr>
          <w:rFonts w:hint="eastAsia"/>
          <w:color w:val="auto"/>
          <w:highlight w:val="none"/>
        </w:rPr>
        <w:t>调查范围内</w:t>
      </w:r>
      <w:r>
        <w:rPr>
          <w:rFonts w:hint="eastAsia"/>
          <w:color w:val="auto"/>
          <w:highlight w:val="none"/>
          <w:lang w:eastAsia="zh-CN"/>
        </w:rPr>
        <w:t>存在村屯居民零散</w:t>
      </w:r>
      <w:r>
        <w:rPr>
          <w:rFonts w:hint="eastAsia"/>
          <w:color w:val="auto"/>
          <w:highlight w:val="none"/>
        </w:rPr>
        <w:t>畜禽养殖，畜禽养殖排泄物存在对地下水水质造成影响的可能性。</w:t>
      </w:r>
    </w:p>
    <w:p w14:paraId="71B022F7">
      <w:pPr>
        <w:ind w:firstLine="470"/>
        <w:rPr>
          <w:color w:val="auto"/>
          <w:highlight w:val="none"/>
        </w:rPr>
      </w:pPr>
      <w:r>
        <w:rPr>
          <w:rFonts w:hint="eastAsia"/>
          <w:color w:val="auto"/>
          <w:highlight w:val="none"/>
        </w:rPr>
        <w:t>③化肥农药污染</w:t>
      </w:r>
    </w:p>
    <w:p w14:paraId="6CA09C5A">
      <w:pPr>
        <w:pStyle w:val="36"/>
        <w:ind w:firstLine="470"/>
        <w:rPr>
          <w:color w:val="auto"/>
          <w:kern w:val="0"/>
          <w:sz w:val="24"/>
          <w:szCs w:val="24"/>
          <w:highlight w:val="none"/>
        </w:rPr>
      </w:pPr>
      <w:r>
        <w:rPr>
          <w:rFonts w:hint="eastAsia"/>
          <w:color w:val="auto"/>
          <w:highlight w:val="none"/>
        </w:rPr>
        <w:t>调查范围内农业面源污染来自耕地使用的农药和化肥的流失，根据实地调查，</w:t>
      </w:r>
      <w:r>
        <w:rPr>
          <w:rFonts w:hint="eastAsia"/>
          <w:color w:val="auto"/>
          <w:kern w:val="0"/>
          <w:sz w:val="24"/>
          <w:szCs w:val="24"/>
          <w:highlight w:val="none"/>
        </w:rPr>
        <w:t>调查范围内约有农田</w:t>
      </w:r>
      <w:r>
        <w:rPr>
          <w:rFonts w:hint="eastAsia"/>
          <w:color w:val="auto"/>
          <w:kern w:val="0"/>
          <w:sz w:val="24"/>
          <w:szCs w:val="24"/>
          <w:highlight w:val="none"/>
          <w:lang w:val="en-US" w:eastAsia="zh-CN"/>
        </w:rPr>
        <w:t>223</w:t>
      </w:r>
      <w:r>
        <w:rPr>
          <w:rFonts w:hint="eastAsia"/>
          <w:color w:val="auto"/>
          <w:kern w:val="0"/>
          <w:sz w:val="24"/>
          <w:szCs w:val="24"/>
          <w:highlight w:val="none"/>
        </w:rPr>
        <w:t>公顷，种植作物主要为玉米</w:t>
      </w:r>
      <w:r>
        <w:rPr>
          <w:rFonts w:hint="eastAsia"/>
          <w:color w:val="auto"/>
          <w:kern w:val="0"/>
          <w:sz w:val="24"/>
          <w:szCs w:val="24"/>
          <w:highlight w:val="none"/>
          <w:lang w:eastAsia="zh-CN"/>
        </w:rPr>
        <w:t>、大豆</w:t>
      </w:r>
      <w:r>
        <w:rPr>
          <w:rFonts w:hint="eastAsia"/>
          <w:color w:val="auto"/>
          <w:kern w:val="0"/>
          <w:sz w:val="24"/>
          <w:szCs w:val="24"/>
          <w:highlight w:val="none"/>
        </w:rPr>
        <w:t>。</w:t>
      </w:r>
      <w:r>
        <w:rPr>
          <w:rFonts w:hint="eastAsia"/>
          <w:color w:val="auto"/>
          <w:highlight w:val="none"/>
        </w:rPr>
        <w:t>大多数除草剂都是中低浓度时对植物有毒性，在高浓度时则对人类及牲畜产生毒性。农药的细粒、喷剂和团粒施用于农田，经土壤向下渗透。根据实地典型调查，化肥利用以氮肥为主，磷、钾肥施用相对较少。其中氮肥以尿素[CO（NH</w:t>
      </w:r>
      <w:r>
        <w:rPr>
          <w:rFonts w:hint="eastAsia"/>
          <w:color w:val="auto"/>
          <w:highlight w:val="none"/>
          <w:vertAlign w:val="subscript"/>
        </w:rPr>
        <w:t>2</w:t>
      </w:r>
      <w:r>
        <w:rPr>
          <w:rFonts w:hint="eastAsia"/>
          <w:color w:val="auto"/>
          <w:highlight w:val="none"/>
        </w:rPr>
        <w:t>）</w:t>
      </w:r>
      <w:r>
        <w:rPr>
          <w:rFonts w:hint="eastAsia"/>
          <w:color w:val="auto"/>
          <w:highlight w:val="none"/>
          <w:vertAlign w:val="subscript"/>
        </w:rPr>
        <w:t>2</w:t>
      </w:r>
      <w:r>
        <w:rPr>
          <w:rFonts w:hint="eastAsia"/>
          <w:color w:val="auto"/>
          <w:highlight w:val="none"/>
        </w:rPr>
        <w:t>]、碳酸氢氨[NH</w:t>
      </w:r>
      <w:r>
        <w:rPr>
          <w:rFonts w:hint="eastAsia"/>
          <w:color w:val="auto"/>
          <w:highlight w:val="none"/>
          <w:vertAlign w:val="subscript"/>
        </w:rPr>
        <w:t>4</w:t>
      </w:r>
      <w:r>
        <w:rPr>
          <w:rFonts w:hint="eastAsia"/>
          <w:color w:val="auto"/>
          <w:highlight w:val="none"/>
        </w:rPr>
        <w:t>HCO</w:t>
      </w:r>
      <w:r>
        <w:rPr>
          <w:rFonts w:hint="eastAsia"/>
          <w:color w:val="auto"/>
          <w:highlight w:val="none"/>
          <w:vertAlign w:val="subscript"/>
        </w:rPr>
        <w:t>3</w:t>
      </w:r>
      <w:r>
        <w:rPr>
          <w:rFonts w:hint="eastAsia"/>
          <w:color w:val="auto"/>
          <w:highlight w:val="none"/>
        </w:rPr>
        <w:t>]为主，钾肥以硫酸钾[K</w:t>
      </w:r>
      <w:r>
        <w:rPr>
          <w:rFonts w:hint="eastAsia"/>
          <w:color w:val="auto"/>
          <w:highlight w:val="none"/>
          <w:vertAlign w:val="subscript"/>
        </w:rPr>
        <w:t>2</w:t>
      </w:r>
      <w:r>
        <w:rPr>
          <w:rFonts w:hint="eastAsia"/>
          <w:color w:val="auto"/>
          <w:highlight w:val="none"/>
        </w:rPr>
        <w:t>SO</w:t>
      </w:r>
      <w:r>
        <w:rPr>
          <w:rFonts w:hint="eastAsia"/>
          <w:color w:val="auto"/>
          <w:highlight w:val="none"/>
          <w:vertAlign w:val="subscript"/>
        </w:rPr>
        <w:t>4</w:t>
      </w:r>
      <w:r>
        <w:rPr>
          <w:rFonts w:hint="eastAsia"/>
          <w:color w:val="auto"/>
          <w:highlight w:val="none"/>
        </w:rPr>
        <w:t>]、氯化钾[KCl]为主，磷肥主要是磷酸二铵[（NH</w:t>
      </w:r>
      <w:r>
        <w:rPr>
          <w:rFonts w:hint="eastAsia"/>
          <w:color w:val="auto"/>
          <w:highlight w:val="none"/>
          <w:vertAlign w:val="subscript"/>
        </w:rPr>
        <w:t>4</w:t>
      </w:r>
      <w:r>
        <w:rPr>
          <w:rFonts w:hint="eastAsia"/>
          <w:color w:val="auto"/>
          <w:highlight w:val="none"/>
        </w:rPr>
        <w:t>）</w:t>
      </w:r>
      <w:r>
        <w:rPr>
          <w:rFonts w:hint="eastAsia"/>
          <w:color w:val="auto"/>
          <w:highlight w:val="none"/>
          <w:vertAlign w:val="subscript"/>
        </w:rPr>
        <w:t>2</w:t>
      </w:r>
      <w:r>
        <w:rPr>
          <w:rFonts w:hint="eastAsia"/>
          <w:color w:val="auto"/>
          <w:highlight w:val="none"/>
        </w:rPr>
        <w:t>HPO</w:t>
      </w:r>
      <w:r>
        <w:rPr>
          <w:rFonts w:hint="eastAsia"/>
          <w:color w:val="auto"/>
          <w:highlight w:val="none"/>
          <w:vertAlign w:val="subscript"/>
        </w:rPr>
        <w:t>4</w:t>
      </w:r>
      <w:r>
        <w:rPr>
          <w:rFonts w:hint="eastAsia"/>
          <w:color w:val="auto"/>
          <w:highlight w:val="none"/>
        </w:rPr>
        <w:t>]。农田施用的农药有除草剂和杀虫剂，施用方式以喷雾法和毒土法为主。</w:t>
      </w:r>
      <w:r>
        <w:rPr>
          <w:color w:val="auto"/>
          <w:kern w:val="0"/>
          <w:sz w:val="24"/>
          <w:szCs w:val="24"/>
          <w:highlight w:val="none"/>
        </w:rPr>
        <w:t>如</w:t>
      </w:r>
      <w:r>
        <w:rPr>
          <w:rFonts w:hint="eastAsia"/>
          <w:color w:val="auto"/>
          <w:kern w:val="0"/>
          <w:sz w:val="24"/>
          <w:szCs w:val="24"/>
          <w:highlight w:val="none"/>
        </w:rPr>
        <w:t>化肥</w:t>
      </w:r>
      <w:r>
        <w:rPr>
          <w:color w:val="auto"/>
          <w:kern w:val="0"/>
          <w:sz w:val="24"/>
          <w:szCs w:val="24"/>
          <w:highlight w:val="none"/>
        </w:rPr>
        <w:t>农药使用不当，</w:t>
      </w:r>
      <w:r>
        <w:rPr>
          <w:rFonts w:hint="eastAsia"/>
          <w:color w:val="auto"/>
          <w:kern w:val="0"/>
          <w:sz w:val="24"/>
          <w:szCs w:val="24"/>
          <w:highlight w:val="none"/>
        </w:rPr>
        <w:t>存在</w:t>
      </w:r>
      <w:r>
        <w:rPr>
          <w:color w:val="auto"/>
          <w:kern w:val="0"/>
          <w:sz w:val="24"/>
          <w:szCs w:val="24"/>
          <w:highlight w:val="none"/>
        </w:rPr>
        <w:t>对地下水水质造成影响</w:t>
      </w:r>
      <w:r>
        <w:rPr>
          <w:rFonts w:hint="eastAsia"/>
          <w:color w:val="auto"/>
          <w:kern w:val="0"/>
          <w:sz w:val="24"/>
          <w:szCs w:val="24"/>
          <w:highlight w:val="none"/>
        </w:rPr>
        <w:t>的</w:t>
      </w:r>
      <w:r>
        <w:rPr>
          <w:color w:val="auto"/>
          <w:kern w:val="0"/>
          <w:sz w:val="24"/>
          <w:szCs w:val="24"/>
          <w:highlight w:val="none"/>
        </w:rPr>
        <w:t>可能性。</w:t>
      </w:r>
    </w:p>
    <w:p w14:paraId="19DB25D5">
      <w:pPr>
        <w:pStyle w:val="36"/>
        <w:ind w:firstLine="470"/>
        <w:rPr>
          <w:color w:val="auto"/>
          <w:highlight w:val="none"/>
        </w:rPr>
      </w:pPr>
      <w:r>
        <w:rPr>
          <w:rFonts w:hint="eastAsia"/>
          <w:color w:val="auto"/>
          <w:highlight w:val="none"/>
        </w:rPr>
        <w:t>3）固体废物堆放（填埋）场</w:t>
      </w:r>
    </w:p>
    <w:p w14:paraId="6B36F761">
      <w:pPr>
        <w:pStyle w:val="36"/>
        <w:ind w:firstLine="470"/>
        <w:rPr>
          <w:color w:val="auto"/>
          <w:highlight w:val="none"/>
        </w:rPr>
      </w:pPr>
      <w:r>
        <w:rPr>
          <w:rFonts w:hint="eastAsia"/>
          <w:color w:val="auto"/>
          <w:highlight w:val="none"/>
        </w:rPr>
        <w:t>经走访调查，调查范围内，未发现固体废物堆放（填埋）场。</w:t>
      </w:r>
    </w:p>
    <w:p w14:paraId="3050DC89">
      <w:pPr>
        <w:pStyle w:val="36"/>
        <w:ind w:firstLine="470"/>
        <w:rPr>
          <w:rFonts w:hint="eastAsia" w:eastAsia="宋体"/>
          <w:color w:val="auto"/>
          <w:highlight w:val="none"/>
          <w:lang w:eastAsia="zh-CN"/>
        </w:rPr>
      </w:pPr>
      <w:r>
        <w:rPr>
          <w:rFonts w:hint="eastAsia"/>
          <w:color w:val="auto"/>
          <w:highlight w:val="none"/>
        </w:rPr>
        <w:t>4）流动源</w:t>
      </w:r>
      <w:r>
        <w:rPr>
          <w:rFonts w:hint="eastAsia"/>
          <w:color w:val="auto"/>
          <w:highlight w:val="none"/>
          <w:lang w:eastAsia="zh-CN"/>
        </w:rPr>
        <w:t>和其他</w:t>
      </w:r>
    </w:p>
    <w:p w14:paraId="2F4A10A4">
      <w:pPr>
        <w:spacing w:line="360" w:lineRule="auto"/>
        <w:ind w:firstLine="472" w:firstLineChars="200"/>
        <w:rPr>
          <w:rFonts w:hint="eastAsia"/>
          <w:color w:val="auto"/>
          <w:highlight w:val="none"/>
        </w:rPr>
      </w:pPr>
      <w:r>
        <w:rPr>
          <w:rFonts w:hint="eastAsia"/>
          <w:color w:val="auto"/>
          <w:highlight w:val="none"/>
        </w:rPr>
        <w:t>经</w:t>
      </w:r>
      <w:r>
        <w:rPr>
          <w:rFonts w:hint="eastAsia"/>
          <w:color w:val="auto"/>
          <w:highlight w:val="none"/>
          <w:lang w:eastAsia="zh-CN"/>
        </w:rPr>
        <w:t>现场</w:t>
      </w:r>
      <w:r>
        <w:rPr>
          <w:rFonts w:hint="eastAsia"/>
          <w:color w:val="auto"/>
          <w:highlight w:val="none"/>
        </w:rPr>
        <w:t>调查，</w:t>
      </w:r>
      <w:r>
        <w:rPr>
          <w:rFonts w:hint="eastAsia" w:ascii="Times New Roman" w:hAnsi="Times New Roman" w:eastAsia="宋体" w:cs="Times New Roman"/>
          <w:color w:val="auto"/>
          <w:highlight w:val="none"/>
        </w:rPr>
        <w:t>调查范围内流动源为乡村道路</w:t>
      </w:r>
      <w:r>
        <w:rPr>
          <w:rFonts w:hint="eastAsia" w:cs="Times New Roman"/>
          <w:color w:val="auto"/>
          <w:highlight w:val="none"/>
          <w:lang w:eastAsia="zh-CN"/>
        </w:rPr>
        <w:t>和沟渠</w:t>
      </w:r>
      <w:r>
        <w:rPr>
          <w:rFonts w:hint="eastAsia" w:ascii="Times New Roman" w:hAnsi="Times New Roman" w:eastAsia="宋体" w:cs="Times New Roman"/>
          <w:color w:val="auto"/>
          <w:highlight w:val="none"/>
          <w:lang w:val="en-US" w:eastAsia="zh-CN"/>
        </w:rPr>
        <w:t>，</w:t>
      </w:r>
      <w:r>
        <w:rPr>
          <w:rFonts w:hint="eastAsia" w:ascii="Times New Roman" w:hAnsi="Times New Roman" w:eastAsia="宋体" w:cs="Times New Roman"/>
          <w:color w:val="auto"/>
          <w:highlight w:val="none"/>
        </w:rPr>
        <w:t>乡村道路存在拉运农药等危险物品的车辆，车</w:t>
      </w:r>
      <w:r>
        <w:rPr>
          <w:rFonts w:hint="eastAsia"/>
          <w:color w:val="auto"/>
          <w:highlight w:val="none"/>
        </w:rPr>
        <w:t>辆突发事故造成</w:t>
      </w:r>
      <w:r>
        <w:rPr>
          <w:rFonts w:hint="eastAsia"/>
          <w:color w:val="auto"/>
          <w:highlight w:val="none"/>
          <w:lang w:eastAsia="zh-CN"/>
        </w:rPr>
        <w:t>农药等</w:t>
      </w:r>
      <w:r>
        <w:rPr>
          <w:rFonts w:hint="eastAsia"/>
          <w:color w:val="auto"/>
          <w:highlight w:val="none"/>
        </w:rPr>
        <w:t>泄漏将进入地下水，存在隐患</w:t>
      </w:r>
      <w:r>
        <w:rPr>
          <w:rFonts w:hint="eastAsia"/>
          <w:color w:val="auto"/>
          <w:kern w:val="0"/>
          <w:sz w:val="24"/>
          <w:szCs w:val="24"/>
          <w:highlight w:val="none"/>
        </w:rPr>
        <w:t>，最近村道位于取水井</w:t>
      </w:r>
      <w:r>
        <w:rPr>
          <w:rFonts w:hint="eastAsia"/>
          <w:color w:val="auto"/>
          <w:kern w:val="0"/>
          <w:sz w:val="24"/>
          <w:szCs w:val="24"/>
          <w:highlight w:val="none"/>
          <w:lang w:val="en-US" w:eastAsia="zh-CN"/>
        </w:rPr>
        <w:t>1#东南</w:t>
      </w:r>
      <w:r>
        <w:rPr>
          <w:rFonts w:hint="eastAsia"/>
          <w:color w:val="auto"/>
          <w:kern w:val="0"/>
          <w:sz w:val="24"/>
          <w:szCs w:val="24"/>
          <w:highlight w:val="none"/>
        </w:rPr>
        <w:t>侧</w:t>
      </w:r>
      <w:r>
        <w:rPr>
          <w:rFonts w:hint="eastAsia"/>
          <w:color w:val="auto"/>
          <w:kern w:val="0"/>
          <w:sz w:val="24"/>
          <w:szCs w:val="24"/>
          <w:highlight w:val="none"/>
          <w:lang w:val="en-US" w:eastAsia="zh-CN"/>
        </w:rPr>
        <w:t>27</w:t>
      </w:r>
      <w:r>
        <w:rPr>
          <w:rFonts w:hint="eastAsia"/>
          <w:color w:val="auto"/>
          <w:kern w:val="0"/>
          <w:sz w:val="24"/>
          <w:szCs w:val="24"/>
          <w:highlight w:val="none"/>
        </w:rPr>
        <w:t>米处。</w:t>
      </w:r>
      <w:r>
        <w:rPr>
          <w:rFonts w:hint="eastAsia"/>
          <w:color w:val="auto"/>
          <w:highlight w:val="none"/>
          <w:lang w:eastAsia="zh-CN"/>
        </w:rPr>
        <w:t>沟渠</w:t>
      </w:r>
      <w:r>
        <w:rPr>
          <w:rFonts w:hint="eastAsia" w:cs="Times New Roman"/>
          <w:color w:val="auto"/>
          <w:highlight w:val="none"/>
          <w:lang w:val="en-US" w:eastAsia="zh-CN"/>
        </w:rPr>
        <w:t>不涉及农田灌溉，</w:t>
      </w:r>
      <w:r>
        <w:rPr>
          <w:rFonts w:hint="eastAsia" w:ascii="Times New Roman" w:cs="Times New Roman"/>
          <w:color w:val="auto"/>
          <w:highlight w:val="none"/>
          <w:lang w:val="en-US" w:eastAsia="zh-CN"/>
        </w:rPr>
        <w:t>不会对地下水水质造成污染</w:t>
      </w:r>
      <w:r>
        <w:rPr>
          <w:rFonts w:hint="eastAsia" w:cs="Times New Roman"/>
          <w:color w:val="auto"/>
          <w:highlight w:val="none"/>
          <w:lang w:val="en-US" w:eastAsia="zh-CN"/>
        </w:rPr>
        <w:t>。</w:t>
      </w:r>
    </w:p>
    <w:p w14:paraId="3BB692C3">
      <w:pPr>
        <w:pStyle w:val="5"/>
        <w:bidi w:val="0"/>
        <w:ind w:firstLine="472" w:firstLineChars="200"/>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（3）绥化市庆安县同乐镇饮用水水源地</w:t>
      </w:r>
    </w:p>
    <w:p w14:paraId="1D5FC290">
      <w:pPr>
        <w:ind w:firstLine="470"/>
        <w:rPr>
          <w:rFonts w:hint="eastAsia" w:eastAsia="宋体"/>
          <w:color w:val="auto"/>
          <w:highlight w:val="none"/>
          <w:lang w:eastAsia="zh-CN"/>
        </w:rPr>
      </w:pPr>
      <w:r>
        <w:rPr>
          <w:rFonts w:hint="eastAsia" w:ascii="Times New Roman" w:hAnsi="Times New Roman" w:eastAsia="宋体" w:cs="Times New Roman"/>
          <w:color w:val="auto"/>
          <w:kern w:val="2"/>
          <w:sz w:val="24"/>
          <w:szCs w:val="24"/>
          <w:highlight w:val="none"/>
          <w:lang w:val="en-US" w:eastAsia="zh-CN" w:bidi="ar-SA"/>
        </w:rPr>
        <w:t>绥化市庆安县同乐镇饮用水水源地</w:t>
      </w:r>
      <w:r>
        <w:rPr>
          <w:rFonts w:hint="eastAsia"/>
          <w:color w:val="auto"/>
          <w:kern w:val="0"/>
          <w:sz w:val="24"/>
          <w:szCs w:val="24"/>
          <w:highlight w:val="none"/>
          <w:lang w:eastAsia="zh-CN"/>
        </w:rPr>
        <w:t>污</w:t>
      </w:r>
      <w:r>
        <w:rPr>
          <w:color w:val="auto"/>
          <w:kern w:val="0"/>
          <w:sz w:val="24"/>
          <w:szCs w:val="24"/>
          <w:highlight w:val="none"/>
        </w:rPr>
        <w:t>染源调查范围为取水井</w:t>
      </w:r>
      <w:r>
        <w:rPr>
          <w:rFonts w:hint="eastAsia"/>
          <w:color w:val="auto"/>
          <w:kern w:val="0"/>
          <w:sz w:val="24"/>
          <w:szCs w:val="24"/>
          <w:highlight w:val="none"/>
        </w:rPr>
        <w:t>上游1000</w:t>
      </w:r>
      <w:r>
        <w:rPr>
          <w:rFonts w:hint="default"/>
          <w:color w:val="auto"/>
          <w:kern w:val="0"/>
          <w:sz w:val="24"/>
          <w:szCs w:val="24"/>
          <w:highlight w:val="none"/>
          <w:lang w:val="en-US"/>
        </w:rPr>
        <w:t>米</w:t>
      </w:r>
      <w:r>
        <w:rPr>
          <w:rFonts w:hint="eastAsia"/>
          <w:color w:val="auto"/>
          <w:kern w:val="0"/>
          <w:sz w:val="24"/>
          <w:szCs w:val="24"/>
          <w:highlight w:val="none"/>
        </w:rPr>
        <w:t>、两侧及下游300</w:t>
      </w:r>
      <w:r>
        <w:rPr>
          <w:rFonts w:hint="default"/>
          <w:color w:val="auto"/>
          <w:kern w:val="0"/>
          <w:sz w:val="24"/>
          <w:szCs w:val="24"/>
          <w:highlight w:val="none"/>
          <w:lang w:val="en-US"/>
        </w:rPr>
        <w:t>米</w:t>
      </w:r>
      <w:r>
        <w:rPr>
          <w:rFonts w:hint="eastAsia"/>
          <w:color w:val="auto"/>
          <w:kern w:val="0"/>
          <w:sz w:val="24"/>
          <w:szCs w:val="24"/>
          <w:highlight w:val="none"/>
        </w:rPr>
        <w:t>区域</w:t>
      </w:r>
      <w:r>
        <w:rPr>
          <w:rFonts w:hint="eastAsia"/>
          <w:color w:val="auto"/>
          <w:kern w:val="0"/>
          <w:sz w:val="24"/>
          <w:szCs w:val="24"/>
          <w:highlight w:val="none"/>
          <w:lang w:eastAsia="zh-CN"/>
        </w:rPr>
        <w:t>，调查面积为</w:t>
      </w:r>
      <w:r>
        <w:rPr>
          <w:rFonts w:hint="eastAsia"/>
          <w:color w:val="auto"/>
          <w:highlight w:val="none"/>
          <w:lang w:val="en-US" w:eastAsia="zh-CN"/>
        </w:rPr>
        <w:t>121.21</w:t>
      </w:r>
      <w:r>
        <w:rPr>
          <w:rFonts w:hint="eastAsia"/>
          <w:color w:val="auto"/>
          <w:kern w:val="0"/>
          <w:sz w:val="24"/>
          <w:szCs w:val="24"/>
          <w:highlight w:val="none"/>
          <w:lang w:eastAsia="zh-CN"/>
        </w:rPr>
        <w:t>公顷。调查范围内污染情况如下：</w:t>
      </w:r>
    </w:p>
    <w:p w14:paraId="64CDB921">
      <w:pPr>
        <w:ind w:firstLine="470"/>
        <w:rPr>
          <w:color w:val="auto"/>
          <w:highlight w:val="none"/>
        </w:rPr>
      </w:pPr>
      <w:r>
        <w:rPr>
          <w:rFonts w:hint="eastAsia"/>
          <w:color w:val="auto"/>
          <w:highlight w:val="none"/>
        </w:rPr>
        <w:t>1）点源</w:t>
      </w:r>
    </w:p>
    <w:p w14:paraId="14D7085E">
      <w:pPr>
        <w:ind w:firstLine="470"/>
        <w:rPr>
          <w:rFonts w:hint="eastAsia"/>
          <w:color w:val="auto"/>
          <w:highlight w:val="none"/>
          <w:lang w:eastAsia="zh-CN"/>
        </w:rPr>
      </w:pPr>
      <w:r>
        <w:rPr>
          <w:rFonts w:hint="eastAsia"/>
          <w:color w:val="auto"/>
          <w:highlight w:val="none"/>
        </w:rPr>
        <w:t>点源包括工业或生活排污口、规模化畜禽养殖</w:t>
      </w:r>
      <w:r>
        <w:rPr>
          <w:rFonts w:hint="eastAsia"/>
          <w:color w:val="auto"/>
          <w:highlight w:val="none"/>
          <w:lang w:eastAsia="zh-CN"/>
        </w:rPr>
        <w:t>等</w:t>
      </w:r>
      <w:r>
        <w:rPr>
          <w:rFonts w:hint="eastAsia"/>
          <w:color w:val="auto"/>
          <w:highlight w:val="none"/>
        </w:rPr>
        <w:t>。经过实地走访调查，调查范围不存在石化、冶炼、制药、加油站、尾矿库、填埋场、工业废水排放口和规模化畜禽养殖等设施及场所</w:t>
      </w:r>
      <w:r>
        <w:rPr>
          <w:rFonts w:hint="eastAsia"/>
          <w:color w:val="auto"/>
          <w:highlight w:val="none"/>
          <w:lang w:eastAsia="zh-CN"/>
        </w:rPr>
        <w:t>。</w:t>
      </w:r>
    </w:p>
    <w:p w14:paraId="6CE60AD3">
      <w:pPr>
        <w:ind w:firstLine="470"/>
        <w:rPr>
          <w:color w:val="auto"/>
          <w:highlight w:val="none"/>
        </w:rPr>
      </w:pPr>
      <w:r>
        <w:rPr>
          <w:rFonts w:hint="eastAsia"/>
          <w:color w:val="auto"/>
          <w:highlight w:val="none"/>
        </w:rPr>
        <w:t>2）非点源</w:t>
      </w:r>
    </w:p>
    <w:p w14:paraId="3EA14D05">
      <w:pPr>
        <w:ind w:firstLine="470"/>
        <w:rPr>
          <w:color w:val="auto"/>
          <w:highlight w:val="none"/>
        </w:rPr>
      </w:pPr>
      <w:r>
        <w:rPr>
          <w:rFonts w:hint="eastAsia"/>
          <w:color w:val="auto"/>
          <w:highlight w:val="none"/>
        </w:rPr>
        <w:t>水源地</w:t>
      </w:r>
      <w:r>
        <w:rPr>
          <w:rFonts w:hint="eastAsia"/>
          <w:color w:val="auto"/>
          <w:highlight w:val="none"/>
          <w:lang w:eastAsia="zh-CN"/>
        </w:rPr>
        <w:t>评价范围内</w:t>
      </w:r>
      <w:r>
        <w:rPr>
          <w:rFonts w:hint="eastAsia"/>
          <w:color w:val="auto"/>
          <w:highlight w:val="none"/>
        </w:rPr>
        <w:t>污染源主要为非点源污染，包括以下两方面：一是村屯居民生活产生的生活污水、生活垃圾，畜禽养殖产生的排泄物等；二是农田施用化肥农药，不能被作物吸收利用随地表径流流失的部分。</w:t>
      </w:r>
    </w:p>
    <w:p w14:paraId="7F64B4C9">
      <w:pPr>
        <w:ind w:firstLine="470" w:firstLineChars="0"/>
        <w:rPr>
          <w:color w:val="auto"/>
          <w:highlight w:val="none"/>
        </w:rPr>
      </w:pPr>
      <w:r>
        <w:rPr>
          <w:rFonts w:hint="eastAsia" w:ascii="宋体" w:hAnsi="宋体"/>
          <w:color w:val="auto"/>
          <w:highlight w:val="none"/>
        </w:rPr>
        <w:t>①</w:t>
      </w:r>
      <w:r>
        <w:rPr>
          <w:rFonts w:hint="eastAsia"/>
          <w:color w:val="auto"/>
          <w:highlight w:val="none"/>
        </w:rPr>
        <w:t>居民区生活污水、生活垃圾污染</w:t>
      </w:r>
    </w:p>
    <w:p w14:paraId="1FE594D5">
      <w:pPr>
        <w:ind w:firstLine="470"/>
        <w:rPr>
          <w:color w:val="auto"/>
          <w:highlight w:val="none"/>
        </w:rPr>
      </w:pPr>
      <w:r>
        <w:rPr>
          <w:rFonts w:hint="eastAsia"/>
          <w:color w:val="auto"/>
          <w:highlight w:val="none"/>
        </w:rPr>
        <w:t>经过实地走访调查，调查范围内主要生活污染源为</w:t>
      </w:r>
      <w:r>
        <w:rPr>
          <w:rFonts w:hint="eastAsia"/>
          <w:color w:val="auto"/>
          <w:highlight w:val="none"/>
          <w:lang w:eastAsia="zh-CN"/>
        </w:rPr>
        <w:t>东升河村（与水井</w:t>
      </w:r>
      <w:r>
        <w:rPr>
          <w:rFonts w:hint="eastAsia"/>
          <w:color w:val="auto"/>
          <w:highlight w:val="none"/>
          <w:lang w:val="en-US" w:eastAsia="zh-CN"/>
        </w:rPr>
        <w:t>2#最近距离34米</w:t>
      </w:r>
      <w:r>
        <w:rPr>
          <w:rFonts w:hint="eastAsia"/>
          <w:color w:val="auto"/>
          <w:highlight w:val="none"/>
          <w:lang w:eastAsia="zh-CN"/>
        </w:rPr>
        <w:t>）</w:t>
      </w:r>
      <w:r>
        <w:rPr>
          <w:rFonts w:hint="eastAsia"/>
          <w:color w:val="auto"/>
          <w:highlight w:val="none"/>
        </w:rPr>
        <w:t>的农村生活污水、生活垃圾。调查范围内居民总数约为</w:t>
      </w:r>
      <w:r>
        <w:rPr>
          <w:rFonts w:hint="eastAsia"/>
          <w:color w:val="auto"/>
          <w:highlight w:val="none"/>
          <w:lang w:val="en-US" w:eastAsia="zh-CN"/>
        </w:rPr>
        <w:t>250</w:t>
      </w:r>
      <w:r>
        <w:rPr>
          <w:rFonts w:hint="eastAsia"/>
          <w:color w:val="auto"/>
          <w:highlight w:val="none"/>
        </w:rPr>
        <w:t xml:space="preserve">人，根据黑龙江省地方标准《用水定额》（DB 23/T </w:t>
      </w:r>
      <w:r>
        <w:rPr>
          <w:rFonts w:hint="eastAsia"/>
          <w:color w:val="auto"/>
          <w:highlight w:val="none"/>
          <w:lang w:eastAsia="zh-CN"/>
        </w:rPr>
        <w:t>727-2025</w:t>
      </w:r>
      <w:r>
        <w:rPr>
          <w:rFonts w:hint="eastAsia"/>
          <w:color w:val="auto"/>
          <w:highlight w:val="none"/>
        </w:rPr>
        <w:t>），生活用水按每人80升/天计，用水量为</w:t>
      </w:r>
      <w:r>
        <w:rPr>
          <w:rFonts w:hint="eastAsia"/>
          <w:color w:val="auto"/>
          <w:highlight w:val="none"/>
          <w:lang w:val="en-US" w:eastAsia="zh-CN"/>
        </w:rPr>
        <w:t>20</w:t>
      </w:r>
      <w:r>
        <w:rPr>
          <w:rFonts w:hint="eastAsia"/>
          <w:color w:val="auto"/>
          <w:highlight w:val="none"/>
        </w:rPr>
        <w:t>立方米/天、</w:t>
      </w:r>
      <w:r>
        <w:rPr>
          <w:rFonts w:hint="eastAsia"/>
          <w:color w:val="auto"/>
          <w:highlight w:val="none"/>
          <w:lang w:val="en-US" w:eastAsia="zh-CN"/>
        </w:rPr>
        <w:t>7300</w:t>
      </w:r>
      <w:r>
        <w:rPr>
          <w:rFonts w:hint="eastAsia"/>
          <w:color w:val="auto"/>
          <w:highlight w:val="none"/>
        </w:rPr>
        <w:t>立方米/年，</w:t>
      </w:r>
      <w:r>
        <w:rPr>
          <w:color w:val="auto"/>
          <w:highlight w:val="none"/>
        </w:rPr>
        <w:t>生活污水按用水量的80%计算，</w:t>
      </w:r>
      <w:r>
        <w:rPr>
          <w:rFonts w:hint="eastAsia"/>
          <w:color w:val="auto"/>
          <w:highlight w:val="none"/>
          <w:lang w:eastAsia="zh-CN"/>
        </w:rPr>
        <w:t>产生量</w:t>
      </w:r>
      <w:r>
        <w:rPr>
          <w:color w:val="auto"/>
          <w:highlight w:val="none"/>
        </w:rPr>
        <w:t>为</w:t>
      </w:r>
      <w:r>
        <w:rPr>
          <w:rFonts w:hint="eastAsia"/>
          <w:color w:val="auto"/>
          <w:highlight w:val="none"/>
          <w:lang w:val="en-US" w:eastAsia="zh-CN"/>
        </w:rPr>
        <w:t>16</w:t>
      </w:r>
      <w:r>
        <w:rPr>
          <w:rFonts w:hint="eastAsia"/>
          <w:color w:val="auto"/>
          <w:highlight w:val="none"/>
        </w:rPr>
        <w:t>立方米/天、</w:t>
      </w:r>
      <w:r>
        <w:rPr>
          <w:rFonts w:hint="eastAsia"/>
          <w:color w:val="auto"/>
          <w:highlight w:val="none"/>
          <w:lang w:val="en-US" w:eastAsia="zh-CN"/>
        </w:rPr>
        <w:t>5840</w:t>
      </w:r>
      <w:r>
        <w:rPr>
          <w:rFonts w:hint="eastAsia"/>
          <w:color w:val="auto"/>
          <w:highlight w:val="none"/>
        </w:rPr>
        <w:t>立方米/年，COD和氨氮的</w:t>
      </w:r>
      <w:r>
        <w:rPr>
          <w:rFonts w:hint="eastAsia"/>
          <w:color w:val="auto"/>
          <w:highlight w:val="none"/>
          <w:lang w:eastAsia="zh-CN"/>
        </w:rPr>
        <w:t>产生浓度</w:t>
      </w:r>
      <w:r>
        <w:rPr>
          <w:rFonts w:hint="eastAsia"/>
          <w:color w:val="auto"/>
          <w:highlight w:val="none"/>
        </w:rPr>
        <w:t>按300毫克/升、30毫克/升计，则COD</w:t>
      </w:r>
      <w:r>
        <w:rPr>
          <w:rFonts w:hint="eastAsia"/>
          <w:color w:val="auto"/>
          <w:highlight w:val="none"/>
          <w:lang w:eastAsia="zh-CN"/>
        </w:rPr>
        <w:t>产生量</w:t>
      </w:r>
      <w:r>
        <w:rPr>
          <w:rFonts w:hint="eastAsia"/>
          <w:color w:val="auto"/>
          <w:highlight w:val="none"/>
        </w:rPr>
        <w:t>为</w:t>
      </w:r>
      <w:r>
        <w:rPr>
          <w:rFonts w:hint="eastAsia"/>
          <w:color w:val="auto"/>
          <w:highlight w:val="none"/>
          <w:lang w:val="en-US" w:eastAsia="zh-CN"/>
        </w:rPr>
        <w:t>1.75</w:t>
      </w:r>
      <w:r>
        <w:rPr>
          <w:rFonts w:hint="eastAsia"/>
          <w:color w:val="auto"/>
          <w:highlight w:val="none"/>
        </w:rPr>
        <w:t>吨/年，氨氮</w:t>
      </w:r>
      <w:r>
        <w:rPr>
          <w:rFonts w:hint="eastAsia"/>
          <w:color w:val="auto"/>
          <w:highlight w:val="none"/>
          <w:lang w:eastAsia="zh-CN"/>
        </w:rPr>
        <w:t>产生量</w:t>
      </w:r>
      <w:r>
        <w:rPr>
          <w:rFonts w:hint="eastAsia"/>
          <w:color w:val="auto"/>
          <w:highlight w:val="none"/>
        </w:rPr>
        <w:t>为</w:t>
      </w:r>
      <w:r>
        <w:rPr>
          <w:rFonts w:hint="eastAsia"/>
          <w:color w:val="auto"/>
          <w:highlight w:val="none"/>
          <w:lang w:val="en-US" w:eastAsia="zh-CN"/>
        </w:rPr>
        <w:t>0.175</w:t>
      </w:r>
      <w:r>
        <w:rPr>
          <w:rFonts w:hint="eastAsia"/>
          <w:color w:val="auto"/>
          <w:highlight w:val="none"/>
        </w:rPr>
        <w:t>吨/年；生活垃圾按</w:t>
      </w:r>
      <w:r>
        <w:rPr>
          <w:color w:val="auto"/>
          <w:highlight w:val="none"/>
        </w:rPr>
        <w:t>0.5</w:t>
      </w:r>
      <w:r>
        <w:rPr>
          <w:rFonts w:hint="eastAsia"/>
          <w:color w:val="auto"/>
          <w:highlight w:val="none"/>
        </w:rPr>
        <w:t>千克</w:t>
      </w:r>
      <w:r>
        <w:rPr>
          <w:color w:val="auto"/>
          <w:highlight w:val="none"/>
        </w:rPr>
        <w:t>/人/天计算，</w:t>
      </w:r>
      <w:r>
        <w:rPr>
          <w:rFonts w:hint="eastAsia"/>
          <w:color w:val="auto"/>
          <w:highlight w:val="none"/>
        </w:rPr>
        <w:t>则</w:t>
      </w:r>
      <w:r>
        <w:rPr>
          <w:color w:val="auto"/>
          <w:highlight w:val="none"/>
        </w:rPr>
        <w:t>产生量为</w:t>
      </w:r>
      <w:r>
        <w:rPr>
          <w:rFonts w:hint="eastAsia"/>
          <w:color w:val="auto"/>
          <w:highlight w:val="none"/>
          <w:lang w:val="en-US" w:eastAsia="zh-CN"/>
        </w:rPr>
        <w:t>45.6</w:t>
      </w:r>
      <w:r>
        <w:rPr>
          <w:rFonts w:hint="eastAsia"/>
          <w:color w:val="auto"/>
          <w:highlight w:val="none"/>
        </w:rPr>
        <w:t>吨/年</w:t>
      </w:r>
      <w:r>
        <w:rPr>
          <w:color w:val="auto"/>
          <w:highlight w:val="none"/>
        </w:rPr>
        <w:t>。</w:t>
      </w:r>
      <w:r>
        <w:rPr>
          <w:rFonts w:hint="eastAsia"/>
          <w:color w:val="auto"/>
          <w:highlight w:val="none"/>
          <w:lang w:eastAsia="zh-CN"/>
        </w:rPr>
        <w:t>目前</w:t>
      </w:r>
      <w:r>
        <w:rPr>
          <w:rFonts w:hint="eastAsia"/>
          <w:color w:val="auto"/>
          <w:highlight w:val="none"/>
        </w:rPr>
        <w:t>居民生活污水散排，粪污进入自家旱厕</w:t>
      </w:r>
      <w:r>
        <w:rPr>
          <w:rFonts w:hint="eastAsia"/>
          <w:color w:val="auto"/>
          <w:highlight w:val="none"/>
          <w:lang w:eastAsia="zh-CN"/>
        </w:rPr>
        <w:t>；</w:t>
      </w:r>
      <w:r>
        <w:rPr>
          <w:rFonts w:hint="eastAsia"/>
          <w:color w:val="auto"/>
          <w:sz w:val="24"/>
          <w:szCs w:val="24"/>
          <w:highlight w:val="none"/>
        </w:rPr>
        <w:t>居民生活垃圾统一收集后由环卫部门进行清运，无垃圾堆放点。</w:t>
      </w:r>
    </w:p>
    <w:p w14:paraId="55E5ED1C">
      <w:pPr>
        <w:ind w:firstLine="470"/>
        <w:rPr>
          <w:color w:val="auto"/>
          <w:highlight w:val="none"/>
        </w:rPr>
      </w:pPr>
      <w:r>
        <w:rPr>
          <w:rFonts w:hint="eastAsia"/>
          <w:color w:val="auto"/>
          <w:highlight w:val="none"/>
        </w:rPr>
        <w:t>②畜禽养殖排泄物污染</w:t>
      </w:r>
    </w:p>
    <w:p w14:paraId="027FA835">
      <w:pPr>
        <w:ind w:firstLine="470"/>
        <w:rPr>
          <w:color w:val="auto"/>
          <w:highlight w:val="none"/>
        </w:rPr>
      </w:pPr>
      <w:r>
        <w:rPr>
          <w:rFonts w:hint="eastAsia"/>
          <w:color w:val="auto"/>
          <w:highlight w:val="none"/>
        </w:rPr>
        <w:t>调查范围内</w:t>
      </w:r>
      <w:r>
        <w:rPr>
          <w:rFonts w:hint="eastAsia"/>
          <w:color w:val="auto"/>
          <w:highlight w:val="none"/>
          <w:lang w:eastAsia="zh-CN"/>
        </w:rPr>
        <w:t>存在村屯居民零散</w:t>
      </w:r>
      <w:r>
        <w:rPr>
          <w:rFonts w:hint="eastAsia"/>
          <w:color w:val="auto"/>
          <w:highlight w:val="none"/>
        </w:rPr>
        <w:t>畜禽养殖，畜禽养殖排泄物存在对地下水水质造成影响的可能性。</w:t>
      </w:r>
    </w:p>
    <w:p w14:paraId="5C28893B">
      <w:pPr>
        <w:ind w:firstLine="470"/>
        <w:rPr>
          <w:color w:val="auto"/>
          <w:highlight w:val="none"/>
        </w:rPr>
      </w:pPr>
      <w:r>
        <w:rPr>
          <w:rFonts w:hint="eastAsia"/>
          <w:color w:val="auto"/>
          <w:highlight w:val="none"/>
        </w:rPr>
        <w:t>③化肥农药污染</w:t>
      </w:r>
    </w:p>
    <w:p w14:paraId="0D39DECA">
      <w:pPr>
        <w:pStyle w:val="36"/>
        <w:ind w:firstLine="470"/>
        <w:rPr>
          <w:color w:val="auto"/>
          <w:kern w:val="0"/>
          <w:sz w:val="24"/>
          <w:szCs w:val="24"/>
          <w:highlight w:val="none"/>
        </w:rPr>
      </w:pPr>
      <w:r>
        <w:rPr>
          <w:rFonts w:hint="eastAsia"/>
          <w:color w:val="auto"/>
          <w:highlight w:val="none"/>
        </w:rPr>
        <w:t>调查范围内农业面源污染来自耕地使用的农药和化肥的流失，根据实地调查，</w:t>
      </w:r>
      <w:r>
        <w:rPr>
          <w:rFonts w:hint="eastAsia"/>
          <w:color w:val="auto"/>
          <w:kern w:val="0"/>
          <w:sz w:val="24"/>
          <w:szCs w:val="24"/>
          <w:highlight w:val="none"/>
        </w:rPr>
        <w:t>调查范围内约有农田</w:t>
      </w:r>
      <w:r>
        <w:rPr>
          <w:rFonts w:hint="eastAsia"/>
          <w:color w:val="auto"/>
          <w:kern w:val="0"/>
          <w:sz w:val="24"/>
          <w:szCs w:val="24"/>
          <w:highlight w:val="none"/>
          <w:lang w:val="en-US" w:eastAsia="zh-CN"/>
        </w:rPr>
        <w:t>107</w:t>
      </w:r>
      <w:r>
        <w:rPr>
          <w:rFonts w:hint="eastAsia"/>
          <w:color w:val="auto"/>
          <w:kern w:val="0"/>
          <w:sz w:val="24"/>
          <w:szCs w:val="24"/>
          <w:highlight w:val="none"/>
        </w:rPr>
        <w:t>公顷，种植作物主要为玉米</w:t>
      </w:r>
      <w:r>
        <w:rPr>
          <w:rFonts w:hint="eastAsia"/>
          <w:color w:val="auto"/>
          <w:kern w:val="0"/>
          <w:sz w:val="24"/>
          <w:szCs w:val="24"/>
          <w:highlight w:val="none"/>
          <w:lang w:eastAsia="zh-CN"/>
        </w:rPr>
        <w:t>、大豆</w:t>
      </w:r>
      <w:r>
        <w:rPr>
          <w:rFonts w:hint="eastAsia"/>
          <w:color w:val="auto"/>
          <w:kern w:val="0"/>
          <w:sz w:val="24"/>
          <w:szCs w:val="24"/>
          <w:highlight w:val="none"/>
        </w:rPr>
        <w:t>。</w:t>
      </w:r>
      <w:r>
        <w:rPr>
          <w:rFonts w:hint="eastAsia"/>
          <w:color w:val="auto"/>
          <w:highlight w:val="none"/>
        </w:rPr>
        <w:t>大多数除草剂都是中低浓度时对植物有毒性，在高浓度时则对人类及牲畜产生毒性。农药的细粒、喷剂和团粒施用于农田，经土壤向下渗透。根据实地典型调查，化肥利用以氮肥为主，磷、钾肥施用相对较少。其中氮肥以尿素[CO（NH</w:t>
      </w:r>
      <w:r>
        <w:rPr>
          <w:rFonts w:hint="eastAsia"/>
          <w:color w:val="auto"/>
          <w:highlight w:val="none"/>
          <w:vertAlign w:val="subscript"/>
        </w:rPr>
        <w:t>2</w:t>
      </w:r>
      <w:r>
        <w:rPr>
          <w:rFonts w:hint="eastAsia"/>
          <w:color w:val="auto"/>
          <w:highlight w:val="none"/>
        </w:rPr>
        <w:t>）</w:t>
      </w:r>
      <w:r>
        <w:rPr>
          <w:rFonts w:hint="eastAsia"/>
          <w:color w:val="auto"/>
          <w:highlight w:val="none"/>
          <w:vertAlign w:val="subscript"/>
        </w:rPr>
        <w:t>2</w:t>
      </w:r>
      <w:r>
        <w:rPr>
          <w:rFonts w:hint="eastAsia"/>
          <w:color w:val="auto"/>
          <w:highlight w:val="none"/>
        </w:rPr>
        <w:t>]、碳酸氢氨[NH</w:t>
      </w:r>
      <w:r>
        <w:rPr>
          <w:rFonts w:hint="eastAsia"/>
          <w:color w:val="auto"/>
          <w:highlight w:val="none"/>
          <w:vertAlign w:val="subscript"/>
        </w:rPr>
        <w:t>4</w:t>
      </w:r>
      <w:r>
        <w:rPr>
          <w:rFonts w:hint="eastAsia"/>
          <w:color w:val="auto"/>
          <w:highlight w:val="none"/>
        </w:rPr>
        <w:t>HCO</w:t>
      </w:r>
      <w:r>
        <w:rPr>
          <w:rFonts w:hint="eastAsia"/>
          <w:color w:val="auto"/>
          <w:highlight w:val="none"/>
          <w:vertAlign w:val="subscript"/>
        </w:rPr>
        <w:t>3</w:t>
      </w:r>
      <w:r>
        <w:rPr>
          <w:rFonts w:hint="eastAsia"/>
          <w:color w:val="auto"/>
          <w:highlight w:val="none"/>
        </w:rPr>
        <w:t>]为主，钾肥以硫酸钾[K</w:t>
      </w:r>
      <w:r>
        <w:rPr>
          <w:rFonts w:hint="eastAsia"/>
          <w:color w:val="auto"/>
          <w:highlight w:val="none"/>
          <w:vertAlign w:val="subscript"/>
        </w:rPr>
        <w:t>2</w:t>
      </w:r>
      <w:r>
        <w:rPr>
          <w:rFonts w:hint="eastAsia"/>
          <w:color w:val="auto"/>
          <w:highlight w:val="none"/>
        </w:rPr>
        <w:t>SO</w:t>
      </w:r>
      <w:r>
        <w:rPr>
          <w:rFonts w:hint="eastAsia"/>
          <w:color w:val="auto"/>
          <w:highlight w:val="none"/>
          <w:vertAlign w:val="subscript"/>
        </w:rPr>
        <w:t>4</w:t>
      </w:r>
      <w:r>
        <w:rPr>
          <w:rFonts w:hint="eastAsia"/>
          <w:color w:val="auto"/>
          <w:highlight w:val="none"/>
        </w:rPr>
        <w:t>]、氯化钾[KCl]为主，磷肥主要是磷酸二铵[（NH</w:t>
      </w:r>
      <w:r>
        <w:rPr>
          <w:rFonts w:hint="eastAsia"/>
          <w:color w:val="auto"/>
          <w:highlight w:val="none"/>
          <w:vertAlign w:val="subscript"/>
        </w:rPr>
        <w:t>4</w:t>
      </w:r>
      <w:r>
        <w:rPr>
          <w:rFonts w:hint="eastAsia"/>
          <w:color w:val="auto"/>
          <w:highlight w:val="none"/>
        </w:rPr>
        <w:t>）</w:t>
      </w:r>
      <w:r>
        <w:rPr>
          <w:rFonts w:hint="eastAsia"/>
          <w:color w:val="auto"/>
          <w:highlight w:val="none"/>
          <w:vertAlign w:val="subscript"/>
        </w:rPr>
        <w:t>2</w:t>
      </w:r>
      <w:r>
        <w:rPr>
          <w:rFonts w:hint="eastAsia"/>
          <w:color w:val="auto"/>
          <w:highlight w:val="none"/>
        </w:rPr>
        <w:t>HPO</w:t>
      </w:r>
      <w:r>
        <w:rPr>
          <w:rFonts w:hint="eastAsia"/>
          <w:color w:val="auto"/>
          <w:highlight w:val="none"/>
          <w:vertAlign w:val="subscript"/>
        </w:rPr>
        <w:t>4</w:t>
      </w:r>
      <w:r>
        <w:rPr>
          <w:rFonts w:hint="eastAsia"/>
          <w:color w:val="auto"/>
          <w:highlight w:val="none"/>
        </w:rPr>
        <w:t>]。农田施用的农药有除草剂和杀虫剂，施用方式以喷雾法和毒土法为主。</w:t>
      </w:r>
      <w:r>
        <w:rPr>
          <w:color w:val="auto"/>
          <w:kern w:val="0"/>
          <w:sz w:val="24"/>
          <w:szCs w:val="24"/>
          <w:highlight w:val="none"/>
        </w:rPr>
        <w:t>如</w:t>
      </w:r>
      <w:r>
        <w:rPr>
          <w:rFonts w:hint="eastAsia"/>
          <w:color w:val="auto"/>
          <w:kern w:val="0"/>
          <w:sz w:val="24"/>
          <w:szCs w:val="24"/>
          <w:highlight w:val="none"/>
        </w:rPr>
        <w:t>化肥</w:t>
      </w:r>
      <w:r>
        <w:rPr>
          <w:color w:val="auto"/>
          <w:kern w:val="0"/>
          <w:sz w:val="24"/>
          <w:szCs w:val="24"/>
          <w:highlight w:val="none"/>
        </w:rPr>
        <w:t>农药使用不当，</w:t>
      </w:r>
      <w:r>
        <w:rPr>
          <w:rFonts w:hint="eastAsia"/>
          <w:color w:val="auto"/>
          <w:kern w:val="0"/>
          <w:sz w:val="24"/>
          <w:szCs w:val="24"/>
          <w:highlight w:val="none"/>
        </w:rPr>
        <w:t>存在</w:t>
      </w:r>
      <w:r>
        <w:rPr>
          <w:color w:val="auto"/>
          <w:kern w:val="0"/>
          <w:sz w:val="24"/>
          <w:szCs w:val="24"/>
          <w:highlight w:val="none"/>
        </w:rPr>
        <w:t>对地下水水质造成影响</w:t>
      </w:r>
      <w:r>
        <w:rPr>
          <w:rFonts w:hint="eastAsia"/>
          <w:color w:val="auto"/>
          <w:kern w:val="0"/>
          <w:sz w:val="24"/>
          <w:szCs w:val="24"/>
          <w:highlight w:val="none"/>
        </w:rPr>
        <w:t>的</w:t>
      </w:r>
      <w:r>
        <w:rPr>
          <w:color w:val="auto"/>
          <w:kern w:val="0"/>
          <w:sz w:val="24"/>
          <w:szCs w:val="24"/>
          <w:highlight w:val="none"/>
        </w:rPr>
        <w:t>可能性。</w:t>
      </w:r>
    </w:p>
    <w:p w14:paraId="002C88EA">
      <w:pPr>
        <w:pStyle w:val="36"/>
        <w:ind w:firstLine="470"/>
        <w:rPr>
          <w:color w:val="auto"/>
          <w:highlight w:val="none"/>
        </w:rPr>
      </w:pPr>
      <w:r>
        <w:rPr>
          <w:rFonts w:hint="eastAsia"/>
          <w:color w:val="auto"/>
          <w:highlight w:val="none"/>
        </w:rPr>
        <w:t>3）固体废物堆放（填埋）场</w:t>
      </w:r>
    </w:p>
    <w:p w14:paraId="152516EB">
      <w:pPr>
        <w:pStyle w:val="36"/>
        <w:ind w:firstLine="470"/>
        <w:rPr>
          <w:color w:val="auto"/>
          <w:highlight w:val="none"/>
        </w:rPr>
      </w:pPr>
      <w:r>
        <w:rPr>
          <w:rFonts w:hint="eastAsia"/>
          <w:color w:val="auto"/>
          <w:highlight w:val="none"/>
        </w:rPr>
        <w:t>经走访调查，调查范围内，未发现固体废物堆放（填埋）场。</w:t>
      </w:r>
    </w:p>
    <w:p w14:paraId="6106BC31">
      <w:pPr>
        <w:pStyle w:val="36"/>
        <w:ind w:firstLine="470"/>
        <w:rPr>
          <w:rFonts w:hint="eastAsia" w:eastAsia="宋体"/>
          <w:color w:val="auto"/>
          <w:highlight w:val="none"/>
          <w:lang w:eastAsia="zh-CN"/>
        </w:rPr>
      </w:pPr>
      <w:r>
        <w:rPr>
          <w:rFonts w:hint="eastAsia"/>
          <w:color w:val="auto"/>
          <w:highlight w:val="none"/>
        </w:rPr>
        <w:t>4）流动源</w:t>
      </w:r>
      <w:r>
        <w:rPr>
          <w:rFonts w:hint="eastAsia"/>
          <w:color w:val="auto"/>
          <w:highlight w:val="none"/>
          <w:lang w:eastAsia="zh-CN"/>
        </w:rPr>
        <w:t>和其他</w:t>
      </w:r>
    </w:p>
    <w:p w14:paraId="0E31FA12">
      <w:pPr>
        <w:spacing w:line="360" w:lineRule="auto"/>
        <w:ind w:firstLine="472" w:firstLineChars="200"/>
        <w:rPr>
          <w:rFonts w:hint="eastAsia"/>
          <w:color w:val="auto"/>
          <w:sz w:val="24"/>
          <w:szCs w:val="24"/>
          <w:highlight w:val="none"/>
        </w:rPr>
      </w:pPr>
      <w:r>
        <w:rPr>
          <w:rFonts w:hint="eastAsia"/>
          <w:color w:val="auto"/>
          <w:highlight w:val="none"/>
        </w:rPr>
        <w:t>经</w:t>
      </w:r>
      <w:r>
        <w:rPr>
          <w:rFonts w:hint="eastAsia"/>
          <w:color w:val="auto"/>
          <w:highlight w:val="none"/>
          <w:lang w:eastAsia="zh-CN"/>
        </w:rPr>
        <w:t>现场</w:t>
      </w:r>
      <w:r>
        <w:rPr>
          <w:rFonts w:hint="eastAsia"/>
          <w:color w:val="auto"/>
          <w:highlight w:val="none"/>
        </w:rPr>
        <w:t>调查，</w:t>
      </w:r>
      <w:r>
        <w:rPr>
          <w:rFonts w:hint="eastAsia" w:ascii="Times New Roman" w:hAnsi="Times New Roman" w:eastAsia="宋体" w:cs="Times New Roman"/>
          <w:color w:val="auto"/>
          <w:highlight w:val="none"/>
        </w:rPr>
        <w:t>调查范围内流动源为乡村道路</w:t>
      </w:r>
      <w:r>
        <w:rPr>
          <w:rFonts w:hint="eastAsia" w:cs="Times New Roman"/>
          <w:color w:val="auto"/>
          <w:highlight w:val="none"/>
          <w:lang w:eastAsia="zh-CN"/>
        </w:rPr>
        <w:t>和沟渠</w:t>
      </w:r>
      <w:r>
        <w:rPr>
          <w:rFonts w:hint="eastAsia" w:ascii="Times New Roman" w:hAnsi="Times New Roman" w:eastAsia="宋体" w:cs="Times New Roman"/>
          <w:color w:val="auto"/>
          <w:highlight w:val="none"/>
          <w:lang w:val="en-US" w:eastAsia="zh-CN"/>
        </w:rPr>
        <w:t>，</w:t>
      </w:r>
      <w:r>
        <w:rPr>
          <w:rFonts w:hint="eastAsia" w:ascii="Times New Roman" w:hAnsi="Times New Roman" w:eastAsia="宋体" w:cs="Times New Roman"/>
          <w:color w:val="auto"/>
          <w:highlight w:val="none"/>
        </w:rPr>
        <w:t>乡村道路存在拉运农药等危险物品的车辆，车</w:t>
      </w:r>
      <w:r>
        <w:rPr>
          <w:rFonts w:hint="eastAsia"/>
          <w:color w:val="auto"/>
          <w:highlight w:val="none"/>
        </w:rPr>
        <w:t>辆突发事故造成</w:t>
      </w:r>
      <w:r>
        <w:rPr>
          <w:rFonts w:hint="eastAsia"/>
          <w:color w:val="auto"/>
          <w:highlight w:val="none"/>
          <w:lang w:eastAsia="zh-CN"/>
        </w:rPr>
        <w:t>农药等</w:t>
      </w:r>
      <w:r>
        <w:rPr>
          <w:rFonts w:hint="eastAsia"/>
          <w:color w:val="auto"/>
          <w:highlight w:val="none"/>
        </w:rPr>
        <w:t>泄漏将进入地下水，存在隐患</w:t>
      </w:r>
      <w:r>
        <w:rPr>
          <w:rFonts w:hint="eastAsia"/>
          <w:color w:val="auto"/>
          <w:kern w:val="0"/>
          <w:sz w:val="24"/>
          <w:szCs w:val="24"/>
          <w:highlight w:val="none"/>
        </w:rPr>
        <w:t>，最近村道位于取水井</w:t>
      </w:r>
      <w:r>
        <w:rPr>
          <w:rFonts w:hint="eastAsia"/>
          <w:color w:val="auto"/>
          <w:kern w:val="0"/>
          <w:sz w:val="24"/>
          <w:szCs w:val="24"/>
          <w:highlight w:val="none"/>
          <w:lang w:val="en-US" w:eastAsia="zh-CN"/>
        </w:rPr>
        <w:t>1#西</w:t>
      </w:r>
      <w:r>
        <w:rPr>
          <w:rFonts w:hint="eastAsia"/>
          <w:color w:val="auto"/>
          <w:kern w:val="0"/>
          <w:sz w:val="24"/>
          <w:szCs w:val="24"/>
          <w:highlight w:val="none"/>
        </w:rPr>
        <w:t>侧</w:t>
      </w:r>
      <w:r>
        <w:rPr>
          <w:rFonts w:hint="eastAsia"/>
          <w:color w:val="auto"/>
          <w:kern w:val="0"/>
          <w:sz w:val="24"/>
          <w:szCs w:val="24"/>
          <w:highlight w:val="none"/>
          <w:lang w:val="en-US" w:eastAsia="zh-CN"/>
        </w:rPr>
        <w:t>33</w:t>
      </w:r>
      <w:r>
        <w:rPr>
          <w:rFonts w:hint="eastAsia"/>
          <w:color w:val="auto"/>
          <w:kern w:val="0"/>
          <w:sz w:val="24"/>
          <w:szCs w:val="24"/>
          <w:highlight w:val="none"/>
        </w:rPr>
        <w:t>米处。</w:t>
      </w:r>
      <w:r>
        <w:rPr>
          <w:rFonts w:hint="eastAsia"/>
          <w:color w:val="auto"/>
          <w:highlight w:val="none"/>
          <w:lang w:eastAsia="zh-CN"/>
        </w:rPr>
        <w:t>沟渠</w:t>
      </w:r>
      <w:r>
        <w:rPr>
          <w:rFonts w:hint="eastAsia" w:cs="Times New Roman"/>
          <w:color w:val="auto"/>
          <w:highlight w:val="none"/>
          <w:lang w:val="en-US" w:eastAsia="zh-CN"/>
        </w:rPr>
        <w:t>不涉及农田灌溉，</w:t>
      </w:r>
      <w:r>
        <w:rPr>
          <w:rFonts w:hint="eastAsia" w:ascii="Times New Roman" w:cs="Times New Roman"/>
          <w:color w:val="auto"/>
          <w:highlight w:val="none"/>
          <w:lang w:val="en-US" w:eastAsia="zh-CN"/>
        </w:rPr>
        <w:t>不会对地下水水质造成污染</w:t>
      </w:r>
      <w:r>
        <w:rPr>
          <w:rFonts w:hint="eastAsia" w:cs="Times New Roman"/>
          <w:color w:val="auto"/>
          <w:highlight w:val="none"/>
          <w:lang w:val="en-US" w:eastAsia="zh-CN"/>
        </w:rPr>
        <w:t>。</w:t>
      </w:r>
    </w:p>
    <w:p w14:paraId="6C9088F8">
      <w:pPr>
        <w:pStyle w:val="5"/>
        <w:bidi w:val="0"/>
        <w:ind w:firstLine="472" w:firstLineChars="200"/>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（4）绥化市庆安县柳河镇饮用水水源地</w:t>
      </w:r>
    </w:p>
    <w:p w14:paraId="0DECC3F4">
      <w:pPr>
        <w:ind w:firstLine="470"/>
        <w:rPr>
          <w:rFonts w:hint="eastAsia" w:eastAsia="宋体"/>
          <w:color w:val="auto"/>
          <w:highlight w:val="none"/>
          <w:lang w:eastAsia="zh-CN"/>
        </w:rPr>
      </w:pPr>
      <w:r>
        <w:rPr>
          <w:rFonts w:hint="eastAsia" w:ascii="Times New Roman" w:hAnsi="Times New Roman" w:eastAsia="宋体" w:cs="Times New Roman"/>
          <w:color w:val="auto"/>
          <w:kern w:val="2"/>
          <w:sz w:val="24"/>
          <w:szCs w:val="24"/>
          <w:highlight w:val="none"/>
          <w:lang w:val="en-US" w:eastAsia="zh-CN" w:bidi="ar-SA"/>
        </w:rPr>
        <w:t>绥化市庆安县柳河镇饮用水水源地</w:t>
      </w:r>
      <w:r>
        <w:rPr>
          <w:rFonts w:hint="eastAsia"/>
          <w:color w:val="auto"/>
          <w:kern w:val="0"/>
          <w:sz w:val="24"/>
          <w:szCs w:val="24"/>
          <w:highlight w:val="none"/>
          <w:lang w:eastAsia="zh-CN"/>
        </w:rPr>
        <w:t>污</w:t>
      </w:r>
      <w:r>
        <w:rPr>
          <w:color w:val="auto"/>
          <w:kern w:val="0"/>
          <w:sz w:val="24"/>
          <w:szCs w:val="24"/>
          <w:highlight w:val="none"/>
        </w:rPr>
        <w:t>染源调查范围为取水井</w:t>
      </w:r>
      <w:r>
        <w:rPr>
          <w:rFonts w:hint="eastAsia"/>
          <w:color w:val="auto"/>
          <w:kern w:val="0"/>
          <w:sz w:val="24"/>
          <w:szCs w:val="24"/>
          <w:highlight w:val="none"/>
        </w:rPr>
        <w:t>上游1000</w:t>
      </w:r>
      <w:r>
        <w:rPr>
          <w:rFonts w:hint="default"/>
          <w:color w:val="auto"/>
          <w:kern w:val="0"/>
          <w:sz w:val="24"/>
          <w:szCs w:val="24"/>
          <w:highlight w:val="none"/>
          <w:lang w:val="en-US"/>
        </w:rPr>
        <w:t>米</w:t>
      </w:r>
      <w:r>
        <w:rPr>
          <w:rFonts w:hint="eastAsia"/>
          <w:color w:val="auto"/>
          <w:kern w:val="0"/>
          <w:sz w:val="24"/>
          <w:szCs w:val="24"/>
          <w:highlight w:val="none"/>
        </w:rPr>
        <w:t>、两侧及下游300</w:t>
      </w:r>
      <w:r>
        <w:rPr>
          <w:rFonts w:hint="default"/>
          <w:color w:val="auto"/>
          <w:kern w:val="0"/>
          <w:sz w:val="24"/>
          <w:szCs w:val="24"/>
          <w:highlight w:val="none"/>
          <w:lang w:val="en-US"/>
        </w:rPr>
        <w:t>米</w:t>
      </w:r>
      <w:r>
        <w:rPr>
          <w:rFonts w:hint="eastAsia"/>
          <w:color w:val="auto"/>
          <w:kern w:val="0"/>
          <w:sz w:val="24"/>
          <w:szCs w:val="24"/>
          <w:highlight w:val="none"/>
        </w:rPr>
        <w:t>区域</w:t>
      </w:r>
      <w:r>
        <w:rPr>
          <w:rFonts w:hint="eastAsia"/>
          <w:color w:val="auto"/>
          <w:kern w:val="0"/>
          <w:sz w:val="24"/>
          <w:szCs w:val="24"/>
          <w:highlight w:val="none"/>
          <w:lang w:eastAsia="zh-CN"/>
        </w:rPr>
        <w:t>，调查面积为</w:t>
      </w:r>
      <w:r>
        <w:rPr>
          <w:rFonts w:hint="eastAsia"/>
          <w:color w:val="auto"/>
          <w:highlight w:val="none"/>
          <w:lang w:val="en-US" w:eastAsia="zh-CN"/>
        </w:rPr>
        <w:t>180.84</w:t>
      </w:r>
      <w:r>
        <w:rPr>
          <w:rFonts w:hint="eastAsia"/>
          <w:color w:val="auto"/>
          <w:kern w:val="0"/>
          <w:sz w:val="24"/>
          <w:szCs w:val="24"/>
          <w:highlight w:val="none"/>
          <w:lang w:eastAsia="zh-CN"/>
        </w:rPr>
        <w:t>公顷。调查范围内污染情况如下：</w:t>
      </w:r>
    </w:p>
    <w:p w14:paraId="3BA39C12">
      <w:pPr>
        <w:ind w:firstLine="470"/>
        <w:rPr>
          <w:color w:val="auto"/>
          <w:highlight w:val="none"/>
        </w:rPr>
      </w:pPr>
      <w:r>
        <w:rPr>
          <w:rFonts w:hint="eastAsia"/>
          <w:color w:val="auto"/>
          <w:highlight w:val="none"/>
        </w:rPr>
        <w:t>1）点源</w:t>
      </w:r>
    </w:p>
    <w:p w14:paraId="1753E8DD">
      <w:pPr>
        <w:ind w:firstLine="470"/>
        <w:rPr>
          <w:rFonts w:hint="eastAsia"/>
          <w:color w:val="auto"/>
          <w:highlight w:val="none"/>
          <w:lang w:eastAsia="zh-CN"/>
        </w:rPr>
      </w:pPr>
      <w:r>
        <w:rPr>
          <w:rFonts w:hint="eastAsia"/>
          <w:color w:val="auto"/>
          <w:highlight w:val="none"/>
        </w:rPr>
        <w:t>点源包括工业或生活排污口、规模化畜禽养殖</w:t>
      </w:r>
      <w:r>
        <w:rPr>
          <w:rFonts w:hint="eastAsia"/>
          <w:color w:val="auto"/>
          <w:highlight w:val="none"/>
          <w:lang w:eastAsia="zh-CN"/>
        </w:rPr>
        <w:t>等</w:t>
      </w:r>
      <w:r>
        <w:rPr>
          <w:rFonts w:hint="eastAsia"/>
          <w:color w:val="auto"/>
          <w:highlight w:val="none"/>
        </w:rPr>
        <w:t>。经过实地走访调查，调查范围不存在石化、冶炼、制药、加油站、尾矿库、填埋场、工业废水排放口和规模化畜禽养殖等设施及场所</w:t>
      </w:r>
      <w:r>
        <w:rPr>
          <w:rFonts w:hint="eastAsia"/>
          <w:color w:val="auto"/>
          <w:highlight w:val="none"/>
          <w:lang w:eastAsia="zh-CN"/>
        </w:rPr>
        <w:t>。</w:t>
      </w:r>
    </w:p>
    <w:p w14:paraId="19D7E937">
      <w:pPr>
        <w:ind w:firstLine="470"/>
        <w:rPr>
          <w:color w:val="auto"/>
          <w:highlight w:val="none"/>
        </w:rPr>
      </w:pPr>
      <w:r>
        <w:rPr>
          <w:rFonts w:hint="eastAsia"/>
          <w:color w:val="auto"/>
          <w:highlight w:val="none"/>
        </w:rPr>
        <w:t>2）非点源</w:t>
      </w:r>
    </w:p>
    <w:p w14:paraId="6680C47B">
      <w:pPr>
        <w:ind w:firstLine="470"/>
        <w:rPr>
          <w:color w:val="auto"/>
          <w:highlight w:val="none"/>
        </w:rPr>
      </w:pPr>
      <w:r>
        <w:rPr>
          <w:rFonts w:hint="eastAsia"/>
          <w:color w:val="auto"/>
          <w:highlight w:val="none"/>
        </w:rPr>
        <w:t>水源地</w:t>
      </w:r>
      <w:r>
        <w:rPr>
          <w:rFonts w:hint="eastAsia"/>
          <w:color w:val="auto"/>
          <w:highlight w:val="none"/>
          <w:lang w:eastAsia="zh-CN"/>
        </w:rPr>
        <w:t>评价范围内</w:t>
      </w:r>
      <w:r>
        <w:rPr>
          <w:rFonts w:hint="eastAsia"/>
          <w:color w:val="auto"/>
          <w:highlight w:val="none"/>
        </w:rPr>
        <w:t>污染源主要为非点源污染，包括以下两方面：一是村屯居民生活产生的生活污水、生活垃圾，畜禽养殖产生的排泄物等；二是农田施用化肥农药，不能被作物吸收利用随地表径流流失的部分。</w:t>
      </w:r>
    </w:p>
    <w:p w14:paraId="01F610EA">
      <w:pPr>
        <w:ind w:firstLine="470" w:firstLineChars="0"/>
        <w:rPr>
          <w:color w:val="auto"/>
          <w:highlight w:val="none"/>
        </w:rPr>
      </w:pPr>
      <w:r>
        <w:rPr>
          <w:rFonts w:hint="eastAsia" w:ascii="宋体" w:hAnsi="宋体"/>
          <w:color w:val="auto"/>
          <w:highlight w:val="none"/>
        </w:rPr>
        <w:t>①</w:t>
      </w:r>
      <w:r>
        <w:rPr>
          <w:rFonts w:hint="eastAsia"/>
          <w:color w:val="auto"/>
          <w:highlight w:val="none"/>
        </w:rPr>
        <w:t>居民区生活污水、生活垃圾污染</w:t>
      </w:r>
    </w:p>
    <w:p w14:paraId="164D5A56">
      <w:pPr>
        <w:ind w:firstLine="470"/>
        <w:rPr>
          <w:color w:val="auto"/>
          <w:highlight w:val="none"/>
        </w:rPr>
      </w:pPr>
      <w:r>
        <w:rPr>
          <w:rFonts w:hint="eastAsia"/>
          <w:color w:val="auto"/>
          <w:highlight w:val="none"/>
        </w:rPr>
        <w:t>经过实地走访调查，调查范围内主要生活污染源为</w:t>
      </w:r>
      <w:r>
        <w:rPr>
          <w:rFonts w:hint="eastAsia"/>
          <w:color w:val="auto"/>
          <w:highlight w:val="none"/>
          <w:lang w:eastAsia="zh-CN"/>
        </w:rPr>
        <w:t>史家店（与水井</w:t>
      </w:r>
      <w:r>
        <w:rPr>
          <w:rFonts w:hint="eastAsia"/>
          <w:color w:val="auto"/>
          <w:highlight w:val="none"/>
          <w:lang w:val="en-US" w:eastAsia="zh-CN"/>
        </w:rPr>
        <w:t>5#最近距离40米</w:t>
      </w:r>
      <w:r>
        <w:rPr>
          <w:rFonts w:hint="eastAsia"/>
          <w:color w:val="auto"/>
          <w:highlight w:val="none"/>
          <w:lang w:eastAsia="zh-CN"/>
        </w:rPr>
        <w:t>）</w:t>
      </w:r>
      <w:r>
        <w:rPr>
          <w:rFonts w:hint="eastAsia"/>
          <w:color w:val="auto"/>
          <w:highlight w:val="none"/>
        </w:rPr>
        <w:t>的农村生活污水、生活垃圾。调查范围内居民总数约为</w:t>
      </w:r>
      <w:r>
        <w:rPr>
          <w:rFonts w:hint="eastAsia"/>
          <w:color w:val="auto"/>
          <w:highlight w:val="none"/>
          <w:lang w:val="en-US" w:eastAsia="zh-CN"/>
        </w:rPr>
        <w:t>290</w:t>
      </w:r>
      <w:r>
        <w:rPr>
          <w:rFonts w:hint="eastAsia"/>
          <w:color w:val="auto"/>
          <w:highlight w:val="none"/>
        </w:rPr>
        <w:t xml:space="preserve">人，根据黑龙江省地方标准《用水定额》（DB 23/T </w:t>
      </w:r>
      <w:r>
        <w:rPr>
          <w:rFonts w:hint="eastAsia"/>
          <w:color w:val="auto"/>
          <w:highlight w:val="none"/>
          <w:lang w:eastAsia="zh-CN"/>
        </w:rPr>
        <w:t>727-2025</w:t>
      </w:r>
      <w:r>
        <w:rPr>
          <w:rFonts w:hint="eastAsia"/>
          <w:color w:val="auto"/>
          <w:highlight w:val="none"/>
        </w:rPr>
        <w:t>），生活用水按每人80升/天计，用水量为</w:t>
      </w:r>
      <w:r>
        <w:rPr>
          <w:rFonts w:hint="eastAsia"/>
          <w:color w:val="auto"/>
          <w:highlight w:val="none"/>
          <w:lang w:val="en-US" w:eastAsia="zh-CN"/>
        </w:rPr>
        <w:t>23.2</w:t>
      </w:r>
      <w:r>
        <w:rPr>
          <w:rFonts w:hint="eastAsia"/>
          <w:color w:val="auto"/>
          <w:highlight w:val="none"/>
        </w:rPr>
        <w:t>立方米/天、</w:t>
      </w:r>
      <w:r>
        <w:rPr>
          <w:rFonts w:hint="eastAsia"/>
          <w:color w:val="auto"/>
          <w:highlight w:val="none"/>
          <w:lang w:val="en-US" w:eastAsia="zh-CN"/>
        </w:rPr>
        <w:t>8468</w:t>
      </w:r>
      <w:r>
        <w:rPr>
          <w:rFonts w:hint="eastAsia"/>
          <w:color w:val="auto"/>
          <w:highlight w:val="none"/>
        </w:rPr>
        <w:t>立方米/年，</w:t>
      </w:r>
      <w:r>
        <w:rPr>
          <w:color w:val="auto"/>
          <w:highlight w:val="none"/>
        </w:rPr>
        <w:t>生活污水按用水量的80%计算，</w:t>
      </w:r>
      <w:r>
        <w:rPr>
          <w:rFonts w:hint="eastAsia"/>
          <w:color w:val="auto"/>
          <w:highlight w:val="none"/>
          <w:lang w:eastAsia="zh-CN"/>
        </w:rPr>
        <w:t>产生量</w:t>
      </w:r>
      <w:r>
        <w:rPr>
          <w:color w:val="auto"/>
          <w:highlight w:val="none"/>
        </w:rPr>
        <w:t>为</w:t>
      </w:r>
      <w:r>
        <w:rPr>
          <w:rFonts w:hint="eastAsia"/>
          <w:color w:val="auto"/>
          <w:highlight w:val="none"/>
          <w:lang w:val="en-US" w:eastAsia="zh-CN"/>
        </w:rPr>
        <w:t>18.56</w:t>
      </w:r>
      <w:r>
        <w:rPr>
          <w:rFonts w:hint="eastAsia"/>
          <w:color w:val="auto"/>
          <w:highlight w:val="none"/>
        </w:rPr>
        <w:t>立方米/天、</w:t>
      </w:r>
      <w:r>
        <w:rPr>
          <w:rFonts w:hint="eastAsia"/>
          <w:color w:val="auto"/>
          <w:highlight w:val="none"/>
          <w:lang w:val="en-US" w:eastAsia="zh-CN"/>
        </w:rPr>
        <w:t>6774</w:t>
      </w:r>
      <w:r>
        <w:rPr>
          <w:rFonts w:hint="eastAsia"/>
          <w:color w:val="auto"/>
          <w:highlight w:val="none"/>
        </w:rPr>
        <w:t>立方米/年，COD和氨氮的</w:t>
      </w:r>
      <w:r>
        <w:rPr>
          <w:rFonts w:hint="eastAsia"/>
          <w:color w:val="auto"/>
          <w:highlight w:val="none"/>
          <w:lang w:eastAsia="zh-CN"/>
        </w:rPr>
        <w:t>产生浓度</w:t>
      </w:r>
      <w:r>
        <w:rPr>
          <w:rFonts w:hint="eastAsia"/>
          <w:color w:val="auto"/>
          <w:highlight w:val="none"/>
        </w:rPr>
        <w:t>按300毫克/升、30毫克/升计，则COD</w:t>
      </w:r>
      <w:r>
        <w:rPr>
          <w:rFonts w:hint="eastAsia"/>
          <w:color w:val="auto"/>
          <w:highlight w:val="none"/>
          <w:lang w:eastAsia="zh-CN"/>
        </w:rPr>
        <w:t>产生量</w:t>
      </w:r>
      <w:r>
        <w:rPr>
          <w:rFonts w:hint="eastAsia"/>
          <w:color w:val="auto"/>
          <w:highlight w:val="none"/>
        </w:rPr>
        <w:t>为</w:t>
      </w:r>
      <w:r>
        <w:rPr>
          <w:rFonts w:hint="eastAsia"/>
          <w:color w:val="auto"/>
          <w:highlight w:val="none"/>
          <w:lang w:val="en-US" w:eastAsia="zh-CN"/>
        </w:rPr>
        <w:t>2.03</w:t>
      </w:r>
      <w:r>
        <w:rPr>
          <w:rFonts w:hint="eastAsia"/>
          <w:color w:val="auto"/>
          <w:highlight w:val="none"/>
        </w:rPr>
        <w:t>吨/年，氨氮</w:t>
      </w:r>
      <w:r>
        <w:rPr>
          <w:rFonts w:hint="eastAsia"/>
          <w:color w:val="auto"/>
          <w:highlight w:val="none"/>
          <w:lang w:eastAsia="zh-CN"/>
        </w:rPr>
        <w:t>产生量</w:t>
      </w:r>
      <w:r>
        <w:rPr>
          <w:rFonts w:hint="eastAsia"/>
          <w:color w:val="auto"/>
          <w:highlight w:val="none"/>
        </w:rPr>
        <w:t>为</w:t>
      </w:r>
      <w:r>
        <w:rPr>
          <w:rFonts w:hint="eastAsia"/>
          <w:color w:val="auto"/>
          <w:highlight w:val="none"/>
          <w:lang w:val="en-US" w:eastAsia="zh-CN"/>
        </w:rPr>
        <w:t>0.20</w:t>
      </w:r>
      <w:r>
        <w:rPr>
          <w:rFonts w:hint="eastAsia"/>
          <w:color w:val="auto"/>
          <w:highlight w:val="none"/>
        </w:rPr>
        <w:t>吨/年；生活垃圾按</w:t>
      </w:r>
      <w:r>
        <w:rPr>
          <w:color w:val="auto"/>
          <w:highlight w:val="none"/>
        </w:rPr>
        <w:t>0.5</w:t>
      </w:r>
      <w:r>
        <w:rPr>
          <w:rFonts w:hint="eastAsia"/>
          <w:color w:val="auto"/>
          <w:highlight w:val="none"/>
        </w:rPr>
        <w:t>千克</w:t>
      </w:r>
      <w:r>
        <w:rPr>
          <w:color w:val="auto"/>
          <w:highlight w:val="none"/>
        </w:rPr>
        <w:t>/人/天计算，</w:t>
      </w:r>
      <w:r>
        <w:rPr>
          <w:rFonts w:hint="eastAsia"/>
          <w:color w:val="auto"/>
          <w:highlight w:val="none"/>
        </w:rPr>
        <w:t>则</w:t>
      </w:r>
      <w:r>
        <w:rPr>
          <w:color w:val="auto"/>
          <w:highlight w:val="none"/>
        </w:rPr>
        <w:t>产生量为</w:t>
      </w:r>
      <w:r>
        <w:rPr>
          <w:rFonts w:hint="eastAsia"/>
          <w:color w:val="auto"/>
          <w:highlight w:val="none"/>
          <w:lang w:val="en-US" w:eastAsia="zh-CN"/>
        </w:rPr>
        <w:t>52.9</w:t>
      </w:r>
      <w:r>
        <w:rPr>
          <w:rFonts w:hint="eastAsia"/>
          <w:color w:val="auto"/>
          <w:highlight w:val="none"/>
        </w:rPr>
        <w:t>吨/年</w:t>
      </w:r>
      <w:r>
        <w:rPr>
          <w:color w:val="auto"/>
          <w:highlight w:val="none"/>
        </w:rPr>
        <w:t>。</w:t>
      </w:r>
      <w:r>
        <w:rPr>
          <w:rFonts w:hint="eastAsia"/>
          <w:color w:val="auto"/>
          <w:highlight w:val="none"/>
          <w:lang w:eastAsia="zh-CN"/>
        </w:rPr>
        <w:t>目前</w:t>
      </w:r>
      <w:r>
        <w:rPr>
          <w:rFonts w:hint="eastAsia"/>
          <w:color w:val="auto"/>
          <w:highlight w:val="none"/>
        </w:rPr>
        <w:t>居民生活污水散排，粪污进入自家旱厕</w:t>
      </w:r>
      <w:r>
        <w:rPr>
          <w:rFonts w:hint="eastAsia"/>
          <w:color w:val="auto"/>
          <w:highlight w:val="none"/>
          <w:lang w:eastAsia="zh-CN"/>
        </w:rPr>
        <w:t>；</w:t>
      </w:r>
      <w:r>
        <w:rPr>
          <w:rFonts w:hint="eastAsia"/>
          <w:color w:val="auto"/>
          <w:sz w:val="24"/>
          <w:szCs w:val="24"/>
          <w:highlight w:val="none"/>
        </w:rPr>
        <w:t>居民生活垃圾统一收集后由环卫部门进行清运，无垃圾堆放点。</w:t>
      </w:r>
    </w:p>
    <w:p w14:paraId="68F3C896">
      <w:pPr>
        <w:ind w:firstLine="470"/>
        <w:rPr>
          <w:color w:val="auto"/>
          <w:highlight w:val="none"/>
        </w:rPr>
      </w:pPr>
      <w:r>
        <w:rPr>
          <w:rFonts w:hint="eastAsia"/>
          <w:color w:val="auto"/>
          <w:highlight w:val="none"/>
        </w:rPr>
        <w:t>②畜禽养殖排泄物污染</w:t>
      </w:r>
    </w:p>
    <w:p w14:paraId="1181FA99">
      <w:pPr>
        <w:ind w:firstLine="470"/>
        <w:rPr>
          <w:color w:val="auto"/>
          <w:highlight w:val="none"/>
        </w:rPr>
      </w:pPr>
      <w:r>
        <w:rPr>
          <w:rFonts w:hint="eastAsia"/>
          <w:color w:val="auto"/>
          <w:highlight w:val="none"/>
        </w:rPr>
        <w:t>调查范围内</w:t>
      </w:r>
      <w:r>
        <w:rPr>
          <w:rFonts w:hint="eastAsia"/>
          <w:color w:val="auto"/>
          <w:highlight w:val="none"/>
          <w:lang w:eastAsia="zh-CN"/>
        </w:rPr>
        <w:t>存在村屯居民零散</w:t>
      </w:r>
      <w:r>
        <w:rPr>
          <w:rFonts w:hint="eastAsia"/>
          <w:color w:val="auto"/>
          <w:highlight w:val="none"/>
        </w:rPr>
        <w:t>畜禽养殖，畜禽养殖排泄物存在对地下水水质造成影响的可能性。</w:t>
      </w:r>
    </w:p>
    <w:p w14:paraId="24F07D6F">
      <w:pPr>
        <w:ind w:firstLine="470"/>
        <w:rPr>
          <w:color w:val="auto"/>
          <w:highlight w:val="none"/>
        </w:rPr>
      </w:pPr>
      <w:r>
        <w:rPr>
          <w:rFonts w:hint="eastAsia"/>
          <w:color w:val="auto"/>
          <w:highlight w:val="none"/>
        </w:rPr>
        <w:t>③化肥农药污染</w:t>
      </w:r>
    </w:p>
    <w:p w14:paraId="6BAA4274">
      <w:pPr>
        <w:pStyle w:val="36"/>
        <w:ind w:firstLine="470"/>
        <w:rPr>
          <w:color w:val="auto"/>
          <w:kern w:val="0"/>
          <w:sz w:val="24"/>
          <w:szCs w:val="24"/>
          <w:highlight w:val="none"/>
        </w:rPr>
      </w:pPr>
      <w:r>
        <w:rPr>
          <w:rFonts w:hint="eastAsia"/>
          <w:color w:val="auto"/>
          <w:highlight w:val="none"/>
        </w:rPr>
        <w:t>调查范围内农业面源污染来自耕地使用的农药和化肥的流失，根据实地调查，</w:t>
      </w:r>
      <w:r>
        <w:rPr>
          <w:rFonts w:hint="eastAsia"/>
          <w:color w:val="auto"/>
          <w:kern w:val="0"/>
          <w:sz w:val="24"/>
          <w:szCs w:val="24"/>
          <w:highlight w:val="none"/>
        </w:rPr>
        <w:t>调查范围内约有农田</w:t>
      </w:r>
      <w:r>
        <w:rPr>
          <w:rFonts w:hint="eastAsia"/>
          <w:color w:val="auto"/>
          <w:kern w:val="0"/>
          <w:sz w:val="24"/>
          <w:szCs w:val="24"/>
          <w:highlight w:val="none"/>
          <w:lang w:val="en-US" w:eastAsia="zh-CN"/>
        </w:rPr>
        <w:t>147</w:t>
      </w:r>
      <w:r>
        <w:rPr>
          <w:rFonts w:hint="eastAsia"/>
          <w:color w:val="auto"/>
          <w:kern w:val="0"/>
          <w:sz w:val="24"/>
          <w:szCs w:val="24"/>
          <w:highlight w:val="none"/>
        </w:rPr>
        <w:t>公顷，种植作物主要为玉米</w:t>
      </w:r>
      <w:r>
        <w:rPr>
          <w:rFonts w:hint="eastAsia"/>
          <w:color w:val="auto"/>
          <w:kern w:val="0"/>
          <w:sz w:val="24"/>
          <w:szCs w:val="24"/>
          <w:highlight w:val="none"/>
          <w:lang w:eastAsia="zh-CN"/>
        </w:rPr>
        <w:t>、大豆</w:t>
      </w:r>
      <w:r>
        <w:rPr>
          <w:rFonts w:hint="eastAsia"/>
          <w:color w:val="auto"/>
          <w:kern w:val="0"/>
          <w:sz w:val="24"/>
          <w:szCs w:val="24"/>
          <w:highlight w:val="none"/>
        </w:rPr>
        <w:t>。</w:t>
      </w:r>
      <w:r>
        <w:rPr>
          <w:rFonts w:hint="eastAsia"/>
          <w:color w:val="auto"/>
          <w:highlight w:val="none"/>
        </w:rPr>
        <w:t>大多数除草剂都是中低浓度时对植物有毒性，在高浓度时则对人类及牲畜产生毒性。农药的细粒、喷剂和团粒施用于农田，经土壤向下渗透。根据实地典型调查，化肥利用以氮肥为主，磷、钾肥施用相对较少。其中氮肥以尿素[CO（NH</w:t>
      </w:r>
      <w:r>
        <w:rPr>
          <w:rFonts w:hint="eastAsia"/>
          <w:color w:val="auto"/>
          <w:highlight w:val="none"/>
          <w:vertAlign w:val="subscript"/>
        </w:rPr>
        <w:t>2</w:t>
      </w:r>
      <w:r>
        <w:rPr>
          <w:rFonts w:hint="eastAsia"/>
          <w:color w:val="auto"/>
          <w:highlight w:val="none"/>
        </w:rPr>
        <w:t>）</w:t>
      </w:r>
      <w:r>
        <w:rPr>
          <w:rFonts w:hint="eastAsia"/>
          <w:color w:val="auto"/>
          <w:highlight w:val="none"/>
          <w:vertAlign w:val="subscript"/>
        </w:rPr>
        <w:t>2</w:t>
      </w:r>
      <w:r>
        <w:rPr>
          <w:rFonts w:hint="eastAsia"/>
          <w:color w:val="auto"/>
          <w:highlight w:val="none"/>
        </w:rPr>
        <w:t>]、碳酸氢氨[NH</w:t>
      </w:r>
      <w:r>
        <w:rPr>
          <w:rFonts w:hint="eastAsia"/>
          <w:color w:val="auto"/>
          <w:highlight w:val="none"/>
          <w:vertAlign w:val="subscript"/>
        </w:rPr>
        <w:t>4</w:t>
      </w:r>
      <w:r>
        <w:rPr>
          <w:rFonts w:hint="eastAsia"/>
          <w:color w:val="auto"/>
          <w:highlight w:val="none"/>
        </w:rPr>
        <w:t>HCO</w:t>
      </w:r>
      <w:r>
        <w:rPr>
          <w:rFonts w:hint="eastAsia"/>
          <w:color w:val="auto"/>
          <w:highlight w:val="none"/>
          <w:vertAlign w:val="subscript"/>
        </w:rPr>
        <w:t>3</w:t>
      </w:r>
      <w:r>
        <w:rPr>
          <w:rFonts w:hint="eastAsia"/>
          <w:color w:val="auto"/>
          <w:highlight w:val="none"/>
        </w:rPr>
        <w:t>]为主，钾肥以硫酸钾[K</w:t>
      </w:r>
      <w:r>
        <w:rPr>
          <w:rFonts w:hint="eastAsia"/>
          <w:color w:val="auto"/>
          <w:highlight w:val="none"/>
          <w:vertAlign w:val="subscript"/>
        </w:rPr>
        <w:t>2</w:t>
      </w:r>
      <w:r>
        <w:rPr>
          <w:rFonts w:hint="eastAsia"/>
          <w:color w:val="auto"/>
          <w:highlight w:val="none"/>
        </w:rPr>
        <w:t>SO</w:t>
      </w:r>
      <w:r>
        <w:rPr>
          <w:rFonts w:hint="eastAsia"/>
          <w:color w:val="auto"/>
          <w:highlight w:val="none"/>
          <w:vertAlign w:val="subscript"/>
        </w:rPr>
        <w:t>4</w:t>
      </w:r>
      <w:r>
        <w:rPr>
          <w:rFonts w:hint="eastAsia"/>
          <w:color w:val="auto"/>
          <w:highlight w:val="none"/>
        </w:rPr>
        <w:t>]、氯化钾[KCl]为主，磷肥主要是磷酸二铵[（NH</w:t>
      </w:r>
      <w:r>
        <w:rPr>
          <w:rFonts w:hint="eastAsia"/>
          <w:color w:val="auto"/>
          <w:highlight w:val="none"/>
          <w:vertAlign w:val="subscript"/>
        </w:rPr>
        <w:t>4</w:t>
      </w:r>
      <w:r>
        <w:rPr>
          <w:rFonts w:hint="eastAsia"/>
          <w:color w:val="auto"/>
          <w:highlight w:val="none"/>
        </w:rPr>
        <w:t>）</w:t>
      </w:r>
      <w:r>
        <w:rPr>
          <w:rFonts w:hint="eastAsia"/>
          <w:color w:val="auto"/>
          <w:highlight w:val="none"/>
          <w:vertAlign w:val="subscript"/>
        </w:rPr>
        <w:t>2</w:t>
      </w:r>
      <w:r>
        <w:rPr>
          <w:rFonts w:hint="eastAsia"/>
          <w:color w:val="auto"/>
          <w:highlight w:val="none"/>
        </w:rPr>
        <w:t>HPO</w:t>
      </w:r>
      <w:r>
        <w:rPr>
          <w:rFonts w:hint="eastAsia"/>
          <w:color w:val="auto"/>
          <w:highlight w:val="none"/>
          <w:vertAlign w:val="subscript"/>
        </w:rPr>
        <w:t>4</w:t>
      </w:r>
      <w:r>
        <w:rPr>
          <w:rFonts w:hint="eastAsia"/>
          <w:color w:val="auto"/>
          <w:highlight w:val="none"/>
        </w:rPr>
        <w:t>]。农田施用的农药有除草剂和杀虫剂，施用方式以喷雾法和毒土法为主。</w:t>
      </w:r>
      <w:r>
        <w:rPr>
          <w:color w:val="auto"/>
          <w:kern w:val="0"/>
          <w:sz w:val="24"/>
          <w:szCs w:val="24"/>
          <w:highlight w:val="none"/>
        </w:rPr>
        <w:t>如</w:t>
      </w:r>
      <w:r>
        <w:rPr>
          <w:rFonts w:hint="eastAsia"/>
          <w:color w:val="auto"/>
          <w:kern w:val="0"/>
          <w:sz w:val="24"/>
          <w:szCs w:val="24"/>
          <w:highlight w:val="none"/>
        </w:rPr>
        <w:t>化肥</w:t>
      </w:r>
      <w:r>
        <w:rPr>
          <w:color w:val="auto"/>
          <w:kern w:val="0"/>
          <w:sz w:val="24"/>
          <w:szCs w:val="24"/>
          <w:highlight w:val="none"/>
        </w:rPr>
        <w:t>农药使用不当，</w:t>
      </w:r>
      <w:r>
        <w:rPr>
          <w:rFonts w:hint="eastAsia"/>
          <w:color w:val="auto"/>
          <w:kern w:val="0"/>
          <w:sz w:val="24"/>
          <w:szCs w:val="24"/>
          <w:highlight w:val="none"/>
        </w:rPr>
        <w:t>存在</w:t>
      </w:r>
      <w:r>
        <w:rPr>
          <w:color w:val="auto"/>
          <w:kern w:val="0"/>
          <w:sz w:val="24"/>
          <w:szCs w:val="24"/>
          <w:highlight w:val="none"/>
        </w:rPr>
        <w:t>对地下水水质造成影响</w:t>
      </w:r>
      <w:r>
        <w:rPr>
          <w:rFonts w:hint="eastAsia"/>
          <w:color w:val="auto"/>
          <w:kern w:val="0"/>
          <w:sz w:val="24"/>
          <w:szCs w:val="24"/>
          <w:highlight w:val="none"/>
        </w:rPr>
        <w:t>的</w:t>
      </w:r>
      <w:r>
        <w:rPr>
          <w:color w:val="auto"/>
          <w:kern w:val="0"/>
          <w:sz w:val="24"/>
          <w:szCs w:val="24"/>
          <w:highlight w:val="none"/>
        </w:rPr>
        <w:t>可能性。</w:t>
      </w:r>
    </w:p>
    <w:p w14:paraId="7431D414">
      <w:pPr>
        <w:pStyle w:val="36"/>
        <w:ind w:firstLine="470"/>
        <w:rPr>
          <w:color w:val="auto"/>
          <w:highlight w:val="none"/>
        </w:rPr>
      </w:pPr>
      <w:r>
        <w:rPr>
          <w:rFonts w:hint="eastAsia"/>
          <w:color w:val="auto"/>
          <w:highlight w:val="none"/>
        </w:rPr>
        <w:t>3）固体废物堆放（填埋）场</w:t>
      </w:r>
    </w:p>
    <w:p w14:paraId="456FC723">
      <w:pPr>
        <w:pStyle w:val="36"/>
        <w:ind w:firstLine="470"/>
        <w:rPr>
          <w:color w:val="auto"/>
          <w:highlight w:val="none"/>
        </w:rPr>
      </w:pPr>
      <w:r>
        <w:rPr>
          <w:rFonts w:hint="eastAsia"/>
          <w:color w:val="auto"/>
          <w:highlight w:val="none"/>
        </w:rPr>
        <w:t>经走访调查，调查范围内，未发现固体废物堆放（填埋）场。</w:t>
      </w:r>
    </w:p>
    <w:p w14:paraId="47269E54">
      <w:pPr>
        <w:pStyle w:val="36"/>
        <w:ind w:firstLine="470"/>
        <w:rPr>
          <w:rFonts w:hint="eastAsia" w:eastAsia="宋体"/>
          <w:color w:val="auto"/>
          <w:highlight w:val="none"/>
          <w:lang w:eastAsia="zh-CN"/>
        </w:rPr>
      </w:pPr>
      <w:r>
        <w:rPr>
          <w:rFonts w:hint="eastAsia"/>
          <w:color w:val="auto"/>
          <w:highlight w:val="none"/>
        </w:rPr>
        <w:t>4）流动源</w:t>
      </w:r>
      <w:r>
        <w:rPr>
          <w:rFonts w:hint="eastAsia"/>
          <w:color w:val="auto"/>
          <w:highlight w:val="none"/>
          <w:lang w:eastAsia="zh-CN"/>
        </w:rPr>
        <w:t>和其他</w:t>
      </w:r>
    </w:p>
    <w:p w14:paraId="732D787D">
      <w:pPr>
        <w:spacing w:line="360" w:lineRule="auto"/>
        <w:ind w:firstLine="472" w:firstLineChars="200"/>
        <w:rPr>
          <w:rFonts w:hint="eastAsia"/>
          <w:color w:val="auto"/>
          <w:sz w:val="24"/>
          <w:szCs w:val="24"/>
          <w:highlight w:val="none"/>
        </w:rPr>
      </w:pPr>
      <w:r>
        <w:rPr>
          <w:rFonts w:hint="eastAsia"/>
          <w:color w:val="auto"/>
          <w:highlight w:val="none"/>
        </w:rPr>
        <w:t>经</w:t>
      </w:r>
      <w:r>
        <w:rPr>
          <w:rFonts w:hint="eastAsia"/>
          <w:color w:val="auto"/>
          <w:highlight w:val="none"/>
          <w:lang w:eastAsia="zh-CN"/>
        </w:rPr>
        <w:t>现场</w:t>
      </w:r>
      <w:r>
        <w:rPr>
          <w:rFonts w:hint="eastAsia"/>
          <w:color w:val="auto"/>
          <w:highlight w:val="none"/>
        </w:rPr>
        <w:t>调查，</w:t>
      </w:r>
      <w:r>
        <w:rPr>
          <w:rFonts w:hint="eastAsia" w:ascii="Times New Roman" w:hAnsi="Times New Roman" w:eastAsia="宋体" w:cs="Times New Roman"/>
          <w:color w:val="auto"/>
          <w:highlight w:val="none"/>
        </w:rPr>
        <w:t>调查范围内流动源为乡村道路</w:t>
      </w:r>
      <w:r>
        <w:rPr>
          <w:rFonts w:hint="eastAsia" w:cs="Times New Roman"/>
          <w:color w:val="auto"/>
          <w:highlight w:val="none"/>
          <w:lang w:eastAsia="zh-CN"/>
        </w:rPr>
        <w:t>和沟渠</w:t>
      </w:r>
      <w:r>
        <w:rPr>
          <w:rFonts w:hint="eastAsia" w:ascii="Times New Roman" w:hAnsi="Times New Roman" w:eastAsia="宋体" w:cs="Times New Roman"/>
          <w:color w:val="auto"/>
          <w:highlight w:val="none"/>
          <w:lang w:val="en-US" w:eastAsia="zh-CN"/>
        </w:rPr>
        <w:t>，</w:t>
      </w:r>
      <w:r>
        <w:rPr>
          <w:rFonts w:hint="eastAsia" w:ascii="Times New Roman" w:hAnsi="Times New Roman" w:eastAsia="宋体" w:cs="Times New Roman"/>
          <w:color w:val="auto"/>
          <w:highlight w:val="none"/>
        </w:rPr>
        <w:t>乡村道路存在拉运农药等危险物品的车辆，车</w:t>
      </w:r>
      <w:r>
        <w:rPr>
          <w:rFonts w:hint="eastAsia"/>
          <w:color w:val="auto"/>
          <w:highlight w:val="none"/>
        </w:rPr>
        <w:t>辆突发事故造成</w:t>
      </w:r>
      <w:r>
        <w:rPr>
          <w:rFonts w:hint="eastAsia"/>
          <w:color w:val="auto"/>
          <w:highlight w:val="none"/>
          <w:lang w:eastAsia="zh-CN"/>
        </w:rPr>
        <w:t>农药等</w:t>
      </w:r>
      <w:r>
        <w:rPr>
          <w:rFonts w:hint="eastAsia"/>
          <w:color w:val="auto"/>
          <w:highlight w:val="none"/>
        </w:rPr>
        <w:t>泄漏将进入地下水，存在隐患</w:t>
      </w:r>
      <w:r>
        <w:rPr>
          <w:rFonts w:hint="eastAsia"/>
          <w:color w:val="auto"/>
          <w:kern w:val="0"/>
          <w:sz w:val="24"/>
          <w:szCs w:val="24"/>
          <w:highlight w:val="none"/>
        </w:rPr>
        <w:t>，最近村道位于取水井</w:t>
      </w:r>
      <w:r>
        <w:rPr>
          <w:rFonts w:hint="eastAsia"/>
          <w:color w:val="auto"/>
          <w:kern w:val="0"/>
          <w:sz w:val="24"/>
          <w:szCs w:val="24"/>
          <w:highlight w:val="none"/>
          <w:lang w:val="en-US" w:eastAsia="zh-CN"/>
        </w:rPr>
        <w:t>4#东南</w:t>
      </w:r>
      <w:r>
        <w:rPr>
          <w:rFonts w:hint="eastAsia"/>
          <w:color w:val="auto"/>
          <w:kern w:val="0"/>
          <w:sz w:val="24"/>
          <w:szCs w:val="24"/>
          <w:highlight w:val="none"/>
        </w:rPr>
        <w:t>侧</w:t>
      </w:r>
      <w:r>
        <w:rPr>
          <w:rFonts w:hint="eastAsia"/>
          <w:color w:val="auto"/>
          <w:kern w:val="0"/>
          <w:sz w:val="24"/>
          <w:szCs w:val="24"/>
          <w:highlight w:val="none"/>
          <w:lang w:val="en-US" w:eastAsia="zh-CN"/>
        </w:rPr>
        <w:t>18</w:t>
      </w:r>
      <w:r>
        <w:rPr>
          <w:rFonts w:hint="eastAsia"/>
          <w:color w:val="auto"/>
          <w:kern w:val="0"/>
          <w:sz w:val="24"/>
          <w:szCs w:val="24"/>
          <w:highlight w:val="none"/>
        </w:rPr>
        <w:t>米处。</w:t>
      </w:r>
      <w:r>
        <w:rPr>
          <w:rFonts w:hint="eastAsia"/>
          <w:color w:val="auto"/>
          <w:highlight w:val="none"/>
          <w:lang w:eastAsia="zh-CN"/>
        </w:rPr>
        <w:t>沟渠</w:t>
      </w:r>
      <w:r>
        <w:rPr>
          <w:rFonts w:hint="eastAsia" w:cs="Times New Roman"/>
          <w:color w:val="auto"/>
          <w:highlight w:val="none"/>
          <w:lang w:val="en-US" w:eastAsia="zh-CN"/>
        </w:rPr>
        <w:t>不涉及农田灌溉，</w:t>
      </w:r>
      <w:r>
        <w:rPr>
          <w:rFonts w:hint="eastAsia" w:ascii="Times New Roman" w:cs="Times New Roman"/>
          <w:color w:val="auto"/>
          <w:highlight w:val="none"/>
          <w:lang w:val="en-US" w:eastAsia="zh-CN"/>
        </w:rPr>
        <w:t>不会对地下水水质造成污染</w:t>
      </w:r>
      <w:r>
        <w:rPr>
          <w:rFonts w:hint="eastAsia" w:cs="Times New Roman"/>
          <w:color w:val="auto"/>
          <w:highlight w:val="none"/>
          <w:lang w:val="en-US" w:eastAsia="zh-CN"/>
        </w:rPr>
        <w:t>。</w:t>
      </w:r>
    </w:p>
    <w:p w14:paraId="6FC8D2D9">
      <w:pPr>
        <w:pStyle w:val="5"/>
        <w:bidi w:val="0"/>
        <w:ind w:firstLine="472" w:firstLineChars="200"/>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（5）绥化市庆安县柳河镇新强村饮用水水源地</w:t>
      </w:r>
    </w:p>
    <w:p w14:paraId="5328ACFE">
      <w:pPr>
        <w:ind w:firstLine="470"/>
        <w:rPr>
          <w:rFonts w:hint="eastAsia" w:eastAsia="宋体"/>
          <w:color w:val="auto"/>
          <w:highlight w:val="none"/>
          <w:lang w:eastAsia="zh-CN"/>
        </w:rPr>
      </w:pPr>
      <w:r>
        <w:rPr>
          <w:rFonts w:hint="eastAsia" w:ascii="Times New Roman" w:hAnsi="Times New Roman" w:eastAsia="宋体" w:cs="Times New Roman"/>
          <w:color w:val="auto"/>
          <w:kern w:val="2"/>
          <w:sz w:val="24"/>
          <w:szCs w:val="24"/>
          <w:highlight w:val="none"/>
          <w:lang w:val="en-US" w:eastAsia="zh-CN" w:bidi="ar-SA"/>
        </w:rPr>
        <w:t>绥化市庆安县柳河镇新强村饮用水水源地</w:t>
      </w:r>
      <w:r>
        <w:rPr>
          <w:rFonts w:hint="eastAsia"/>
          <w:color w:val="auto"/>
          <w:kern w:val="0"/>
          <w:sz w:val="24"/>
          <w:szCs w:val="24"/>
          <w:highlight w:val="none"/>
          <w:lang w:eastAsia="zh-CN"/>
        </w:rPr>
        <w:t>污</w:t>
      </w:r>
      <w:r>
        <w:rPr>
          <w:color w:val="auto"/>
          <w:kern w:val="0"/>
          <w:sz w:val="24"/>
          <w:szCs w:val="24"/>
          <w:highlight w:val="none"/>
        </w:rPr>
        <w:t>染源调查范围为取水井</w:t>
      </w:r>
      <w:r>
        <w:rPr>
          <w:rFonts w:hint="eastAsia"/>
          <w:color w:val="auto"/>
          <w:kern w:val="0"/>
          <w:sz w:val="24"/>
          <w:szCs w:val="24"/>
          <w:highlight w:val="none"/>
        </w:rPr>
        <w:t>上游1000</w:t>
      </w:r>
      <w:r>
        <w:rPr>
          <w:rFonts w:hint="default"/>
          <w:color w:val="auto"/>
          <w:kern w:val="0"/>
          <w:sz w:val="24"/>
          <w:szCs w:val="24"/>
          <w:highlight w:val="none"/>
          <w:lang w:val="en-US"/>
        </w:rPr>
        <w:t>米</w:t>
      </w:r>
      <w:r>
        <w:rPr>
          <w:rFonts w:hint="eastAsia"/>
          <w:color w:val="auto"/>
          <w:kern w:val="0"/>
          <w:sz w:val="24"/>
          <w:szCs w:val="24"/>
          <w:highlight w:val="none"/>
        </w:rPr>
        <w:t>、两侧及下游300</w:t>
      </w:r>
      <w:r>
        <w:rPr>
          <w:rFonts w:hint="default"/>
          <w:color w:val="auto"/>
          <w:kern w:val="0"/>
          <w:sz w:val="24"/>
          <w:szCs w:val="24"/>
          <w:highlight w:val="none"/>
          <w:lang w:val="en-US"/>
        </w:rPr>
        <w:t>米</w:t>
      </w:r>
      <w:r>
        <w:rPr>
          <w:rFonts w:hint="eastAsia"/>
          <w:color w:val="auto"/>
          <w:kern w:val="0"/>
          <w:sz w:val="24"/>
          <w:szCs w:val="24"/>
          <w:highlight w:val="none"/>
        </w:rPr>
        <w:t>区域</w:t>
      </w:r>
      <w:r>
        <w:rPr>
          <w:rFonts w:hint="eastAsia"/>
          <w:color w:val="auto"/>
          <w:kern w:val="0"/>
          <w:sz w:val="24"/>
          <w:szCs w:val="24"/>
          <w:highlight w:val="none"/>
          <w:lang w:eastAsia="zh-CN"/>
        </w:rPr>
        <w:t>，调查面积为</w:t>
      </w:r>
      <w:r>
        <w:rPr>
          <w:rFonts w:hint="eastAsia"/>
          <w:color w:val="auto"/>
          <w:highlight w:val="none"/>
          <w:lang w:val="en-US" w:eastAsia="zh-CN"/>
        </w:rPr>
        <w:t>172.03</w:t>
      </w:r>
      <w:r>
        <w:rPr>
          <w:rFonts w:hint="eastAsia"/>
          <w:color w:val="auto"/>
          <w:kern w:val="0"/>
          <w:sz w:val="24"/>
          <w:szCs w:val="24"/>
          <w:highlight w:val="none"/>
          <w:lang w:eastAsia="zh-CN"/>
        </w:rPr>
        <w:t>公顷。调查范围内污染情况如下：</w:t>
      </w:r>
    </w:p>
    <w:p w14:paraId="185DE2D7">
      <w:pPr>
        <w:ind w:firstLine="470"/>
        <w:rPr>
          <w:color w:val="auto"/>
          <w:highlight w:val="none"/>
        </w:rPr>
      </w:pPr>
      <w:r>
        <w:rPr>
          <w:rFonts w:hint="eastAsia"/>
          <w:color w:val="auto"/>
          <w:highlight w:val="none"/>
        </w:rPr>
        <w:t>1）点源</w:t>
      </w:r>
    </w:p>
    <w:p w14:paraId="330BD3BD">
      <w:pPr>
        <w:ind w:firstLine="470"/>
        <w:rPr>
          <w:rFonts w:hint="eastAsia"/>
          <w:color w:val="auto"/>
          <w:highlight w:val="none"/>
          <w:lang w:eastAsia="zh-CN"/>
        </w:rPr>
      </w:pPr>
      <w:r>
        <w:rPr>
          <w:rFonts w:hint="eastAsia"/>
          <w:color w:val="auto"/>
          <w:highlight w:val="none"/>
        </w:rPr>
        <w:t>点源包括工业或生活排污口、规模化畜禽养殖</w:t>
      </w:r>
      <w:r>
        <w:rPr>
          <w:rFonts w:hint="eastAsia"/>
          <w:color w:val="auto"/>
          <w:highlight w:val="none"/>
          <w:lang w:eastAsia="zh-CN"/>
        </w:rPr>
        <w:t>等</w:t>
      </w:r>
      <w:r>
        <w:rPr>
          <w:rFonts w:hint="eastAsia"/>
          <w:color w:val="auto"/>
          <w:highlight w:val="none"/>
        </w:rPr>
        <w:t>。经过实地走访调查，调查范围不存在石化、冶炼、制药、加油站、尾矿库、填埋场、工业废水排放口和规模化畜禽养殖等设施及场所</w:t>
      </w:r>
      <w:r>
        <w:rPr>
          <w:rFonts w:hint="eastAsia"/>
          <w:color w:val="auto"/>
          <w:highlight w:val="none"/>
          <w:lang w:eastAsia="zh-CN"/>
        </w:rPr>
        <w:t>。</w:t>
      </w:r>
    </w:p>
    <w:p w14:paraId="123D645B">
      <w:pPr>
        <w:ind w:firstLine="470"/>
        <w:rPr>
          <w:color w:val="auto"/>
          <w:highlight w:val="none"/>
        </w:rPr>
      </w:pPr>
      <w:r>
        <w:rPr>
          <w:rFonts w:hint="eastAsia"/>
          <w:color w:val="auto"/>
          <w:highlight w:val="none"/>
        </w:rPr>
        <w:t>2）非点源</w:t>
      </w:r>
    </w:p>
    <w:p w14:paraId="27C00FD5">
      <w:pPr>
        <w:ind w:firstLine="470"/>
        <w:rPr>
          <w:color w:val="auto"/>
          <w:highlight w:val="none"/>
        </w:rPr>
      </w:pPr>
      <w:r>
        <w:rPr>
          <w:rFonts w:hint="eastAsia"/>
          <w:color w:val="auto"/>
          <w:highlight w:val="none"/>
        </w:rPr>
        <w:t>水源地</w:t>
      </w:r>
      <w:r>
        <w:rPr>
          <w:rFonts w:hint="eastAsia"/>
          <w:color w:val="auto"/>
          <w:highlight w:val="none"/>
          <w:lang w:eastAsia="zh-CN"/>
        </w:rPr>
        <w:t>评价范围内</w:t>
      </w:r>
      <w:r>
        <w:rPr>
          <w:rFonts w:hint="eastAsia"/>
          <w:color w:val="auto"/>
          <w:highlight w:val="none"/>
        </w:rPr>
        <w:t>污染源主要为非点源污染，包括以下两方面：一是村屯居民生活产生的生活污水、生活垃圾，畜禽养殖产生的排泄物等；二是农田施用化肥农药，不能被作物吸收利用随地表径流流失的部分。</w:t>
      </w:r>
    </w:p>
    <w:p w14:paraId="222839A7">
      <w:pPr>
        <w:ind w:firstLine="470" w:firstLineChars="0"/>
        <w:rPr>
          <w:color w:val="auto"/>
          <w:highlight w:val="none"/>
        </w:rPr>
      </w:pPr>
      <w:r>
        <w:rPr>
          <w:rFonts w:hint="eastAsia" w:ascii="宋体" w:hAnsi="宋体"/>
          <w:color w:val="auto"/>
          <w:highlight w:val="none"/>
        </w:rPr>
        <w:t>①</w:t>
      </w:r>
      <w:r>
        <w:rPr>
          <w:rFonts w:hint="eastAsia"/>
          <w:color w:val="auto"/>
          <w:highlight w:val="none"/>
        </w:rPr>
        <w:t>居民区生活污水、生活垃圾污染</w:t>
      </w:r>
    </w:p>
    <w:p w14:paraId="2AC2797F">
      <w:pPr>
        <w:ind w:firstLine="470"/>
        <w:rPr>
          <w:color w:val="auto"/>
          <w:highlight w:val="none"/>
        </w:rPr>
      </w:pPr>
      <w:r>
        <w:rPr>
          <w:rFonts w:hint="eastAsia"/>
          <w:color w:val="auto"/>
          <w:highlight w:val="none"/>
        </w:rPr>
        <w:t>经过实地走访调查，调查范围内主要生活污染源为</w:t>
      </w:r>
      <w:r>
        <w:rPr>
          <w:rFonts w:hint="eastAsia"/>
          <w:color w:val="auto"/>
          <w:highlight w:val="none"/>
          <w:lang w:eastAsia="zh-CN"/>
        </w:rPr>
        <w:t>梨树园子屯（与水井</w:t>
      </w:r>
      <w:r>
        <w:rPr>
          <w:rFonts w:hint="eastAsia"/>
          <w:color w:val="auto"/>
          <w:highlight w:val="none"/>
          <w:lang w:val="en-US" w:eastAsia="zh-CN"/>
        </w:rPr>
        <w:t>1#最近距离60米</w:t>
      </w:r>
      <w:r>
        <w:rPr>
          <w:rFonts w:hint="eastAsia"/>
          <w:color w:val="auto"/>
          <w:highlight w:val="none"/>
          <w:lang w:eastAsia="zh-CN"/>
        </w:rPr>
        <w:t>）、周富屯（与水井</w:t>
      </w:r>
      <w:r>
        <w:rPr>
          <w:rFonts w:hint="eastAsia"/>
          <w:color w:val="auto"/>
          <w:highlight w:val="none"/>
          <w:lang w:val="en-US" w:eastAsia="zh-CN"/>
        </w:rPr>
        <w:t>2#最近距离205米</w:t>
      </w:r>
      <w:r>
        <w:rPr>
          <w:rFonts w:hint="eastAsia"/>
          <w:color w:val="auto"/>
          <w:highlight w:val="none"/>
          <w:lang w:eastAsia="zh-CN"/>
        </w:rPr>
        <w:t>）</w:t>
      </w:r>
      <w:r>
        <w:rPr>
          <w:rFonts w:hint="eastAsia"/>
          <w:color w:val="auto"/>
          <w:highlight w:val="none"/>
        </w:rPr>
        <w:t>的农村生活污水、生活垃圾。调查范围内居民总数约为</w:t>
      </w:r>
      <w:r>
        <w:rPr>
          <w:rFonts w:hint="eastAsia"/>
          <w:color w:val="auto"/>
          <w:highlight w:val="none"/>
          <w:lang w:val="en-US" w:eastAsia="zh-CN"/>
        </w:rPr>
        <w:t>115</w:t>
      </w:r>
      <w:r>
        <w:rPr>
          <w:rFonts w:hint="eastAsia"/>
          <w:color w:val="auto"/>
          <w:highlight w:val="none"/>
        </w:rPr>
        <w:t xml:space="preserve">人，根据黑龙江省地方标准《用水定额》（DB 23/T </w:t>
      </w:r>
      <w:r>
        <w:rPr>
          <w:rFonts w:hint="eastAsia"/>
          <w:color w:val="auto"/>
          <w:highlight w:val="none"/>
          <w:lang w:eastAsia="zh-CN"/>
        </w:rPr>
        <w:t>727-2025</w:t>
      </w:r>
      <w:r>
        <w:rPr>
          <w:rFonts w:hint="eastAsia"/>
          <w:color w:val="auto"/>
          <w:highlight w:val="none"/>
        </w:rPr>
        <w:t>），生活用水按每人80升/天计，用水量为</w:t>
      </w:r>
      <w:r>
        <w:rPr>
          <w:rFonts w:hint="eastAsia"/>
          <w:color w:val="auto"/>
          <w:highlight w:val="none"/>
          <w:lang w:val="en-US" w:eastAsia="zh-CN"/>
        </w:rPr>
        <w:t>9.2</w:t>
      </w:r>
      <w:r>
        <w:rPr>
          <w:rFonts w:hint="eastAsia"/>
          <w:color w:val="auto"/>
          <w:highlight w:val="none"/>
        </w:rPr>
        <w:t>立方米/天、</w:t>
      </w:r>
      <w:r>
        <w:rPr>
          <w:rFonts w:hint="eastAsia"/>
          <w:color w:val="auto"/>
          <w:highlight w:val="none"/>
          <w:lang w:val="en-US" w:eastAsia="zh-CN"/>
        </w:rPr>
        <w:t>3358</w:t>
      </w:r>
      <w:r>
        <w:rPr>
          <w:rFonts w:hint="eastAsia"/>
          <w:color w:val="auto"/>
          <w:highlight w:val="none"/>
        </w:rPr>
        <w:t>立方米/年，</w:t>
      </w:r>
      <w:r>
        <w:rPr>
          <w:color w:val="auto"/>
          <w:highlight w:val="none"/>
        </w:rPr>
        <w:t>生活污水按用水量的80%计算，</w:t>
      </w:r>
      <w:r>
        <w:rPr>
          <w:rFonts w:hint="eastAsia"/>
          <w:color w:val="auto"/>
          <w:highlight w:val="none"/>
          <w:lang w:eastAsia="zh-CN"/>
        </w:rPr>
        <w:t>产生量</w:t>
      </w:r>
      <w:r>
        <w:rPr>
          <w:color w:val="auto"/>
          <w:highlight w:val="none"/>
        </w:rPr>
        <w:t>为</w:t>
      </w:r>
      <w:r>
        <w:rPr>
          <w:rFonts w:hint="eastAsia"/>
          <w:color w:val="auto"/>
          <w:highlight w:val="none"/>
          <w:lang w:val="en-US" w:eastAsia="zh-CN"/>
        </w:rPr>
        <w:t>7.36</w:t>
      </w:r>
      <w:r>
        <w:rPr>
          <w:rFonts w:hint="eastAsia"/>
          <w:color w:val="auto"/>
          <w:highlight w:val="none"/>
        </w:rPr>
        <w:t>立方米/天、</w:t>
      </w:r>
      <w:r>
        <w:rPr>
          <w:rFonts w:hint="eastAsia"/>
          <w:color w:val="auto"/>
          <w:highlight w:val="none"/>
          <w:lang w:val="en-US" w:eastAsia="zh-CN"/>
        </w:rPr>
        <w:t>2686.4</w:t>
      </w:r>
      <w:r>
        <w:rPr>
          <w:rFonts w:hint="eastAsia"/>
          <w:color w:val="auto"/>
          <w:highlight w:val="none"/>
        </w:rPr>
        <w:t>立方米/年，COD和氨氮的</w:t>
      </w:r>
      <w:r>
        <w:rPr>
          <w:rFonts w:hint="eastAsia"/>
          <w:color w:val="auto"/>
          <w:highlight w:val="none"/>
          <w:lang w:eastAsia="zh-CN"/>
        </w:rPr>
        <w:t>产生浓度</w:t>
      </w:r>
      <w:r>
        <w:rPr>
          <w:rFonts w:hint="eastAsia"/>
          <w:color w:val="auto"/>
          <w:highlight w:val="none"/>
        </w:rPr>
        <w:t>按300毫克/升、30毫克/升计，则COD</w:t>
      </w:r>
      <w:r>
        <w:rPr>
          <w:rFonts w:hint="eastAsia"/>
          <w:color w:val="auto"/>
          <w:highlight w:val="none"/>
          <w:lang w:eastAsia="zh-CN"/>
        </w:rPr>
        <w:t>产生量</w:t>
      </w:r>
      <w:r>
        <w:rPr>
          <w:rFonts w:hint="eastAsia"/>
          <w:color w:val="auto"/>
          <w:highlight w:val="none"/>
        </w:rPr>
        <w:t>为</w:t>
      </w:r>
      <w:r>
        <w:rPr>
          <w:rFonts w:hint="eastAsia"/>
          <w:color w:val="auto"/>
          <w:highlight w:val="none"/>
          <w:lang w:val="en-US" w:eastAsia="zh-CN"/>
        </w:rPr>
        <w:t>0.81</w:t>
      </w:r>
      <w:r>
        <w:rPr>
          <w:rFonts w:hint="eastAsia"/>
          <w:color w:val="auto"/>
          <w:highlight w:val="none"/>
        </w:rPr>
        <w:t>吨/年，氨氮</w:t>
      </w:r>
      <w:r>
        <w:rPr>
          <w:rFonts w:hint="eastAsia"/>
          <w:color w:val="auto"/>
          <w:highlight w:val="none"/>
          <w:lang w:eastAsia="zh-CN"/>
        </w:rPr>
        <w:t>产生量</w:t>
      </w:r>
      <w:r>
        <w:rPr>
          <w:rFonts w:hint="eastAsia"/>
          <w:color w:val="auto"/>
          <w:highlight w:val="none"/>
        </w:rPr>
        <w:t>为</w:t>
      </w:r>
      <w:r>
        <w:rPr>
          <w:rFonts w:hint="eastAsia"/>
          <w:color w:val="auto"/>
          <w:highlight w:val="none"/>
          <w:lang w:val="en-US" w:eastAsia="zh-CN"/>
        </w:rPr>
        <w:t>0.08</w:t>
      </w:r>
      <w:r>
        <w:rPr>
          <w:rFonts w:hint="eastAsia"/>
          <w:color w:val="auto"/>
          <w:highlight w:val="none"/>
        </w:rPr>
        <w:t>吨/年；生活垃圾按</w:t>
      </w:r>
      <w:r>
        <w:rPr>
          <w:color w:val="auto"/>
          <w:highlight w:val="none"/>
        </w:rPr>
        <w:t>0.5</w:t>
      </w:r>
      <w:r>
        <w:rPr>
          <w:rFonts w:hint="eastAsia"/>
          <w:color w:val="auto"/>
          <w:highlight w:val="none"/>
        </w:rPr>
        <w:t>千克</w:t>
      </w:r>
      <w:r>
        <w:rPr>
          <w:color w:val="auto"/>
          <w:highlight w:val="none"/>
        </w:rPr>
        <w:t>/人/天计算，</w:t>
      </w:r>
      <w:r>
        <w:rPr>
          <w:rFonts w:hint="eastAsia"/>
          <w:color w:val="auto"/>
          <w:highlight w:val="none"/>
        </w:rPr>
        <w:t>则</w:t>
      </w:r>
      <w:r>
        <w:rPr>
          <w:color w:val="auto"/>
          <w:highlight w:val="none"/>
        </w:rPr>
        <w:t>产生量为</w:t>
      </w:r>
      <w:r>
        <w:rPr>
          <w:rFonts w:hint="eastAsia"/>
          <w:color w:val="auto"/>
          <w:highlight w:val="none"/>
          <w:lang w:val="en-US" w:eastAsia="zh-CN"/>
        </w:rPr>
        <w:t>21</w:t>
      </w:r>
      <w:r>
        <w:rPr>
          <w:rFonts w:hint="eastAsia"/>
          <w:color w:val="auto"/>
          <w:highlight w:val="none"/>
        </w:rPr>
        <w:t>吨/年</w:t>
      </w:r>
      <w:r>
        <w:rPr>
          <w:color w:val="auto"/>
          <w:highlight w:val="none"/>
        </w:rPr>
        <w:t>。</w:t>
      </w:r>
      <w:r>
        <w:rPr>
          <w:rFonts w:hint="eastAsia"/>
          <w:color w:val="auto"/>
          <w:highlight w:val="none"/>
          <w:lang w:eastAsia="zh-CN"/>
        </w:rPr>
        <w:t>目前</w:t>
      </w:r>
      <w:r>
        <w:rPr>
          <w:rFonts w:hint="eastAsia"/>
          <w:color w:val="auto"/>
          <w:highlight w:val="none"/>
        </w:rPr>
        <w:t>居民生活污水散排，粪污进入自家旱厕</w:t>
      </w:r>
      <w:r>
        <w:rPr>
          <w:rFonts w:hint="eastAsia"/>
          <w:color w:val="auto"/>
          <w:highlight w:val="none"/>
          <w:lang w:eastAsia="zh-CN"/>
        </w:rPr>
        <w:t>；</w:t>
      </w:r>
      <w:r>
        <w:rPr>
          <w:rFonts w:hint="eastAsia"/>
          <w:color w:val="auto"/>
          <w:sz w:val="24"/>
          <w:szCs w:val="24"/>
          <w:highlight w:val="none"/>
        </w:rPr>
        <w:t>居民生活垃圾统一收集后由环卫部门进行清运，无垃圾堆放点。</w:t>
      </w:r>
    </w:p>
    <w:p w14:paraId="403D0967">
      <w:pPr>
        <w:ind w:firstLine="470"/>
        <w:rPr>
          <w:color w:val="auto"/>
          <w:highlight w:val="none"/>
        </w:rPr>
      </w:pPr>
      <w:r>
        <w:rPr>
          <w:rFonts w:hint="eastAsia"/>
          <w:color w:val="auto"/>
          <w:highlight w:val="none"/>
        </w:rPr>
        <w:t>②畜禽养殖排泄物污染</w:t>
      </w:r>
    </w:p>
    <w:p w14:paraId="53262F81">
      <w:pPr>
        <w:ind w:firstLine="470"/>
        <w:rPr>
          <w:color w:val="auto"/>
          <w:highlight w:val="none"/>
        </w:rPr>
      </w:pPr>
      <w:r>
        <w:rPr>
          <w:rFonts w:hint="eastAsia"/>
          <w:color w:val="auto"/>
          <w:highlight w:val="none"/>
        </w:rPr>
        <w:t>调查范围内</w:t>
      </w:r>
      <w:r>
        <w:rPr>
          <w:rFonts w:hint="eastAsia"/>
          <w:color w:val="auto"/>
          <w:highlight w:val="none"/>
          <w:lang w:eastAsia="zh-CN"/>
        </w:rPr>
        <w:t>存在村屯居民零散</w:t>
      </w:r>
      <w:r>
        <w:rPr>
          <w:rFonts w:hint="eastAsia"/>
          <w:color w:val="auto"/>
          <w:highlight w:val="none"/>
        </w:rPr>
        <w:t>畜禽养殖，畜禽养殖排泄物存在对地下水水质造成影响的可能性。</w:t>
      </w:r>
    </w:p>
    <w:p w14:paraId="5829E37C">
      <w:pPr>
        <w:ind w:firstLine="470"/>
        <w:rPr>
          <w:color w:val="auto"/>
          <w:highlight w:val="none"/>
        </w:rPr>
      </w:pPr>
      <w:r>
        <w:rPr>
          <w:rFonts w:hint="eastAsia"/>
          <w:color w:val="auto"/>
          <w:highlight w:val="none"/>
        </w:rPr>
        <w:t>③化肥农药污染</w:t>
      </w:r>
    </w:p>
    <w:p w14:paraId="3734AC49">
      <w:pPr>
        <w:pStyle w:val="36"/>
        <w:ind w:firstLine="470"/>
        <w:rPr>
          <w:color w:val="auto"/>
          <w:kern w:val="0"/>
          <w:sz w:val="24"/>
          <w:szCs w:val="24"/>
          <w:highlight w:val="none"/>
        </w:rPr>
      </w:pPr>
      <w:r>
        <w:rPr>
          <w:rFonts w:hint="eastAsia"/>
          <w:color w:val="auto"/>
          <w:highlight w:val="none"/>
        </w:rPr>
        <w:t>调查范围内农业面源污染来自耕地使用的农药和化肥的流失，根据实地调查，</w:t>
      </w:r>
      <w:r>
        <w:rPr>
          <w:rFonts w:hint="eastAsia"/>
          <w:color w:val="auto"/>
          <w:kern w:val="0"/>
          <w:sz w:val="24"/>
          <w:szCs w:val="24"/>
          <w:highlight w:val="none"/>
        </w:rPr>
        <w:t>调查范围内约有农田</w:t>
      </w:r>
      <w:r>
        <w:rPr>
          <w:rFonts w:hint="eastAsia"/>
          <w:color w:val="auto"/>
          <w:kern w:val="0"/>
          <w:sz w:val="24"/>
          <w:szCs w:val="24"/>
          <w:highlight w:val="none"/>
          <w:lang w:val="en-US" w:eastAsia="zh-CN"/>
        </w:rPr>
        <w:t>133</w:t>
      </w:r>
      <w:r>
        <w:rPr>
          <w:rFonts w:hint="eastAsia"/>
          <w:color w:val="auto"/>
          <w:kern w:val="0"/>
          <w:sz w:val="24"/>
          <w:szCs w:val="24"/>
          <w:highlight w:val="none"/>
        </w:rPr>
        <w:t>公顷，种植作物主要为</w:t>
      </w:r>
      <w:r>
        <w:rPr>
          <w:rFonts w:hint="eastAsia"/>
          <w:color w:val="auto"/>
          <w:kern w:val="0"/>
          <w:sz w:val="24"/>
          <w:szCs w:val="24"/>
          <w:highlight w:val="none"/>
          <w:lang w:eastAsia="zh-CN"/>
        </w:rPr>
        <w:t>水稻、</w:t>
      </w:r>
      <w:r>
        <w:rPr>
          <w:rFonts w:hint="eastAsia"/>
          <w:color w:val="auto"/>
          <w:kern w:val="0"/>
          <w:sz w:val="24"/>
          <w:szCs w:val="24"/>
          <w:highlight w:val="none"/>
        </w:rPr>
        <w:t>玉米</w:t>
      </w:r>
      <w:r>
        <w:rPr>
          <w:rFonts w:hint="eastAsia"/>
          <w:color w:val="auto"/>
          <w:kern w:val="0"/>
          <w:sz w:val="24"/>
          <w:szCs w:val="24"/>
          <w:highlight w:val="none"/>
          <w:lang w:eastAsia="zh-CN"/>
        </w:rPr>
        <w:t>和大豆</w:t>
      </w:r>
      <w:r>
        <w:rPr>
          <w:rFonts w:hint="eastAsia"/>
          <w:color w:val="auto"/>
          <w:kern w:val="0"/>
          <w:sz w:val="24"/>
          <w:szCs w:val="24"/>
          <w:highlight w:val="none"/>
        </w:rPr>
        <w:t>。</w:t>
      </w:r>
      <w:r>
        <w:rPr>
          <w:rFonts w:hint="eastAsia"/>
          <w:color w:val="auto"/>
          <w:highlight w:val="none"/>
        </w:rPr>
        <w:t>水田除草剂主要有丁草胺和草克星，喷洒的杀虫剂一般为乐果，主要在作物生长期出现虫害时施用，使用量较小，但如使用不当，存在对地下水水质造成影响的可能性。</w:t>
      </w:r>
    </w:p>
    <w:p w14:paraId="6A968A8B">
      <w:pPr>
        <w:pStyle w:val="36"/>
        <w:ind w:firstLine="470"/>
        <w:rPr>
          <w:color w:val="auto"/>
          <w:highlight w:val="none"/>
        </w:rPr>
      </w:pPr>
      <w:r>
        <w:rPr>
          <w:rFonts w:hint="eastAsia"/>
          <w:color w:val="auto"/>
          <w:highlight w:val="none"/>
        </w:rPr>
        <w:t>3）固体废物堆放（填埋）场</w:t>
      </w:r>
    </w:p>
    <w:p w14:paraId="08E6EF84">
      <w:pPr>
        <w:pStyle w:val="36"/>
        <w:ind w:firstLine="470"/>
        <w:rPr>
          <w:color w:val="auto"/>
          <w:highlight w:val="none"/>
        </w:rPr>
      </w:pPr>
      <w:r>
        <w:rPr>
          <w:rFonts w:hint="eastAsia"/>
          <w:color w:val="auto"/>
          <w:highlight w:val="none"/>
        </w:rPr>
        <w:t>经走访调查，调查范围内，未发现固体废物堆放（填埋）场。</w:t>
      </w:r>
    </w:p>
    <w:p w14:paraId="2CB21DA0">
      <w:pPr>
        <w:pStyle w:val="36"/>
        <w:ind w:firstLine="470"/>
        <w:rPr>
          <w:rFonts w:hint="eastAsia" w:eastAsia="宋体"/>
          <w:color w:val="auto"/>
          <w:highlight w:val="none"/>
          <w:lang w:eastAsia="zh-CN"/>
        </w:rPr>
      </w:pPr>
      <w:r>
        <w:rPr>
          <w:rFonts w:hint="eastAsia"/>
          <w:color w:val="auto"/>
          <w:highlight w:val="none"/>
        </w:rPr>
        <w:t>4）流动源</w:t>
      </w:r>
      <w:r>
        <w:rPr>
          <w:rFonts w:hint="eastAsia"/>
          <w:color w:val="auto"/>
          <w:highlight w:val="none"/>
          <w:lang w:eastAsia="zh-CN"/>
        </w:rPr>
        <w:t>和其他</w:t>
      </w:r>
    </w:p>
    <w:p w14:paraId="15619272">
      <w:pPr>
        <w:spacing w:line="360" w:lineRule="auto"/>
        <w:ind w:firstLine="472" w:firstLineChars="200"/>
        <w:rPr>
          <w:color w:val="auto"/>
          <w:highlight w:val="none"/>
        </w:rPr>
      </w:pPr>
      <w:r>
        <w:rPr>
          <w:rFonts w:hint="eastAsia"/>
          <w:color w:val="auto"/>
          <w:highlight w:val="none"/>
        </w:rPr>
        <w:t>经</w:t>
      </w:r>
      <w:r>
        <w:rPr>
          <w:rFonts w:hint="eastAsia"/>
          <w:color w:val="auto"/>
          <w:highlight w:val="none"/>
          <w:lang w:eastAsia="zh-CN"/>
        </w:rPr>
        <w:t>现场</w:t>
      </w:r>
      <w:r>
        <w:rPr>
          <w:rFonts w:hint="eastAsia"/>
          <w:color w:val="auto"/>
          <w:highlight w:val="none"/>
        </w:rPr>
        <w:t>调查，</w:t>
      </w:r>
      <w:r>
        <w:rPr>
          <w:rFonts w:hint="eastAsia" w:ascii="Times New Roman" w:hAnsi="Times New Roman" w:eastAsia="宋体" w:cs="Times New Roman"/>
          <w:color w:val="auto"/>
          <w:highlight w:val="none"/>
        </w:rPr>
        <w:t>调查范围内流动源为乡村道路</w:t>
      </w:r>
      <w:r>
        <w:rPr>
          <w:rFonts w:hint="eastAsia" w:cs="Times New Roman"/>
          <w:color w:val="auto"/>
          <w:highlight w:val="none"/>
          <w:lang w:eastAsia="zh-CN"/>
        </w:rPr>
        <w:t>和沟渠</w:t>
      </w:r>
      <w:r>
        <w:rPr>
          <w:rFonts w:hint="eastAsia" w:ascii="Times New Roman" w:hAnsi="Times New Roman" w:eastAsia="宋体" w:cs="Times New Roman"/>
          <w:color w:val="auto"/>
          <w:highlight w:val="none"/>
          <w:lang w:val="en-US" w:eastAsia="zh-CN"/>
        </w:rPr>
        <w:t>，</w:t>
      </w:r>
      <w:r>
        <w:rPr>
          <w:rFonts w:hint="eastAsia" w:ascii="Times New Roman" w:hAnsi="Times New Roman" w:eastAsia="宋体" w:cs="Times New Roman"/>
          <w:color w:val="auto"/>
          <w:highlight w:val="none"/>
        </w:rPr>
        <w:t>乡村道路存在拉运农药等危险物品的车辆，车</w:t>
      </w:r>
      <w:r>
        <w:rPr>
          <w:rFonts w:hint="eastAsia"/>
          <w:color w:val="auto"/>
          <w:highlight w:val="none"/>
        </w:rPr>
        <w:t>辆突发事故造成</w:t>
      </w:r>
      <w:r>
        <w:rPr>
          <w:rFonts w:hint="eastAsia"/>
          <w:color w:val="auto"/>
          <w:highlight w:val="none"/>
          <w:lang w:eastAsia="zh-CN"/>
        </w:rPr>
        <w:t>农药等</w:t>
      </w:r>
      <w:r>
        <w:rPr>
          <w:rFonts w:hint="eastAsia"/>
          <w:color w:val="auto"/>
          <w:highlight w:val="none"/>
        </w:rPr>
        <w:t>泄漏将进入地下水，存在隐患</w:t>
      </w:r>
      <w:r>
        <w:rPr>
          <w:rFonts w:hint="eastAsia"/>
          <w:color w:val="auto"/>
          <w:kern w:val="0"/>
          <w:sz w:val="24"/>
          <w:szCs w:val="24"/>
          <w:highlight w:val="none"/>
        </w:rPr>
        <w:t>，最近村道位于取水井</w:t>
      </w:r>
      <w:r>
        <w:rPr>
          <w:rFonts w:hint="eastAsia"/>
          <w:color w:val="auto"/>
          <w:kern w:val="0"/>
          <w:sz w:val="24"/>
          <w:szCs w:val="24"/>
          <w:highlight w:val="none"/>
          <w:lang w:val="en-US" w:eastAsia="zh-CN"/>
        </w:rPr>
        <w:t>3#南</w:t>
      </w:r>
      <w:r>
        <w:rPr>
          <w:rFonts w:hint="eastAsia"/>
          <w:color w:val="auto"/>
          <w:kern w:val="0"/>
          <w:sz w:val="24"/>
          <w:szCs w:val="24"/>
          <w:highlight w:val="none"/>
        </w:rPr>
        <w:t>侧</w:t>
      </w:r>
      <w:r>
        <w:rPr>
          <w:rFonts w:hint="eastAsia"/>
          <w:color w:val="auto"/>
          <w:kern w:val="0"/>
          <w:sz w:val="24"/>
          <w:szCs w:val="24"/>
          <w:highlight w:val="none"/>
          <w:lang w:val="en-US" w:eastAsia="zh-CN"/>
        </w:rPr>
        <w:t>27</w:t>
      </w:r>
      <w:r>
        <w:rPr>
          <w:rFonts w:hint="eastAsia"/>
          <w:color w:val="auto"/>
          <w:kern w:val="0"/>
          <w:sz w:val="24"/>
          <w:szCs w:val="24"/>
          <w:highlight w:val="none"/>
        </w:rPr>
        <w:t>米处。</w:t>
      </w:r>
      <w:r>
        <w:rPr>
          <w:rFonts w:hint="eastAsia"/>
          <w:color w:val="auto"/>
          <w:highlight w:val="none"/>
          <w:lang w:eastAsia="zh-CN"/>
        </w:rPr>
        <w:t>沟渠</w:t>
      </w:r>
      <w:r>
        <w:rPr>
          <w:rFonts w:hint="eastAsia" w:cs="Times New Roman"/>
          <w:color w:val="auto"/>
          <w:highlight w:val="none"/>
          <w:lang w:val="en-US" w:eastAsia="zh-CN"/>
        </w:rPr>
        <w:t>不涉及农田灌溉，</w:t>
      </w:r>
      <w:r>
        <w:rPr>
          <w:rFonts w:hint="eastAsia" w:ascii="Times New Roman" w:cs="Times New Roman"/>
          <w:color w:val="auto"/>
          <w:highlight w:val="none"/>
          <w:lang w:val="en-US" w:eastAsia="zh-CN"/>
        </w:rPr>
        <w:t>不会对地下水水质造成污染</w:t>
      </w:r>
      <w:r>
        <w:rPr>
          <w:rFonts w:hint="eastAsia" w:cs="Times New Roman"/>
          <w:color w:val="auto"/>
          <w:highlight w:val="none"/>
          <w:lang w:val="en-US" w:eastAsia="zh-CN"/>
        </w:rPr>
        <w:t>。</w:t>
      </w:r>
    </w:p>
    <w:p w14:paraId="4ABC9762">
      <w:pPr>
        <w:pStyle w:val="5"/>
        <w:bidi w:val="0"/>
        <w:ind w:firstLine="472" w:firstLineChars="200"/>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（6）绥化市庆安县丰收乡饮用水水源地</w:t>
      </w:r>
    </w:p>
    <w:p w14:paraId="26C63385">
      <w:pPr>
        <w:ind w:firstLine="470"/>
        <w:rPr>
          <w:rFonts w:hint="eastAsia" w:eastAsia="宋体"/>
          <w:color w:val="auto"/>
          <w:highlight w:val="none"/>
          <w:lang w:eastAsia="zh-CN"/>
        </w:rPr>
      </w:pPr>
      <w:r>
        <w:rPr>
          <w:rFonts w:hint="eastAsia" w:ascii="Times New Roman" w:hAnsi="Times New Roman" w:eastAsia="宋体" w:cs="Times New Roman"/>
          <w:color w:val="auto"/>
          <w:kern w:val="2"/>
          <w:sz w:val="24"/>
          <w:szCs w:val="24"/>
          <w:highlight w:val="none"/>
          <w:lang w:val="en-US" w:eastAsia="zh-CN" w:bidi="ar-SA"/>
        </w:rPr>
        <w:t>绥化市庆安县丰收乡饮用水水源地</w:t>
      </w:r>
      <w:r>
        <w:rPr>
          <w:rFonts w:hint="eastAsia"/>
          <w:color w:val="auto"/>
          <w:kern w:val="0"/>
          <w:sz w:val="24"/>
          <w:szCs w:val="24"/>
          <w:highlight w:val="none"/>
          <w:lang w:eastAsia="zh-CN"/>
        </w:rPr>
        <w:t>污</w:t>
      </w:r>
      <w:r>
        <w:rPr>
          <w:color w:val="auto"/>
          <w:kern w:val="0"/>
          <w:sz w:val="24"/>
          <w:szCs w:val="24"/>
          <w:highlight w:val="none"/>
        </w:rPr>
        <w:t>染源调查范围为取水井</w:t>
      </w:r>
      <w:r>
        <w:rPr>
          <w:rFonts w:hint="eastAsia"/>
          <w:color w:val="auto"/>
          <w:kern w:val="0"/>
          <w:sz w:val="24"/>
          <w:szCs w:val="24"/>
          <w:highlight w:val="none"/>
        </w:rPr>
        <w:t>上游1000</w:t>
      </w:r>
      <w:r>
        <w:rPr>
          <w:rFonts w:hint="default"/>
          <w:color w:val="auto"/>
          <w:kern w:val="0"/>
          <w:sz w:val="24"/>
          <w:szCs w:val="24"/>
          <w:highlight w:val="none"/>
          <w:lang w:val="en-US"/>
        </w:rPr>
        <w:t>米</w:t>
      </w:r>
      <w:r>
        <w:rPr>
          <w:rFonts w:hint="eastAsia"/>
          <w:color w:val="auto"/>
          <w:kern w:val="0"/>
          <w:sz w:val="24"/>
          <w:szCs w:val="24"/>
          <w:highlight w:val="none"/>
        </w:rPr>
        <w:t>、两侧及下游300</w:t>
      </w:r>
      <w:r>
        <w:rPr>
          <w:rFonts w:hint="default"/>
          <w:color w:val="auto"/>
          <w:kern w:val="0"/>
          <w:sz w:val="24"/>
          <w:szCs w:val="24"/>
          <w:highlight w:val="none"/>
          <w:lang w:val="en-US"/>
        </w:rPr>
        <w:t>米</w:t>
      </w:r>
      <w:r>
        <w:rPr>
          <w:rFonts w:hint="eastAsia"/>
          <w:color w:val="auto"/>
          <w:kern w:val="0"/>
          <w:sz w:val="24"/>
          <w:szCs w:val="24"/>
          <w:highlight w:val="none"/>
        </w:rPr>
        <w:t>区域</w:t>
      </w:r>
      <w:r>
        <w:rPr>
          <w:rFonts w:hint="eastAsia"/>
          <w:color w:val="auto"/>
          <w:kern w:val="0"/>
          <w:sz w:val="24"/>
          <w:szCs w:val="24"/>
          <w:highlight w:val="none"/>
          <w:lang w:eastAsia="zh-CN"/>
        </w:rPr>
        <w:t>，调查面积为</w:t>
      </w:r>
      <w:r>
        <w:rPr>
          <w:rFonts w:hint="eastAsia"/>
          <w:color w:val="auto"/>
          <w:highlight w:val="none"/>
          <w:lang w:val="en-US" w:eastAsia="zh-CN"/>
        </w:rPr>
        <w:t>111.63</w:t>
      </w:r>
      <w:r>
        <w:rPr>
          <w:rFonts w:hint="eastAsia"/>
          <w:color w:val="auto"/>
          <w:kern w:val="0"/>
          <w:sz w:val="24"/>
          <w:szCs w:val="24"/>
          <w:highlight w:val="none"/>
          <w:lang w:eastAsia="zh-CN"/>
        </w:rPr>
        <w:t>公顷。调查范围内污染情况如下：</w:t>
      </w:r>
    </w:p>
    <w:p w14:paraId="46AA7FAA">
      <w:pPr>
        <w:ind w:firstLine="470"/>
        <w:rPr>
          <w:color w:val="auto"/>
          <w:highlight w:val="none"/>
        </w:rPr>
      </w:pPr>
      <w:r>
        <w:rPr>
          <w:rFonts w:hint="eastAsia"/>
          <w:color w:val="auto"/>
          <w:highlight w:val="none"/>
        </w:rPr>
        <w:t>1）点源</w:t>
      </w:r>
    </w:p>
    <w:p w14:paraId="2A6416B5">
      <w:pPr>
        <w:ind w:firstLine="470"/>
        <w:rPr>
          <w:rFonts w:hint="eastAsia"/>
          <w:color w:val="auto"/>
          <w:highlight w:val="none"/>
          <w:lang w:eastAsia="zh-CN"/>
        </w:rPr>
      </w:pPr>
      <w:r>
        <w:rPr>
          <w:rFonts w:hint="eastAsia"/>
          <w:color w:val="auto"/>
          <w:highlight w:val="none"/>
        </w:rPr>
        <w:t>点源包括工业或生活排污口、规模化畜禽养殖</w:t>
      </w:r>
      <w:r>
        <w:rPr>
          <w:rFonts w:hint="eastAsia"/>
          <w:color w:val="auto"/>
          <w:highlight w:val="none"/>
          <w:lang w:eastAsia="zh-CN"/>
        </w:rPr>
        <w:t>等</w:t>
      </w:r>
      <w:r>
        <w:rPr>
          <w:rFonts w:hint="eastAsia"/>
          <w:color w:val="auto"/>
          <w:highlight w:val="none"/>
        </w:rPr>
        <w:t>。经过实地走访调查，调查范围不存在石化、冶炼、制药、加油站、尾矿库、填埋场、工业废水排放口和规模化畜禽养殖等设施及场所</w:t>
      </w:r>
      <w:r>
        <w:rPr>
          <w:rFonts w:hint="eastAsia"/>
          <w:color w:val="auto"/>
          <w:highlight w:val="none"/>
          <w:lang w:eastAsia="zh-CN"/>
        </w:rPr>
        <w:t>。</w:t>
      </w:r>
    </w:p>
    <w:p w14:paraId="0D0B177C">
      <w:pPr>
        <w:ind w:firstLine="470"/>
        <w:rPr>
          <w:color w:val="auto"/>
          <w:highlight w:val="none"/>
        </w:rPr>
      </w:pPr>
      <w:r>
        <w:rPr>
          <w:rFonts w:hint="eastAsia"/>
          <w:color w:val="auto"/>
          <w:highlight w:val="none"/>
        </w:rPr>
        <w:t>2）非点源</w:t>
      </w:r>
    </w:p>
    <w:p w14:paraId="29A2136D">
      <w:pPr>
        <w:ind w:firstLine="470"/>
        <w:rPr>
          <w:color w:val="auto"/>
          <w:highlight w:val="none"/>
        </w:rPr>
      </w:pPr>
      <w:r>
        <w:rPr>
          <w:rFonts w:hint="eastAsia"/>
          <w:color w:val="auto"/>
          <w:highlight w:val="none"/>
        </w:rPr>
        <w:t>水源地</w:t>
      </w:r>
      <w:r>
        <w:rPr>
          <w:rFonts w:hint="eastAsia"/>
          <w:color w:val="auto"/>
          <w:highlight w:val="none"/>
          <w:lang w:eastAsia="zh-CN"/>
        </w:rPr>
        <w:t>评价范围内</w:t>
      </w:r>
      <w:r>
        <w:rPr>
          <w:rFonts w:hint="eastAsia"/>
          <w:color w:val="auto"/>
          <w:highlight w:val="none"/>
        </w:rPr>
        <w:t>污染源主要为非点源污染，包括以下两方面：一是村屯居民生活产生的生活污水、生活垃圾，畜禽养殖产生的排泄物等；二是农田施用化肥农药，不能被作物吸收利用随地表径流流失的部分。</w:t>
      </w:r>
    </w:p>
    <w:p w14:paraId="308D43EE">
      <w:pPr>
        <w:ind w:firstLine="470" w:firstLineChars="0"/>
        <w:rPr>
          <w:color w:val="auto"/>
          <w:highlight w:val="none"/>
        </w:rPr>
      </w:pPr>
      <w:r>
        <w:rPr>
          <w:rFonts w:hint="eastAsia" w:ascii="宋体" w:hAnsi="宋体"/>
          <w:color w:val="auto"/>
          <w:highlight w:val="none"/>
        </w:rPr>
        <w:t>①</w:t>
      </w:r>
      <w:r>
        <w:rPr>
          <w:rFonts w:hint="eastAsia"/>
          <w:color w:val="auto"/>
          <w:highlight w:val="none"/>
        </w:rPr>
        <w:t>居民区生活污水、生活垃圾污染</w:t>
      </w:r>
    </w:p>
    <w:p w14:paraId="5E9A2FBA">
      <w:pPr>
        <w:ind w:firstLine="470"/>
        <w:rPr>
          <w:color w:val="auto"/>
          <w:highlight w:val="none"/>
        </w:rPr>
      </w:pPr>
      <w:r>
        <w:rPr>
          <w:rFonts w:hint="eastAsia"/>
          <w:color w:val="auto"/>
          <w:highlight w:val="none"/>
        </w:rPr>
        <w:t>经过实地走访调查，调查范围内主要生活污染源为</w:t>
      </w:r>
      <w:r>
        <w:rPr>
          <w:rFonts w:hint="eastAsia"/>
          <w:color w:val="auto"/>
          <w:highlight w:val="none"/>
          <w:lang w:eastAsia="zh-CN"/>
        </w:rPr>
        <w:t>张先屯（与水井</w:t>
      </w:r>
      <w:r>
        <w:rPr>
          <w:rFonts w:hint="eastAsia"/>
          <w:color w:val="auto"/>
          <w:highlight w:val="none"/>
          <w:lang w:val="en-US" w:eastAsia="zh-CN"/>
        </w:rPr>
        <w:t>3#最近距离36米</w:t>
      </w:r>
      <w:r>
        <w:rPr>
          <w:rFonts w:hint="eastAsia"/>
          <w:color w:val="auto"/>
          <w:highlight w:val="none"/>
          <w:lang w:eastAsia="zh-CN"/>
        </w:rPr>
        <w:t>）</w:t>
      </w:r>
      <w:r>
        <w:rPr>
          <w:rFonts w:hint="eastAsia"/>
          <w:color w:val="auto"/>
          <w:highlight w:val="none"/>
        </w:rPr>
        <w:t>的农村生活污水、生活垃圾。调查范围内居民总数约为</w:t>
      </w:r>
      <w:r>
        <w:rPr>
          <w:rFonts w:hint="eastAsia"/>
          <w:color w:val="auto"/>
          <w:highlight w:val="none"/>
          <w:lang w:val="en-US" w:eastAsia="zh-CN"/>
        </w:rPr>
        <w:t>80</w:t>
      </w:r>
      <w:r>
        <w:rPr>
          <w:rFonts w:hint="eastAsia"/>
          <w:color w:val="auto"/>
          <w:highlight w:val="none"/>
        </w:rPr>
        <w:t xml:space="preserve">人，根据黑龙江省地方标准《用水定额》（DB 23/T </w:t>
      </w:r>
      <w:r>
        <w:rPr>
          <w:rFonts w:hint="eastAsia"/>
          <w:color w:val="auto"/>
          <w:highlight w:val="none"/>
          <w:lang w:eastAsia="zh-CN"/>
        </w:rPr>
        <w:t>727-2025</w:t>
      </w:r>
      <w:r>
        <w:rPr>
          <w:rFonts w:hint="eastAsia"/>
          <w:color w:val="auto"/>
          <w:highlight w:val="none"/>
        </w:rPr>
        <w:t>），生活用水按每人80升/天计，用水量为</w:t>
      </w:r>
      <w:r>
        <w:rPr>
          <w:rFonts w:hint="eastAsia"/>
          <w:color w:val="auto"/>
          <w:highlight w:val="none"/>
          <w:lang w:val="en-US" w:eastAsia="zh-CN"/>
        </w:rPr>
        <w:t>6.4</w:t>
      </w:r>
      <w:r>
        <w:rPr>
          <w:rFonts w:hint="eastAsia"/>
          <w:color w:val="auto"/>
          <w:highlight w:val="none"/>
        </w:rPr>
        <w:t>立方米/天、</w:t>
      </w:r>
      <w:r>
        <w:rPr>
          <w:rFonts w:hint="eastAsia"/>
          <w:color w:val="auto"/>
          <w:highlight w:val="none"/>
          <w:lang w:val="en-US" w:eastAsia="zh-CN"/>
        </w:rPr>
        <w:t>2336</w:t>
      </w:r>
      <w:r>
        <w:rPr>
          <w:rFonts w:hint="eastAsia"/>
          <w:color w:val="auto"/>
          <w:highlight w:val="none"/>
        </w:rPr>
        <w:t>立方米/年，</w:t>
      </w:r>
      <w:r>
        <w:rPr>
          <w:color w:val="auto"/>
          <w:highlight w:val="none"/>
        </w:rPr>
        <w:t>生活污水按用水量的80%计算，</w:t>
      </w:r>
      <w:r>
        <w:rPr>
          <w:rFonts w:hint="eastAsia"/>
          <w:color w:val="auto"/>
          <w:highlight w:val="none"/>
          <w:lang w:eastAsia="zh-CN"/>
        </w:rPr>
        <w:t>产生量</w:t>
      </w:r>
      <w:r>
        <w:rPr>
          <w:color w:val="auto"/>
          <w:highlight w:val="none"/>
        </w:rPr>
        <w:t>为</w:t>
      </w:r>
      <w:r>
        <w:rPr>
          <w:rFonts w:hint="eastAsia"/>
          <w:color w:val="auto"/>
          <w:highlight w:val="none"/>
          <w:lang w:val="en-US" w:eastAsia="zh-CN"/>
        </w:rPr>
        <w:t>5.12</w:t>
      </w:r>
      <w:r>
        <w:rPr>
          <w:rFonts w:hint="eastAsia"/>
          <w:color w:val="auto"/>
          <w:highlight w:val="none"/>
        </w:rPr>
        <w:t>立方米/天、</w:t>
      </w:r>
      <w:r>
        <w:rPr>
          <w:rFonts w:hint="eastAsia"/>
          <w:color w:val="auto"/>
          <w:highlight w:val="none"/>
          <w:lang w:val="en-US" w:eastAsia="zh-CN"/>
        </w:rPr>
        <w:t>1868.8</w:t>
      </w:r>
      <w:r>
        <w:rPr>
          <w:rFonts w:hint="eastAsia"/>
          <w:color w:val="auto"/>
          <w:highlight w:val="none"/>
        </w:rPr>
        <w:t>立方米/年，COD和氨氮的</w:t>
      </w:r>
      <w:r>
        <w:rPr>
          <w:rFonts w:hint="eastAsia"/>
          <w:color w:val="auto"/>
          <w:highlight w:val="none"/>
          <w:lang w:eastAsia="zh-CN"/>
        </w:rPr>
        <w:t>产生浓度</w:t>
      </w:r>
      <w:r>
        <w:rPr>
          <w:rFonts w:hint="eastAsia"/>
          <w:color w:val="auto"/>
          <w:highlight w:val="none"/>
        </w:rPr>
        <w:t>按300毫克/升、30毫克/升计，则COD</w:t>
      </w:r>
      <w:r>
        <w:rPr>
          <w:rFonts w:hint="eastAsia"/>
          <w:color w:val="auto"/>
          <w:highlight w:val="none"/>
          <w:lang w:eastAsia="zh-CN"/>
        </w:rPr>
        <w:t>产生量</w:t>
      </w:r>
      <w:r>
        <w:rPr>
          <w:rFonts w:hint="eastAsia"/>
          <w:color w:val="auto"/>
          <w:highlight w:val="none"/>
        </w:rPr>
        <w:t>为</w:t>
      </w:r>
      <w:r>
        <w:rPr>
          <w:rFonts w:hint="eastAsia"/>
          <w:color w:val="auto"/>
          <w:highlight w:val="none"/>
          <w:lang w:val="en-US" w:eastAsia="zh-CN"/>
        </w:rPr>
        <w:t>0.56</w:t>
      </w:r>
      <w:r>
        <w:rPr>
          <w:rFonts w:hint="eastAsia"/>
          <w:color w:val="auto"/>
          <w:highlight w:val="none"/>
        </w:rPr>
        <w:t>吨/年，氨氮</w:t>
      </w:r>
      <w:r>
        <w:rPr>
          <w:rFonts w:hint="eastAsia"/>
          <w:color w:val="auto"/>
          <w:highlight w:val="none"/>
          <w:lang w:eastAsia="zh-CN"/>
        </w:rPr>
        <w:t>产生量</w:t>
      </w:r>
      <w:r>
        <w:rPr>
          <w:rFonts w:hint="eastAsia"/>
          <w:color w:val="auto"/>
          <w:highlight w:val="none"/>
        </w:rPr>
        <w:t>为</w:t>
      </w:r>
      <w:r>
        <w:rPr>
          <w:rFonts w:hint="eastAsia"/>
          <w:color w:val="auto"/>
          <w:highlight w:val="none"/>
          <w:lang w:val="en-US" w:eastAsia="zh-CN"/>
        </w:rPr>
        <w:t>0.056</w:t>
      </w:r>
      <w:r>
        <w:rPr>
          <w:rFonts w:hint="eastAsia"/>
          <w:color w:val="auto"/>
          <w:highlight w:val="none"/>
        </w:rPr>
        <w:t>吨/年；生活垃圾按</w:t>
      </w:r>
      <w:r>
        <w:rPr>
          <w:color w:val="auto"/>
          <w:highlight w:val="none"/>
        </w:rPr>
        <w:t>0.5</w:t>
      </w:r>
      <w:r>
        <w:rPr>
          <w:rFonts w:hint="eastAsia"/>
          <w:color w:val="auto"/>
          <w:highlight w:val="none"/>
        </w:rPr>
        <w:t>千克</w:t>
      </w:r>
      <w:r>
        <w:rPr>
          <w:color w:val="auto"/>
          <w:highlight w:val="none"/>
        </w:rPr>
        <w:t>/人/天计算，</w:t>
      </w:r>
      <w:r>
        <w:rPr>
          <w:rFonts w:hint="eastAsia"/>
          <w:color w:val="auto"/>
          <w:highlight w:val="none"/>
        </w:rPr>
        <w:t>则</w:t>
      </w:r>
      <w:r>
        <w:rPr>
          <w:color w:val="auto"/>
          <w:highlight w:val="none"/>
        </w:rPr>
        <w:t>产生量为</w:t>
      </w:r>
      <w:r>
        <w:rPr>
          <w:rFonts w:hint="eastAsia"/>
          <w:color w:val="auto"/>
          <w:highlight w:val="none"/>
          <w:lang w:val="en-US" w:eastAsia="zh-CN"/>
        </w:rPr>
        <w:t>14.6</w:t>
      </w:r>
      <w:r>
        <w:rPr>
          <w:rFonts w:hint="eastAsia"/>
          <w:color w:val="auto"/>
          <w:highlight w:val="none"/>
        </w:rPr>
        <w:t>吨/年</w:t>
      </w:r>
      <w:r>
        <w:rPr>
          <w:color w:val="auto"/>
          <w:highlight w:val="none"/>
        </w:rPr>
        <w:t>。</w:t>
      </w:r>
      <w:r>
        <w:rPr>
          <w:rFonts w:hint="eastAsia"/>
          <w:color w:val="auto"/>
          <w:highlight w:val="none"/>
          <w:lang w:eastAsia="zh-CN"/>
        </w:rPr>
        <w:t>目前</w:t>
      </w:r>
      <w:r>
        <w:rPr>
          <w:rFonts w:hint="eastAsia"/>
          <w:color w:val="auto"/>
          <w:highlight w:val="none"/>
        </w:rPr>
        <w:t>居民生活污水散排，粪污进入自家旱厕</w:t>
      </w:r>
      <w:r>
        <w:rPr>
          <w:rFonts w:hint="eastAsia"/>
          <w:color w:val="auto"/>
          <w:highlight w:val="none"/>
          <w:lang w:eastAsia="zh-CN"/>
        </w:rPr>
        <w:t>；</w:t>
      </w:r>
      <w:r>
        <w:rPr>
          <w:rFonts w:hint="eastAsia"/>
          <w:color w:val="auto"/>
          <w:sz w:val="24"/>
          <w:szCs w:val="24"/>
          <w:highlight w:val="none"/>
        </w:rPr>
        <w:t>居民生活垃圾统一收集后由环卫部门进行清运，无垃圾堆放点。</w:t>
      </w:r>
    </w:p>
    <w:p w14:paraId="783E2733">
      <w:pPr>
        <w:ind w:firstLine="470"/>
        <w:rPr>
          <w:color w:val="auto"/>
          <w:highlight w:val="none"/>
        </w:rPr>
      </w:pPr>
      <w:r>
        <w:rPr>
          <w:rFonts w:hint="eastAsia"/>
          <w:color w:val="auto"/>
          <w:highlight w:val="none"/>
        </w:rPr>
        <w:t>②畜禽养殖排泄物污染</w:t>
      </w:r>
    </w:p>
    <w:p w14:paraId="29D50588">
      <w:pPr>
        <w:ind w:firstLine="470"/>
        <w:rPr>
          <w:color w:val="auto"/>
          <w:highlight w:val="none"/>
        </w:rPr>
      </w:pPr>
      <w:r>
        <w:rPr>
          <w:rFonts w:hint="eastAsia"/>
          <w:color w:val="auto"/>
          <w:highlight w:val="none"/>
        </w:rPr>
        <w:t>调查范围内</w:t>
      </w:r>
      <w:r>
        <w:rPr>
          <w:rFonts w:hint="eastAsia"/>
          <w:color w:val="auto"/>
          <w:highlight w:val="none"/>
          <w:lang w:eastAsia="zh-CN"/>
        </w:rPr>
        <w:t>存在村屯居民零散</w:t>
      </w:r>
      <w:r>
        <w:rPr>
          <w:rFonts w:hint="eastAsia"/>
          <w:color w:val="auto"/>
          <w:highlight w:val="none"/>
        </w:rPr>
        <w:t>畜禽养殖，畜禽养殖排泄物存在对地下水水质造成影响的可能性。</w:t>
      </w:r>
    </w:p>
    <w:p w14:paraId="720BD0D1">
      <w:pPr>
        <w:ind w:firstLine="470"/>
        <w:rPr>
          <w:color w:val="auto"/>
          <w:highlight w:val="none"/>
        </w:rPr>
      </w:pPr>
      <w:r>
        <w:rPr>
          <w:rFonts w:hint="eastAsia"/>
          <w:color w:val="auto"/>
          <w:highlight w:val="none"/>
        </w:rPr>
        <w:t>③化肥农药污染</w:t>
      </w:r>
    </w:p>
    <w:p w14:paraId="5A30A3CF">
      <w:pPr>
        <w:pStyle w:val="36"/>
        <w:ind w:firstLine="470"/>
        <w:rPr>
          <w:color w:val="auto"/>
          <w:kern w:val="0"/>
          <w:sz w:val="24"/>
          <w:szCs w:val="24"/>
          <w:highlight w:val="none"/>
        </w:rPr>
      </w:pPr>
      <w:r>
        <w:rPr>
          <w:rFonts w:hint="eastAsia"/>
          <w:color w:val="auto"/>
          <w:highlight w:val="none"/>
        </w:rPr>
        <w:t>调查范围内农业面源污染来自耕地使用的农药和化肥的流失，根据实地调查，</w:t>
      </w:r>
      <w:r>
        <w:rPr>
          <w:rFonts w:hint="eastAsia"/>
          <w:color w:val="auto"/>
          <w:kern w:val="0"/>
          <w:sz w:val="24"/>
          <w:szCs w:val="24"/>
          <w:highlight w:val="none"/>
        </w:rPr>
        <w:t>调查范围内约有农田</w:t>
      </w:r>
      <w:r>
        <w:rPr>
          <w:rFonts w:hint="eastAsia"/>
          <w:color w:val="auto"/>
          <w:kern w:val="0"/>
          <w:sz w:val="24"/>
          <w:szCs w:val="24"/>
          <w:highlight w:val="none"/>
          <w:lang w:val="en-US" w:eastAsia="zh-CN"/>
        </w:rPr>
        <w:t>104</w:t>
      </w:r>
      <w:r>
        <w:rPr>
          <w:rFonts w:hint="eastAsia"/>
          <w:color w:val="auto"/>
          <w:kern w:val="0"/>
          <w:sz w:val="24"/>
          <w:szCs w:val="24"/>
          <w:highlight w:val="none"/>
        </w:rPr>
        <w:t>公顷，种植作物主要为</w:t>
      </w:r>
      <w:r>
        <w:rPr>
          <w:rFonts w:hint="eastAsia"/>
          <w:color w:val="auto"/>
          <w:kern w:val="0"/>
          <w:sz w:val="24"/>
          <w:szCs w:val="24"/>
          <w:highlight w:val="none"/>
          <w:lang w:eastAsia="zh-CN"/>
        </w:rPr>
        <w:t>水稻、</w:t>
      </w:r>
      <w:r>
        <w:rPr>
          <w:rFonts w:hint="eastAsia"/>
          <w:color w:val="auto"/>
          <w:kern w:val="0"/>
          <w:sz w:val="24"/>
          <w:szCs w:val="24"/>
          <w:highlight w:val="none"/>
        </w:rPr>
        <w:t>玉米</w:t>
      </w:r>
      <w:r>
        <w:rPr>
          <w:rFonts w:hint="eastAsia"/>
          <w:color w:val="auto"/>
          <w:kern w:val="0"/>
          <w:sz w:val="24"/>
          <w:szCs w:val="24"/>
          <w:highlight w:val="none"/>
          <w:lang w:eastAsia="zh-CN"/>
        </w:rPr>
        <w:t>和大豆</w:t>
      </w:r>
      <w:r>
        <w:rPr>
          <w:rFonts w:hint="eastAsia"/>
          <w:color w:val="auto"/>
          <w:kern w:val="0"/>
          <w:sz w:val="24"/>
          <w:szCs w:val="24"/>
          <w:highlight w:val="none"/>
        </w:rPr>
        <w:t>。</w:t>
      </w:r>
      <w:r>
        <w:rPr>
          <w:rFonts w:hint="eastAsia"/>
          <w:color w:val="auto"/>
          <w:highlight w:val="none"/>
        </w:rPr>
        <w:t>水田除草剂主要有丁草胺和草克星，喷洒的杀虫剂一般为乐果，主要在作物生长期出现虫害时施用，使用量较小，但如使用不当，存在对地下水水质造成影响的可能性。</w:t>
      </w:r>
    </w:p>
    <w:p w14:paraId="0E01F01E">
      <w:pPr>
        <w:pStyle w:val="36"/>
        <w:ind w:firstLine="470"/>
        <w:rPr>
          <w:color w:val="auto"/>
          <w:highlight w:val="none"/>
        </w:rPr>
      </w:pPr>
      <w:r>
        <w:rPr>
          <w:rFonts w:hint="eastAsia"/>
          <w:color w:val="auto"/>
          <w:highlight w:val="none"/>
        </w:rPr>
        <w:t>3）固体废物堆放（填埋）场</w:t>
      </w:r>
    </w:p>
    <w:p w14:paraId="75CAB70A">
      <w:pPr>
        <w:pStyle w:val="36"/>
        <w:ind w:firstLine="470"/>
        <w:rPr>
          <w:color w:val="auto"/>
          <w:highlight w:val="none"/>
        </w:rPr>
      </w:pPr>
      <w:r>
        <w:rPr>
          <w:rFonts w:hint="eastAsia"/>
          <w:color w:val="auto"/>
          <w:highlight w:val="none"/>
        </w:rPr>
        <w:t>经走访调查，调查范围内，未发现固体废物堆放（填埋）场。</w:t>
      </w:r>
    </w:p>
    <w:p w14:paraId="65322B64">
      <w:pPr>
        <w:pStyle w:val="36"/>
        <w:ind w:firstLine="470"/>
        <w:rPr>
          <w:rFonts w:hint="eastAsia" w:eastAsia="宋体"/>
          <w:color w:val="auto"/>
          <w:highlight w:val="none"/>
          <w:lang w:eastAsia="zh-CN"/>
        </w:rPr>
      </w:pPr>
      <w:r>
        <w:rPr>
          <w:rFonts w:hint="eastAsia"/>
          <w:color w:val="auto"/>
          <w:highlight w:val="none"/>
        </w:rPr>
        <w:t>4）流动源</w:t>
      </w:r>
      <w:r>
        <w:rPr>
          <w:rFonts w:hint="eastAsia"/>
          <w:color w:val="auto"/>
          <w:highlight w:val="none"/>
          <w:lang w:eastAsia="zh-CN"/>
        </w:rPr>
        <w:t>和其他</w:t>
      </w:r>
    </w:p>
    <w:p w14:paraId="32ACCC39">
      <w:pPr>
        <w:spacing w:line="360" w:lineRule="auto"/>
        <w:ind w:firstLine="472" w:firstLineChars="200"/>
        <w:rPr>
          <w:rFonts w:hint="eastAsia"/>
          <w:color w:val="auto"/>
          <w:sz w:val="24"/>
          <w:szCs w:val="24"/>
          <w:highlight w:val="none"/>
        </w:rPr>
      </w:pPr>
      <w:r>
        <w:rPr>
          <w:rFonts w:hint="eastAsia"/>
          <w:color w:val="auto"/>
          <w:highlight w:val="none"/>
        </w:rPr>
        <w:t>经</w:t>
      </w:r>
      <w:r>
        <w:rPr>
          <w:rFonts w:hint="eastAsia"/>
          <w:color w:val="auto"/>
          <w:highlight w:val="none"/>
          <w:lang w:eastAsia="zh-CN"/>
        </w:rPr>
        <w:t>现场</w:t>
      </w:r>
      <w:r>
        <w:rPr>
          <w:rFonts w:hint="eastAsia"/>
          <w:color w:val="auto"/>
          <w:highlight w:val="none"/>
        </w:rPr>
        <w:t>调查，</w:t>
      </w:r>
      <w:r>
        <w:rPr>
          <w:rFonts w:hint="eastAsia" w:ascii="Times New Roman" w:hAnsi="Times New Roman" w:eastAsia="宋体" w:cs="Times New Roman"/>
          <w:color w:val="auto"/>
          <w:highlight w:val="none"/>
        </w:rPr>
        <w:t>调查范围内流动源为乡村道路</w:t>
      </w:r>
      <w:r>
        <w:rPr>
          <w:rFonts w:hint="eastAsia" w:cs="Times New Roman"/>
          <w:color w:val="auto"/>
          <w:highlight w:val="none"/>
          <w:lang w:eastAsia="zh-CN"/>
        </w:rPr>
        <w:t>和沟渠</w:t>
      </w:r>
      <w:r>
        <w:rPr>
          <w:rFonts w:hint="eastAsia" w:ascii="Times New Roman" w:hAnsi="Times New Roman" w:eastAsia="宋体" w:cs="Times New Roman"/>
          <w:color w:val="auto"/>
          <w:highlight w:val="none"/>
          <w:lang w:val="en-US" w:eastAsia="zh-CN"/>
        </w:rPr>
        <w:t>，</w:t>
      </w:r>
      <w:r>
        <w:rPr>
          <w:rFonts w:hint="eastAsia" w:ascii="Times New Roman" w:hAnsi="Times New Roman" w:eastAsia="宋体" w:cs="Times New Roman"/>
          <w:color w:val="auto"/>
          <w:highlight w:val="none"/>
        </w:rPr>
        <w:t>乡村道路存在拉运农药等危险物品的车辆，车</w:t>
      </w:r>
      <w:r>
        <w:rPr>
          <w:rFonts w:hint="eastAsia"/>
          <w:color w:val="auto"/>
          <w:highlight w:val="none"/>
        </w:rPr>
        <w:t>辆突发事故造成</w:t>
      </w:r>
      <w:r>
        <w:rPr>
          <w:rFonts w:hint="eastAsia"/>
          <w:color w:val="auto"/>
          <w:highlight w:val="none"/>
          <w:lang w:eastAsia="zh-CN"/>
        </w:rPr>
        <w:t>农药等</w:t>
      </w:r>
      <w:r>
        <w:rPr>
          <w:rFonts w:hint="eastAsia"/>
          <w:color w:val="auto"/>
          <w:highlight w:val="none"/>
        </w:rPr>
        <w:t>泄漏将进入地下水，存在隐患</w:t>
      </w:r>
      <w:r>
        <w:rPr>
          <w:rFonts w:hint="eastAsia"/>
          <w:color w:val="auto"/>
          <w:kern w:val="0"/>
          <w:sz w:val="24"/>
          <w:szCs w:val="24"/>
          <w:highlight w:val="none"/>
        </w:rPr>
        <w:t>，最近村道位于取水井</w:t>
      </w:r>
      <w:r>
        <w:rPr>
          <w:rFonts w:hint="eastAsia"/>
          <w:color w:val="auto"/>
          <w:kern w:val="0"/>
          <w:sz w:val="24"/>
          <w:szCs w:val="24"/>
          <w:highlight w:val="none"/>
          <w:lang w:val="en-US" w:eastAsia="zh-CN"/>
        </w:rPr>
        <w:t>2#北</w:t>
      </w:r>
      <w:r>
        <w:rPr>
          <w:rFonts w:hint="eastAsia"/>
          <w:color w:val="auto"/>
          <w:kern w:val="0"/>
          <w:sz w:val="24"/>
          <w:szCs w:val="24"/>
          <w:highlight w:val="none"/>
        </w:rPr>
        <w:t>侧</w:t>
      </w:r>
      <w:r>
        <w:rPr>
          <w:rFonts w:hint="eastAsia"/>
          <w:color w:val="auto"/>
          <w:kern w:val="0"/>
          <w:sz w:val="24"/>
          <w:szCs w:val="24"/>
          <w:highlight w:val="none"/>
          <w:lang w:val="en-US" w:eastAsia="zh-CN"/>
        </w:rPr>
        <w:t>5</w:t>
      </w:r>
      <w:r>
        <w:rPr>
          <w:rFonts w:hint="eastAsia"/>
          <w:color w:val="auto"/>
          <w:kern w:val="0"/>
          <w:sz w:val="24"/>
          <w:szCs w:val="24"/>
          <w:highlight w:val="none"/>
        </w:rPr>
        <w:t>米处。</w:t>
      </w:r>
      <w:r>
        <w:rPr>
          <w:rFonts w:hint="eastAsia"/>
          <w:color w:val="auto"/>
          <w:highlight w:val="none"/>
          <w:lang w:eastAsia="zh-CN"/>
        </w:rPr>
        <w:t>沟渠</w:t>
      </w:r>
      <w:r>
        <w:rPr>
          <w:rFonts w:hint="eastAsia" w:cs="Times New Roman"/>
          <w:color w:val="auto"/>
          <w:highlight w:val="none"/>
          <w:lang w:val="en-US" w:eastAsia="zh-CN"/>
        </w:rPr>
        <w:t>不涉及农田灌溉，</w:t>
      </w:r>
      <w:r>
        <w:rPr>
          <w:rFonts w:hint="eastAsia" w:ascii="Times New Roman" w:cs="Times New Roman"/>
          <w:color w:val="auto"/>
          <w:highlight w:val="none"/>
          <w:lang w:val="en-US" w:eastAsia="zh-CN"/>
        </w:rPr>
        <w:t>不会对地下水水质造成污染</w:t>
      </w:r>
      <w:r>
        <w:rPr>
          <w:rFonts w:hint="eastAsia" w:cs="Times New Roman"/>
          <w:color w:val="auto"/>
          <w:highlight w:val="none"/>
          <w:lang w:val="en-US" w:eastAsia="zh-CN"/>
        </w:rPr>
        <w:t>。</w:t>
      </w:r>
    </w:p>
    <w:p w14:paraId="0F64BB84">
      <w:pPr>
        <w:pStyle w:val="5"/>
        <w:bidi w:val="0"/>
        <w:ind w:firstLine="472" w:firstLineChars="200"/>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（7）绥化市庆安县平安镇饮用水水源地</w:t>
      </w:r>
    </w:p>
    <w:p w14:paraId="1D728662">
      <w:pPr>
        <w:ind w:firstLine="470"/>
        <w:rPr>
          <w:rFonts w:hint="eastAsia" w:eastAsia="宋体"/>
          <w:color w:val="auto"/>
          <w:highlight w:val="none"/>
          <w:lang w:eastAsia="zh-CN"/>
        </w:rPr>
      </w:pPr>
      <w:r>
        <w:rPr>
          <w:rFonts w:hint="eastAsia" w:ascii="Times New Roman" w:hAnsi="Times New Roman" w:eastAsia="宋体" w:cs="Times New Roman"/>
          <w:color w:val="auto"/>
          <w:kern w:val="2"/>
          <w:sz w:val="24"/>
          <w:szCs w:val="24"/>
          <w:highlight w:val="none"/>
          <w:lang w:val="en-US" w:eastAsia="zh-CN" w:bidi="ar-SA"/>
        </w:rPr>
        <w:t>绥化市庆安县平安镇饮用水水源地</w:t>
      </w:r>
      <w:r>
        <w:rPr>
          <w:rFonts w:hint="eastAsia"/>
          <w:color w:val="auto"/>
          <w:kern w:val="0"/>
          <w:sz w:val="24"/>
          <w:szCs w:val="24"/>
          <w:highlight w:val="none"/>
          <w:lang w:eastAsia="zh-CN"/>
        </w:rPr>
        <w:t>污</w:t>
      </w:r>
      <w:r>
        <w:rPr>
          <w:color w:val="auto"/>
          <w:kern w:val="0"/>
          <w:sz w:val="24"/>
          <w:szCs w:val="24"/>
          <w:highlight w:val="none"/>
        </w:rPr>
        <w:t>染源调查范围为取水井</w:t>
      </w:r>
      <w:r>
        <w:rPr>
          <w:rFonts w:hint="eastAsia"/>
          <w:color w:val="auto"/>
          <w:kern w:val="0"/>
          <w:sz w:val="24"/>
          <w:szCs w:val="24"/>
          <w:highlight w:val="none"/>
        </w:rPr>
        <w:t>上游1000</w:t>
      </w:r>
      <w:r>
        <w:rPr>
          <w:rFonts w:hint="default"/>
          <w:color w:val="auto"/>
          <w:kern w:val="0"/>
          <w:sz w:val="24"/>
          <w:szCs w:val="24"/>
          <w:highlight w:val="none"/>
          <w:lang w:val="en-US"/>
        </w:rPr>
        <w:t>米</w:t>
      </w:r>
      <w:r>
        <w:rPr>
          <w:rFonts w:hint="eastAsia"/>
          <w:color w:val="auto"/>
          <w:kern w:val="0"/>
          <w:sz w:val="24"/>
          <w:szCs w:val="24"/>
          <w:highlight w:val="none"/>
        </w:rPr>
        <w:t>、两侧及下游300</w:t>
      </w:r>
      <w:r>
        <w:rPr>
          <w:rFonts w:hint="default"/>
          <w:color w:val="auto"/>
          <w:kern w:val="0"/>
          <w:sz w:val="24"/>
          <w:szCs w:val="24"/>
          <w:highlight w:val="none"/>
          <w:lang w:val="en-US"/>
        </w:rPr>
        <w:t>米</w:t>
      </w:r>
      <w:r>
        <w:rPr>
          <w:rFonts w:hint="eastAsia"/>
          <w:color w:val="auto"/>
          <w:kern w:val="0"/>
          <w:sz w:val="24"/>
          <w:szCs w:val="24"/>
          <w:highlight w:val="none"/>
        </w:rPr>
        <w:t>区域</w:t>
      </w:r>
      <w:r>
        <w:rPr>
          <w:rFonts w:hint="eastAsia"/>
          <w:color w:val="auto"/>
          <w:kern w:val="0"/>
          <w:sz w:val="24"/>
          <w:szCs w:val="24"/>
          <w:highlight w:val="none"/>
          <w:lang w:eastAsia="zh-CN"/>
        </w:rPr>
        <w:t>，调查面积为</w:t>
      </w:r>
      <w:r>
        <w:rPr>
          <w:rFonts w:hint="eastAsia"/>
          <w:color w:val="auto"/>
          <w:kern w:val="0"/>
          <w:sz w:val="24"/>
          <w:szCs w:val="24"/>
          <w:highlight w:val="none"/>
          <w:lang w:val="en-US" w:eastAsia="zh-CN"/>
        </w:rPr>
        <w:t>94.17</w:t>
      </w:r>
      <w:r>
        <w:rPr>
          <w:rFonts w:hint="eastAsia"/>
          <w:color w:val="auto"/>
          <w:kern w:val="0"/>
          <w:sz w:val="24"/>
          <w:szCs w:val="24"/>
          <w:highlight w:val="none"/>
          <w:lang w:eastAsia="zh-CN"/>
        </w:rPr>
        <w:t>公顷。调查范围内污染情况如下：</w:t>
      </w:r>
    </w:p>
    <w:p w14:paraId="24130BBE">
      <w:pPr>
        <w:ind w:firstLine="470"/>
        <w:rPr>
          <w:color w:val="auto"/>
          <w:highlight w:val="none"/>
        </w:rPr>
      </w:pPr>
      <w:r>
        <w:rPr>
          <w:rFonts w:hint="eastAsia"/>
          <w:color w:val="auto"/>
          <w:highlight w:val="none"/>
        </w:rPr>
        <w:t>1）点源</w:t>
      </w:r>
    </w:p>
    <w:p w14:paraId="5DDAD53D">
      <w:pPr>
        <w:ind w:firstLine="470"/>
        <w:rPr>
          <w:rFonts w:hint="eastAsia"/>
          <w:color w:val="auto"/>
          <w:highlight w:val="none"/>
          <w:lang w:eastAsia="zh-CN"/>
        </w:rPr>
      </w:pPr>
      <w:r>
        <w:rPr>
          <w:rFonts w:hint="eastAsia"/>
          <w:color w:val="auto"/>
          <w:highlight w:val="none"/>
        </w:rPr>
        <w:t>点源包括工业或生活排污口、规模化畜禽养殖。经过实地走访调查，调查范围不存在石化、冶炼、制药、尾矿库、填埋场、工业废水排放口和规模化畜禽养殖等设施及场所</w:t>
      </w:r>
      <w:r>
        <w:rPr>
          <w:rFonts w:hint="eastAsia"/>
          <w:color w:val="auto"/>
          <w:highlight w:val="none"/>
          <w:lang w:eastAsia="zh-CN"/>
        </w:rPr>
        <w:t>。</w:t>
      </w:r>
    </w:p>
    <w:p w14:paraId="0EE308D0">
      <w:pPr>
        <w:keepNext w:val="0"/>
        <w:keepLines w:val="0"/>
        <w:pageBreakBefore w:val="0"/>
        <w:widowControl w:val="0"/>
        <w:kinsoku/>
        <w:wordWrap/>
        <w:overflowPunct/>
        <w:topLinePunct w:val="0"/>
        <w:autoSpaceDN/>
        <w:bidi w:val="0"/>
        <w:adjustRightInd/>
        <w:snapToGrid/>
        <w:spacing w:line="360" w:lineRule="auto"/>
        <w:ind w:firstLine="472" w:firstLineChars="200"/>
        <w:textAlignment w:val="auto"/>
        <w:rPr>
          <w:rFonts w:hint="default"/>
          <w:color w:val="auto"/>
          <w:sz w:val="24"/>
          <w:szCs w:val="24"/>
          <w:highlight w:val="none"/>
          <w:lang w:val="en-US"/>
        </w:rPr>
      </w:pPr>
      <w:r>
        <w:rPr>
          <w:rFonts w:hint="eastAsia" w:hAnsiTheme="minorEastAsia" w:eastAsiaTheme="minorEastAsia"/>
          <w:color w:val="auto"/>
          <w:szCs w:val="24"/>
          <w:highlight w:val="none"/>
        </w:rPr>
        <w:t>经调查，</w:t>
      </w:r>
      <w:r>
        <w:rPr>
          <w:rFonts w:hint="eastAsia" w:hAnsiTheme="minorEastAsia" w:eastAsiaTheme="minorEastAsia"/>
          <w:color w:val="auto"/>
          <w:szCs w:val="24"/>
          <w:highlight w:val="none"/>
          <w:lang w:eastAsia="zh-CN"/>
        </w:rPr>
        <w:t>水源地</w:t>
      </w:r>
      <w:r>
        <w:rPr>
          <w:rFonts w:hint="eastAsia"/>
          <w:color w:val="auto"/>
          <w:sz w:val="24"/>
          <w:szCs w:val="24"/>
          <w:highlight w:val="none"/>
          <w:lang w:eastAsia="zh-CN"/>
        </w:rPr>
        <w:t>取水井</w:t>
      </w:r>
      <w:r>
        <w:rPr>
          <w:rFonts w:hint="eastAsia"/>
          <w:color w:val="auto"/>
          <w:sz w:val="24"/>
          <w:szCs w:val="24"/>
          <w:highlight w:val="none"/>
          <w:lang w:val="en-US" w:eastAsia="zh-CN"/>
        </w:rPr>
        <w:t>东南</w:t>
      </w:r>
      <w:r>
        <w:rPr>
          <w:rFonts w:hint="eastAsia"/>
          <w:color w:val="auto"/>
          <w:sz w:val="24"/>
          <w:szCs w:val="24"/>
          <w:highlight w:val="none"/>
          <w:lang w:eastAsia="zh-CN"/>
        </w:rPr>
        <w:t>侧为地下水流向上游，调查区域内有</w:t>
      </w:r>
      <w:r>
        <w:rPr>
          <w:rFonts w:hint="eastAsia"/>
          <w:color w:val="auto"/>
          <w:sz w:val="24"/>
          <w:szCs w:val="24"/>
          <w:highlight w:val="none"/>
          <w:lang w:val="en-US" w:eastAsia="zh-CN"/>
        </w:rPr>
        <w:t>1处</w:t>
      </w:r>
      <w:r>
        <w:rPr>
          <w:rFonts w:hint="eastAsia"/>
          <w:color w:val="auto"/>
          <w:sz w:val="24"/>
          <w:szCs w:val="24"/>
          <w:highlight w:val="none"/>
          <w:lang w:eastAsia="zh-CN"/>
        </w:rPr>
        <w:t>平安加油站、</w:t>
      </w:r>
      <w:r>
        <w:rPr>
          <w:rFonts w:hint="eastAsia"/>
          <w:color w:val="auto"/>
          <w:sz w:val="24"/>
          <w:szCs w:val="24"/>
          <w:highlight w:val="none"/>
          <w:lang w:val="en-US" w:eastAsia="zh-CN"/>
        </w:rPr>
        <w:t>1处</w:t>
      </w:r>
      <w:r>
        <w:rPr>
          <w:rFonts w:hint="eastAsia"/>
          <w:color w:val="auto"/>
          <w:sz w:val="24"/>
          <w:szCs w:val="24"/>
          <w:highlight w:val="none"/>
          <w:lang w:eastAsia="zh-CN"/>
        </w:rPr>
        <w:t>庆安振中米业有限公司、</w:t>
      </w:r>
      <w:r>
        <w:rPr>
          <w:rFonts w:hint="eastAsia"/>
          <w:color w:val="auto"/>
          <w:sz w:val="24"/>
          <w:szCs w:val="24"/>
          <w:highlight w:val="none"/>
          <w:lang w:val="en-US" w:eastAsia="zh-CN"/>
        </w:rPr>
        <w:t>1处</w:t>
      </w:r>
      <w:r>
        <w:rPr>
          <w:rFonts w:hint="eastAsia"/>
          <w:color w:val="auto"/>
          <w:sz w:val="24"/>
          <w:szCs w:val="24"/>
          <w:highlight w:val="none"/>
          <w:lang w:eastAsia="zh-CN"/>
        </w:rPr>
        <w:t>江苏农垦标准化存储基地、</w:t>
      </w:r>
      <w:r>
        <w:rPr>
          <w:rFonts w:hint="eastAsia"/>
          <w:color w:val="auto"/>
          <w:sz w:val="24"/>
          <w:szCs w:val="24"/>
          <w:highlight w:val="none"/>
          <w:lang w:val="en-US" w:eastAsia="zh-CN"/>
        </w:rPr>
        <w:t>1处</w:t>
      </w:r>
      <w:r>
        <w:rPr>
          <w:rFonts w:hint="eastAsia"/>
          <w:color w:val="auto"/>
          <w:sz w:val="24"/>
          <w:szCs w:val="24"/>
          <w:highlight w:val="none"/>
          <w:lang w:eastAsia="zh-CN"/>
        </w:rPr>
        <w:t>庆安金忠米业有限公司、</w:t>
      </w:r>
      <w:r>
        <w:rPr>
          <w:rFonts w:hint="eastAsia"/>
          <w:color w:val="auto"/>
          <w:sz w:val="24"/>
          <w:szCs w:val="24"/>
          <w:highlight w:val="none"/>
          <w:lang w:val="en-US" w:eastAsia="zh-CN"/>
        </w:rPr>
        <w:t>1处庆安县国家现代农业产业园。</w:t>
      </w:r>
      <w:r>
        <w:rPr>
          <w:rFonts w:hint="eastAsia"/>
          <w:color w:val="auto"/>
          <w:sz w:val="24"/>
          <w:szCs w:val="24"/>
          <w:highlight w:val="none"/>
          <w:lang w:eastAsia="zh-CN"/>
        </w:rPr>
        <w:t>平安加油站距离最近的</w:t>
      </w:r>
      <w:r>
        <w:rPr>
          <w:rFonts w:hint="eastAsia"/>
          <w:color w:val="auto"/>
          <w:sz w:val="24"/>
          <w:szCs w:val="24"/>
          <w:highlight w:val="none"/>
          <w:lang w:val="en-US" w:eastAsia="zh-CN"/>
        </w:rPr>
        <w:t>2#取水</w:t>
      </w:r>
      <w:r>
        <w:rPr>
          <w:rFonts w:hint="eastAsia"/>
          <w:color w:val="auto"/>
          <w:sz w:val="24"/>
          <w:szCs w:val="24"/>
          <w:highlight w:val="none"/>
          <w:lang w:eastAsia="zh-CN"/>
        </w:rPr>
        <w:t>井</w:t>
      </w:r>
      <w:r>
        <w:rPr>
          <w:rFonts w:hint="eastAsia"/>
          <w:color w:val="auto"/>
          <w:sz w:val="24"/>
          <w:szCs w:val="24"/>
          <w:highlight w:val="none"/>
          <w:lang w:val="en-US" w:eastAsia="zh-CN"/>
        </w:rPr>
        <w:t>285米</w:t>
      </w:r>
      <w:r>
        <w:rPr>
          <w:rFonts w:hint="eastAsia"/>
          <w:color w:val="auto"/>
          <w:sz w:val="24"/>
          <w:szCs w:val="24"/>
          <w:highlight w:val="none"/>
          <w:lang w:eastAsia="zh-CN"/>
        </w:rPr>
        <w:t>，</w:t>
      </w:r>
      <w:r>
        <w:rPr>
          <w:rFonts w:hint="eastAsia"/>
          <w:color w:val="auto"/>
          <w:sz w:val="24"/>
          <w:szCs w:val="24"/>
          <w:highlight w:val="none"/>
          <w:lang w:val="en-US" w:eastAsia="zh-CN"/>
        </w:rPr>
        <w:t>加油站正常运行，加油站地面均按要求完成了防渗，储油罐均为双层罐，输油管线类型为双层管，可有效避免加油站储油罐和输油管线泄露而造成地下水污染的事故发生，加油站生活污水排入污水管网，</w:t>
      </w:r>
      <w:r>
        <w:rPr>
          <w:rFonts w:hint="eastAsia"/>
          <w:color w:val="auto"/>
          <w:highlight w:val="none"/>
        </w:rPr>
        <w:t>生活垃圾收集</w:t>
      </w:r>
      <w:r>
        <w:rPr>
          <w:rFonts w:hint="eastAsia"/>
          <w:color w:val="auto"/>
          <w:highlight w:val="none"/>
          <w:lang w:eastAsia="zh-CN"/>
        </w:rPr>
        <w:t>至垃圾投放箱</w:t>
      </w:r>
      <w:r>
        <w:rPr>
          <w:rFonts w:hint="eastAsia"/>
          <w:color w:val="auto"/>
          <w:highlight w:val="none"/>
        </w:rPr>
        <w:t>后由环卫部门进行清运</w:t>
      </w:r>
      <w:r>
        <w:rPr>
          <w:rFonts w:hint="eastAsia"/>
          <w:color w:val="auto"/>
          <w:sz w:val="24"/>
          <w:szCs w:val="24"/>
          <w:highlight w:val="none"/>
          <w:lang w:val="en-US" w:eastAsia="zh-CN"/>
        </w:rPr>
        <w:t>；</w:t>
      </w:r>
      <w:r>
        <w:rPr>
          <w:rFonts w:hint="eastAsia"/>
          <w:color w:val="auto"/>
          <w:sz w:val="24"/>
          <w:szCs w:val="24"/>
          <w:highlight w:val="none"/>
          <w:lang w:eastAsia="zh-CN"/>
        </w:rPr>
        <w:t>庆安振中米业有限公司距离最近的</w:t>
      </w:r>
      <w:r>
        <w:rPr>
          <w:rFonts w:hint="eastAsia"/>
          <w:color w:val="auto"/>
          <w:sz w:val="24"/>
          <w:szCs w:val="24"/>
          <w:highlight w:val="none"/>
          <w:lang w:val="en-US" w:eastAsia="zh-CN"/>
        </w:rPr>
        <w:t>2#取水</w:t>
      </w:r>
      <w:r>
        <w:rPr>
          <w:rFonts w:hint="eastAsia"/>
          <w:color w:val="auto"/>
          <w:sz w:val="24"/>
          <w:szCs w:val="24"/>
          <w:highlight w:val="none"/>
          <w:lang w:eastAsia="zh-CN"/>
        </w:rPr>
        <w:t>井</w:t>
      </w:r>
      <w:r>
        <w:rPr>
          <w:rFonts w:hint="eastAsia"/>
          <w:color w:val="auto"/>
          <w:sz w:val="24"/>
          <w:szCs w:val="24"/>
          <w:highlight w:val="none"/>
          <w:lang w:val="en-US" w:eastAsia="zh-CN"/>
        </w:rPr>
        <w:t>364米</w:t>
      </w:r>
      <w:r>
        <w:rPr>
          <w:rFonts w:hint="eastAsia"/>
          <w:color w:val="auto"/>
          <w:sz w:val="24"/>
          <w:szCs w:val="24"/>
          <w:highlight w:val="none"/>
          <w:lang w:eastAsia="zh-CN"/>
        </w:rPr>
        <w:t>，</w:t>
      </w:r>
      <w:r>
        <w:rPr>
          <w:rFonts w:hint="eastAsia"/>
          <w:color w:val="auto"/>
          <w:sz w:val="24"/>
          <w:szCs w:val="24"/>
          <w:highlight w:val="none"/>
          <w:lang w:val="en-US" w:eastAsia="zh-CN"/>
        </w:rPr>
        <w:t>粮库无生产废水，生活污水排入污水管网，</w:t>
      </w:r>
      <w:r>
        <w:rPr>
          <w:rFonts w:hint="eastAsia"/>
          <w:color w:val="auto"/>
          <w:highlight w:val="none"/>
        </w:rPr>
        <w:t>生活垃圾收集</w:t>
      </w:r>
      <w:r>
        <w:rPr>
          <w:rFonts w:hint="eastAsia"/>
          <w:color w:val="auto"/>
          <w:highlight w:val="none"/>
          <w:lang w:eastAsia="zh-CN"/>
        </w:rPr>
        <w:t>至垃圾投放箱</w:t>
      </w:r>
      <w:r>
        <w:rPr>
          <w:rFonts w:hint="eastAsia"/>
          <w:color w:val="auto"/>
          <w:highlight w:val="none"/>
        </w:rPr>
        <w:t>后由环卫部门进行清运</w:t>
      </w:r>
      <w:r>
        <w:rPr>
          <w:rFonts w:hint="eastAsia"/>
          <w:color w:val="auto"/>
          <w:sz w:val="24"/>
          <w:szCs w:val="24"/>
          <w:highlight w:val="none"/>
          <w:lang w:val="en-US" w:eastAsia="zh-CN"/>
        </w:rPr>
        <w:t>；</w:t>
      </w:r>
      <w:r>
        <w:rPr>
          <w:rFonts w:hint="eastAsia"/>
          <w:color w:val="auto"/>
          <w:sz w:val="24"/>
          <w:szCs w:val="24"/>
          <w:highlight w:val="none"/>
          <w:lang w:eastAsia="zh-CN"/>
        </w:rPr>
        <w:t>江苏农垦标准化存储基地距离最近的</w:t>
      </w:r>
      <w:r>
        <w:rPr>
          <w:rFonts w:hint="eastAsia"/>
          <w:color w:val="auto"/>
          <w:sz w:val="24"/>
          <w:szCs w:val="24"/>
          <w:highlight w:val="none"/>
          <w:lang w:val="en-US" w:eastAsia="zh-CN"/>
        </w:rPr>
        <w:t>2#取水</w:t>
      </w:r>
      <w:r>
        <w:rPr>
          <w:rFonts w:hint="eastAsia"/>
          <w:color w:val="auto"/>
          <w:sz w:val="24"/>
          <w:szCs w:val="24"/>
          <w:highlight w:val="none"/>
          <w:lang w:eastAsia="zh-CN"/>
        </w:rPr>
        <w:t>井</w:t>
      </w:r>
      <w:r>
        <w:rPr>
          <w:rFonts w:hint="eastAsia"/>
          <w:color w:val="auto"/>
          <w:sz w:val="24"/>
          <w:szCs w:val="24"/>
          <w:highlight w:val="none"/>
          <w:lang w:val="en-US" w:eastAsia="zh-CN"/>
        </w:rPr>
        <w:t>75米</w:t>
      </w:r>
      <w:r>
        <w:rPr>
          <w:rFonts w:hint="eastAsia"/>
          <w:color w:val="auto"/>
          <w:sz w:val="24"/>
          <w:szCs w:val="24"/>
          <w:highlight w:val="none"/>
          <w:lang w:eastAsia="zh-CN"/>
        </w:rPr>
        <w:t>，存储基地</w:t>
      </w:r>
      <w:r>
        <w:rPr>
          <w:rFonts w:hint="eastAsia"/>
          <w:color w:val="auto"/>
          <w:sz w:val="24"/>
          <w:szCs w:val="24"/>
          <w:highlight w:val="none"/>
          <w:lang w:val="en-US" w:eastAsia="zh-CN"/>
        </w:rPr>
        <w:t>无生产废水，生活污水排入污水管网，</w:t>
      </w:r>
      <w:r>
        <w:rPr>
          <w:rFonts w:hint="eastAsia"/>
          <w:color w:val="auto"/>
          <w:highlight w:val="none"/>
        </w:rPr>
        <w:t>生活垃圾收集</w:t>
      </w:r>
      <w:r>
        <w:rPr>
          <w:rFonts w:hint="eastAsia"/>
          <w:color w:val="auto"/>
          <w:highlight w:val="none"/>
          <w:lang w:eastAsia="zh-CN"/>
        </w:rPr>
        <w:t>至垃圾投放箱</w:t>
      </w:r>
      <w:r>
        <w:rPr>
          <w:rFonts w:hint="eastAsia"/>
          <w:color w:val="auto"/>
          <w:highlight w:val="none"/>
        </w:rPr>
        <w:t>后由环卫部门进行清运</w:t>
      </w:r>
      <w:r>
        <w:rPr>
          <w:rFonts w:hint="eastAsia"/>
          <w:color w:val="auto"/>
          <w:sz w:val="24"/>
          <w:szCs w:val="24"/>
          <w:highlight w:val="none"/>
          <w:lang w:val="en-US" w:eastAsia="zh-CN"/>
        </w:rPr>
        <w:t>；</w:t>
      </w:r>
      <w:r>
        <w:rPr>
          <w:rFonts w:hint="eastAsia"/>
          <w:color w:val="auto"/>
          <w:sz w:val="24"/>
          <w:szCs w:val="24"/>
          <w:highlight w:val="none"/>
          <w:lang w:eastAsia="zh-CN"/>
        </w:rPr>
        <w:t>庆安金忠米业有限公司距离最近的</w:t>
      </w:r>
      <w:r>
        <w:rPr>
          <w:rFonts w:hint="eastAsia"/>
          <w:color w:val="auto"/>
          <w:sz w:val="24"/>
          <w:szCs w:val="24"/>
          <w:highlight w:val="none"/>
          <w:lang w:val="en-US" w:eastAsia="zh-CN"/>
        </w:rPr>
        <w:t>2#取水</w:t>
      </w:r>
      <w:r>
        <w:rPr>
          <w:rFonts w:hint="eastAsia"/>
          <w:color w:val="auto"/>
          <w:sz w:val="24"/>
          <w:szCs w:val="24"/>
          <w:highlight w:val="none"/>
          <w:lang w:eastAsia="zh-CN"/>
        </w:rPr>
        <w:t>井</w:t>
      </w:r>
      <w:r>
        <w:rPr>
          <w:rFonts w:hint="eastAsia"/>
          <w:color w:val="auto"/>
          <w:sz w:val="24"/>
          <w:szCs w:val="24"/>
          <w:highlight w:val="none"/>
          <w:lang w:val="en-US" w:eastAsia="zh-CN"/>
        </w:rPr>
        <w:t>180米，粮库无生产废水，生活污水排入污水管网，</w:t>
      </w:r>
      <w:r>
        <w:rPr>
          <w:rFonts w:hint="eastAsia"/>
          <w:color w:val="auto"/>
          <w:highlight w:val="none"/>
        </w:rPr>
        <w:t>生活垃圾收集</w:t>
      </w:r>
      <w:r>
        <w:rPr>
          <w:rFonts w:hint="eastAsia"/>
          <w:color w:val="auto"/>
          <w:highlight w:val="none"/>
          <w:lang w:eastAsia="zh-CN"/>
        </w:rPr>
        <w:t>至垃圾投放箱</w:t>
      </w:r>
      <w:r>
        <w:rPr>
          <w:rFonts w:hint="eastAsia"/>
          <w:color w:val="auto"/>
          <w:highlight w:val="none"/>
        </w:rPr>
        <w:t>后由环卫部门进行清运</w:t>
      </w:r>
      <w:r>
        <w:rPr>
          <w:rFonts w:hint="eastAsia"/>
          <w:color w:val="auto"/>
          <w:sz w:val="24"/>
          <w:szCs w:val="24"/>
          <w:highlight w:val="none"/>
          <w:lang w:val="en-US" w:eastAsia="zh-CN"/>
        </w:rPr>
        <w:t>；庆安县国家现代农业产业园，</w:t>
      </w:r>
      <w:r>
        <w:rPr>
          <w:rFonts w:hint="eastAsia"/>
          <w:color w:val="auto"/>
          <w:sz w:val="24"/>
          <w:szCs w:val="24"/>
          <w:highlight w:val="none"/>
          <w:lang w:eastAsia="zh-CN"/>
        </w:rPr>
        <w:t>距离最近的</w:t>
      </w:r>
      <w:r>
        <w:rPr>
          <w:rFonts w:hint="eastAsia"/>
          <w:color w:val="auto"/>
          <w:sz w:val="24"/>
          <w:szCs w:val="24"/>
          <w:highlight w:val="none"/>
          <w:lang w:val="en-US" w:eastAsia="zh-CN"/>
        </w:rPr>
        <w:t>2#取水</w:t>
      </w:r>
      <w:r>
        <w:rPr>
          <w:rFonts w:hint="eastAsia"/>
          <w:color w:val="auto"/>
          <w:sz w:val="24"/>
          <w:szCs w:val="24"/>
          <w:highlight w:val="none"/>
          <w:lang w:eastAsia="zh-CN"/>
        </w:rPr>
        <w:t>井</w:t>
      </w:r>
      <w:r>
        <w:rPr>
          <w:rFonts w:hint="eastAsia"/>
          <w:color w:val="auto"/>
          <w:sz w:val="24"/>
          <w:szCs w:val="24"/>
          <w:highlight w:val="none"/>
          <w:lang w:val="en-US" w:eastAsia="zh-CN"/>
        </w:rPr>
        <w:t>565米，生活污水排入污水管网，</w:t>
      </w:r>
      <w:r>
        <w:rPr>
          <w:rFonts w:hint="eastAsia"/>
          <w:color w:val="auto"/>
          <w:highlight w:val="none"/>
        </w:rPr>
        <w:t>生活垃圾收集</w:t>
      </w:r>
      <w:r>
        <w:rPr>
          <w:rFonts w:hint="eastAsia"/>
          <w:color w:val="auto"/>
          <w:highlight w:val="none"/>
          <w:lang w:eastAsia="zh-CN"/>
        </w:rPr>
        <w:t>至垃圾投放箱</w:t>
      </w:r>
      <w:r>
        <w:rPr>
          <w:rFonts w:hint="eastAsia"/>
          <w:color w:val="auto"/>
          <w:highlight w:val="none"/>
        </w:rPr>
        <w:t>后由环卫部门进行清运</w:t>
      </w:r>
      <w:r>
        <w:rPr>
          <w:rFonts w:hint="eastAsia"/>
          <w:color w:val="auto"/>
          <w:sz w:val="24"/>
          <w:szCs w:val="24"/>
          <w:highlight w:val="none"/>
          <w:lang w:val="en-US" w:eastAsia="zh-CN"/>
        </w:rPr>
        <w:t>。</w:t>
      </w:r>
    </w:p>
    <w:tbl>
      <w:tblPr>
        <w:tblStyle w:val="2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72"/>
        <w:gridCol w:w="4601"/>
      </w:tblGrid>
      <w:tr w14:paraId="1843B3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12" w:type="dxa"/>
          </w:tcPr>
          <w:p w14:paraId="1E6FBEB0">
            <w:pPr>
              <w:pStyle w:val="28"/>
              <w:rPr>
                <w:color w:val="auto"/>
                <w:highlight w:val="none"/>
              </w:rPr>
            </w:pPr>
            <w:r>
              <w:rPr>
                <w:color w:val="auto"/>
                <w:highlight w:val="none"/>
              </w:rPr>
              <w:drawing>
                <wp:inline distT="0" distB="0" distL="114300" distR="114300">
                  <wp:extent cx="2625090" cy="2318385"/>
                  <wp:effectExtent l="0" t="0" r="3810" b="5715"/>
                  <wp:docPr id="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
                          <pic:cNvPicPr>
                            <a:picLocks noChangeAspect="1"/>
                          </pic:cNvPicPr>
                        </pic:nvPicPr>
                        <pic:blipFill>
                          <a:blip r:embed="rId79"/>
                          <a:stretch>
                            <a:fillRect/>
                          </a:stretch>
                        </pic:blipFill>
                        <pic:spPr>
                          <a:xfrm>
                            <a:off x="0" y="0"/>
                            <a:ext cx="2625090" cy="2318385"/>
                          </a:xfrm>
                          <a:prstGeom prst="rect">
                            <a:avLst/>
                          </a:prstGeom>
                          <a:noFill/>
                          <a:ln>
                            <a:noFill/>
                          </a:ln>
                        </pic:spPr>
                      </pic:pic>
                    </a:graphicData>
                  </a:graphic>
                </wp:inline>
              </w:drawing>
            </w:r>
          </w:p>
        </w:tc>
        <w:tc>
          <w:tcPr>
            <w:tcW w:w="4661" w:type="dxa"/>
          </w:tcPr>
          <w:p w14:paraId="2B4E74B7">
            <w:pPr>
              <w:pStyle w:val="28"/>
              <w:rPr>
                <w:rFonts w:hint="eastAsia" w:eastAsia="黑体"/>
                <w:color w:val="auto"/>
                <w:highlight w:val="none"/>
                <w:vertAlign w:val="baseline"/>
                <w:lang w:eastAsia="zh-CN"/>
              </w:rPr>
            </w:pPr>
            <w:r>
              <w:rPr>
                <w:color w:val="auto"/>
                <w:highlight w:val="none"/>
              </w:rPr>
              <w:drawing>
                <wp:inline distT="0" distB="0" distL="114300" distR="114300">
                  <wp:extent cx="2804795" cy="2393950"/>
                  <wp:effectExtent l="0" t="0" r="14605" b="6350"/>
                  <wp:docPr id="6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3"/>
                          <pic:cNvPicPr>
                            <a:picLocks noChangeAspect="1"/>
                          </pic:cNvPicPr>
                        </pic:nvPicPr>
                        <pic:blipFill>
                          <a:blip r:embed="rId80"/>
                          <a:stretch>
                            <a:fillRect/>
                          </a:stretch>
                        </pic:blipFill>
                        <pic:spPr>
                          <a:xfrm>
                            <a:off x="0" y="0"/>
                            <a:ext cx="2804795" cy="2393950"/>
                          </a:xfrm>
                          <a:prstGeom prst="rect">
                            <a:avLst/>
                          </a:prstGeom>
                          <a:noFill/>
                          <a:ln>
                            <a:noFill/>
                          </a:ln>
                        </pic:spPr>
                      </pic:pic>
                    </a:graphicData>
                  </a:graphic>
                </wp:inline>
              </w:drawing>
            </w:r>
          </w:p>
        </w:tc>
      </w:tr>
      <w:tr w14:paraId="2CED1B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12" w:type="dxa"/>
          </w:tcPr>
          <w:p w14:paraId="486827A2">
            <w:pPr>
              <w:pStyle w:val="28"/>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平安加油站</w:t>
            </w:r>
          </w:p>
        </w:tc>
        <w:tc>
          <w:tcPr>
            <w:tcW w:w="4661" w:type="dxa"/>
          </w:tcPr>
          <w:p w14:paraId="07885C97">
            <w:pPr>
              <w:pStyle w:val="28"/>
              <w:rPr>
                <w:rFonts w:hint="eastAsia" w:ascii="宋体" w:hAnsi="宋体" w:eastAsia="宋体" w:cs="宋体"/>
                <w:color w:val="auto"/>
                <w:sz w:val="21"/>
                <w:szCs w:val="21"/>
                <w:highlight w:val="none"/>
                <w:vertAlign w:val="baseline"/>
                <w:lang w:eastAsia="zh-CN"/>
              </w:rPr>
            </w:pPr>
            <w:r>
              <w:rPr>
                <w:rFonts w:hint="eastAsia" w:ascii="宋体" w:hAnsi="宋体" w:eastAsia="宋体" w:cs="宋体"/>
                <w:color w:val="auto"/>
                <w:sz w:val="21"/>
                <w:szCs w:val="21"/>
                <w:highlight w:val="none"/>
                <w:lang w:eastAsia="zh-CN"/>
              </w:rPr>
              <w:t>江苏农垦标准化存储基地</w:t>
            </w:r>
          </w:p>
        </w:tc>
      </w:tr>
      <w:tr w14:paraId="7AD562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12" w:type="dxa"/>
          </w:tcPr>
          <w:p w14:paraId="721923EE">
            <w:pPr>
              <w:pStyle w:val="28"/>
              <w:rPr>
                <w:rFonts w:hint="eastAsia" w:ascii="宋体" w:hAnsi="宋体" w:eastAsia="宋体" w:cs="宋体"/>
                <w:color w:val="auto"/>
                <w:sz w:val="21"/>
                <w:szCs w:val="21"/>
                <w:highlight w:val="none"/>
                <w:vertAlign w:val="baseline"/>
                <w:lang w:eastAsia="zh-CN"/>
              </w:rPr>
            </w:pPr>
            <w:r>
              <w:rPr>
                <w:rFonts w:hint="eastAsia" w:ascii="宋体" w:hAnsi="宋体" w:eastAsia="宋体" w:cs="宋体"/>
                <w:color w:val="auto"/>
                <w:sz w:val="21"/>
                <w:szCs w:val="21"/>
                <w:highlight w:val="none"/>
              </w:rPr>
              <w:drawing>
                <wp:inline distT="0" distB="0" distL="114300" distR="114300">
                  <wp:extent cx="2795905" cy="2193925"/>
                  <wp:effectExtent l="0" t="0" r="4445" b="15875"/>
                  <wp:docPr id="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2"/>
                          <pic:cNvPicPr>
                            <a:picLocks noChangeAspect="1"/>
                          </pic:cNvPicPr>
                        </pic:nvPicPr>
                        <pic:blipFill>
                          <a:blip r:embed="rId81"/>
                          <a:stretch>
                            <a:fillRect/>
                          </a:stretch>
                        </pic:blipFill>
                        <pic:spPr>
                          <a:xfrm>
                            <a:off x="0" y="0"/>
                            <a:ext cx="2795905" cy="2193925"/>
                          </a:xfrm>
                          <a:prstGeom prst="rect">
                            <a:avLst/>
                          </a:prstGeom>
                          <a:noFill/>
                          <a:ln>
                            <a:noFill/>
                          </a:ln>
                        </pic:spPr>
                      </pic:pic>
                    </a:graphicData>
                  </a:graphic>
                </wp:inline>
              </w:drawing>
            </w:r>
          </w:p>
        </w:tc>
        <w:tc>
          <w:tcPr>
            <w:tcW w:w="4661" w:type="dxa"/>
          </w:tcPr>
          <w:p w14:paraId="609DAB1E">
            <w:pPr>
              <w:pStyle w:val="28"/>
              <w:rPr>
                <w:rFonts w:hint="eastAsia" w:ascii="宋体" w:hAnsi="宋体" w:eastAsia="宋体" w:cs="宋体"/>
                <w:color w:val="auto"/>
                <w:sz w:val="21"/>
                <w:szCs w:val="21"/>
                <w:highlight w:val="none"/>
                <w:vertAlign w:val="baseline"/>
                <w:lang w:eastAsia="zh-CN"/>
              </w:rPr>
            </w:pPr>
            <w:r>
              <w:rPr>
                <w:rFonts w:hint="eastAsia" w:ascii="宋体" w:hAnsi="宋体" w:eastAsia="宋体" w:cs="宋体"/>
                <w:color w:val="auto"/>
                <w:sz w:val="21"/>
                <w:szCs w:val="21"/>
                <w:highlight w:val="none"/>
              </w:rPr>
              <w:drawing>
                <wp:inline distT="0" distB="0" distL="114300" distR="114300">
                  <wp:extent cx="2579370" cy="2279015"/>
                  <wp:effectExtent l="0" t="0" r="11430" b="6985"/>
                  <wp:docPr id="7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4"/>
                          <pic:cNvPicPr>
                            <a:picLocks noChangeAspect="1"/>
                          </pic:cNvPicPr>
                        </pic:nvPicPr>
                        <pic:blipFill>
                          <a:blip r:embed="rId82"/>
                          <a:stretch>
                            <a:fillRect/>
                          </a:stretch>
                        </pic:blipFill>
                        <pic:spPr>
                          <a:xfrm>
                            <a:off x="0" y="0"/>
                            <a:ext cx="2579370" cy="2279015"/>
                          </a:xfrm>
                          <a:prstGeom prst="rect">
                            <a:avLst/>
                          </a:prstGeom>
                          <a:noFill/>
                          <a:ln>
                            <a:noFill/>
                          </a:ln>
                        </pic:spPr>
                      </pic:pic>
                    </a:graphicData>
                  </a:graphic>
                </wp:inline>
              </w:drawing>
            </w:r>
          </w:p>
        </w:tc>
      </w:tr>
      <w:tr w14:paraId="3086DF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12" w:type="dxa"/>
          </w:tcPr>
          <w:p w14:paraId="5030FA7E">
            <w:pPr>
              <w:pStyle w:val="28"/>
              <w:rPr>
                <w:rFonts w:hint="eastAsia" w:ascii="宋体" w:hAnsi="宋体" w:eastAsia="宋体" w:cs="宋体"/>
                <w:color w:val="auto"/>
                <w:sz w:val="21"/>
                <w:szCs w:val="21"/>
                <w:highlight w:val="none"/>
                <w:vertAlign w:val="baseline"/>
                <w:lang w:eastAsia="zh-CN"/>
              </w:rPr>
            </w:pPr>
            <w:r>
              <w:rPr>
                <w:rFonts w:hint="eastAsia" w:ascii="宋体" w:hAnsi="宋体" w:eastAsia="宋体" w:cs="宋体"/>
                <w:color w:val="auto"/>
                <w:sz w:val="21"/>
                <w:szCs w:val="21"/>
                <w:highlight w:val="none"/>
                <w:lang w:eastAsia="zh-CN"/>
              </w:rPr>
              <w:t>庆安振中米业有限公司</w:t>
            </w:r>
          </w:p>
        </w:tc>
        <w:tc>
          <w:tcPr>
            <w:tcW w:w="4661" w:type="dxa"/>
          </w:tcPr>
          <w:p w14:paraId="56D125DC">
            <w:pPr>
              <w:pStyle w:val="28"/>
              <w:rPr>
                <w:rFonts w:hint="eastAsia" w:ascii="宋体" w:hAnsi="宋体" w:eastAsia="宋体" w:cs="宋体"/>
                <w:color w:val="auto"/>
                <w:sz w:val="21"/>
                <w:szCs w:val="21"/>
                <w:highlight w:val="none"/>
                <w:vertAlign w:val="baseline"/>
                <w:lang w:eastAsia="zh-CN"/>
              </w:rPr>
            </w:pPr>
            <w:r>
              <w:rPr>
                <w:rFonts w:hint="eastAsia" w:ascii="宋体" w:hAnsi="宋体" w:eastAsia="宋体" w:cs="宋体"/>
                <w:color w:val="auto"/>
                <w:sz w:val="21"/>
                <w:szCs w:val="21"/>
                <w:highlight w:val="none"/>
                <w:lang w:eastAsia="zh-CN"/>
              </w:rPr>
              <w:t>庆安金忠米业有限公司</w:t>
            </w:r>
          </w:p>
        </w:tc>
      </w:tr>
      <w:tr w14:paraId="4ABADF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73" w:type="dxa"/>
            <w:gridSpan w:val="2"/>
          </w:tcPr>
          <w:p w14:paraId="1B779D81">
            <w:pPr>
              <w:pStyle w:val="28"/>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rPr>
              <w:drawing>
                <wp:inline distT="0" distB="0" distL="114300" distR="114300">
                  <wp:extent cx="2820035" cy="2169795"/>
                  <wp:effectExtent l="0" t="0" r="18415" b="1905"/>
                  <wp:docPr id="1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3"/>
                          <pic:cNvPicPr>
                            <a:picLocks noChangeAspect="1"/>
                          </pic:cNvPicPr>
                        </pic:nvPicPr>
                        <pic:blipFill>
                          <a:blip r:embed="rId83"/>
                          <a:stretch>
                            <a:fillRect/>
                          </a:stretch>
                        </pic:blipFill>
                        <pic:spPr>
                          <a:xfrm>
                            <a:off x="0" y="0"/>
                            <a:ext cx="2820035" cy="2169795"/>
                          </a:xfrm>
                          <a:prstGeom prst="rect">
                            <a:avLst/>
                          </a:prstGeom>
                          <a:noFill/>
                          <a:ln>
                            <a:noFill/>
                          </a:ln>
                        </pic:spPr>
                      </pic:pic>
                    </a:graphicData>
                  </a:graphic>
                </wp:inline>
              </w:drawing>
            </w:r>
          </w:p>
        </w:tc>
      </w:tr>
      <w:tr w14:paraId="7AFE3C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73" w:type="dxa"/>
            <w:gridSpan w:val="2"/>
          </w:tcPr>
          <w:p w14:paraId="40AC65D0">
            <w:pPr>
              <w:pStyle w:val="28"/>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val="en-US" w:eastAsia="zh-CN"/>
              </w:rPr>
              <w:t>庆安县国家现代农业产业园</w:t>
            </w:r>
          </w:p>
        </w:tc>
      </w:tr>
    </w:tbl>
    <w:p w14:paraId="11070AB5">
      <w:pPr>
        <w:pStyle w:val="28"/>
        <w:rPr>
          <w:rFonts w:hint="default"/>
          <w:color w:val="auto"/>
          <w:highlight w:val="none"/>
        </w:rPr>
      </w:pPr>
      <w:r>
        <w:rPr>
          <w:color w:val="auto"/>
          <w:highlight w:val="none"/>
        </w:rPr>
        <w:t>图2-1</w:t>
      </w:r>
      <w:r>
        <w:rPr>
          <w:rFonts w:hint="eastAsia"/>
          <w:color w:val="auto"/>
          <w:highlight w:val="none"/>
          <w:lang w:val="en-US" w:eastAsia="zh-CN"/>
        </w:rPr>
        <w:t>7</w:t>
      </w:r>
      <w:r>
        <w:rPr>
          <w:color w:val="auto"/>
          <w:highlight w:val="none"/>
        </w:rPr>
        <w:t xml:space="preserve"> </w:t>
      </w:r>
      <w:r>
        <w:rPr>
          <w:rFonts w:hint="eastAsia"/>
          <w:color w:val="auto"/>
          <w:highlight w:val="none"/>
          <w:lang w:val="en-US" w:eastAsia="zh-CN"/>
        </w:rPr>
        <w:t xml:space="preserve"> </w:t>
      </w:r>
      <w:r>
        <w:rPr>
          <w:color w:val="auto"/>
          <w:highlight w:val="none"/>
        </w:rPr>
        <w:t>点源现状</w:t>
      </w:r>
    </w:p>
    <w:p w14:paraId="5676C95B">
      <w:pPr>
        <w:ind w:firstLine="470"/>
        <w:rPr>
          <w:color w:val="auto"/>
          <w:highlight w:val="none"/>
        </w:rPr>
      </w:pPr>
      <w:r>
        <w:rPr>
          <w:rFonts w:hint="eastAsia"/>
          <w:color w:val="auto"/>
          <w:highlight w:val="none"/>
        </w:rPr>
        <w:t>2）非点源</w:t>
      </w:r>
    </w:p>
    <w:p w14:paraId="29BBFAD6">
      <w:pPr>
        <w:ind w:firstLine="470"/>
        <w:rPr>
          <w:color w:val="auto"/>
          <w:highlight w:val="none"/>
        </w:rPr>
      </w:pPr>
      <w:r>
        <w:rPr>
          <w:rFonts w:hint="eastAsia"/>
          <w:color w:val="auto"/>
          <w:highlight w:val="none"/>
        </w:rPr>
        <w:t>水源地</w:t>
      </w:r>
      <w:r>
        <w:rPr>
          <w:rFonts w:hint="eastAsia"/>
          <w:color w:val="auto"/>
          <w:highlight w:val="none"/>
          <w:lang w:eastAsia="zh-CN"/>
        </w:rPr>
        <w:t>评价范围内</w:t>
      </w:r>
      <w:r>
        <w:rPr>
          <w:rFonts w:hint="eastAsia"/>
          <w:color w:val="auto"/>
          <w:highlight w:val="none"/>
        </w:rPr>
        <w:t>污染源主要为非点源污染，包括以下两方面：一是村屯居民生活产生的生活污水、生活垃圾，畜禽养殖产生的排泄物等；二是农田施用化肥农药，不能被作物吸收利用随地表径流流失的部分。</w:t>
      </w:r>
    </w:p>
    <w:p w14:paraId="48101620">
      <w:pPr>
        <w:ind w:firstLine="470" w:firstLineChars="0"/>
        <w:rPr>
          <w:color w:val="auto"/>
          <w:highlight w:val="none"/>
        </w:rPr>
      </w:pPr>
      <w:r>
        <w:rPr>
          <w:rFonts w:hint="eastAsia" w:ascii="宋体" w:hAnsi="宋体"/>
          <w:color w:val="auto"/>
          <w:highlight w:val="none"/>
        </w:rPr>
        <w:t>①</w:t>
      </w:r>
      <w:r>
        <w:rPr>
          <w:rFonts w:hint="eastAsia"/>
          <w:color w:val="auto"/>
          <w:highlight w:val="none"/>
        </w:rPr>
        <w:t>居民区生活污水、生活垃圾污染</w:t>
      </w:r>
    </w:p>
    <w:p w14:paraId="21FCB3AF">
      <w:pPr>
        <w:ind w:firstLine="470"/>
        <w:rPr>
          <w:color w:val="auto"/>
          <w:highlight w:val="none"/>
        </w:rPr>
      </w:pPr>
      <w:r>
        <w:rPr>
          <w:rFonts w:hint="eastAsia"/>
          <w:color w:val="auto"/>
          <w:highlight w:val="none"/>
        </w:rPr>
        <w:t>经过实地走访调查，调查范围内主要生活污染源为</w:t>
      </w:r>
      <w:r>
        <w:rPr>
          <w:rFonts w:hint="eastAsia"/>
          <w:color w:val="auto"/>
          <w:highlight w:val="none"/>
          <w:lang w:eastAsia="zh-CN"/>
        </w:rPr>
        <w:t>平安镇（与水井</w:t>
      </w:r>
      <w:r>
        <w:rPr>
          <w:rFonts w:hint="eastAsia"/>
          <w:color w:val="auto"/>
          <w:highlight w:val="none"/>
          <w:lang w:val="en-US" w:eastAsia="zh-CN"/>
        </w:rPr>
        <w:t>2#最近距离30米</w:t>
      </w:r>
      <w:r>
        <w:rPr>
          <w:rFonts w:hint="eastAsia"/>
          <w:color w:val="auto"/>
          <w:highlight w:val="none"/>
          <w:lang w:eastAsia="zh-CN"/>
        </w:rPr>
        <w:t>）、瓦盆窑屯（与水井</w:t>
      </w:r>
      <w:r>
        <w:rPr>
          <w:rFonts w:hint="eastAsia"/>
          <w:color w:val="auto"/>
          <w:highlight w:val="none"/>
          <w:lang w:val="en-US" w:eastAsia="zh-CN"/>
        </w:rPr>
        <w:t>1#最近距离132米</w:t>
      </w:r>
      <w:r>
        <w:rPr>
          <w:rFonts w:hint="eastAsia"/>
          <w:color w:val="auto"/>
          <w:highlight w:val="none"/>
          <w:lang w:eastAsia="zh-CN"/>
        </w:rPr>
        <w:t>）</w:t>
      </w:r>
      <w:r>
        <w:rPr>
          <w:rFonts w:hint="eastAsia"/>
          <w:color w:val="auto"/>
          <w:highlight w:val="none"/>
        </w:rPr>
        <w:t>的农村生活污水、生活垃圾。调查范围内居民总数约为</w:t>
      </w:r>
      <w:r>
        <w:rPr>
          <w:rFonts w:hint="eastAsia"/>
          <w:color w:val="auto"/>
          <w:highlight w:val="none"/>
          <w:lang w:val="en-US" w:eastAsia="zh-CN"/>
        </w:rPr>
        <w:t>500</w:t>
      </w:r>
      <w:r>
        <w:rPr>
          <w:rFonts w:hint="eastAsia"/>
          <w:color w:val="auto"/>
          <w:highlight w:val="none"/>
        </w:rPr>
        <w:t xml:space="preserve">人，根据黑龙江省地方标准《用水定额》（DB 23/T </w:t>
      </w:r>
      <w:r>
        <w:rPr>
          <w:rFonts w:hint="eastAsia"/>
          <w:color w:val="auto"/>
          <w:highlight w:val="none"/>
          <w:lang w:eastAsia="zh-CN"/>
        </w:rPr>
        <w:t>727-2025</w:t>
      </w:r>
      <w:r>
        <w:rPr>
          <w:rFonts w:hint="eastAsia"/>
          <w:color w:val="auto"/>
          <w:highlight w:val="none"/>
        </w:rPr>
        <w:t>），生活用水按每人80升/天计，用水量为</w:t>
      </w:r>
      <w:r>
        <w:rPr>
          <w:rFonts w:hint="eastAsia"/>
          <w:color w:val="auto"/>
          <w:highlight w:val="none"/>
          <w:lang w:val="en-US" w:eastAsia="zh-CN"/>
        </w:rPr>
        <w:t>40</w:t>
      </w:r>
      <w:r>
        <w:rPr>
          <w:rFonts w:hint="eastAsia"/>
          <w:color w:val="auto"/>
          <w:highlight w:val="none"/>
        </w:rPr>
        <w:t>立方米/天、</w:t>
      </w:r>
      <w:r>
        <w:rPr>
          <w:rFonts w:hint="eastAsia"/>
          <w:color w:val="auto"/>
          <w:highlight w:val="none"/>
          <w:lang w:val="en-US" w:eastAsia="zh-CN"/>
        </w:rPr>
        <w:t>14600</w:t>
      </w:r>
      <w:r>
        <w:rPr>
          <w:rFonts w:hint="eastAsia"/>
          <w:color w:val="auto"/>
          <w:highlight w:val="none"/>
        </w:rPr>
        <w:t>立方米/年，</w:t>
      </w:r>
      <w:r>
        <w:rPr>
          <w:color w:val="auto"/>
          <w:highlight w:val="none"/>
        </w:rPr>
        <w:t>生活污水按用水量的80%计算，</w:t>
      </w:r>
      <w:r>
        <w:rPr>
          <w:rFonts w:hint="eastAsia"/>
          <w:color w:val="auto"/>
          <w:highlight w:val="none"/>
          <w:lang w:eastAsia="zh-CN"/>
        </w:rPr>
        <w:t>产生量</w:t>
      </w:r>
      <w:r>
        <w:rPr>
          <w:color w:val="auto"/>
          <w:highlight w:val="none"/>
        </w:rPr>
        <w:t>为</w:t>
      </w:r>
      <w:r>
        <w:rPr>
          <w:rFonts w:hint="eastAsia"/>
          <w:color w:val="auto"/>
          <w:highlight w:val="none"/>
          <w:lang w:val="en-US" w:eastAsia="zh-CN"/>
        </w:rPr>
        <w:t>32</w:t>
      </w:r>
      <w:r>
        <w:rPr>
          <w:rFonts w:hint="eastAsia"/>
          <w:color w:val="auto"/>
          <w:highlight w:val="none"/>
        </w:rPr>
        <w:t>立方米/天、</w:t>
      </w:r>
      <w:r>
        <w:rPr>
          <w:rFonts w:hint="eastAsia"/>
          <w:color w:val="auto"/>
          <w:highlight w:val="none"/>
          <w:lang w:val="en-US" w:eastAsia="zh-CN"/>
        </w:rPr>
        <w:t>11680</w:t>
      </w:r>
      <w:r>
        <w:rPr>
          <w:rFonts w:hint="eastAsia"/>
          <w:color w:val="auto"/>
          <w:highlight w:val="none"/>
        </w:rPr>
        <w:t>立方米/年，COD和氨氮的</w:t>
      </w:r>
      <w:r>
        <w:rPr>
          <w:rFonts w:hint="eastAsia"/>
          <w:color w:val="auto"/>
          <w:highlight w:val="none"/>
          <w:lang w:eastAsia="zh-CN"/>
        </w:rPr>
        <w:t>产生浓度</w:t>
      </w:r>
      <w:r>
        <w:rPr>
          <w:rFonts w:hint="eastAsia"/>
          <w:color w:val="auto"/>
          <w:highlight w:val="none"/>
        </w:rPr>
        <w:t>按300毫克/升、30毫克/升计，则COD</w:t>
      </w:r>
      <w:r>
        <w:rPr>
          <w:rFonts w:hint="eastAsia"/>
          <w:color w:val="auto"/>
          <w:highlight w:val="none"/>
          <w:lang w:eastAsia="zh-CN"/>
        </w:rPr>
        <w:t>产生量</w:t>
      </w:r>
      <w:r>
        <w:rPr>
          <w:rFonts w:hint="eastAsia"/>
          <w:color w:val="auto"/>
          <w:highlight w:val="none"/>
        </w:rPr>
        <w:t>为</w:t>
      </w:r>
      <w:r>
        <w:rPr>
          <w:rFonts w:hint="eastAsia"/>
          <w:color w:val="auto"/>
          <w:highlight w:val="none"/>
          <w:lang w:val="en-US" w:eastAsia="zh-CN"/>
        </w:rPr>
        <w:t>3.5</w:t>
      </w:r>
      <w:r>
        <w:rPr>
          <w:rFonts w:hint="eastAsia"/>
          <w:color w:val="auto"/>
          <w:highlight w:val="none"/>
        </w:rPr>
        <w:t>吨/年，氨氮</w:t>
      </w:r>
      <w:r>
        <w:rPr>
          <w:rFonts w:hint="eastAsia"/>
          <w:color w:val="auto"/>
          <w:highlight w:val="none"/>
          <w:lang w:eastAsia="zh-CN"/>
        </w:rPr>
        <w:t>产生量</w:t>
      </w:r>
      <w:r>
        <w:rPr>
          <w:rFonts w:hint="eastAsia"/>
          <w:color w:val="auto"/>
          <w:highlight w:val="none"/>
        </w:rPr>
        <w:t>为</w:t>
      </w:r>
      <w:r>
        <w:rPr>
          <w:rFonts w:hint="eastAsia"/>
          <w:color w:val="auto"/>
          <w:highlight w:val="none"/>
          <w:lang w:val="en-US" w:eastAsia="zh-CN"/>
        </w:rPr>
        <w:t>0.35</w:t>
      </w:r>
      <w:r>
        <w:rPr>
          <w:rFonts w:hint="eastAsia"/>
          <w:color w:val="auto"/>
          <w:highlight w:val="none"/>
        </w:rPr>
        <w:t>吨/年；生活垃圾按</w:t>
      </w:r>
      <w:r>
        <w:rPr>
          <w:color w:val="auto"/>
          <w:highlight w:val="none"/>
        </w:rPr>
        <w:t>0.5</w:t>
      </w:r>
      <w:r>
        <w:rPr>
          <w:rFonts w:hint="eastAsia"/>
          <w:color w:val="auto"/>
          <w:highlight w:val="none"/>
        </w:rPr>
        <w:t>千克</w:t>
      </w:r>
      <w:r>
        <w:rPr>
          <w:color w:val="auto"/>
          <w:highlight w:val="none"/>
        </w:rPr>
        <w:t>/人/天计算，</w:t>
      </w:r>
      <w:r>
        <w:rPr>
          <w:rFonts w:hint="eastAsia"/>
          <w:color w:val="auto"/>
          <w:highlight w:val="none"/>
        </w:rPr>
        <w:t>则</w:t>
      </w:r>
      <w:r>
        <w:rPr>
          <w:color w:val="auto"/>
          <w:highlight w:val="none"/>
        </w:rPr>
        <w:t>产生量为</w:t>
      </w:r>
      <w:r>
        <w:rPr>
          <w:rFonts w:hint="eastAsia"/>
          <w:color w:val="auto"/>
          <w:highlight w:val="none"/>
          <w:lang w:val="en-US" w:eastAsia="zh-CN"/>
        </w:rPr>
        <w:t>91.2</w:t>
      </w:r>
      <w:r>
        <w:rPr>
          <w:rFonts w:hint="eastAsia"/>
          <w:color w:val="auto"/>
          <w:highlight w:val="none"/>
        </w:rPr>
        <w:t>吨/年</w:t>
      </w:r>
      <w:r>
        <w:rPr>
          <w:color w:val="auto"/>
          <w:highlight w:val="none"/>
        </w:rPr>
        <w:t>。</w:t>
      </w:r>
      <w:r>
        <w:rPr>
          <w:rFonts w:hint="eastAsia"/>
          <w:color w:val="auto"/>
          <w:highlight w:val="none"/>
          <w:lang w:eastAsia="zh-CN"/>
        </w:rPr>
        <w:t>目前</w:t>
      </w:r>
      <w:r>
        <w:rPr>
          <w:rFonts w:hint="eastAsia"/>
          <w:color w:val="auto"/>
          <w:highlight w:val="none"/>
        </w:rPr>
        <w:t>居民生活污水散排，粪污进入自家旱厕</w:t>
      </w:r>
      <w:r>
        <w:rPr>
          <w:rFonts w:hint="eastAsia"/>
          <w:color w:val="auto"/>
          <w:highlight w:val="none"/>
          <w:lang w:eastAsia="zh-CN"/>
        </w:rPr>
        <w:t>；</w:t>
      </w:r>
      <w:r>
        <w:rPr>
          <w:rFonts w:hint="eastAsia"/>
          <w:color w:val="auto"/>
          <w:highlight w:val="none"/>
        </w:rPr>
        <w:t>生活垃圾收集</w:t>
      </w:r>
      <w:r>
        <w:rPr>
          <w:rFonts w:hint="eastAsia"/>
          <w:color w:val="auto"/>
          <w:highlight w:val="none"/>
          <w:lang w:eastAsia="zh-CN"/>
        </w:rPr>
        <w:t>至垃圾投放箱</w:t>
      </w:r>
      <w:r>
        <w:rPr>
          <w:rFonts w:hint="eastAsia"/>
          <w:color w:val="auto"/>
          <w:highlight w:val="none"/>
        </w:rPr>
        <w:t>后由环卫部门进行清运。</w:t>
      </w:r>
    </w:p>
    <w:p w14:paraId="3E67949D">
      <w:pPr>
        <w:ind w:firstLine="470"/>
        <w:rPr>
          <w:color w:val="auto"/>
          <w:highlight w:val="none"/>
        </w:rPr>
      </w:pPr>
      <w:r>
        <w:rPr>
          <w:rFonts w:hint="eastAsia"/>
          <w:color w:val="auto"/>
          <w:highlight w:val="none"/>
        </w:rPr>
        <w:t>②畜禽养殖排泄物污染</w:t>
      </w:r>
    </w:p>
    <w:p w14:paraId="376DAE59">
      <w:pPr>
        <w:ind w:firstLine="470"/>
        <w:rPr>
          <w:color w:val="auto"/>
          <w:highlight w:val="none"/>
        </w:rPr>
      </w:pPr>
      <w:r>
        <w:rPr>
          <w:rFonts w:hint="eastAsia"/>
          <w:color w:val="auto"/>
          <w:highlight w:val="none"/>
        </w:rPr>
        <w:t>调查范围内</w:t>
      </w:r>
      <w:r>
        <w:rPr>
          <w:rFonts w:hint="eastAsia"/>
          <w:color w:val="auto"/>
          <w:highlight w:val="none"/>
          <w:lang w:eastAsia="zh-CN"/>
        </w:rPr>
        <w:t>存在村屯居民零散</w:t>
      </w:r>
      <w:r>
        <w:rPr>
          <w:rFonts w:hint="eastAsia"/>
          <w:color w:val="auto"/>
          <w:highlight w:val="none"/>
        </w:rPr>
        <w:t>畜禽养殖，畜禽养殖排泄物存在对地下水水质造成影响的可能性。</w:t>
      </w:r>
    </w:p>
    <w:p w14:paraId="522E1B04">
      <w:pPr>
        <w:ind w:firstLine="470"/>
        <w:rPr>
          <w:color w:val="auto"/>
          <w:highlight w:val="none"/>
        </w:rPr>
      </w:pPr>
      <w:r>
        <w:rPr>
          <w:rFonts w:hint="eastAsia"/>
          <w:color w:val="auto"/>
          <w:highlight w:val="none"/>
        </w:rPr>
        <w:t>③化肥农药污染</w:t>
      </w:r>
    </w:p>
    <w:p w14:paraId="0A32F567">
      <w:pPr>
        <w:pStyle w:val="36"/>
        <w:ind w:firstLine="470"/>
        <w:rPr>
          <w:color w:val="auto"/>
          <w:kern w:val="0"/>
          <w:sz w:val="24"/>
          <w:szCs w:val="24"/>
          <w:highlight w:val="none"/>
        </w:rPr>
      </w:pPr>
      <w:r>
        <w:rPr>
          <w:rFonts w:hint="eastAsia"/>
          <w:color w:val="auto"/>
          <w:highlight w:val="none"/>
        </w:rPr>
        <w:t>调查范围内农业面源污染来自耕地使用的农药和化肥的流失，根据实地调查，</w:t>
      </w:r>
      <w:r>
        <w:rPr>
          <w:rFonts w:hint="eastAsia"/>
          <w:color w:val="auto"/>
          <w:kern w:val="0"/>
          <w:sz w:val="24"/>
          <w:szCs w:val="24"/>
          <w:highlight w:val="none"/>
        </w:rPr>
        <w:t>调查范围内约有农田</w:t>
      </w:r>
      <w:r>
        <w:rPr>
          <w:rFonts w:hint="eastAsia"/>
          <w:color w:val="auto"/>
          <w:kern w:val="0"/>
          <w:sz w:val="24"/>
          <w:szCs w:val="24"/>
          <w:highlight w:val="none"/>
          <w:lang w:val="en-US" w:eastAsia="zh-CN"/>
        </w:rPr>
        <w:t>57</w:t>
      </w:r>
      <w:r>
        <w:rPr>
          <w:rFonts w:hint="eastAsia"/>
          <w:color w:val="auto"/>
          <w:kern w:val="0"/>
          <w:sz w:val="24"/>
          <w:szCs w:val="24"/>
          <w:highlight w:val="none"/>
        </w:rPr>
        <w:t>公顷，种植作物主要为</w:t>
      </w:r>
      <w:r>
        <w:rPr>
          <w:rFonts w:hint="eastAsia"/>
          <w:color w:val="auto"/>
          <w:kern w:val="0"/>
          <w:sz w:val="24"/>
          <w:szCs w:val="24"/>
          <w:highlight w:val="none"/>
          <w:lang w:eastAsia="zh-CN"/>
        </w:rPr>
        <w:t>水稻</w:t>
      </w:r>
      <w:r>
        <w:rPr>
          <w:rFonts w:hint="eastAsia"/>
          <w:color w:val="auto"/>
          <w:kern w:val="0"/>
          <w:sz w:val="24"/>
          <w:szCs w:val="24"/>
          <w:highlight w:val="none"/>
        </w:rPr>
        <w:t>。</w:t>
      </w:r>
      <w:r>
        <w:rPr>
          <w:rFonts w:hint="eastAsia"/>
          <w:color w:val="auto"/>
          <w:highlight w:val="none"/>
        </w:rPr>
        <w:t>水田除草剂主要有丁草胺和草克星，喷洒的杀虫剂一般为乐果，主要在作物生长期出现虫害时施用，使用量较小，但如使用不当，存在对地下水水质造成影响的可能性。</w:t>
      </w:r>
    </w:p>
    <w:p w14:paraId="6061F8F1">
      <w:pPr>
        <w:pStyle w:val="36"/>
        <w:ind w:firstLine="470"/>
        <w:rPr>
          <w:color w:val="auto"/>
          <w:highlight w:val="none"/>
        </w:rPr>
      </w:pPr>
      <w:r>
        <w:rPr>
          <w:rFonts w:hint="eastAsia"/>
          <w:color w:val="auto"/>
          <w:highlight w:val="none"/>
        </w:rPr>
        <w:t>3）固体废物堆放（填埋）场</w:t>
      </w:r>
    </w:p>
    <w:p w14:paraId="1535F64C">
      <w:pPr>
        <w:pStyle w:val="36"/>
        <w:ind w:firstLine="470"/>
        <w:rPr>
          <w:color w:val="auto"/>
          <w:highlight w:val="none"/>
        </w:rPr>
      </w:pPr>
      <w:r>
        <w:rPr>
          <w:rFonts w:hint="eastAsia"/>
          <w:color w:val="auto"/>
          <w:highlight w:val="none"/>
        </w:rPr>
        <w:t>经走访调查，调查范围内，未发现固体废物堆放（填埋）场。</w:t>
      </w:r>
    </w:p>
    <w:p w14:paraId="4829FA83">
      <w:pPr>
        <w:pStyle w:val="36"/>
        <w:ind w:firstLine="470"/>
        <w:rPr>
          <w:rFonts w:hint="eastAsia" w:eastAsia="宋体"/>
          <w:color w:val="auto"/>
          <w:highlight w:val="none"/>
          <w:lang w:eastAsia="zh-CN"/>
        </w:rPr>
      </w:pPr>
      <w:r>
        <w:rPr>
          <w:rFonts w:hint="eastAsia"/>
          <w:color w:val="auto"/>
          <w:highlight w:val="none"/>
        </w:rPr>
        <w:t>4）流动源</w:t>
      </w:r>
      <w:r>
        <w:rPr>
          <w:rFonts w:hint="eastAsia"/>
          <w:color w:val="auto"/>
          <w:highlight w:val="none"/>
          <w:lang w:eastAsia="zh-CN"/>
        </w:rPr>
        <w:t>和其他</w:t>
      </w:r>
    </w:p>
    <w:p w14:paraId="48D344FC">
      <w:pPr>
        <w:spacing w:line="360" w:lineRule="auto"/>
        <w:ind w:firstLine="472" w:firstLineChars="200"/>
        <w:rPr>
          <w:rFonts w:hint="eastAsia"/>
          <w:color w:val="auto"/>
          <w:sz w:val="24"/>
          <w:szCs w:val="24"/>
          <w:highlight w:val="none"/>
        </w:rPr>
      </w:pPr>
      <w:r>
        <w:rPr>
          <w:color w:val="auto"/>
          <w:kern w:val="0"/>
          <w:sz w:val="24"/>
          <w:szCs w:val="24"/>
          <w:highlight w:val="none"/>
        </w:rPr>
        <w:t>调查范围内流动源</w:t>
      </w:r>
      <w:r>
        <w:rPr>
          <w:rFonts w:hint="eastAsia"/>
          <w:color w:val="auto"/>
          <w:kern w:val="0"/>
          <w:sz w:val="24"/>
          <w:szCs w:val="24"/>
          <w:highlight w:val="none"/>
        </w:rPr>
        <w:t>为铁路</w:t>
      </w:r>
      <w:r>
        <w:rPr>
          <w:rFonts w:hint="eastAsia"/>
          <w:color w:val="auto"/>
          <w:kern w:val="0"/>
          <w:sz w:val="24"/>
          <w:szCs w:val="24"/>
          <w:highlight w:val="none"/>
          <w:lang w:eastAsia="zh-CN"/>
        </w:rPr>
        <w:t>、</w:t>
      </w:r>
      <w:r>
        <w:rPr>
          <w:rFonts w:hint="eastAsia"/>
          <w:color w:val="auto"/>
          <w:kern w:val="0"/>
          <w:sz w:val="24"/>
          <w:szCs w:val="24"/>
          <w:highlight w:val="none"/>
          <w:lang w:val="en-US" w:eastAsia="zh-CN"/>
        </w:rPr>
        <w:t>G222</w:t>
      </w:r>
      <w:r>
        <w:rPr>
          <w:rFonts w:hint="eastAsia"/>
          <w:color w:val="auto"/>
          <w:kern w:val="0"/>
          <w:sz w:val="24"/>
          <w:szCs w:val="24"/>
          <w:highlight w:val="none"/>
        </w:rPr>
        <w:t>国道</w:t>
      </w:r>
      <w:r>
        <w:rPr>
          <w:rFonts w:hint="eastAsia"/>
          <w:color w:val="auto"/>
          <w:kern w:val="0"/>
          <w:sz w:val="24"/>
          <w:szCs w:val="24"/>
          <w:highlight w:val="none"/>
          <w:lang w:eastAsia="zh-CN"/>
        </w:rPr>
        <w:t>、</w:t>
      </w:r>
      <w:r>
        <w:rPr>
          <w:rFonts w:hint="eastAsia"/>
          <w:color w:val="auto"/>
          <w:kern w:val="0"/>
          <w:sz w:val="24"/>
          <w:szCs w:val="24"/>
          <w:highlight w:val="none"/>
        </w:rPr>
        <w:t>其它</w:t>
      </w:r>
      <w:r>
        <w:rPr>
          <w:color w:val="auto"/>
          <w:kern w:val="0"/>
          <w:sz w:val="24"/>
          <w:szCs w:val="24"/>
          <w:highlight w:val="none"/>
        </w:rPr>
        <w:t>乡村道路</w:t>
      </w:r>
      <w:r>
        <w:rPr>
          <w:rFonts w:hint="eastAsia"/>
          <w:color w:val="auto"/>
          <w:kern w:val="0"/>
          <w:sz w:val="24"/>
          <w:szCs w:val="24"/>
          <w:highlight w:val="none"/>
          <w:lang w:eastAsia="zh-CN"/>
        </w:rPr>
        <w:t>和沟渠</w:t>
      </w:r>
      <w:r>
        <w:rPr>
          <w:rFonts w:hint="eastAsia"/>
          <w:color w:val="auto"/>
          <w:kern w:val="0"/>
          <w:sz w:val="24"/>
          <w:szCs w:val="24"/>
          <w:highlight w:val="none"/>
        </w:rPr>
        <w:t>，存在</w:t>
      </w:r>
      <w:r>
        <w:rPr>
          <w:color w:val="auto"/>
          <w:kern w:val="0"/>
          <w:sz w:val="24"/>
          <w:szCs w:val="24"/>
          <w:highlight w:val="none"/>
        </w:rPr>
        <w:t>拉运</w:t>
      </w:r>
      <w:r>
        <w:rPr>
          <w:rFonts w:hint="eastAsia"/>
          <w:color w:val="auto"/>
          <w:kern w:val="0"/>
          <w:sz w:val="24"/>
          <w:szCs w:val="24"/>
          <w:highlight w:val="none"/>
        </w:rPr>
        <w:t>农药等</w:t>
      </w:r>
      <w:r>
        <w:rPr>
          <w:color w:val="auto"/>
          <w:kern w:val="0"/>
          <w:sz w:val="24"/>
          <w:szCs w:val="24"/>
          <w:highlight w:val="none"/>
        </w:rPr>
        <w:t>危险物品的车辆</w:t>
      </w:r>
      <w:r>
        <w:rPr>
          <w:rFonts w:hint="eastAsia"/>
          <w:color w:val="auto"/>
          <w:kern w:val="0"/>
          <w:sz w:val="24"/>
          <w:szCs w:val="24"/>
          <w:highlight w:val="none"/>
        </w:rPr>
        <w:t>，车辆突发事故造成油类及危险品泄漏将进入地下水，存在隐患，其中</w:t>
      </w:r>
      <w:r>
        <w:rPr>
          <w:rFonts w:hint="eastAsia"/>
          <w:color w:val="auto"/>
          <w:kern w:val="0"/>
          <w:sz w:val="24"/>
          <w:szCs w:val="24"/>
          <w:highlight w:val="none"/>
          <w:lang w:val="en-US" w:eastAsia="zh-CN"/>
        </w:rPr>
        <w:t>G222</w:t>
      </w:r>
      <w:r>
        <w:rPr>
          <w:rFonts w:hint="eastAsia"/>
          <w:color w:val="auto"/>
          <w:kern w:val="0"/>
          <w:sz w:val="24"/>
          <w:szCs w:val="24"/>
          <w:highlight w:val="none"/>
        </w:rPr>
        <w:t>国道位于取水井</w:t>
      </w:r>
      <w:r>
        <w:rPr>
          <w:rFonts w:hint="eastAsia"/>
          <w:color w:val="auto"/>
          <w:kern w:val="0"/>
          <w:sz w:val="24"/>
          <w:szCs w:val="24"/>
          <w:highlight w:val="none"/>
          <w:lang w:val="en-US" w:eastAsia="zh-CN"/>
        </w:rPr>
        <w:t>2#南</w:t>
      </w:r>
      <w:r>
        <w:rPr>
          <w:rFonts w:hint="eastAsia"/>
          <w:color w:val="auto"/>
          <w:kern w:val="0"/>
          <w:sz w:val="24"/>
          <w:szCs w:val="24"/>
          <w:highlight w:val="none"/>
        </w:rPr>
        <w:t>侧1</w:t>
      </w:r>
      <w:r>
        <w:rPr>
          <w:rFonts w:hint="eastAsia"/>
          <w:color w:val="auto"/>
          <w:kern w:val="0"/>
          <w:sz w:val="24"/>
          <w:szCs w:val="24"/>
          <w:highlight w:val="none"/>
          <w:lang w:val="en-US" w:eastAsia="zh-CN"/>
        </w:rPr>
        <w:t>3</w:t>
      </w:r>
      <w:r>
        <w:rPr>
          <w:rFonts w:hint="eastAsia"/>
          <w:color w:val="auto"/>
          <w:kern w:val="0"/>
          <w:sz w:val="24"/>
          <w:szCs w:val="24"/>
          <w:highlight w:val="none"/>
        </w:rPr>
        <w:t>0米处</w:t>
      </w:r>
      <w:r>
        <w:rPr>
          <w:rFonts w:hint="eastAsia"/>
          <w:color w:val="auto"/>
          <w:kern w:val="0"/>
          <w:sz w:val="24"/>
          <w:szCs w:val="24"/>
          <w:highlight w:val="none"/>
          <w:lang w:eastAsia="zh-CN"/>
        </w:rPr>
        <w:t>，</w:t>
      </w:r>
      <w:r>
        <w:rPr>
          <w:rFonts w:hint="eastAsia"/>
          <w:color w:val="auto"/>
          <w:kern w:val="0"/>
          <w:sz w:val="24"/>
          <w:szCs w:val="24"/>
          <w:highlight w:val="none"/>
        </w:rPr>
        <w:t>铁路线位于取水井</w:t>
      </w:r>
      <w:r>
        <w:rPr>
          <w:rFonts w:hint="eastAsia"/>
          <w:color w:val="auto"/>
          <w:kern w:val="0"/>
          <w:sz w:val="24"/>
          <w:szCs w:val="24"/>
          <w:highlight w:val="none"/>
          <w:lang w:val="en-US" w:eastAsia="zh-CN"/>
        </w:rPr>
        <w:t>2#</w:t>
      </w:r>
      <w:r>
        <w:rPr>
          <w:rFonts w:hint="eastAsia"/>
          <w:color w:val="auto"/>
          <w:kern w:val="0"/>
          <w:sz w:val="24"/>
          <w:szCs w:val="24"/>
          <w:highlight w:val="none"/>
          <w:lang w:eastAsia="zh-CN"/>
        </w:rPr>
        <w:t>南</w:t>
      </w:r>
      <w:r>
        <w:rPr>
          <w:rFonts w:hint="eastAsia"/>
          <w:color w:val="auto"/>
          <w:kern w:val="0"/>
          <w:sz w:val="24"/>
          <w:szCs w:val="24"/>
          <w:highlight w:val="none"/>
        </w:rPr>
        <w:t>侧</w:t>
      </w:r>
      <w:r>
        <w:rPr>
          <w:rFonts w:hint="eastAsia"/>
          <w:color w:val="auto"/>
          <w:kern w:val="0"/>
          <w:sz w:val="24"/>
          <w:szCs w:val="24"/>
          <w:highlight w:val="none"/>
          <w:lang w:val="en-US" w:eastAsia="zh-CN"/>
        </w:rPr>
        <w:t>66</w:t>
      </w:r>
      <w:r>
        <w:rPr>
          <w:rFonts w:hint="eastAsia"/>
          <w:color w:val="auto"/>
          <w:kern w:val="0"/>
          <w:sz w:val="24"/>
          <w:szCs w:val="24"/>
          <w:highlight w:val="none"/>
        </w:rPr>
        <w:t>米处，最近村道位于取水井</w:t>
      </w:r>
      <w:r>
        <w:rPr>
          <w:rFonts w:hint="eastAsia"/>
          <w:color w:val="auto"/>
          <w:kern w:val="0"/>
          <w:sz w:val="24"/>
          <w:szCs w:val="24"/>
          <w:highlight w:val="none"/>
          <w:lang w:val="en-US" w:eastAsia="zh-CN"/>
        </w:rPr>
        <w:t>2#南</w:t>
      </w:r>
      <w:r>
        <w:rPr>
          <w:rFonts w:hint="eastAsia"/>
          <w:color w:val="auto"/>
          <w:kern w:val="0"/>
          <w:sz w:val="24"/>
          <w:szCs w:val="24"/>
          <w:highlight w:val="none"/>
        </w:rPr>
        <w:t>侧</w:t>
      </w:r>
      <w:r>
        <w:rPr>
          <w:rFonts w:hint="eastAsia"/>
          <w:color w:val="auto"/>
          <w:kern w:val="0"/>
          <w:sz w:val="24"/>
          <w:szCs w:val="24"/>
          <w:highlight w:val="none"/>
          <w:lang w:val="en-US" w:eastAsia="zh-CN"/>
        </w:rPr>
        <w:t>7</w:t>
      </w:r>
      <w:r>
        <w:rPr>
          <w:rFonts w:hint="eastAsia"/>
          <w:color w:val="auto"/>
          <w:kern w:val="0"/>
          <w:sz w:val="24"/>
          <w:szCs w:val="24"/>
          <w:highlight w:val="none"/>
        </w:rPr>
        <w:t>米处。</w:t>
      </w:r>
      <w:r>
        <w:rPr>
          <w:rFonts w:hint="eastAsia"/>
          <w:color w:val="auto"/>
          <w:highlight w:val="none"/>
          <w:lang w:eastAsia="zh-CN"/>
        </w:rPr>
        <w:t>沟渠</w:t>
      </w:r>
      <w:r>
        <w:rPr>
          <w:rFonts w:hint="eastAsia" w:cs="Times New Roman"/>
          <w:color w:val="auto"/>
          <w:highlight w:val="none"/>
          <w:lang w:val="en-US" w:eastAsia="zh-CN"/>
        </w:rPr>
        <w:t>不涉及农田灌溉，</w:t>
      </w:r>
      <w:r>
        <w:rPr>
          <w:rFonts w:hint="eastAsia" w:ascii="Times New Roman" w:cs="Times New Roman"/>
          <w:color w:val="auto"/>
          <w:highlight w:val="none"/>
          <w:lang w:val="en-US" w:eastAsia="zh-CN"/>
        </w:rPr>
        <w:t>不会对地下水水质造成污染</w:t>
      </w:r>
      <w:r>
        <w:rPr>
          <w:rFonts w:hint="eastAsia" w:cs="Times New Roman"/>
          <w:color w:val="auto"/>
          <w:highlight w:val="none"/>
          <w:lang w:val="en-US" w:eastAsia="zh-CN"/>
        </w:rPr>
        <w:t>。</w:t>
      </w:r>
    </w:p>
    <w:p w14:paraId="66A6BFC3">
      <w:pPr>
        <w:pStyle w:val="3"/>
        <w:rPr>
          <w:color w:val="auto"/>
          <w:highlight w:val="none"/>
          <w:lang w:val="en-US"/>
        </w:rPr>
      </w:pPr>
      <w:bookmarkStart w:id="70" w:name="_Toc27674"/>
      <w:bookmarkStart w:id="71" w:name="_Toc5753"/>
      <w:r>
        <w:rPr>
          <w:color w:val="auto"/>
          <w:highlight w:val="none"/>
          <w:lang w:val="en-US"/>
        </w:rPr>
        <w:t>2.</w:t>
      </w:r>
      <w:r>
        <w:rPr>
          <w:rFonts w:hint="eastAsia"/>
          <w:color w:val="auto"/>
          <w:highlight w:val="none"/>
          <w:lang w:val="en-US"/>
        </w:rPr>
        <w:t>9</w:t>
      </w:r>
      <w:r>
        <w:rPr>
          <w:color w:val="auto"/>
          <w:highlight w:val="none"/>
          <w:lang w:val="en-US"/>
        </w:rPr>
        <w:t>饮用水水源地水环境风险分析</w:t>
      </w:r>
      <w:bookmarkEnd w:id="70"/>
      <w:bookmarkEnd w:id="71"/>
    </w:p>
    <w:p w14:paraId="54682D84">
      <w:pPr>
        <w:pStyle w:val="4"/>
        <w:rPr>
          <w:color w:val="auto"/>
          <w:highlight w:val="none"/>
        </w:rPr>
      </w:pPr>
      <w:bookmarkStart w:id="72" w:name="_Toc22850"/>
      <w:r>
        <w:rPr>
          <w:color w:val="auto"/>
          <w:highlight w:val="none"/>
        </w:rPr>
        <w:t>2.</w:t>
      </w:r>
      <w:r>
        <w:rPr>
          <w:rFonts w:hint="eastAsia"/>
          <w:color w:val="auto"/>
          <w:highlight w:val="none"/>
        </w:rPr>
        <w:t>9</w:t>
      </w:r>
      <w:r>
        <w:rPr>
          <w:color w:val="auto"/>
          <w:highlight w:val="none"/>
        </w:rPr>
        <w:t>.1水源地水质水量风险分析</w:t>
      </w:r>
      <w:bookmarkEnd w:id="72"/>
    </w:p>
    <w:p w14:paraId="0D47E7B7">
      <w:pPr>
        <w:ind w:firstLine="470"/>
        <w:rPr>
          <w:color w:val="auto"/>
          <w:highlight w:val="none"/>
        </w:rPr>
      </w:pPr>
      <w:r>
        <w:rPr>
          <w:rFonts w:hint="eastAsia"/>
          <w:color w:val="auto"/>
          <w:highlight w:val="none"/>
          <w:lang w:eastAsia="zh-CN"/>
        </w:rPr>
        <w:t>（</w:t>
      </w:r>
      <w:r>
        <w:rPr>
          <w:rFonts w:hint="eastAsia"/>
          <w:color w:val="auto"/>
          <w:highlight w:val="none"/>
          <w:lang w:val="en-US" w:eastAsia="zh-CN"/>
        </w:rPr>
        <w:t>1</w:t>
      </w:r>
      <w:r>
        <w:rPr>
          <w:rFonts w:hint="eastAsia"/>
          <w:color w:val="auto"/>
          <w:highlight w:val="none"/>
          <w:lang w:eastAsia="zh-CN"/>
        </w:rPr>
        <w:t>）</w:t>
      </w:r>
      <w:r>
        <w:rPr>
          <w:color w:val="auto"/>
          <w:highlight w:val="none"/>
        </w:rPr>
        <w:t>水质</w:t>
      </w:r>
    </w:p>
    <w:p w14:paraId="0A68CDD3">
      <w:pPr>
        <w:ind w:firstLine="470"/>
        <w:rPr>
          <w:color w:val="auto"/>
          <w:highlight w:val="none"/>
        </w:rPr>
      </w:pPr>
      <w:r>
        <w:rPr>
          <w:color w:val="auto"/>
          <w:highlight w:val="none"/>
        </w:rPr>
        <w:t>根据</w:t>
      </w:r>
      <w:r>
        <w:rPr>
          <w:rFonts w:hint="eastAsia" w:ascii="Times New Roman" w:hAnsi="Times New Roman" w:eastAsia="宋体" w:cs="Times New Roman"/>
          <w:color w:val="auto"/>
          <w:sz w:val="24"/>
          <w:szCs w:val="24"/>
          <w:highlight w:val="none"/>
        </w:rPr>
        <w:t>中科指南针（黑龙江）检验检测有限公司</w:t>
      </w:r>
      <w:r>
        <w:rPr>
          <w:rFonts w:hint="eastAsia"/>
          <w:color w:val="auto"/>
          <w:highlight w:val="none"/>
        </w:rPr>
        <w:t>2025年</w:t>
      </w:r>
      <w:r>
        <w:rPr>
          <w:rFonts w:hint="eastAsia"/>
          <w:color w:val="auto"/>
          <w:highlight w:val="none"/>
          <w:lang w:val="en-US" w:eastAsia="zh-CN"/>
        </w:rPr>
        <w:t>12</w:t>
      </w:r>
      <w:r>
        <w:rPr>
          <w:rFonts w:hint="eastAsia"/>
          <w:color w:val="auto"/>
          <w:highlight w:val="none"/>
        </w:rPr>
        <w:t>月</w:t>
      </w:r>
      <w:r>
        <w:rPr>
          <w:color w:val="auto"/>
          <w:highlight w:val="none"/>
        </w:rPr>
        <w:t>出具的原水监测数据，</w:t>
      </w:r>
      <w:r>
        <w:rPr>
          <w:rFonts w:hint="eastAsia"/>
          <w:color w:val="auto"/>
          <w:highlight w:val="none"/>
        </w:rPr>
        <w:t>区域取水井锰超过《地下水质量标准》（GB/T 14848-2017）中的Ⅲ类要求，锰超标主要受区域原生地质因素影响。</w:t>
      </w:r>
      <w:r>
        <w:rPr>
          <w:rFonts w:hint="eastAsia"/>
          <w:color w:val="auto"/>
          <w:highlight w:val="none"/>
          <w:lang w:eastAsia="zh-CN"/>
        </w:rPr>
        <w:t>各水源地</w:t>
      </w:r>
      <w:r>
        <w:rPr>
          <w:rFonts w:hint="eastAsia"/>
          <w:color w:val="auto"/>
          <w:highlight w:val="none"/>
        </w:rPr>
        <w:t>取水井输水管线均已铺设完毕，</w:t>
      </w:r>
      <w:r>
        <w:rPr>
          <w:rFonts w:hint="eastAsia"/>
          <w:color w:val="auto"/>
          <w:sz w:val="24"/>
          <w:szCs w:val="24"/>
          <w:highlight w:val="none"/>
        </w:rPr>
        <w:t>各净水间均设有</w:t>
      </w:r>
      <w:r>
        <w:rPr>
          <w:rFonts w:hint="eastAsia"/>
          <w:color w:val="auto"/>
          <w:sz w:val="24"/>
          <w:szCs w:val="24"/>
          <w:highlight w:val="none"/>
          <w:lang w:eastAsia="zh-CN"/>
        </w:rPr>
        <w:t>净化</w:t>
      </w:r>
      <w:r>
        <w:rPr>
          <w:rFonts w:hint="eastAsia"/>
          <w:color w:val="auto"/>
          <w:sz w:val="24"/>
          <w:szCs w:val="24"/>
          <w:highlight w:val="none"/>
        </w:rPr>
        <w:t>装置</w:t>
      </w:r>
      <w:r>
        <w:rPr>
          <w:rFonts w:hint="eastAsia"/>
          <w:color w:val="auto"/>
          <w:highlight w:val="none"/>
        </w:rPr>
        <w:t>，</w:t>
      </w:r>
      <w:r>
        <w:rPr>
          <w:rFonts w:hint="eastAsia" w:ascii="Times New Roman" w:hAnsi="Times New Roman" w:cs="Times New Roman"/>
          <w:color w:val="auto"/>
          <w:highlight w:val="none"/>
        </w:rPr>
        <w:t>经“机械曝气→锰砂过滤</w:t>
      </w:r>
      <w:r>
        <w:rPr>
          <w:rFonts w:hint="eastAsia" w:ascii="Times New Roman" w:hAnsi="Times New Roman" w:cs="Times New Roman"/>
          <w:color w:val="auto"/>
          <w:highlight w:val="none"/>
          <w:lang w:val="en-US" w:eastAsia="zh-CN"/>
        </w:rPr>
        <w:t>/二级除铁锰</w:t>
      </w:r>
      <w:r>
        <w:rPr>
          <w:rFonts w:hint="eastAsia" w:ascii="Times New Roman" w:hAnsi="Times New Roman" w:cs="Times New Roman"/>
          <w:color w:val="auto"/>
          <w:highlight w:val="none"/>
        </w:rPr>
        <w:t>→消毒（次氯酸钠</w:t>
      </w:r>
      <w:r>
        <w:rPr>
          <w:rFonts w:hint="eastAsia" w:ascii="Times New Roman" w:hAnsi="Times New Roman" w:cs="Times New Roman"/>
          <w:color w:val="auto"/>
          <w:highlight w:val="none"/>
          <w:lang w:val="en-US" w:eastAsia="zh-CN"/>
        </w:rPr>
        <w:t>/二氧化</w:t>
      </w:r>
      <w:r>
        <w:rPr>
          <w:rFonts w:hint="eastAsia"/>
          <w:color w:val="auto"/>
          <w:highlight w:val="none"/>
          <w:lang w:val="en-US" w:eastAsia="zh-CN"/>
        </w:rPr>
        <w:t>氯</w:t>
      </w:r>
      <w:r>
        <w:rPr>
          <w:rFonts w:hint="eastAsia"/>
          <w:color w:val="auto"/>
          <w:highlight w:val="none"/>
        </w:rPr>
        <w:t>消毒）”处理后可有效去除原水中锰等污染物，</w:t>
      </w:r>
      <w:r>
        <w:rPr>
          <w:color w:val="auto"/>
          <w:highlight w:val="none"/>
        </w:rPr>
        <w:t>供水水质风险</w:t>
      </w:r>
      <w:r>
        <w:rPr>
          <w:rFonts w:hint="eastAsia"/>
          <w:color w:val="auto"/>
          <w:highlight w:val="none"/>
        </w:rPr>
        <w:t>较低。</w:t>
      </w:r>
    </w:p>
    <w:p w14:paraId="01E6B199">
      <w:pPr>
        <w:numPr>
          <w:ilvl w:val="0"/>
          <w:numId w:val="0"/>
        </w:numPr>
        <w:ind w:firstLine="472" w:firstLineChars="200"/>
        <w:rPr>
          <w:color w:val="auto"/>
          <w:highlight w:val="none"/>
        </w:rPr>
      </w:pPr>
      <w:r>
        <w:rPr>
          <w:rFonts w:hint="eastAsia" w:cs="Times New Roman"/>
          <w:color w:val="auto"/>
          <w:kern w:val="2"/>
          <w:sz w:val="24"/>
          <w:szCs w:val="24"/>
          <w:highlight w:val="none"/>
          <w:lang w:val="en-US" w:eastAsia="zh-CN" w:bidi="ar-SA"/>
        </w:rPr>
        <w:t>（2）</w:t>
      </w:r>
      <w:r>
        <w:rPr>
          <w:color w:val="auto"/>
          <w:highlight w:val="none"/>
        </w:rPr>
        <w:t>水量</w:t>
      </w:r>
    </w:p>
    <w:p w14:paraId="455904BE">
      <w:pPr>
        <w:spacing w:line="360" w:lineRule="auto"/>
        <w:ind w:firstLine="472" w:firstLineChars="200"/>
        <w:rPr>
          <w:rFonts w:hint="eastAsia"/>
          <w:color w:val="auto"/>
          <w:kern w:val="0"/>
          <w:sz w:val="24"/>
          <w:szCs w:val="24"/>
          <w:highlight w:val="none"/>
        </w:rPr>
      </w:pPr>
      <w:r>
        <w:rPr>
          <w:rFonts w:hint="eastAsia" w:ascii="Times New Roman" w:hAnsi="Times New Roman" w:cs="Times New Roman"/>
          <w:color w:val="auto"/>
          <w:kern w:val="0"/>
          <w:sz w:val="24"/>
          <w:szCs w:val="24"/>
          <w:highlight w:val="none"/>
          <w:lang w:val="en-US" w:eastAsia="zh-CN" w:bidi="ar"/>
        </w:rPr>
        <w:t>1）</w:t>
      </w:r>
      <w:r>
        <w:rPr>
          <w:rFonts w:hint="eastAsia" w:ascii="Times New Roman" w:hAnsi="Times New Roman" w:eastAsia="宋体" w:cs="Times New Roman"/>
          <w:color w:val="auto"/>
          <w:kern w:val="0"/>
          <w:sz w:val="24"/>
          <w:szCs w:val="24"/>
          <w:highlight w:val="none"/>
          <w:lang w:val="en-US" w:eastAsia="zh-CN" w:bidi="ar"/>
        </w:rPr>
        <w:t>绥化市庆安县发展乡</w:t>
      </w:r>
      <w:r>
        <w:rPr>
          <w:rFonts w:ascii="Times New Roman" w:hAnsi="Times New Roman" w:eastAsia="宋体" w:cs="Times New Roman"/>
          <w:color w:val="auto"/>
          <w:kern w:val="0"/>
          <w:sz w:val="24"/>
          <w:szCs w:val="24"/>
          <w:highlight w:val="none"/>
          <w:lang w:bidi="ar"/>
        </w:rPr>
        <w:t>饮用水水源地</w:t>
      </w:r>
      <w:r>
        <w:rPr>
          <w:rFonts w:hint="eastAsia"/>
          <w:color w:val="auto"/>
          <w:sz w:val="24"/>
          <w:szCs w:val="24"/>
          <w:highlight w:val="none"/>
        </w:rPr>
        <w:t>：</w:t>
      </w:r>
      <w:r>
        <w:rPr>
          <w:rFonts w:hint="eastAsia"/>
          <w:color w:val="auto"/>
          <w:kern w:val="0"/>
          <w:sz w:val="24"/>
          <w:szCs w:val="24"/>
          <w:highlight w:val="none"/>
        </w:rPr>
        <w:t>设计取水量</w:t>
      </w:r>
      <w:r>
        <w:rPr>
          <w:rFonts w:hint="default" w:ascii="Times New Roman" w:hAnsi="Times New Roman" w:eastAsia="宋体" w:cs="Times New Roman"/>
          <w:color w:val="auto"/>
          <w:sz w:val="24"/>
          <w:szCs w:val="24"/>
          <w:highlight w:val="none"/>
          <w:lang w:val="en-US" w:eastAsia="zh-CN"/>
        </w:rPr>
        <w:t>（即水源地允许开采量）</w:t>
      </w:r>
      <w:r>
        <w:rPr>
          <w:rFonts w:hint="eastAsia"/>
          <w:color w:val="auto"/>
          <w:kern w:val="0"/>
          <w:sz w:val="24"/>
          <w:szCs w:val="24"/>
          <w:highlight w:val="none"/>
        </w:rPr>
        <w:t>为</w:t>
      </w:r>
      <w:r>
        <w:rPr>
          <w:rFonts w:hint="eastAsia"/>
          <w:color w:val="auto"/>
          <w:kern w:val="0"/>
          <w:sz w:val="24"/>
          <w:szCs w:val="24"/>
          <w:highlight w:val="none"/>
          <w:lang w:val="en-US" w:eastAsia="zh-CN"/>
        </w:rPr>
        <w:t>1259.46</w:t>
      </w:r>
      <w:r>
        <w:rPr>
          <w:rFonts w:hint="eastAsia"/>
          <w:color w:val="auto"/>
          <w:kern w:val="0"/>
          <w:sz w:val="24"/>
          <w:szCs w:val="24"/>
          <w:highlight w:val="none"/>
        </w:rPr>
        <w:t>立方米/天</w:t>
      </w:r>
      <w:r>
        <w:rPr>
          <w:rFonts w:hint="eastAsia"/>
          <w:color w:val="auto"/>
          <w:kern w:val="0"/>
          <w:sz w:val="24"/>
          <w:szCs w:val="24"/>
          <w:highlight w:val="none"/>
          <w:lang w:eastAsia="zh-CN"/>
        </w:rPr>
        <w:t>，</w:t>
      </w:r>
      <w:r>
        <w:rPr>
          <w:rFonts w:hint="eastAsia"/>
          <w:color w:val="auto"/>
          <w:sz w:val="24"/>
          <w:szCs w:val="24"/>
          <w:highlight w:val="none"/>
        </w:rPr>
        <w:t>服务人口</w:t>
      </w:r>
      <w:r>
        <w:rPr>
          <w:rFonts w:hint="eastAsia"/>
          <w:color w:val="auto"/>
          <w:sz w:val="24"/>
          <w:szCs w:val="24"/>
          <w:highlight w:val="none"/>
          <w:lang w:val="en-US" w:eastAsia="zh-CN"/>
        </w:rPr>
        <w:t>9865</w:t>
      </w:r>
      <w:r>
        <w:rPr>
          <w:rFonts w:hint="eastAsia"/>
          <w:color w:val="auto"/>
          <w:sz w:val="24"/>
          <w:szCs w:val="24"/>
          <w:highlight w:val="none"/>
        </w:rPr>
        <w:t>人</w:t>
      </w:r>
      <w:r>
        <w:rPr>
          <w:rFonts w:hint="eastAsia"/>
          <w:color w:val="auto"/>
          <w:kern w:val="0"/>
          <w:sz w:val="24"/>
          <w:szCs w:val="24"/>
          <w:highlight w:val="none"/>
        </w:rPr>
        <w:t>，实际取水量为</w:t>
      </w:r>
      <w:r>
        <w:rPr>
          <w:rFonts w:hint="eastAsia"/>
          <w:color w:val="auto"/>
          <w:kern w:val="0"/>
          <w:sz w:val="24"/>
          <w:szCs w:val="24"/>
          <w:highlight w:val="none"/>
          <w:lang w:val="en-US" w:eastAsia="zh-CN"/>
        </w:rPr>
        <w:t>800</w:t>
      </w:r>
      <w:r>
        <w:rPr>
          <w:rFonts w:hint="eastAsia"/>
          <w:color w:val="auto"/>
          <w:kern w:val="0"/>
          <w:sz w:val="24"/>
          <w:szCs w:val="24"/>
          <w:highlight w:val="none"/>
        </w:rPr>
        <w:t>立方米/天，</w:t>
      </w:r>
      <w:r>
        <w:rPr>
          <w:rFonts w:hint="default" w:ascii="Times New Roman" w:hAnsi="Times New Roman" w:eastAsia="宋体" w:cs="Times New Roman"/>
          <w:color w:val="auto"/>
          <w:sz w:val="24"/>
          <w:szCs w:val="24"/>
          <w:highlight w:val="none"/>
          <w:lang w:val="en-US" w:eastAsia="zh-CN"/>
        </w:rPr>
        <w:t>设计取水量大于</w:t>
      </w:r>
      <w:r>
        <w:rPr>
          <w:rFonts w:hint="eastAsia" w:cs="Times New Roman"/>
          <w:color w:val="auto"/>
          <w:sz w:val="24"/>
          <w:szCs w:val="24"/>
          <w:highlight w:val="none"/>
          <w:lang w:val="en-US" w:eastAsia="zh-CN"/>
        </w:rPr>
        <w:t>实际</w:t>
      </w:r>
      <w:r>
        <w:rPr>
          <w:rFonts w:hint="default" w:ascii="Times New Roman" w:hAnsi="Times New Roman" w:eastAsia="宋体" w:cs="Times New Roman"/>
          <w:color w:val="auto"/>
          <w:sz w:val="24"/>
          <w:szCs w:val="24"/>
          <w:highlight w:val="none"/>
          <w:lang w:val="en-US" w:eastAsia="zh-CN"/>
        </w:rPr>
        <w:t>需水量，</w:t>
      </w:r>
      <w:r>
        <w:rPr>
          <w:rFonts w:hint="eastAsia"/>
          <w:color w:val="auto"/>
          <w:kern w:val="0"/>
          <w:sz w:val="24"/>
          <w:szCs w:val="24"/>
          <w:highlight w:val="none"/>
        </w:rPr>
        <w:t>可满足服务范围内近期需水量要求</w:t>
      </w:r>
      <w:r>
        <w:rPr>
          <w:color w:val="auto"/>
          <w:kern w:val="0"/>
          <w:sz w:val="24"/>
          <w:szCs w:val="24"/>
          <w:highlight w:val="none"/>
        </w:rPr>
        <w:t>。</w:t>
      </w:r>
    </w:p>
    <w:p w14:paraId="393F544F">
      <w:pPr>
        <w:spacing w:line="360" w:lineRule="auto"/>
        <w:ind w:firstLine="472" w:firstLineChars="200"/>
        <w:rPr>
          <w:rFonts w:hint="eastAsia"/>
          <w:color w:val="auto"/>
          <w:sz w:val="24"/>
          <w:szCs w:val="24"/>
          <w:highlight w:val="none"/>
        </w:rPr>
      </w:pPr>
      <w:r>
        <w:rPr>
          <w:rFonts w:hint="eastAsia"/>
          <w:color w:val="auto"/>
          <w:sz w:val="24"/>
          <w:szCs w:val="24"/>
          <w:highlight w:val="none"/>
          <w:lang w:val="en-US" w:eastAsia="zh-CN"/>
        </w:rPr>
        <w:t>2</w:t>
      </w:r>
      <w:r>
        <w:rPr>
          <w:rFonts w:hint="eastAsia"/>
          <w:color w:val="auto"/>
          <w:sz w:val="24"/>
          <w:szCs w:val="24"/>
          <w:highlight w:val="none"/>
          <w:lang w:eastAsia="zh-CN"/>
        </w:rPr>
        <w:t>）</w:t>
      </w:r>
      <w:r>
        <w:rPr>
          <w:rFonts w:hint="eastAsia" w:ascii="Times New Roman" w:hAnsi="Times New Roman" w:eastAsia="宋体" w:cs="Times New Roman"/>
          <w:color w:val="auto"/>
          <w:kern w:val="0"/>
          <w:sz w:val="24"/>
          <w:szCs w:val="24"/>
          <w:highlight w:val="none"/>
          <w:lang w:val="en-US" w:eastAsia="zh-CN" w:bidi="ar"/>
        </w:rPr>
        <w:t>绥化市庆安县建民乡</w:t>
      </w:r>
      <w:r>
        <w:rPr>
          <w:rFonts w:ascii="Times New Roman" w:hAnsi="Times New Roman" w:eastAsia="宋体" w:cs="Times New Roman"/>
          <w:color w:val="auto"/>
          <w:kern w:val="0"/>
          <w:sz w:val="24"/>
          <w:szCs w:val="24"/>
          <w:highlight w:val="none"/>
          <w:lang w:bidi="ar"/>
        </w:rPr>
        <w:t>饮用水水源地</w:t>
      </w:r>
      <w:r>
        <w:rPr>
          <w:rFonts w:hint="eastAsia"/>
          <w:color w:val="auto"/>
          <w:sz w:val="24"/>
          <w:szCs w:val="24"/>
          <w:highlight w:val="none"/>
        </w:rPr>
        <w:t>：</w:t>
      </w:r>
      <w:r>
        <w:rPr>
          <w:rFonts w:hint="eastAsia"/>
          <w:color w:val="auto"/>
          <w:kern w:val="0"/>
          <w:sz w:val="24"/>
          <w:szCs w:val="24"/>
          <w:highlight w:val="none"/>
          <w:lang w:eastAsia="zh-CN"/>
        </w:rPr>
        <w:t>设计取水量</w:t>
      </w:r>
      <w:r>
        <w:rPr>
          <w:rFonts w:hint="default" w:ascii="Times New Roman" w:hAnsi="Times New Roman" w:eastAsia="宋体" w:cs="Times New Roman"/>
          <w:color w:val="auto"/>
          <w:sz w:val="24"/>
          <w:szCs w:val="24"/>
          <w:highlight w:val="none"/>
          <w:lang w:val="en-US" w:eastAsia="zh-CN"/>
        </w:rPr>
        <w:t>（即水源地允许开采量）</w:t>
      </w:r>
      <w:r>
        <w:rPr>
          <w:rFonts w:hint="eastAsia"/>
          <w:color w:val="auto"/>
          <w:kern w:val="0"/>
          <w:sz w:val="24"/>
          <w:szCs w:val="24"/>
          <w:highlight w:val="none"/>
        </w:rPr>
        <w:t>为</w:t>
      </w:r>
      <w:r>
        <w:rPr>
          <w:rFonts w:hint="eastAsia"/>
          <w:color w:val="auto"/>
          <w:kern w:val="0"/>
          <w:sz w:val="24"/>
          <w:szCs w:val="24"/>
          <w:highlight w:val="none"/>
          <w:lang w:val="en-US" w:eastAsia="zh-CN"/>
        </w:rPr>
        <w:t>881</w:t>
      </w:r>
      <w:r>
        <w:rPr>
          <w:rFonts w:hint="eastAsia"/>
          <w:color w:val="auto"/>
          <w:kern w:val="0"/>
          <w:sz w:val="24"/>
          <w:szCs w:val="24"/>
          <w:highlight w:val="none"/>
        </w:rPr>
        <w:t>立方米/天，</w:t>
      </w:r>
      <w:r>
        <w:rPr>
          <w:rFonts w:hint="eastAsia"/>
          <w:color w:val="auto"/>
          <w:sz w:val="24"/>
          <w:szCs w:val="24"/>
          <w:highlight w:val="none"/>
        </w:rPr>
        <w:t>服务人口</w:t>
      </w:r>
      <w:r>
        <w:rPr>
          <w:rFonts w:hint="eastAsia"/>
          <w:color w:val="auto"/>
          <w:sz w:val="24"/>
          <w:szCs w:val="24"/>
          <w:highlight w:val="none"/>
          <w:lang w:val="en-US" w:eastAsia="zh-CN"/>
        </w:rPr>
        <w:t>8655</w:t>
      </w:r>
      <w:r>
        <w:rPr>
          <w:rFonts w:hint="eastAsia"/>
          <w:color w:val="auto"/>
          <w:sz w:val="24"/>
          <w:szCs w:val="24"/>
          <w:highlight w:val="none"/>
        </w:rPr>
        <w:t>人</w:t>
      </w:r>
      <w:r>
        <w:rPr>
          <w:rFonts w:hint="eastAsia"/>
          <w:color w:val="auto"/>
          <w:kern w:val="0"/>
          <w:sz w:val="24"/>
          <w:szCs w:val="24"/>
          <w:highlight w:val="none"/>
        </w:rPr>
        <w:t>，实际取水量为</w:t>
      </w:r>
      <w:r>
        <w:rPr>
          <w:rFonts w:hint="eastAsia"/>
          <w:color w:val="auto"/>
          <w:kern w:val="0"/>
          <w:sz w:val="24"/>
          <w:szCs w:val="24"/>
          <w:highlight w:val="none"/>
          <w:lang w:val="en-US" w:eastAsia="zh-CN"/>
        </w:rPr>
        <w:t>700</w:t>
      </w:r>
      <w:r>
        <w:rPr>
          <w:rFonts w:hint="eastAsia"/>
          <w:color w:val="auto"/>
          <w:kern w:val="0"/>
          <w:sz w:val="24"/>
          <w:szCs w:val="24"/>
          <w:highlight w:val="none"/>
        </w:rPr>
        <w:t>立方米/天，</w:t>
      </w:r>
      <w:r>
        <w:rPr>
          <w:rFonts w:hint="default" w:ascii="Times New Roman" w:hAnsi="Times New Roman" w:eastAsia="宋体" w:cs="Times New Roman"/>
          <w:color w:val="auto"/>
          <w:sz w:val="24"/>
          <w:szCs w:val="24"/>
          <w:highlight w:val="none"/>
          <w:lang w:val="en-US" w:eastAsia="zh-CN"/>
        </w:rPr>
        <w:t>设计取水量大于</w:t>
      </w:r>
      <w:r>
        <w:rPr>
          <w:rFonts w:hint="eastAsia" w:cs="Times New Roman"/>
          <w:color w:val="auto"/>
          <w:sz w:val="24"/>
          <w:szCs w:val="24"/>
          <w:highlight w:val="none"/>
          <w:lang w:val="en-US" w:eastAsia="zh-CN"/>
        </w:rPr>
        <w:t>实际</w:t>
      </w:r>
      <w:r>
        <w:rPr>
          <w:rFonts w:hint="default" w:ascii="Times New Roman" w:hAnsi="Times New Roman" w:eastAsia="宋体" w:cs="Times New Roman"/>
          <w:color w:val="auto"/>
          <w:sz w:val="24"/>
          <w:szCs w:val="24"/>
          <w:highlight w:val="none"/>
          <w:lang w:val="en-US" w:eastAsia="zh-CN"/>
        </w:rPr>
        <w:t>需水量，</w:t>
      </w:r>
      <w:r>
        <w:rPr>
          <w:rFonts w:hint="eastAsia"/>
          <w:color w:val="auto"/>
          <w:kern w:val="0"/>
          <w:sz w:val="24"/>
          <w:szCs w:val="24"/>
          <w:highlight w:val="none"/>
        </w:rPr>
        <w:t>可满足服务范围内近期需水量要求</w:t>
      </w:r>
      <w:r>
        <w:rPr>
          <w:color w:val="auto"/>
          <w:kern w:val="0"/>
          <w:sz w:val="24"/>
          <w:szCs w:val="24"/>
          <w:highlight w:val="none"/>
        </w:rPr>
        <w:t>。</w:t>
      </w:r>
    </w:p>
    <w:p w14:paraId="5B1856CB">
      <w:pPr>
        <w:spacing w:line="360" w:lineRule="auto"/>
        <w:ind w:firstLine="472" w:firstLineChars="200"/>
        <w:rPr>
          <w:rFonts w:hint="eastAsia"/>
          <w:color w:val="auto"/>
          <w:sz w:val="24"/>
          <w:szCs w:val="24"/>
          <w:highlight w:val="none"/>
        </w:rPr>
      </w:pPr>
      <w:r>
        <w:rPr>
          <w:rFonts w:hint="eastAsia"/>
          <w:color w:val="auto"/>
          <w:sz w:val="24"/>
          <w:szCs w:val="24"/>
          <w:highlight w:val="none"/>
          <w:lang w:val="en-US" w:eastAsia="zh-CN"/>
        </w:rPr>
        <w:t>3</w:t>
      </w:r>
      <w:r>
        <w:rPr>
          <w:rFonts w:hint="eastAsia"/>
          <w:color w:val="auto"/>
          <w:sz w:val="24"/>
          <w:szCs w:val="24"/>
          <w:highlight w:val="none"/>
          <w:lang w:eastAsia="zh-CN"/>
        </w:rPr>
        <w:t>）</w:t>
      </w:r>
      <w:r>
        <w:rPr>
          <w:rFonts w:hint="eastAsia" w:ascii="Times New Roman" w:hAnsi="Times New Roman" w:eastAsia="宋体" w:cs="Times New Roman"/>
          <w:color w:val="auto"/>
          <w:kern w:val="0"/>
          <w:sz w:val="24"/>
          <w:szCs w:val="24"/>
          <w:highlight w:val="none"/>
          <w:lang w:val="en-US" w:eastAsia="zh-CN" w:bidi="ar"/>
        </w:rPr>
        <w:t>绥化市庆安县同乐镇</w:t>
      </w:r>
      <w:r>
        <w:rPr>
          <w:rFonts w:ascii="Times New Roman" w:hAnsi="Times New Roman" w:eastAsia="宋体" w:cs="Times New Roman"/>
          <w:color w:val="auto"/>
          <w:kern w:val="0"/>
          <w:sz w:val="24"/>
          <w:szCs w:val="24"/>
          <w:highlight w:val="none"/>
          <w:lang w:bidi="ar"/>
        </w:rPr>
        <w:t>饮用水水源地</w:t>
      </w:r>
      <w:r>
        <w:rPr>
          <w:rFonts w:hint="eastAsia"/>
          <w:color w:val="auto"/>
          <w:sz w:val="24"/>
          <w:szCs w:val="24"/>
          <w:highlight w:val="none"/>
        </w:rPr>
        <w:t>：</w:t>
      </w:r>
      <w:r>
        <w:rPr>
          <w:rFonts w:hint="eastAsia"/>
          <w:color w:val="auto"/>
          <w:kern w:val="0"/>
          <w:sz w:val="24"/>
          <w:szCs w:val="24"/>
          <w:highlight w:val="none"/>
          <w:lang w:eastAsia="zh-CN"/>
        </w:rPr>
        <w:t>设计取水量</w:t>
      </w:r>
      <w:r>
        <w:rPr>
          <w:rFonts w:hint="default" w:ascii="Times New Roman" w:hAnsi="Times New Roman" w:eastAsia="宋体" w:cs="Times New Roman"/>
          <w:color w:val="auto"/>
          <w:sz w:val="24"/>
          <w:szCs w:val="24"/>
          <w:highlight w:val="none"/>
          <w:lang w:val="en-US" w:eastAsia="zh-CN"/>
        </w:rPr>
        <w:t>（即水源地允许开采量）</w:t>
      </w:r>
      <w:r>
        <w:rPr>
          <w:rFonts w:hint="eastAsia"/>
          <w:color w:val="auto"/>
          <w:kern w:val="0"/>
          <w:sz w:val="24"/>
          <w:szCs w:val="24"/>
          <w:highlight w:val="none"/>
        </w:rPr>
        <w:t>为</w:t>
      </w:r>
      <w:r>
        <w:rPr>
          <w:rFonts w:hint="eastAsia"/>
          <w:color w:val="auto"/>
          <w:kern w:val="0"/>
          <w:sz w:val="24"/>
          <w:szCs w:val="24"/>
          <w:highlight w:val="none"/>
          <w:lang w:val="en-US" w:eastAsia="zh-CN"/>
        </w:rPr>
        <w:t>1395</w:t>
      </w:r>
      <w:r>
        <w:rPr>
          <w:rFonts w:hint="eastAsia"/>
          <w:color w:val="auto"/>
          <w:kern w:val="0"/>
          <w:sz w:val="24"/>
          <w:szCs w:val="24"/>
          <w:highlight w:val="none"/>
        </w:rPr>
        <w:t>立方米/天，</w:t>
      </w:r>
      <w:r>
        <w:rPr>
          <w:rFonts w:hint="eastAsia"/>
          <w:color w:val="auto"/>
          <w:sz w:val="24"/>
          <w:szCs w:val="24"/>
          <w:highlight w:val="none"/>
        </w:rPr>
        <w:t>服务人口</w:t>
      </w:r>
      <w:r>
        <w:rPr>
          <w:rFonts w:hint="eastAsia"/>
          <w:color w:val="auto"/>
          <w:sz w:val="24"/>
          <w:szCs w:val="24"/>
          <w:highlight w:val="none"/>
          <w:lang w:val="en-US" w:eastAsia="zh-CN"/>
        </w:rPr>
        <w:t>9891</w:t>
      </w:r>
      <w:r>
        <w:rPr>
          <w:rFonts w:hint="eastAsia"/>
          <w:color w:val="auto"/>
          <w:sz w:val="24"/>
          <w:szCs w:val="24"/>
          <w:highlight w:val="none"/>
        </w:rPr>
        <w:t>人</w:t>
      </w:r>
      <w:r>
        <w:rPr>
          <w:rFonts w:hint="eastAsia"/>
          <w:color w:val="auto"/>
          <w:kern w:val="0"/>
          <w:sz w:val="24"/>
          <w:szCs w:val="24"/>
          <w:highlight w:val="none"/>
        </w:rPr>
        <w:t>，实际取水量为</w:t>
      </w:r>
      <w:r>
        <w:rPr>
          <w:rFonts w:hint="eastAsia"/>
          <w:color w:val="auto"/>
          <w:kern w:val="0"/>
          <w:sz w:val="24"/>
          <w:szCs w:val="24"/>
          <w:highlight w:val="none"/>
          <w:lang w:val="en-US" w:eastAsia="zh-CN"/>
        </w:rPr>
        <w:t>800</w:t>
      </w:r>
      <w:r>
        <w:rPr>
          <w:rFonts w:hint="eastAsia"/>
          <w:color w:val="auto"/>
          <w:kern w:val="0"/>
          <w:sz w:val="24"/>
          <w:szCs w:val="24"/>
          <w:highlight w:val="none"/>
        </w:rPr>
        <w:t>立方米/天，</w:t>
      </w:r>
      <w:r>
        <w:rPr>
          <w:rFonts w:hint="default" w:ascii="Times New Roman" w:hAnsi="Times New Roman" w:eastAsia="宋体" w:cs="Times New Roman"/>
          <w:color w:val="auto"/>
          <w:sz w:val="24"/>
          <w:szCs w:val="24"/>
          <w:highlight w:val="none"/>
          <w:lang w:val="en-US" w:eastAsia="zh-CN"/>
        </w:rPr>
        <w:t>设计取水量大于</w:t>
      </w:r>
      <w:r>
        <w:rPr>
          <w:rFonts w:hint="eastAsia" w:cs="Times New Roman"/>
          <w:color w:val="auto"/>
          <w:sz w:val="24"/>
          <w:szCs w:val="24"/>
          <w:highlight w:val="none"/>
          <w:lang w:val="en-US" w:eastAsia="zh-CN"/>
        </w:rPr>
        <w:t>实际</w:t>
      </w:r>
      <w:r>
        <w:rPr>
          <w:rFonts w:hint="default" w:ascii="Times New Roman" w:hAnsi="Times New Roman" w:eastAsia="宋体" w:cs="Times New Roman"/>
          <w:color w:val="auto"/>
          <w:sz w:val="24"/>
          <w:szCs w:val="24"/>
          <w:highlight w:val="none"/>
          <w:lang w:val="en-US" w:eastAsia="zh-CN"/>
        </w:rPr>
        <w:t>需水量，</w:t>
      </w:r>
      <w:r>
        <w:rPr>
          <w:rFonts w:hint="eastAsia"/>
          <w:color w:val="auto"/>
          <w:kern w:val="0"/>
          <w:sz w:val="24"/>
          <w:szCs w:val="24"/>
          <w:highlight w:val="none"/>
        </w:rPr>
        <w:t>可满足服务范围内近期需水量要求</w:t>
      </w:r>
      <w:r>
        <w:rPr>
          <w:color w:val="auto"/>
          <w:kern w:val="0"/>
          <w:sz w:val="24"/>
          <w:szCs w:val="24"/>
          <w:highlight w:val="none"/>
        </w:rPr>
        <w:t>。</w:t>
      </w:r>
    </w:p>
    <w:p w14:paraId="4A4CC714">
      <w:pPr>
        <w:spacing w:line="360" w:lineRule="auto"/>
        <w:ind w:firstLine="472" w:firstLineChars="200"/>
        <w:rPr>
          <w:rFonts w:hint="eastAsia"/>
          <w:color w:val="auto"/>
          <w:sz w:val="24"/>
          <w:szCs w:val="24"/>
          <w:highlight w:val="none"/>
        </w:rPr>
      </w:pPr>
      <w:r>
        <w:rPr>
          <w:rFonts w:hint="eastAsia"/>
          <w:color w:val="auto"/>
          <w:sz w:val="24"/>
          <w:szCs w:val="24"/>
          <w:highlight w:val="none"/>
          <w:lang w:val="en-US" w:eastAsia="zh-CN"/>
        </w:rPr>
        <w:t>4</w:t>
      </w:r>
      <w:r>
        <w:rPr>
          <w:rFonts w:hint="eastAsia"/>
          <w:color w:val="auto"/>
          <w:sz w:val="24"/>
          <w:szCs w:val="24"/>
          <w:highlight w:val="none"/>
          <w:lang w:eastAsia="zh-CN"/>
        </w:rPr>
        <w:t>）</w:t>
      </w:r>
      <w:r>
        <w:rPr>
          <w:rFonts w:hint="eastAsia" w:ascii="Times New Roman" w:hAnsi="Times New Roman" w:eastAsia="宋体" w:cs="Times New Roman"/>
          <w:color w:val="auto"/>
          <w:kern w:val="0"/>
          <w:sz w:val="24"/>
          <w:szCs w:val="24"/>
          <w:highlight w:val="none"/>
          <w:lang w:val="en-US" w:eastAsia="zh-CN" w:bidi="ar"/>
        </w:rPr>
        <w:t>绥化市庆安县柳河镇饮用水水源地</w:t>
      </w:r>
      <w:r>
        <w:rPr>
          <w:rFonts w:hint="eastAsia"/>
          <w:color w:val="auto"/>
          <w:sz w:val="24"/>
          <w:szCs w:val="24"/>
          <w:highlight w:val="none"/>
        </w:rPr>
        <w:t>：</w:t>
      </w:r>
      <w:r>
        <w:rPr>
          <w:rFonts w:hint="eastAsia"/>
          <w:color w:val="auto"/>
          <w:kern w:val="0"/>
          <w:sz w:val="24"/>
          <w:szCs w:val="24"/>
          <w:highlight w:val="none"/>
          <w:lang w:eastAsia="zh-CN"/>
        </w:rPr>
        <w:t>设计取水量</w:t>
      </w:r>
      <w:r>
        <w:rPr>
          <w:rFonts w:hint="default" w:ascii="Times New Roman" w:hAnsi="Times New Roman" w:eastAsia="宋体" w:cs="Times New Roman"/>
          <w:color w:val="auto"/>
          <w:sz w:val="24"/>
          <w:szCs w:val="24"/>
          <w:highlight w:val="none"/>
          <w:lang w:val="en-US" w:eastAsia="zh-CN"/>
        </w:rPr>
        <w:t>（即水源地允许开采量）</w:t>
      </w:r>
      <w:r>
        <w:rPr>
          <w:rFonts w:hint="eastAsia"/>
          <w:color w:val="auto"/>
          <w:kern w:val="0"/>
          <w:sz w:val="24"/>
          <w:szCs w:val="24"/>
          <w:highlight w:val="none"/>
        </w:rPr>
        <w:t>为</w:t>
      </w:r>
      <w:r>
        <w:rPr>
          <w:rFonts w:hint="eastAsia"/>
          <w:color w:val="auto"/>
          <w:kern w:val="0"/>
          <w:sz w:val="24"/>
          <w:szCs w:val="24"/>
          <w:highlight w:val="none"/>
          <w:lang w:val="en-US" w:eastAsia="zh-CN"/>
        </w:rPr>
        <w:t>1378.56</w:t>
      </w:r>
      <w:r>
        <w:rPr>
          <w:rFonts w:hint="eastAsia"/>
          <w:color w:val="auto"/>
          <w:kern w:val="0"/>
          <w:sz w:val="24"/>
          <w:szCs w:val="24"/>
          <w:highlight w:val="none"/>
        </w:rPr>
        <w:t>立方米/天，</w:t>
      </w:r>
      <w:r>
        <w:rPr>
          <w:rFonts w:hint="eastAsia"/>
          <w:color w:val="auto"/>
          <w:sz w:val="24"/>
          <w:szCs w:val="24"/>
          <w:highlight w:val="none"/>
        </w:rPr>
        <w:t>服务人口</w:t>
      </w:r>
      <w:r>
        <w:rPr>
          <w:rFonts w:hint="eastAsia"/>
          <w:color w:val="auto"/>
          <w:sz w:val="24"/>
          <w:szCs w:val="24"/>
          <w:highlight w:val="none"/>
          <w:lang w:val="en-US" w:eastAsia="zh-CN"/>
        </w:rPr>
        <w:t>8631</w:t>
      </w:r>
      <w:r>
        <w:rPr>
          <w:rFonts w:hint="eastAsia"/>
          <w:color w:val="auto"/>
          <w:sz w:val="24"/>
          <w:szCs w:val="24"/>
          <w:highlight w:val="none"/>
        </w:rPr>
        <w:t>人</w:t>
      </w:r>
      <w:r>
        <w:rPr>
          <w:rFonts w:hint="eastAsia"/>
          <w:color w:val="auto"/>
          <w:kern w:val="0"/>
          <w:sz w:val="24"/>
          <w:szCs w:val="24"/>
          <w:highlight w:val="none"/>
        </w:rPr>
        <w:t>，实际取水量为</w:t>
      </w:r>
      <w:r>
        <w:rPr>
          <w:rFonts w:hint="eastAsia"/>
          <w:color w:val="auto"/>
          <w:kern w:val="0"/>
          <w:sz w:val="24"/>
          <w:szCs w:val="24"/>
          <w:highlight w:val="none"/>
          <w:lang w:val="en-US" w:eastAsia="zh-CN"/>
        </w:rPr>
        <w:t>700</w:t>
      </w:r>
      <w:r>
        <w:rPr>
          <w:rFonts w:hint="eastAsia"/>
          <w:color w:val="auto"/>
          <w:kern w:val="0"/>
          <w:sz w:val="24"/>
          <w:szCs w:val="24"/>
          <w:highlight w:val="none"/>
        </w:rPr>
        <w:t>立方米/天，</w:t>
      </w:r>
      <w:r>
        <w:rPr>
          <w:rFonts w:hint="default" w:ascii="Times New Roman" w:hAnsi="Times New Roman" w:eastAsia="宋体" w:cs="Times New Roman"/>
          <w:color w:val="auto"/>
          <w:sz w:val="24"/>
          <w:szCs w:val="24"/>
          <w:highlight w:val="none"/>
          <w:lang w:val="en-US" w:eastAsia="zh-CN"/>
        </w:rPr>
        <w:t>设计取水量大于</w:t>
      </w:r>
      <w:r>
        <w:rPr>
          <w:rFonts w:hint="eastAsia" w:cs="Times New Roman"/>
          <w:color w:val="auto"/>
          <w:sz w:val="24"/>
          <w:szCs w:val="24"/>
          <w:highlight w:val="none"/>
          <w:lang w:val="en-US" w:eastAsia="zh-CN"/>
        </w:rPr>
        <w:t>实际</w:t>
      </w:r>
      <w:r>
        <w:rPr>
          <w:rFonts w:hint="default" w:ascii="Times New Roman" w:hAnsi="Times New Roman" w:eastAsia="宋体" w:cs="Times New Roman"/>
          <w:color w:val="auto"/>
          <w:sz w:val="24"/>
          <w:szCs w:val="24"/>
          <w:highlight w:val="none"/>
          <w:lang w:val="en-US" w:eastAsia="zh-CN"/>
        </w:rPr>
        <w:t>需水量，</w:t>
      </w:r>
      <w:r>
        <w:rPr>
          <w:rFonts w:hint="eastAsia"/>
          <w:color w:val="auto"/>
          <w:kern w:val="0"/>
          <w:sz w:val="24"/>
          <w:szCs w:val="24"/>
          <w:highlight w:val="none"/>
        </w:rPr>
        <w:t>可满足服务范围内近期需水量要求</w:t>
      </w:r>
      <w:r>
        <w:rPr>
          <w:color w:val="auto"/>
          <w:kern w:val="0"/>
          <w:sz w:val="24"/>
          <w:szCs w:val="24"/>
          <w:highlight w:val="none"/>
        </w:rPr>
        <w:t>。</w:t>
      </w:r>
    </w:p>
    <w:p w14:paraId="408A0650">
      <w:pPr>
        <w:spacing w:line="360" w:lineRule="auto"/>
        <w:ind w:firstLine="472" w:firstLineChars="200"/>
        <w:rPr>
          <w:color w:val="auto"/>
          <w:sz w:val="24"/>
          <w:szCs w:val="24"/>
          <w:highlight w:val="none"/>
        </w:rPr>
      </w:pPr>
      <w:r>
        <w:rPr>
          <w:rFonts w:hint="eastAsia"/>
          <w:color w:val="auto"/>
          <w:sz w:val="24"/>
          <w:szCs w:val="24"/>
          <w:highlight w:val="none"/>
          <w:lang w:val="en-US" w:eastAsia="zh-CN"/>
        </w:rPr>
        <w:t>5</w:t>
      </w:r>
      <w:r>
        <w:rPr>
          <w:rFonts w:hint="eastAsia"/>
          <w:color w:val="auto"/>
          <w:sz w:val="24"/>
          <w:szCs w:val="24"/>
          <w:highlight w:val="none"/>
          <w:lang w:eastAsia="zh-CN"/>
        </w:rPr>
        <w:t>）</w:t>
      </w:r>
      <w:r>
        <w:rPr>
          <w:rFonts w:hint="eastAsia" w:ascii="Times New Roman" w:hAnsi="Times New Roman" w:eastAsia="宋体" w:cs="Times New Roman"/>
          <w:color w:val="auto"/>
          <w:kern w:val="0"/>
          <w:sz w:val="24"/>
          <w:szCs w:val="24"/>
          <w:highlight w:val="none"/>
          <w:lang w:val="en-US" w:eastAsia="zh-CN" w:bidi="ar"/>
        </w:rPr>
        <w:t>绥化市庆安县柳河镇新强村饮用水水源地</w:t>
      </w:r>
      <w:r>
        <w:rPr>
          <w:rFonts w:hint="eastAsia" w:ascii="Times New Roman" w:hAnsi="Times New Roman" w:cs="Times New Roman"/>
          <w:color w:val="auto"/>
          <w:kern w:val="0"/>
          <w:sz w:val="24"/>
          <w:szCs w:val="24"/>
          <w:highlight w:val="none"/>
          <w:lang w:val="en-US" w:eastAsia="zh-CN" w:bidi="ar"/>
        </w:rPr>
        <w:t>：</w:t>
      </w:r>
      <w:r>
        <w:rPr>
          <w:rFonts w:hint="eastAsia"/>
          <w:color w:val="auto"/>
          <w:kern w:val="0"/>
          <w:sz w:val="24"/>
          <w:szCs w:val="24"/>
          <w:highlight w:val="none"/>
          <w:lang w:eastAsia="zh-CN"/>
        </w:rPr>
        <w:t>设计取水量</w:t>
      </w:r>
      <w:r>
        <w:rPr>
          <w:rFonts w:hint="default" w:ascii="Times New Roman" w:hAnsi="Times New Roman" w:eastAsia="宋体" w:cs="Times New Roman"/>
          <w:color w:val="auto"/>
          <w:sz w:val="24"/>
          <w:szCs w:val="24"/>
          <w:highlight w:val="none"/>
          <w:lang w:val="en-US" w:eastAsia="zh-CN"/>
        </w:rPr>
        <w:t>（即水源地允许开采量）</w:t>
      </w:r>
      <w:r>
        <w:rPr>
          <w:rFonts w:hint="eastAsia"/>
          <w:color w:val="auto"/>
          <w:kern w:val="0"/>
          <w:sz w:val="24"/>
          <w:szCs w:val="24"/>
          <w:highlight w:val="none"/>
        </w:rPr>
        <w:t>为</w:t>
      </w:r>
      <w:r>
        <w:rPr>
          <w:rFonts w:hint="eastAsia"/>
          <w:color w:val="auto"/>
          <w:kern w:val="0"/>
          <w:sz w:val="24"/>
          <w:szCs w:val="24"/>
          <w:highlight w:val="none"/>
          <w:lang w:val="en-US" w:eastAsia="zh-CN"/>
        </w:rPr>
        <w:t>1379.67</w:t>
      </w:r>
      <w:r>
        <w:rPr>
          <w:rFonts w:hint="eastAsia"/>
          <w:color w:val="auto"/>
          <w:kern w:val="0"/>
          <w:sz w:val="24"/>
          <w:szCs w:val="24"/>
          <w:highlight w:val="none"/>
        </w:rPr>
        <w:t>立方米/天，</w:t>
      </w:r>
      <w:r>
        <w:rPr>
          <w:rFonts w:hint="eastAsia"/>
          <w:color w:val="auto"/>
          <w:sz w:val="24"/>
          <w:szCs w:val="24"/>
          <w:highlight w:val="none"/>
        </w:rPr>
        <w:t>服务人口</w:t>
      </w:r>
      <w:r>
        <w:rPr>
          <w:rFonts w:hint="eastAsia"/>
          <w:color w:val="auto"/>
          <w:sz w:val="24"/>
          <w:szCs w:val="24"/>
          <w:highlight w:val="none"/>
          <w:lang w:val="en-US" w:eastAsia="zh-CN"/>
        </w:rPr>
        <w:t>6097</w:t>
      </w:r>
      <w:r>
        <w:rPr>
          <w:rFonts w:hint="eastAsia"/>
          <w:color w:val="auto"/>
          <w:sz w:val="24"/>
          <w:szCs w:val="24"/>
          <w:highlight w:val="none"/>
        </w:rPr>
        <w:t>人</w:t>
      </w:r>
      <w:r>
        <w:rPr>
          <w:rFonts w:hint="eastAsia"/>
          <w:color w:val="auto"/>
          <w:kern w:val="0"/>
          <w:sz w:val="24"/>
          <w:szCs w:val="24"/>
          <w:highlight w:val="none"/>
        </w:rPr>
        <w:t>，实际取水量为</w:t>
      </w:r>
      <w:r>
        <w:rPr>
          <w:rFonts w:hint="eastAsia"/>
          <w:color w:val="auto"/>
          <w:kern w:val="0"/>
          <w:sz w:val="24"/>
          <w:szCs w:val="24"/>
          <w:highlight w:val="none"/>
          <w:lang w:val="en-US" w:eastAsia="zh-CN"/>
        </w:rPr>
        <w:t>500</w:t>
      </w:r>
      <w:r>
        <w:rPr>
          <w:rFonts w:hint="eastAsia"/>
          <w:color w:val="auto"/>
          <w:kern w:val="0"/>
          <w:sz w:val="24"/>
          <w:szCs w:val="24"/>
          <w:highlight w:val="none"/>
        </w:rPr>
        <w:t>立方米/天，</w:t>
      </w:r>
      <w:r>
        <w:rPr>
          <w:rFonts w:hint="default" w:ascii="Times New Roman" w:hAnsi="Times New Roman" w:eastAsia="宋体" w:cs="Times New Roman"/>
          <w:color w:val="auto"/>
          <w:sz w:val="24"/>
          <w:szCs w:val="24"/>
          <w:highlight w:val="none"/>
          <w:lang w:val="en-US" w:eastAsia="zh-CN"/>
        </w:rPr>
        <w:t>设计取水量大于</w:t>
      </w:r>
      <w:r>
        <w:rPr>
          <w:rFonts w:hint="eastAsia" w:cs="Times New Roman"/>
          <w:color w:val="auto"/>
          <w:sz w:val="24"/>
          <w:szCs w:val="24"/>
          <w:highlight w:val="none"/>
          <w:lang w:val="en-US" w:eastAsia="zh-CN"/>
        </w:rPr>
        <w:t>实际</w:t>
      </w:r>
      <w:r>
        <w:rPr>
          <w:rFonts w:hint="default" w:ascii="Times New Roman" w:hAnsi="Times New Roman" w:eastAsia="宋体" w:cs="Times New Roman"/>
          <w:color w:val="auto"/>
          <w:sz w:val="24"/>
          <w:szCs w:val="24"/>
          <w:highlight w:val="none"/>
          <w:lang w:val="en-US" w:eastAsia="zh-CN"/>
        </w:rPr>
        <w:t>需水量，</w:t>
      </w:r>
      <w:r>
        <w:rPr>
          <w:rFonts w:hint="eastAsia"/>
          <w:color w:val="auto"/>
          <w:kern w:val="0"/>
          <w:sz w:val="24"/>
          <w:szCs w:val="24"/>
          <w:highlight w:val="none"/>
        </w:rPr>
        <w:t>可满足服务范围内近期需水量要求</w:t>
      </w:r>
      <w:r>
        <w:rPr>
          <w:color w:val="auto"/>
          <w:kern w:val="0"/>
          <w:sz w:val="24"/>
          <w:szCs w:val="24"/>
          <w:highlight w:val="none"/>
        </w:rPr>
        <w:t>。</w:t>
      </w:r>
    </w:p>
    <w:p w14:paraId="6D90123E">
      <w:pPr>
        <w:spacing w:line="360" w:lineRule="auto"/>
        <w:ind w:firstLine="472" w:firstLineChars="200"/>
        <w:rPr>
          <w:rFonts w:hint="eastAsia"/>
          <w:color w:val="auto"/>
          <w:sz w:val="24"/>
          <w:szCs w:val="24"/>
          <w:highlight w:val="none"/>
        </w:rPr>
      </w:pPr>
      <w:r>
        <w:rPr>
          <w:rFonts w:hint="eastAsia"/>
          <w:color w:val="auto"/>
          <w:sz w:val="24"/>
          <w:szCs w:val="24"/>
          <w:highlight w:val="none"/>
          <w:lang w:val="en-US" w:eastAsia="zh-CN"/>
        </w:rPr>
        <w:t>6</w:t>
      </w:r>
      <w:r>
        <w:rPr>
          <w:rFonts w:hint="eastAsia"/>
          <w:color w:val="auto"/>
          <w:sz w:val="24"/>
          <w:szCs w:val="24"/>
          <w:highlight w:val="none"/>
          <w:lang w:eastAsia="zh-CN"/>
        </w:rPr>
        <w:t>）</w:t>
      </w:r>
      <w:r>
        <w:rPr>
          <w:rFonts w:hint="eastAsia" w:ascii="Times New Roman" w:hAnsi="Times New Roman" w:eastAsia="宋体" w:cs="Times New Roman"/>
          <w:color w:val="auto"/>
          <w:kern w:val="0"/>
          <w:sz w:val="24"/>
          <w:szCs w:val="24"/>
          <w:highlight w:val="none"/>
          <w:lang w:val="en-US" w:eastAsia="zh-CN" w:bidi="ar"/>
        </w:rPr>
        <w:t>绥化市庆安县丰收乡饮用水水源地</w:t>
      </w:r>
      <w:r>
        <w:rPr>
          <w:rFonts w:hint="eastAsia"/>
          <w:color w:val="auto"/>
          <w:sz w:val="24"/>
          <w:szCs w:val="24"/>
          <w:highlight w:val="none"/>
        </w:rPr>
        <w:t>：</w:t>
      </w:r>
      <w:r>
        <w:rPr>
          <w:rFonts w:hint="eastAsia"/>
          <w:color w:val="auto"/>
          <w:kern w:val="0"/>
          <w:sz w:val="24"/>
          <w:szCs w:val="24"/>
          <w:highlight w:val="none"/>
          <w:lang w:eastAsia="zh-CN"/>
        </w:rPr>
        <w:t>设计取水量</w:t>
      </w:r>
      <w:r>
        <w:rPr>
          <w:rFonts w:hint="default" w:ascii="Times New Roman" w:hAnsi="Times New Roman" w:eastAsia="宋体" w:cs="Times New Roman"/>
          <w:color w:val="auto"/>
          <w:sz w:val="24"/>
          <w:szCs w:val="24"/>
          <w:highlight w:val="none"/>
          <w:lang w:val="en-US" w:eastAsia="zh-CN"/>
        </w:rPr>
        <w:t>（即水源地允许开采量）</w:t>
      </w:r>
      <w:r>
        <w:rPr>
          <w:rFonts w:hint="eastAsia"/>
          <w:color w:val="auto"/>
          <w:kern w:val="0"/>
          <w:sz w:val="24"/>
          <w:szCs w:val="24"/>
          <w:highlight w:val="none"/>
        </w:rPr>
        <w:t>为</w:t>
      </w:r>
      <w:r>
        <w:rPr>
          <w:rFonts w:hint="eastAsia"/>
          <w:color w:val="auto"/>
          <w:kern w:val="0"/>
          <w:sz w:val="24"/>
          <w:szCs w:val="24"/>
          <w:highlight w:val="none"/>
          <w:lang w:val="en-US" w:eastAsia="zh-CN"/>
        </w:rPr>
        <w:t>2074.52</w:t>
      </w:r>
      <w:r>
        <w:rPr>
          <w:rFonts w:hint="eastAsia"/>
          <w:color w:val="auto"/>
          <w:kern w:val="0"/>
          <w:sz w:val="24"/>
          <w:szCs w:val="24"/>
          <w:highlight w:val="none"/>
        </w:rPr>
        <w:t>立方米/天，</w:t>
      </w:r>
      <w:r>
        <w:rPr>
          <w:rFonts w:hint="eastAsia"/>
          <w:color w:val="auto"/>
          <w:sz w:val="24"/>
          <w:szCs w:val="24"/>
          <w:highlight w:val="none"/>
        </w:rPr>
        <w:t>服务人口</w:t>
      </w:r>
      <w:r>
        <w:rPr>
          <w:rFonts w:hint="eastAsia"/>
          <w:color w:val="auto"/>
          <w:sz w:val="24"/>
          <w:szCs w:val="24"/>
          <w:highlight w:val="none"/>
          <w:lang w:val="en-US" w:eastAsia="zh-CN"/>
        </w:rPr>
        <w:t>9130</w:t>
      </w:r>
      <w:r>
        <w:rPr>
          <w:rFonts w:hint="eastAsia"/>
          <w:color w:val="auto"/>
          <w:sz w:val="24"/>
          <w:szCs w:val="24"/>
          <w:highlight w:val="none"/>
        </w:rPr>
        <w:t>人</w:t>
      </w:r>
      <w:r>
        <w:rPr>
          <w:rFonts w:hint="eastAsia"/>
          <w:color w:val="auto"/>
          <w:kern w:val="0"/>
          <w:sz w:val="24"/>
          <w:szCs w:val="24"/>
          <w:highlight w:val="none"/>
        </w:rPr>
        <w:t>，实际取水量为</w:t>
      </w:r>
      <w:r>
        <w:rPr>
          <w:rFonts w:hint="eastAsia"/>
          <w:color w:val="auto"/>
          <w:kern w:val="0"/>
          <w:sz w:val="24"/>
          <w:szCs w:val="24"/>
          <w:highlight w:val="none"/>
          <w:lang w:val="en-US" w:eastAsia="zh-CN"/>
        </w:rPr>
        <w:t>750</w:t>
      </w:r>
      <w:r>
        <w:rPr>
          <w:rFonts w:hint="eastAsia"/>
          <w:color w:val="auto"/>
          <w:kern w:val="0"/>
          <w:sz w:val="24"/>
          <w:szCs w:val="24"/>
          <w:highlight w:val="none"/>
        </w:rPr>
        <w:t>立方米/天，</w:t>
      </w:r>
      <w:r>
        <w:rPr>
          <w:rFonts w:hint="default" w:ascii="Times New Roman" w:hAnsi="Times New Roman" w:eastAsia="宋体" w:cs="Times New Roman"/>
          <w:color w:val="auto"/>
          <w:sz w:val="24"/>
          <w:szCs w:val="24"/>
          <w:highlight w:val="none"/>
          <w:lang w:val="en-US" w:eastAsia="zh-CN"/>
        </w:rPr>
        <w:t>设计取水量大于</w:t>
      </w:r>
      <w:r>
        <w:rPr>
          <w:rFonts w:hint="eastAsia" w:cs="Times New Roman"/>
          <w:color w:val="auto"/>
          <w:sz w:val="24"/>
          <w:szCs w:val="24"/>
          <w:highlight w:val="none"/>
          <w:lang w:val="en-US" w:eastAsia="zh-CN"/>
        </w:rPr>
        <w:t>实际</w:t>
      </w:r>
      <w:r>
        <w:rPr>
          <w:rFonts w:hint="default" w:ascii="Times New Roman" w:hAnsi="Times New Roman" w:eastAsia="宋体" w:cs="Times New Roman"/>
          <w:color w:val="auto"/>
          <w:sz w:val="24"/>
          <w:szCs w:val="24"/>
          <w:highlight w:val="none"/>
          <w:lang w:val="en-US" w:eastAsia="zh-CN"/>
        </w:rPr>
        <w:t>需水量，</w:t>
      </w:r>
      <w:r>
        <w:rPr>
          <w:rFonts w:hint="eastAsia"/>
          <w:color w:val="auto"/>
          <w:kern w:val="0"/>
          <w:sz w:val="24"/>
          <w:szCs w:val="24"/>
          <w:highlight w:val="none"/>
        </w:rPr>
        <w:t>可满足服务范围内近期需水量要求</w:t>
      </w:r>
      <w:r>
        <w:rPr>
          <w:color w:val="auto"/>
          <w:kern w:val="0"/>
          <w:sz w:val="24"/>
          <w:szCs w:val="24"/>
          <w:highlight w:val="none"/>
        </w:rPr>
        <w:t>。</w:t>
      </w:r>
    </w:p>
    <w:p w14:paraId="01CDBADD">
      <w:pPr>
        <w:spacing w:line="360" w:lineRule="auto"/>
        <w:ind w:firstLine="472" w:firstLineChars="200"/>
        <w:rPr>
          <w:rFonts w:hint="eastAsia"/>
          <w:color w:val="auto"/>
          <w:sz w:val="24"/>
          <w:szCs w:val="24"/>
          <w:highlight w:val="none"/>
        </w:rPr>
      </w:pPr>
      <w:r>
        <w:rPr>
          <w:rFonts w:hint="eastAsia"/>
          <w:color w:val="auto"/>
          <w:sz w:val="24"/>
          <w:szCs w:val="24"/>
          <w:highlight w:val="none"/>
          <w:lang w:val="en-US" w:eastAsia="zh-CN"/>
        </w:rPr>
        <w:t>7</w:t>
      </w:r>
      <w:r>
        <w:rPr>
          <w:rFonts w:hint="eastAsia"/>
          <w:color w:val="auto"/>
          <w:sz w:val="24"/>
          <w:szCs w:val="24"/>
          <w:highlight w:val="none"/>
          <w:lang w:eastAsia="zh-CN"/>
        </w:rPr>
        <w:t>）</w:t>
      </w:r>
      <w:r>
        <w:rPr>
          <w:rFonts w:hint="eastAsia" w:cs="Times New Roman"/>
          <w:color w:val="auto"/>
          <w:kern w:val="0"/>
          <w:sz w:val="24"/>
          <w:szCs w:val="24"/>
          <w:highlight w:val="none"/>
          <w:lang w:val="en-US" w:eastAsia="zh-CN" w:bidi="ar"/>
        </w:rPr>
        <w:t>绥化市庆安县</w:t>
      </w:r>
      <w:r>
        <w:rPr>
          <w:rFonts w:hint="eastAsia" w:ascii="Times New Roman" w:hAnsi="Times New Roman" w:eastAsia="宋体" w:cs="Times New Roman"/>
          <w:color w:val="auto"/>
          <w:kern w:val="0"/>
          <w:sz w:val="24"/>
          <w:szCs w:val="24"/>
          <w:highlight w:val="none"/>
          <w:lang w:val="en-US" w:eastAsia="zh-CN" w:bidi="ar"/>
        </w:rPr>
        <w:t>平安镇饮用水水源地</w:t>
      </w:r>
      <w:r>
        <w:rPr>
          <w:rFonts w:hint="eastAsia"/>
          <w:color w:val="auto"/>
          <w:sz w:val="24"/>
          <w:szCs w:val="24"/>
          <w:highlight w:val="none"/>
        </w:rPr>
        <w:t>：</w:t>
      </w:r>
      <w:r>
        <w:rPr>
          <w:rFonts w:hint="eastAsia"/>
          <w:color w:val="auto"/>
          <w:kern w:val="0"/>
          <w:sz w:val="24"/>
          <w:szCs w:val="24"/>
          <w:highlight w:val="none"/>
          <w:lang w:eastAsia="zh-CN"/>
        </w:rPr>
        <w:t>设计取水量</w:t>
      </w:r>
      <w:r>
        <w:rPr>
          <w:rFonts w:hint="default" w:ascii="Times New Roman" w:hAnsi="Times New Roman" w:eastAsia="宋体" w:cs="Times New Roman"/>
          <w:color w:val="auto"/>
          <w:sz w:val="24"/>
          <w:szCs w:val="24"/>
          <w:highlight w:val="none"/>
          <w:lang w:val="en-US" w:eastAsia="zh-CN"/>
        </w:rPr>
        <w:t>（即水源地允许开采量）</w:t>
      </w:r>
      <w:r>
        <w:rPr>
          <w:rFonts w:hint="eastAsia"/>
          <w:color w:val="auto"/>
          <w:kern w:val="0"/>
          <w:sz w:val="24"/>
          <w:szCs w:val="24"/>
          <w:highlight w:val="none"/>
        </w:rPr>
        <w:t>为</w:t>
      </w:r>
      <w:r>
        <w:rPr>
          <w:rFonts w:hint="eastAsia"/>
          <w:color w:val="auto"/>
          <w:kern w:val="0"/>
          <w:sz w:val="24"/>
          <w:szCs w:val="24"/>
          <w:highlight w:val="none"/>
          <w:lang w:val="en-US" w:eastAsia="zh-CN"/>
        </w:rPr>
        <w:t>1141.26</w:t>
      </w:r>
      <w:r>
        <w:rPr>
          <w:rFonts w:hint="eastAsia"/>
          <w:color w:val="auto"/>
          <w:kern w:val="0"/>
          <w:sz w:val="24"/>
          <w:szCs w:val="24"/>
          <w:highlight w:val="none"/>
        </w:rPr>
        <w:t>立方米/天，</w:t>
      </w:r>
      <w:r>
        <w:rPr>
          <w:rFonts w:hint="eastAsia"/>
          <w:color w:val="auto"/>
          <w:sz w:val="24"/>
          <w:szCs w:val="24"/>
          <w:highlight w:val="none"/>
        </w:rPr>
        <w:t>服务人口</w:t>
      </w:r>
      <w:r>
        <w:rPr>
          <w:rFonts w:hint="eastAsia"/>
          <w:color w:val="auto"/>
          <w:sz w:val="24"/>
          <w:szCs w:val="24"/>
          <w:highlight w:val="none"/>
          <w:lang w:val="en-US" w:eastAsia="zh-CN"/>
        </w:rPr>
        <w:t>5200</w:t>
      </w:r>
      <w:r>
        <w:rPr>
          <w:rFonts w:hint="eastAsia"/>
          <w:color w:val="auto"/>
          <w:sz w:val="24"/>
          <w:szCs w:val="24"/>
          <w:highlight w:val="none"/>
        </w:rPr>
        <w:t>人</w:t>
      </w:r>
      <w:r>
        <w:rPr>
          <w:rFonts w:hint="eastAsia"/>
          <w:color w:val="auto"/>
          <w:kern w:val="0"/>
          <w:sz w:val="24"/>
          <w:szCs w:val="24"/>
          <w:highlight w:val="none"/>
        </w:rPr>
        <w:t>，实际取水量为</w:t>
      </w:r>
      <w:r>
        <w:rPr>
          <w:rFonts w:hint="eastAsia"/>
          <w:color w:val="auto"/>
          <w:kern w:val="0"/>
          <w:sz w:val="24"/>
          <w:szCs w:val="24"/>
          <w:highlight w:val="none"/>
          <w:lang w:val="en-US" w:eastAsia="zh-CN"/>
        </w:rPr>
        <w:t>400</w:t>
      </w:r>
      <w:r>
        <w:rPr>
          <w:rFonts w:hint="eastAsia"/>
          <w:color w:val="auto"/>
          <w:kern w:val="0"/>
          <w:sz w:val="24"/>
          <w:szCs w:val="24"/>
          <w:highlight w:val="none"/>
        </w:rPr>
        <w:t>立方米/天，</w:t>
      </w:r>
      <w:r>
        <w:rPr>
          <w:rFonts w:hint="default" w:ascii="Times New Roman" w:hAnsi="Times New Roman" w:eastAsia="宋体" w:cs="Times New Roman"/>
          <w:color w:val="auto"/>
          <w:sz w:val="24"/>
          <w:szCs w:val="24"/>
          <w:highlight w:val="none"/>
          <w:lang w:val="en-US" w:eastAsia="zh-CN"/>
        </w:rPr>
        <w:t>设计取水量大于</w:t>
      </w:r>
      <w:r>
        <w:rPr>
          <w:rFonts w:hint="eastAsia" w:cs="Times New Roman"/>
          <w:color w:val="auto"/>
          <w:sz w:val="24"/>
          <w:szCs w:val="24"/>
          <w:highlight w:val="none"/>
          <w:lang w:val="en-US" w:eastAsia="zh-CN"/>
        </w:rPr>
        <w:t>实际</w:t>
      </w:r>
      <w:r>
        <w:rPr>
          <w:rFonts w:hint="default" w:ascii="Times New Roman" w:hAnsi="Times New Roman" w:eastAsia="宋体" w:cs="Times New Roman"/>
          <w:color w:val="auto"/>
          <w:sz w:val="24"/>
          <w:szCs w:val="24"/>
          <w:highlight w:val="none"/>
          <w:lang w:val="en-US" w:eastAsia="zh-CN"/>
        </w:rPr>
        <w:t>需水量，</w:t>
      </w:r>
      <w:r>
        <w:rPr>
          <w:rFonts w:hint="eastAsia"/>
          <w:color w:val="auto"/>
          <w:kern w:val="0"/>
          <w:sz w:val="24"/>
          <w:szCs w:val="24"/>
          <w:highlight w:val="none"/>
        </w:rPr>
        <w:t>可满足服务范围内近期需水量要求</w:t>
      </w:r>
      <w:r>
        <w:rPr>
          <w:color w:val="auto"/>
          <w:kern w:val="0"/>
          <w:sz w:val="24"/>
          <w:szCs w:val="24"/>
          <w:highlight w:val="none"/>
        </w:rPr>
        <w:t>。</w:t>
      </w:r>
    </w:p>
    <w:p w14:paraId="01AE966D">
      <w:pPr>
        <w:pStyle w:val="4"/>
        <w:rPr>
          <w:color w:val="auto"/>
          <w:highlight w:val="none"/>
        </w:rPr>
      </w:pPr>
      <w:bookmarkStart w:id="73" w:name="_Toc17920"/>
      <w:r>
        <w:rPr>
          <w:color w:val="auto"/>
          <w:highlight w:val="none"/>
        </w:rPr>
        <w:t>2</w:t>
      </w:r>
      <w:r>
        <w:rPr>
          <w:rFonts w:hint="eastAsia"/>
          <w:color w:val="auto"/>
          <w:highlight w:val="none"/>
        </w:rPr>
        <w:t>.9</w:t>
      </w:r>
      <w:r>
        <w:rPr>
          <w:color w:val="auto"/>
          <w:highlight w:val="none"/>
        </w:rPr>
        <w:t>.2污染风险分析</w:t>
      </w:r>
      <w:bookmarkEnd w:id="73"/>
    </w:p>
    <w:p w14:paraId="4CE0FF44">
      <w:pPr>
        <w:spacing w:line="360" w:lineRule="auto"/>
        <w:ind w:firstLine="472" w:firstLineChars="200"/>
        <w:rPr>
          <w:rFonts w:hint="eastAsia"/>
          <w:color w:val="auto"/>
          <w:kern w:val="0"/>
          <w:sz w:val="24"/>
          <w:szCs w:val="24"/>
          <w:highlight w:val="none"/>
          <w:lang w:val="zh-CN"/>
        </w:rPr>
      </w:pPr>
      <w:r>
        <w:rPr>
          <w:rFonts w:hint="eastAsia"/>
          <w:color w:val="auto"/>
          <w:kern w:val="0"/>
          <w:sz w:val="24"/>
          <w:szCs w:val="24"/>
          <w:highlight w:val="none"/>
          <w:lang w:val="zh-CN"/>
        </w:rPr>
        <w:t>（</w:t>
      </w:r>
      <w:r>
        <w:rPr>
          <w:color w:val="auto"/>
          <w:kern w:val="0"/>
          <w:sz w:val="24"/>
          <w:szCs w:val="24"/>
          <w:highlight w:val="none"/>
          <w:lang w:val="zh-CN"/>
        </w:rPr>
        <w:t>1）常规污染型</w:t>
      </w:r>
    </w:p>
    <w:p w14:paraId="15982ED7">
      <w:pPr>
        <w:ind w:firstLine="470"/>
        <w:rPr>
          <w:rFonts w:hint="eastAsia"/>
          <w:color w:val="auto"/>
          <w:highlight w:val="none"/>
          <w:lang w:val="en-US" w:eastAsia="zh-CN"/>
        </w:rPr>
      </w:pPr>
      <w:r>
        <w:rPr>
          <w:rFonts w:hint="eastAsia"/>
          <w:color w:val="auto"/>
          <w:highlight w:val="none"/>
          <w:lang w:val="en-US" w:eastAsia="zh-CN"/>
        </w:rPr>
        <w:t>1）点源</w:t>
      </w:r>
    </w:p>
    <w:p w14:paraId="369CB760">
      <w:pPr>
        <w:rPr>
          <w:rFonts w:hint="eastAsia"/>
          <w:color w:val="auto"/>
          <w:kern w:val="0"/>
          <w:sz w:val="24"/>
          <w:szCs w:val="24"/>
          <w:highlight w:val="none"/>
          <w:lang w:val="zh-CN"/>
        </w:rPr>
      </w:pPr>
      <w:r>
        <w:rPr>
          <w:rFonts w:hint="eastAsia"/>
          <w:color w:val="auto"/>
          <w:kern w:val="0"/>
          <w:sz w:val="24"/>
          <w:szCs w:val="24"/>
          <w:highlight w:val="none"/>
          <w:lang w:val="zh-CN"/>
        </w:rPr>
        <w:t>本次调整水源地调查范围内</w:t>
      </w:r>
      <w:r>
        <w:rPr>
          <w:rFonts w:hint="eastAsia"/>
          <w:color w:val="auto"/>
          <w:kern w:val="0"/>
          <w:sz w:val="24"/>
          <w:szCs w:val="24"/>
          <w:highlight w:val="none"/>
          <w:lang w:val="zh-CN" w:eastAsia="zh-CN"/>
        </w:rPr>
        <w:t>平安镇</w:t>
      </w:r>
      <w:r>
        <w:rPr>
          <w:rFonts w:hint="eastAsia"/>
          <w:color w:val="auto"/>
          <w:kern w:val="0"/>
          <w:sz w:val="24"/>
          <w:szCs w:val="24"/>
          <w:highlight w:val="none"/>
          <w:lang w:val="en-US" w:eastAsia="zh-CN"/>
        </w:rPr>
        <w:t>2#取水井西侧有1处加油站</w:t>
      </w:r>
      <w:r>
        <w:rPr>
          <w:rFonts w:hint="eastAsia"/>
          <w:color w:val="auto"/>
          <w:kern w:val="0"/>
          <w:sz w:val="24"/>
          <w:szCs w:val="24"/>
          <w:highlight w:val="none"/>
          <w:lang w:val="zh-CN" w:eastAsia="zh-CN"/>
        </w:rPr>
        <w:t>、</w:t>
      </w:r>
      <w:r>
        <w:rPr>
          <w:rFonts w:hint="eastAsia"/>
          <w:color w:val="auto"/>
          <w:kern w:val="0"/>
          <w:sz w:val="24"/>
          <w:szCs w:val="24"/>
          <w:highlight w:val="none"/>
          <w:lang w:val="en-US" w:eastAsia="zh-CN"/>
        </w:rPr>
        <w:t>1处</w:t>
      </w:r>
      <w:r>
        <w:rPr>
          <w:rFonts w:hint="eastAsia"/>
          <w:color w:val="auto"/>
          <w:kern w:val="0"/>
          <w:sz w:val="24"/>
          <w:szCs w:val="24"/>
          <w:highlight w:val="none"/>
          <w:lang w:val="zh-CN" w:eastAsia="zh-CN"/>
        </w:rPr>
        <w:t>庆安振中米业有限公司、</w:t>
      </w:r>
      <w:r>
        <w:rPr>
          <w:rFonts w:hint="eastAsia"/>
          <w:color w:val="auto"/>
          <w:kern w:val="0"/>
          <w:sz w:val="24"/>
          <w:szCs w:val="24"/>
          <w:highlight w:val="none"/>
          <w:lang w:val="en-US" w:eastAsia="zh-CN"/>
        </w:rPr>
        <w:t>1处</w:t>
      </w:r>
      <w:r>
        <w:rPr>
          <w:rFonts w:hint="eastAsia"/>
          <w:color w:val="auto"/>
          <w:kern w:val="0"/>
          <w:sz w:val="24"/>
          <w:szCs w:val="24"/>
          <w:highlight w:val="none"/>
          <w:lang w:val="zh-CN" w:eastAsia="zh-CN"/>
        </w:rPr>
        <w:t>江苏农垦标准化存储基地、</w:t>
      </w:r>
      <w:r>
        <w:rPr>
          <w:rFonts w:hint="eastAsia"/>
          <w:color w:val="auto"/>
          <w:kern w:val="0"/>
          <w:sz w:val="24"/>
          <w:szCs w:val="24"/>
          <w:highlight w:val="none"/>
          <w:lang w:val="en-US" w:eastAsia="zh-CN"/>
        </w:rPr>
        <w:t>1处</w:t>
      </w:r>
      <w:r>
        <w:rPr>
          <w:rFonts w:hint="eastAsia"/>
          <w:color w:val="auto"/>
          <w:kern w:val="0"/>
          <w:sz w:val="24"/>
          <w:szCs w:val="24"/>
          <w:highlight w:val="none"/>
          <w:lang w:val="zh-CN" w:eastAsia="zh-CN"/>
        </w:rPr>
        <w:t>庆安金忠米业有限公司、</w:t>
      </w:r>
      <w:r>
        <w:rPr>
          <w:rFonts w:hint="eastAsia"/>
          <w:color w:val="auto"/>
          <w:kern w:val="0"/>
          <w:sz w:val="24"/>
          <w:szCs w:val="24"/>
          <w:highlight w:val="none"/>
          <w:lang w:val="en-US" w:eastAsia="zh-CN"/>
        </w:rPr>
        <w:t>1处庆安县国家现代农业产业园。加油站正常运行，加油站地面均按要求完成了防渗，储油罐均为双层罐，输油管线类型为双层管，且加油站位于水源地下游区域，</w:t>
      </w:r>
      <w:r>
        <w:rPr>
          <w:rFonts w:hint="eastAsia"/>
          <w:color w:val="auto"/>
          <w:kern w:val="0"/>
          <w:sz w:val="24"/>
          <w:szCs w:val="24"/>
          <w:highlight w:val="none"/>
          <w:lang w:val="zh-CN"/>
        </w:rPr>
        <w:t>不在地下水主要补给方向，油品泄漏后迁移污染水源地的风险可控、可能性较小</w:t>
      </w:r>
      <w:r>
        <w:rPr>
          <w:rFonts w:hint="eastAsia"/>
          <w:color w:val="auto"/>
          <w:kern w:val="0"/>
          <w:sz w:val="24"/>
          <w:szCs w:val="24"/>
          <w:highlight w:val="none"/>
          <w:lang w:val="en-US" w:eastAsia="zh-CN"/>
        </w:rPr>
        <w:t>。粮库、粮食存储基地及粮食产业园位于水源地上游管控范围，上述单位主要以粮食仓储、中转、初加工为主，生产工艺环节不产生生产性废水；日常运营产生的生活污水全部收集接入城镇污水管网，由污水处理厂统一处理，不外排至周边地表及地下水环境。后续通过强化污染物排放全环节日常监管，加大日常巡查、现场执法与隐患排查力度，严格落实雨污分流、防渗抑尘、固废规范暂存等措施，可有效防范环境风险，对水源地造成污染的可能性较小。</w:t>
      </w:r>
    </w:p>
    <w:p w14:paraId="17E92F24">
      <w:pPr>
        <w:ind w:firstLine="470"/>
        <w:rPr>
          <w:rFonts w:hint="eastAsia"/>
          <w:color w:val="auto"/>
          <w:highlight w:val="none"/>
          <w:lang w:val="en-US" w:eastAsia="zh-CN"/>
        </w:rPr>
      </w:pPr>
      <w:r>
        <w:rPr>
          <w:rFonts w:hint="eastAsia"/>
          <w:color w:val="auto"/>
          <w:highlight w:val="none"/>
          <w:lang w:val="en-US" w:eastAsia="zh-CN"/>
        </w:rPr>
        <w:t>2）非点源</w:t>
      </w:r>
    </w:p>
    <w:p w14:paraId="507DE02A">
      <w:pPr>
        <w:ind w:firstLine="470"/>
        <w:rPr>
          <w:rFonts w:hint="eastAsia" w:eastAsia="宋体"/>
          <w:color w:val="auto"/>
          <w:highlight w:val="none"/>
          <w:lang w:eastAsia="zh-CN"/>
        </w:rPr>
      </w:pPr>
      <w:r>
        <w:rPr>
          <w:rFonts w:hint="eastAsia"/>
          <w:color w:val="auto"/>
          <w:highlight w:val="none"/>
          <w:lang w:val="en-US" w:eastAsia="zh-CN"/>
        </w:rPr>
        <w:t>①</w:t>
      </w:r>
      <w:r>
        <w:rPr>
          <w:rFonts w:hint="eastAsia"/>
          <w:color w:val="auto"/>
          <w:highlight w:val="none"/>
          <w:lang w:eastAsia="zh-CN"/>
        </w:rPr>
        <w:t>居民生活污染</w:t>
      </w:r>
    </w:p>
    <w:p w14:paraId="4004A623">
      <w:pPr>
        <w:rPr>
          <w:rFonts w:hint="eastAsia" w:eastAsia="宋体"/>
          <w:color w:val="auto"/>
          <w:highlight w:val="none"/>
          <w:lang w:eastAsia="zh-CN"/>
        </w:rPr>
      </w:pPr>
      <w:r>
        <w:rPr>
          <w:rFonts w:hint="eastAsia"/>
          <w:color w:val="auto"/>
          <w:kern w:val="0"/>
          <w:sz w:val="24"/>
          <w:szCs w:val="24"/>
          <w:highlight w:val="none"/>
          <w:lang w:val="zh-CN"/>
        </w:rPr>
        <w:t>本次调整</w:t>
      </w:r>
      <w:r>
        <w:rPr>
          <w:color w:val="auto"/>
          <w:kern w:val="0"/>
          <w:sz w:val="24"/>
          <w:szCs w:val="24"/>
          <w:highlight w:val="none"/>
          <w:lang w:val="zh-CN"/>
        </w:rPr>
        <w:t>取水井</w:t>
      </w:r>
      <w:r>
        <w:rPr>
          <w:rFonts w:hint="eastAsia"/>
          <w:color w:val="auto"/>
          <w:highlight w:val="none"/>
          <w:lang w:eastAsia="zh-CN"/>
        </w:rPr>
        <w:t>周边有八部屯</w:t>
      </w:r>
      <w:r>
        <w:rPr>
          <w:rFonts w:hint="eastAsia"/>
          <w:color w:val="auto"/>
          <w:highlight w:val="none"/>
          <w:lang w:val="en-US" w:eastAsia="zh-CN"/>
        </w:rPr>
        <w:t>、</w:t>
      </w:r>
      <w:r>
        <w:rPr>
          <w:rFonts w:hint="eastAsia"/>
          <w:color w:val="auto"/>
          <w:highlight w:val="none"/>
          <w:lang w:eastAsia="zh-CN"/>
        </w:rPr>
        <w:t>建功村、后王家屯、前高家屯、三门李家屯、东升河村、史家店屯、梨树园子屯、周富屯、张先屯、平安镇、瓦盆窑屯等村屯，</w:t>
      </w:r>
      <w:r>
        <w:rPr>
          <w:rFonts w:hint="eastAsia"/>
          <w:color w:val="auto"/>
          <w:highlight w:val="none"/>
        </w:rPr>
        <w:t>居民生活污水散排，粪污进入自家旱厕</w:t>
      </w:r>
      <w:r>
        <w:rPr>
          <w:rFonts w:hint="eastAsia"/>
          <w:color w:val="auto"/>
          <w:highlight w:val="none"/>
          <w:lang w:eastAsia="zh-CN"/>
        </w:rPr>
        <w:t>，</w:t>
      </w:r>
      <w:r>
        <w:rPr>
          <w:rFonts w:hint="eastAsia"/>
          <w:color w:val="auto"/>
          <w:highlight w:val="none"/>
        </w:rPr>
        <w:t>生活垃圾收集</w:t>
      </w:r>
      <w:r>
        <w:rPr>
          <w:rFonts w:hint="eastAsia"/>
          <w:color w:val="auto"/>
          <w:highlight w:val="none"/>
          <w:lang w:eastAsia="zh-CN"/>
        </w:rPr>
        <w:t>至垃圾投放箱</w:t>
      </w:r>
      <w:r>
        <w:rPr>
          <w:rFonts w:hint="eastAsia"/>
          <w:color w:val="auto"/>
          <w:highlight w:val="none"/>
        </w:rPr>
        <w:t>后由环卫部门进行清运</w:t>
      </w:r>
      <w:r>
        <w:rPr>
          <w:rFonts w:hint="eastAsia"/>
          <w:color w:val="auto"/>
          <w:highlight w:val="none"/>
          <w:lang w:eastAsia="zh-CN"/>
        </w:rPr>
        <w:t>，存在有可能对水源地水质造成影响的生活污水、生活垃圾等风险源</w:t>
      </w:r>
      <w:r>
        <w:rPr>
          <w:rFonts w:hint="eastAsia"/>
          <w:color w:val="auto"/>
          <w:sz w:val="24"/>
          <w:szCs w:val="24"/>
          <w:highlight w:val="none"/>
          <w:lang w:val="en-US" w:eastAsia="zh-CN"/>
        </w:rPr>
        <w:t>。</w:t>
      </w:r>
    </w:p>
    <w:p w14:paraId="61D028E9">
      <w:pPr>
        <w:ind w:firstLine="470"/>
        <w:rPr>
          <w:color w:val="auto"/>
          <w:highlight w:val="none"/>
        </w:rPr>
      </w:pPr>
      <w:r>
        <w:rPr>
          <w:rFonts w:hint="eastAsia"/>
          <w:color w:val="auto"/>
          <w:highlight w:val="none"/>
          <w:lang w:val="en-US" w:eastAsia="zh-CN"/>
        </w:rPr>
        <w:t>②</w:t>
      </w:r>
      <w:r>
        <w:rPr>
          <w:rFonts w:hint="eastAsia"/>
          <w:color w:val="auto"/>
          <w:highlight w:val="none"/>
        </w:rPr>
        <w:t>农田污染</w:t>
      </w:r>
    </w:p>
    <w:p w14:paraId="2A10CDB7">
      <w:pPr>
        <w:spacing w:line="360" w:lineRule="auto"/>
        <w:ind w:firstLine="472" w:firstLineChars="200"/>
        <w:rPr>
          <w:rFonts w:hint="eastAsia"/>
          <w:color w:val="auto"/>
          <w:sz w:val="24"/>
          <w:szCs w:val="24"/>
          <w:highlight w:val="none"/>
        </w:rPr>
      </w:pPr>
      <w:r>
        <w:rPr>
          <w:rFonts w:hint="eastAsia"/>
          <w:color w:val="auto"/>
          <w:kern w:val="0"/>
          <w:sz w:val="24"/>
          <w:szCs w:val="24"/>
          <w:highlight w:val="none"/>
          <w:lang w:val="zh-CN"/>
        </w:rPr>
        <w:t>本次调整</w:t>
      </w:r>
      <w:r>
        <w:rPr>
          <w:color w:val="auto"/>
          <w:kern w:val="0"/>
          <w:sz w:val="24"/>
          <w:szCs w:val="24"/>
          <w:highlight w:val="none"/>
          <w:lang w:val="zh-CN"/>
        </w:rPr>
        <w:t>取水井</w:t>
      </w:r>
      <w:r>
        <w:rPr>
          <w:rFonts w:hint="eastAsia"/>
          <w:color w:val="auto"/>
          <w:kern w:val="0"/>
          <w:sz w:val="24"/>
          <w:szCs w:val="24"/>
          <w:highlight w:val="none"/>
          <w:lang w:val="zh-CN"/>
        </w:rPr>
        <w:t>周边分布有农田，</w:t>
      </w:r>
      <w:r>
        <w:rPr>
          <w:color w:val="auto"/>
          <w:kern w:val="0"/>
          <w:sz w:val="24"/>
          <w:szCs w:val="24"/>
          <w:highlight w:val="none"/>
          <w:lang w:val="zh-CN"/>
        </w:rPr>
        <w:t>农田农药化肥</w:t>
      </w:r>
      <w:r>
        <w:rPr>
          <w:rFonts w:hint="eastAsia"/>
          <w:color w:val="auto"/>
          <w:kern w:val="0"/>
          <w:sz w:val="24"/>
          <w:szCs w:val="24"/>
          <w:highlight w:val="none"/>
          <w:lang w:val="zh-CN"/>
        </w:rPr>
        <w:t>的</w:t>
      </w:r>
      <w:r>
        <w:rPr>
          <w:color w:val="auto"/>
          <w:kern w:val="0"/>
          <w:sz w:val="24"/>
          <w:szCs w:val="24"/>
          <w:highlight w:val="none"/>
          <w:lang w:val="zh-CN"/>
        </w:rPr>
        <w:t>残留</w:t>
      </w:r>
      <w:r>
        <w:rPr>
          <w:rFonts w:hint="eastAsia"/>
          <w:color w:val="auto"/>
          <w:kern w:val="0"/>
          <w:sz w:val="24"/>
          <w:szCs w:val="24"/>
          <w:highlight w:val="none"/>
          <w:lang w:val="zh-CN"/>
        </w:rPr>
        <w:t>可能随着</w:t>
      </w:r>
      <w:r>
        <w:rPr>
          <w:color w:val="auto"/>
          <w:kern w:val="0"/>
          <w:sz w:val="24"/>
          <w:szCs w:val="24"/>
          <w:highlight w:val="none"/>
          <w:lang w:val="zh-CN"/>
        </w:rPr>
        <w:t>降雨</w:t>
      </w:r>
      <w:r>
        <w:rPr>
          <w:rFonts w:hint="eastAsia"/>
          <w:color w:val="auto"/>
          <w:kern w:val="0"/>
          <w:sz w:val="24"/>
          <w:szCs w:val="24"/>
          <w:highlight w:val="none"/>
          <w:lang w:val="zh-CN"/>
        </w:rPr>
        <w:t>、</w:t>
      </w:r>
      <w:r>
        <w:rPr>
          <w:color w:val="auto"/>
          <w:kern w:val="0"/>
          <w:sz w:val="24"/>
          <w:szCs w:val="24"/>
          <w:highlight w:val="none"/>
          <w:lang w:val="zh-CN"/>
        </w:rPr>
        <w:t>灌溉渗透</w:t>
      </w:r>
      <w:r>
        <w:rPr>
          <w:rFonts w:hint="eastAsia"/>
          <w:color w:val="auto"/>
          <w:kern w:val="0"/>
          <w:sz w:val="24"/>
          <w:szCs w:val="24"/>
          <w:highlight w:val="none"/>
          <w:lang w:val="zh-CN"/>
        </w:rPr>
        <w:t>进入地下水。</w:t>
      </w:r>
      <w:r>
        <w:rPr>
          <w:color w:val="auto"/>
          <w:kern w:val="0"/>
          <w:sz w:val="24"/>
          <w:szCs w:val="24"/>
          <w:highlight w:val="none"/>
          <w:lang w:val="zh-CN"/>
        </w:rPr>
        <w:t>取水层上有稳定隔水顶板，隔水效果较好，取水层水质基本不会受到污染</w:t>
      </w:r>
      <w:r>
        <w:rPr>
          <w:rFonts w:hint="eastAsia"/>
          <w:color w:val="auto"/>
          <w:kern w:val="0"/>
          <w:sz w:val="24"/>
          <w:szCs w:val="24"/>
          <w:highlight w:val="none"/>
          <w:lang w:val="zh-CN"/>
        </w:rPr>
        <w:t>。但是要</w:t>
      </w:r>
      <w:r>
        <w:rPr>
          <w:color w:val="auto"/>
          <w:kern w:val="0"/>
          <w:sz w:val="24"/>
          <w:szCs w:val="24"/>
          <w:highlight w:val="none"/>
          <w:lang w:val="zh-CN"/>
        </w:rPr>
        <w:t>加强水源地</w:t>
      </w:r>
      <w:r>
        <w:rPr>
          <w:rFonts w:hint="eastAsia"/>
          <w:color w:val="auto"/>
          <w:kern w:val="0"/>
          <w:sz w:val="24"/>
          <w:szCs w:val="24"/>
          <w:highlight w:val="none"/>
          <w:lang w:val="zh-CN"/>
        </w:rPr>
        <w:t>原水</w:t>
      </w:r>
      <w:r>
        <w:rPr>
          <w:color w:val="auto"/>
          <w:kern w:val="0"/>
          <w:sz w:val="24"/>
          <w:szCs w:val="24"/>
          <w:highlight w:val="none"/>
          <w:lang w:val="zh-CN"/>
        </w:rPr>
        <w:t>水质监测，一旦</w:t>
      </w:r>
      <w:r>
        <w:rPr>
          <w:rFonts w:hint="eastAsia"/>
          <w:color w:val="auto"/>
          <w:kern w:val="0"/>
          <w:sz w:val="24"/>
          <w:szCs w:val="24"/>
          <w:highlight w:val="none"/>
          <w:lang w:val="zh-CN"/>
        </w:rPr>
        <w:t>发现</w:t>
      </w:r>
      <w:r>
        <w:rPr>
          <w:color w:val="auto"/>
          <w:kern w:val="0"/>
          <w:sz w:val="24"/>
          <w:szCs w:val="24"/>
          <w:highlight w:val="none"/>
          <w:lang w:val="zh-CN"/>
        </w:rPr>
        <w:t>水质问题，</w:t>
      </w:r>
      <w:r>
        <w:rPr>
          <w:rFonts w:hint="eastAsia"/>
          <w:color w:val="auto"/>
          <w:kern w:val="0"/>
          <w:sz w:val="24"/>
          <w:szCs w:val="24"/>
          <w:highlight w:val="none"/>
          <w:lang w:val="zh-CN"/>
        </w:rPr>
        <w:t>应</w:t>
      </w:r>
      <w:r>
        <w:rPr>
          <w:color w:val="auto"/>
          <w:kern w:val="0"/>
          <w:sz w:val="24"/>
          <w:szCs w:val="24"/>
          <w:highlight w:val="none"/>
          <w:lang w:val="zh-CN"/>
        </w:rPr>
        <w:t>及时</w:t>
      </w:r>
      <w:r>
        <w:rPr>
          <w:rFonts w:hint="eastAsia"/>
          <w:color w:val="auto"/>
          <w:kern w:val="0"/>
          <w:sz w:val="24"/>
          <w:szCs w:val="24"/>
          <w:highlight w:val="none"/>
          <w:lang w:val="zh-CN"/>
        </w:rPr>
        <w:t>排查原因采取相应措施，必要时重新选址新建取水井</w:t>
      </w:r>
      <w:r>
        <w:rPr>
          <w:color w:val="auto"/>
          <w:kern w:val="0"/>
          <w:sz w:val="24"/>
          <w:szCs w:val="24"/>
          <w:highlight w:val="none"/>
          <w:lang w:val="zh-CN"/>
        </w:rPr>
        <w:t>。</w:t>
      </w:r>
    </w:p>
    <w:p w14:paraId="291ED262">
      <w:pPr>
        <w:spacing w:line="360" w:lineRule="auto"/>
        <w:ind w:firstLine="472" w:firstLineChars="200"/>
        <w:rPr>
          <w:color w:val="auto"/>
          <w:kern w:val="0"/>
          <w:sz w:val="24"/>
          <w:szCs w:val="24"/>
          <w:highlight w:val="none"/>
          <w:lang w:val="zh-CN"/>
        </w:rPr>
      </w:pPr>
      <w:r>
        <w:rPr>
          <w:color w:val="auto"/>
          <w:kern w:val="0"/>
          <w:sz w:val="24"/>
          <w:szCs w:val="24"/>
          <w:highlight w:val="none"/>
          <w:lang w:val="zh-CN"/>
        </w:rPr>
        <w:t>（</w:t>
      </w:r>
      <w:r>
        <w:rPr>
          <w:color w:val="auto"/>
          <w:kern w:val="0"/>
          <w:sz w:val="24"/>
          <w:szCs w:val="24"/>
          <w:highlight w:val="none"/>
        </w:rPr>
        <w:t>2</w:t>
      </w:r>
      <w:r>
        <w:rPr>
          <w:color w:val="auto"/>
          <w:kern w:val="0"/>
          <w:sz w:val="24"/>
          <w:szCs w:val="24"/>
          <w:highlight w:val="none"/>
          <w:lang w:val="zh-CN"/>
        </w:rPr>
        <w:t>）</w:t>
      </w:r>
      <w:r>
        <w:rPr>
          <w:color w:val="auto"/>
          <w:kern w:val="0"/>
          <w:sz w:val="24"/>
          <w:szCs w:val="24"/>
          <w:highlight w:val="none"/>
        </w:rPr>
        <w:t>突发事件</w:t>
      </w:r>
      <w:r>
        <w:rPr>
          <w:color w:val="auto"/>
          <w:kern w:val="0"/>
          <w:sz w:val="24"/>
          <w:szCs w:val="24"/>
          <w:highlight w:val="none"/>
          <w:lang w:val="zh-CN"/>
        </w:rPr>
        <w:t>型</w:t>
      </w:r>
    </w:p>
    <w:p w14:paraId="1758E4AD">
      <w:pPr>
        <w:spacing w:line="360" w:lineRule="auto"/>
        <w:ind w:firstLine="472" w:firstLineChars="200"/>
        <w:rPr>
          <w:color w:val="auto"/>
          <w:kern w:val="0"/>
          <w:sz w:val="24"/>
          <w:szCs w:val="24"/>
          <w:highlight w:val="none"/>
        </w:rPr>
      </w:pPr>
      <w:r>
        <w:rPr>
          <w:color w:val="auto"/>
          <w:kern w:val="0"/>
          <w:sz w:val="24"/>
          <w:szCs w:val="24"/>
          <w:highlight w:val="none"/>
        </w:rPr>
        <w:fldChar w:fldCharType="begin"/>
      </w:r>
      <w:r>
        <w:rPr>
          <w:color w:val="auto"/>
          <w:kern w:val="0"/>
          <w:sz w:val="24"/>
          <w:szCs w:val="24"/>
          <w:highlight w:val="none"/>
        </w:rPr>
        <w:instrText xml:space="preserve"> = 1 \* GB3 \* MERGEFORMAT </w:instrText>
      </w:r>
      <w:r>
        <w:rPr>
          <w:color w:val="auto"/>
          <w:kern w:val="0"/>
          <w:sz w:val="24"/>
          <w:szCs w:val="24"/>
          <w:highlight w:val="none"/>
        </w:rPr>
        <w:fldChar w:fldCharType="separate"/>
      </w:r>
      <w:r>
        <w:rPr>
          <w:color w:val="auto"/>
          <w:sz w:val="24"/>
          <w:szCs w:val="24"/>
          <w:highlight w:val="none"/>
        </w:rPr>
        <w:t>①</w:t>
      </w:r>
      <w:r>
        <w:rPr>
          <w:color w:val="auto"/>
          <w:kern w:val="0"/>
          <w:sz w:val="24"/>
          <w:szCs w:val="24"/>
          <w:highlight w:val="none"/>
        </w:rPr>
        <w:fldChar w:fldCharType="end"/>
      </w:r>
      <w:r>
        <w:rPr>
          <w:color w:val="auto"/>
          <w:kern w:val="0"/>
          <w:sz w:val="24"/>
          <w:szCs w:val="24"/>
          <w:highlight w:val="none"/>
        </w:rPr>
        <w:t>危险品运输车辆泄漏产生污染事故的风险</w:t>
      </w:r>
    </w:p>
    <w:p w14:paraId="6CDA09E4">
      <w:pPr>
        <w:ind w:firstLine="470"/>
        <w:rPr>
          <w:color w:val="auto"/>
          <w:highlight w:val="none"/>
        </w:rPr>
      </w:pPr>
      <w:r>
        <w:rPr>
          <w:color w:val="auto"/>
          <w:highlight w:val="none"/>
        </w:rPr>
        <w:t>主要流动源是调查范围内道路上运输危险物品的车辆。本次</w:t>
      </w:r>
      <w:r>
        <w:rPr>
          <w:rFonts w:hint="eastAsia"/>
          <w:color w:val="auto"/>
          <w:highlight w:val="none"/>
        </w:rPr>
        <w:t>调查范围</w:t>
      </w:r>
      <w:r>
        <w:rPr>
          <w:color w:val="auto"/>
          <w:highlight w:val="none"/>
        </w:rPr>
        <w:t>涉及</w:t>
      </w:r>
      <w:r>
        <w:rPr>
          <w:rFonts w:hint="eastAsia"/>
          <w:color w:val="auto"/>
          <w:highlight w:val="none"/>
        </w:rPr>
        <w:t>的乡村</w:t>
      </w:r>
      <w:r>
        <w:rPr>
          <w:color w:val="auto"/>
          <w:highlight w:val="none"/>
        </w:rPr>
        <w:t>道路禁止危险品运输，仅有少量农药运输，通过加强管理，风险发生</w:t>
      </w:r>
      <w:r>
        <w:rPr>
          <w:rFonts w:hint="eastAsia"/>
          <w:color w:val="auto"/>
          <w:highlight w:val="none"/>
        </w:rPr>
        <w:t>概率</w:t>
      </w:r>
      <w:r>
        <w:rPr>
          <w:color w:val="auto"/>
          <w:highlight w:val="none"/>
        </w:rPr>
        <w:t>很低。一旦发生事故，要及时采取有效措施，清理受到污染的土壤，防止对地下水造成污染。</w:t>
      </w:r>
    </w:p>
    <w:p w14:paraId="56581536">
      <w:pPr>
        <w:spacing w:line="360" w:lineRule="auto"/>
        <w:ind w:firstLine="472" w:firstLineChars="200"/>
        <w:rPr>
          <w:color w:val="auto"/>
          <w:kern w:val="0"/>
          <w:sz w:val="24"/>
          <w:szCs w:val="24"/>
          <w:highlight w:val="none"/>
        </w:rPr>
      </w:pPr>
      <w:r>
        <w:rPr>
          <w:color w:val="auto"/>
          <w:kern w:val="0"/>
          <w:sz w:val="24"/>
          <w:szCs w:val="24"/>
          <w:highlight w:val="none"/>
        </w:rPr>
        <w:fldChar w:fldCharType="begin"/>
      </w:r>
      <w:r>
        <w:rPr>
          <w:color w:val="auto"/>
          <w:kern w:val="0"/>
          <w:sz w:val="24"/>
          <w:szCs w:val="24"/>
          <w:highlight w:val="none"/>
        </w:rPr>
        <w:instrText xml:space="preserve"> = 2 \* GB3 \* MERGEFORMAT </w:instrText>
      </w:r>
      <w:r>
        <w:rPr>
          <w:color w:val="auto"/>
          <w:kern w:val="0"/>
          <w:sz w:val="24"/>
          <w:szCs w:val="24"/>
          <w:highlight w:val="none"/>
        </w:rPr>
        <w:fldChar w:fldCharType="separate"/>
      </w:r>
      <w:r>
        <w:rPr>
          <w:color w:val="auto"/>
          <w:sz w:val="24"/>
          <w:szCs w:val="24"/>
          <w:highlight w:val="none"/>
        </w:rPr>
        <w:t>②</w:t>
      </w:r>
      <w:r>
        <w:rPr>
          <w:color w:val="auto"/>
          <w:kern w:val="0"/>
          <w:sz w:val="24"/>
          <w:szCs w:val="24"/>
          <w:highlight w:val="none"/>
        </w:rPr>
        <w:fldChar w:fldCharType="end"/>
      </w:r>
      <w:r>
        <w:rPr>
          <w:rFonts w:hint="eastAsia"/>
          <w:color w:val="auto"/>
          <w:kern w:val="0"/>
          <w:sz w:val="24"/>
          <w:szCs w:val="24"/>
          <w:highlight w:val="none"/>
        </w:rPr>
        <w:t>取水设备</w:t>
      </w:r>
      <w:r>
        <w:rPr>
          <w:color w:val="auto"/>
          <w:kern w:val="0"/>
          <w:sz w:val="24"/>
          <w:szCs w:val="24"/>
          <w:highlight w:val="none"/>
        </w:rPr>
        <w:t>年久</w:t>
      </w:r>
      <w:r>
        <w:rPr>
          <w:rFonts w:hint="eastAsia"/>
          <w:color w:val="auto"/>
          <w:kern w:val="0"/>
          <w:sz w:val="24"/>
          <w:szCs w:val="24"/>
          <w:highlight w:val="none"/>
        </w:rPr>
        <w:t>失修</w:t>
      </w:r>
      <w:r>
        <w:rPr>
          <w:color w:val="auto"/>
          <w:kern w:val="0"/>
          <w:sz w:val="24"/>
          <w:szCs w:val="24"/>
          <w:highlight w:val="none"/>
        </w:rPr>
        <w:t>导致地下井管</w:t>
      </w:r>
      <w:r>
        <w:rPr>
          <w:rFonts w:hint="eastAsia"/>
          <w:color w:val="auto"/>
          <w:kern w:val="0"/>
          <w:sz w:val="24"/>
          <w:szCs w:val="24"/>
          <w:highlight w:val="none"/>
        </w:rPr>
        <w:t>道</w:t>
      </w:r>
      <w:r>
        <w:rPr>
          <w:color w:val="auto"/>
          <w:kern w:val="0"/>
          <w:sz w:val="24"/>
          <w:szCs w:val="24"/>
          <w:highlight w:val="none"/>
        </w:rPr>
        <w:t>老化、局部出现破损造成污染事故的风险</w:t>
      </w:r>
    </w:p>
    <w:p w14:paraId="324AB383">
      <w:pPr>
        <w:spacing w:line="360" w:lineRule="auto"/>
        <w:ind w:firstLine="472" w:firstLineChars="200"/>
        <w:rPr>
          <w:color w:val="auto"/>
          <w:kern w:val="0"/>
          <w:sz w:val="24"/>
          <w:szCs w:val="24"/>
          <w:highlight w:val="none"/>
        </w:rPr>
      </w:pPr>
      <w:r>
        <w:rPr>
          <w:color w:val="auto"/>
          <w:kern w:val="0"/>
          <w:sz w:val="24"/>
          <w:szCs w:val="24"/>
          <w:highlight w:val="none"/>
        </w:rPr>
        <w:t>随着时间推移，如不定期进行排查检修，水源井所在区域地下井管将出现老化或局部破损情况，将导致取水层外含水层水进入供水管网影响供水，对服务范围内人口造成健康</w:t>
      </w:r>
      <w:r>
        <w:rPr>
          <w:rFonts w:hint="eastAsia"/>
          <w:color w:val="auto"/>
          <w:kern w:val="0"/>
          <w:sz w:val="24"/>
          <w:szCs w:val="24"/>
          <w:highlight w:val="none"/>
        </w:rPr>
        <w:t>影响</w:t>
      </w:r>
      <w:r>
        <w:rPr>
          <w:color w:val="auto"/>
          <w:kern w:val="0"/>
          <w:sz w:val="24"/>
          <w:szCs w:val="24"/>
          <w:highlight w:val="none"/>
        </w:rPr>
        <w:t>。</w:t>
      </w:r>
    </w:p>
    <w:p w14:paraId="771962A3">
      <w:pPr>
        <w:spacing w:line="360" w:lineRule="auto"/>
        <w:ind w:firstLine="472" w:firstLineChars="200"/>
        <w:rPr>
          <w:color w:val="auto"/>
          <w:kern w:val="0"/>
          <w:sz w:val="24"/>
          <w:szCs w:val="24"/>
          <w:highlight w:val="none"/>
        </w:rPr>
      </w:pPr>
      <w:r>
        <w:rPr>
          <w:color w:val="auto"/>
          <w:kern w:val="0"/>
          <w:sz w:val="24"/>
          <w:szCs w:val="24"/>
          <w:highlight w:val="none"/>
        </w:rPr>
        <w:fldChar w:fldCharType="begin"/>
      </w:r>
      <w:r>
        <w:rPr>
          <w:color w:val="auto"/>
          <w:kern w:val="0"/>
          <w:sz w:val="24"/>
          <w:szCs w:val="24"/>
          <w:highlight w:val="none"/>
        </w:rPr>
        <w:instrText xml:space="preserve"> = 3 \* GB3 \* MERGEFORMAT </w:instrText>
      </w:r>
      <w:r>
        <w:rPr>
          <w:color w:val="auto"/>
          <w:kern w:val="0"/>
          <w:sz w:val="24"/>
          <w:szCs w:val="24"/>
          <w:highlight w:val="none"/>
        </w:rPr>
        <w:fldChar w:fldCharType="separate"/>
      </w:r>
      <w:r>
        <w:rPr>
          <w:color w:val="auto"/>
          <w:sz w:val="24"/>
          <w:szCs w:val="24"/>
          <w:highlight w:val="none"/>
        </w:rPr>
        <w:t>③</w:t>
      </w:r>
      <w:r>
        <w:rPr>
          <w:color w:val="auto"/>
          <w:kern w:val="0"/>
          <w:sz w:val="24"/>
          <w:szCs w:val="24"/>
          <w:highlight w:val="none"/>
        </w:rPr>
        <w:fldChar w:fldCharType="end"/>
      </w:r>
      <w:r>
        <w:rPr>
          <w:color w:val="auto"/>
          <w:kern w:val="0"/>
          <w:sz w:val="24"/>
          <w:szCs w:val="24"/>
          <w:highlight w:val="none"/>
        </w:rPr>
        <w:t>人为故意、过失使用有毒物质造成污染事故的风险</w:t>
      </w:r>
    </w:p>
    <w:p w14:paraId="75A8C436">
      <w:pPr>
        <w:ind w:firstLine="470"/>
        <w:rPr>
          <w:color w:val="auto"/>
          <w:kern w:val="0"/>
          <w:sz w:val="24"/>
          <w:szCs w:val="24"/>
          <w:highlight w:val="none"/>
        </w:rPr>
      </w:pPr>
      <w:r>
        <w:rPr>
          <w:color w:val="auto"/>
          <w:kern w:val="0"/>
          <w:sz w:val="24"/>
          <w:szCs w:val="24"/>
          <w:highlight w:val="none"/>
        </w:rPr>
        <w:t>当前虽然处于和平年代，但是不排除有恐怖分子</w:t>
      </w:r>
      <w:r>
        <w:rPr>
          <w:rFonts w:hint="eastAsia"/>
          <w:color w:val="auto"/>
          <w:kern w:val="0"/>
          <w:sz w:val="24"/>
          <w:szCs w:val="24"/>
          <w:highlight w:val="none"/>
        </w:rPr>
        <w:t>或</w:t>
      </w:r>
      <w:r>
        <w:rPr>
          <w:color w:val="auto"/>
          <w:kern w:val="0"/>
          <w:sz w:val="24"/>
          <w:szCs w:val="24"/>
          <w:highlight w:val="none"/>
        </w:rPr>
        <w:t>一些不法人员在水源地蓄意投毒，危害群众健康，社会稳定，</w:t>
      </w:r>
      <w:r>
        <w:rPr>
          <w:rFonts w:hint="eastAsia"/>
          <w:color w:val="auto"/>
          <w:kern w:val="0"/>
          <w:sz w:val="24"/>
          <w:szCs w:val="24"/>
          <w:highlight w:val="none"/>
        </w:rPr>
        <w:t>管理部门应</w:t>
      </w:r>
      <w:r>
        <w:rPr>
          <w:rFonts w:hint="eastAsia"/>
          <w:color w:val="auto"/>
          <w:kern w:val="0"/>
          <w:sz w:val="24"/>
          <w:szCs w:val="24"/>
          <w:highlight w:val="none"/>
          <w:lang w:eastAsia="zh-CN"/>
        </w:rPr>
        <w:t>加大</w:t>
      </w:r>
      <w:r>
        <w:rPr>
          <w:color w:val="auto"/>
          <w:kern w:val="0"/>
          <w:sz w:val="24"/>
          <w:szCs w:val="24"/>
          <w:highlight w:val="none"/>
        </w:rPr>
        <w:t>水源地区域巡查力度。</w:t>
      </w:r>
    </w:p>
    <w:p w14:paraId="14F3B5CA">
      <w:pPr>
        <w:spacing w:line="360" w:lineRule="auto"/>
        <w:ind w:firstLine="472" w:firstLineChars="200"/>
        <w:rPr>
          <w:rFonts w:hint="eastAsia"/>
          <w:color w:val="auto"/>
          <w:kern w:val="0"/>
          <w:sz w:val="24"/>
          <w:szCs w:val="24"/>
          <w:highlight w:val="none"/>
          <w:lang w:eastAsia="zh-CN"/>
        </w:rPr>
      </w:pPr>
      <w:r>
        <w:rPr>
          <w:rFonts w:hint="eastAsia"/>
          <w:color w:val="auto"/>
          <w:kern w:val="0"/>
          <w:sz w:val="24"/>
          <w:szCs w:val="24"/>
          <w:highlight w:val="none"/>
          <w:lang w:eastAsia="zh-CN"/>
        </w:rPr>
        <w:t>④地下水串层污染风险</w:t>
      </w:r>
    </w:p>
    <w:p w14:paraId="559DAFAC">
      <w:pPr>
        <w:spacing w:line="360" w:lineRule="auto"/>
        <w:ind w:firstLine="472" w:firstLineChars="200"/>
        <w:rPr>
          <w:rFonts w:hint="eastAsia"/>
          <w:color w:val="auto"/>
          <w:kern w:val="0"/>
          <w:sz w:val="24"/>
          <w:szCs w:val="24"/>
          <w:highlight w:val="none"/>
          <w:lang w:eastAsia="zh-CN"/>
        </w:rPr>
        <w:sectPr>
          <w:pgSz w:w="11905" w:h="16838"/>
          <w:pgMar w:top="1474" w:right="1474" w:bottom="1474" w:left="1474" w:header="964" w:footer="992" w:gutter="0"/>
          <w:pgBorders>
            <w:top w:val="none" w:sz="0" w:space="0"/>
            <w:left w:val="none" w:sz="0" w:space="0"/>
            <w:bottom w:val="none" w:sz="0" w:space="0"/>
            <w:right w:val="none" w:sz="0" w:space="0"/>
          </w:pgBorders>
          <w:pgNumType w:fmt="decimal"/>
          <w:cols w:space="720" w:num="1"/>
          <w:docGrid w:type="linesAndChars" w:linePitch="347" w:charSpace="-1024"/>
        </w:sectPr>
      </w:pPr>
      <w:r>
        <w:rPr>
          <w:rFonts w:hint="eastAsia"/>
          <w:color w:val="auto"/>
          <w:kern w:val="0"/>
          <w:sz w:val="24"/>
          <w:szCs w:val="24"/>
          <w:highlight w:val="none"/>
          <w:lang w:eastAsia="zh-CN"/>
        </w:rPr>
        <w:t>根据黑龙江省生态环境厅《关于加强地下水污染防治工作的通知》要求“持续推进封井回填工作”。具体要求自然资源、水利等部门开展报废矿井、钻进、取水井排查登记，推进封井回填工作，控制地下水串层污染。建议本次被替代水井尽快推进封井回填工作。</w:t>
      </w:r>
    </w:p>
    <w:p w14:paraId="4C2406EC">
      <w:pPr>
        <w:pStyle w:val="2"/>
        <w:keepNext/>
        <w:wordWrap w:val="0"/>
        <w:overflowPunct w:val="0"/>
        <w:autoSpaceDE w:val="0"/>
        <w:autoSpaceDN w:val="0"/>
        <w:rPr>
          <w:rFonts w:cs="黑体"/>
          <w:color w:val="auto"/>
          <w:kern w:val="0"/>
          <w:highlight w:val="none"/>
        </w:rPr>
      </w:pPr>
      <w:bookmarkStart w:id="74" w:name="_Toc24472"/>
      <w:bookmarkStart w:id="75" w:name="_Toc27692"/>
      <w:r>
        <w:rPr>
          <w:rFonts w:hint="eastAsia" w:cs="黑体"/>
          <w:color w:val="auto"/>
          <w:kern w:val="0"/>
          <w:highlight w:val="none"/>
        </w:rPr>
        <w:t>3 保护区</w:t>
      </w:r>
      <w:r>
        <w:rPr>
          <w:rFonts w:hint="eastAsia" w:cs="黑体"/>
          <w:color w:val="auto"/>
          <w:kern w:val="0"/>
          <w:highlight w:val="none"/>
          <w:lang w:eastAsia="zh-CN"/>
        </w:rPr>
        <w:t>调整</w:t>
      </w:r>
      <w:r>
        <w:rPr>
          <w:rFonts w:hint="eastAsia" w:cs="黑体"/>
          <w:color w:val="auto"/>
          <w:kern w:val="0"/>
          <w:highlight w:val="none"/>
        </w:rPr>
        <w:t>与定界</w:t>
      </w:r>
      <w:bookmarkEnd w:id="74"/>
      <w:bookmarkEnd w:id="75"/>
    </w:p>
    <w:p w14:paraId="3768026B">
      <w:pPr>
        <w:pStyle w:val="3"/>
        <w:rPr>
          <w:color w:val="auto"/>
          <w:highlight w:val="none"/>
          <w:lang w:val="en-US"/>
        </w:rPr>
      </w:pPr>
      <w:bookmarkStart w:id="76" w:name="_Toc15878"/>
      <w:bookmarkStart w:id="77" w:name="_Toc19774"/>
      <w:r>
        <w:rPr>
          <w:rFonts w:hint="eastAsia"/>
          <w:color w:val="auto"/>
          <w:highlight w:val="none"/>
          <w:lang w:val="en-US"/>
        </w:rPr>
        <w:t>3.1水源保护区</w:t>
      </w:r>
      <w:r>
        <w:rPr>
          <w:rFonts w:hint="eastAsia"/>
          <w:color w:val="auto"/>
          <w:highlight w:val="none"/>
          <w:lang w:val="en-US" w:eastAsia="zh-CN"/>
        </w:rPr>
        <w:t>调整</w:t>
      </w:r>
      <w:r>
        <w:rPr>
          <w:rFonts w:hint="eastAsia"/>
          <w:color w:val="auto"/>
          <w:highlight w:val="none"/>
          <w:lang w:val="en-US"/>
        </w:rPr>
        <w:t>技术方法</w:t>
      </w:r>
      <w:bookmarkEnd w:id="76"/>
      <w:bookmarkEnd w:id="77"/>
    </w:p>
    <w:p w14:paraId="4DF528DD">
      <w:pPr>
        <w:ind w:firstLine="480"/>
        <w:rPr>
          <w:rFonts w:hint="eastAsia"/>
          <w:color w:val="auto"/>
          <w:highlight w:val="none"/>
        </w:rPr>
      </w:pPr>
      <w:r>
        <w:rPr>
          <w:rFonts w:hint="eastAsia"/>
          <w:color w:val="auto"/>
          <w:highlight w:val="none"/>
        </w:rPr>
        <w:t>依据《饮用水水源保护区划分技术规范》（HJ 338-2018）中章节7.1，“地下水按开采规模分为中小型水源地（日开采量小于5万立方米）和大型水源地（日开采量大于或等于5万立方米）；按含水层介质类型的不同分为孔隙水、基岩裂隙水和岩溶水三类；按地下水埋藏条件分为潜水和承压水两类。”</w:t>
      </w:r>
      <w:r>
        <w:rPr>
          <w:rFonts w:hint="eastAsia"/>
          <w:color w:val="auto"/>
          <w:highlight w:val="none"/>
          <w:lang w:eastAsia="zh-CN"/>
        </w:rPr>
        <w:t>本次调整水源地</w:t>
      </w:r>
      <w:r>
        <w:rPr>
          <w:rFonts w:hint="eastAsia"/>
          <w:color w:val="auto"/>
          <w:highlight w:val="none"/>
        </w:rPr>
        <w:t>设计日开采量</w:t>
      </w:r>
      <w:r>
        <w:rPr>
          <w:rFonts w:hint="eastAsia"/>
          <w:color w:val="auto"/>
          <w:highlight w:val="none"/>
          <w:lang w:val="en-US" w:eastAsia="zh-CN"/>
        </w:rPr>
        <w:t>均</w:t>
      </w:r>
      <w:r>
        <w:rPr>
          <w:rFonts w:hint="eastAsia"/>
          <w:color w:val="auto"/>
          <w:highlight w:val="none"/>
        </w:rPr>
        <w:t>小于5万立方米，属于中小型水源地；本项目取水井取水层介质为孔隙水</w:t>
      </w:r>
      <w:r>
        <w:rPr>
          <w:rFonts w:hint="eastAsia"/>
          <w:color w:val="auto"/>
          <w:highlight w:val="none"/>
          <w:lang w:eastAsia="zh-CN"/>
        </w:rPr>
        <w:t>、孔隙</w:t>
      </w:r>
      <w:r>
        <w:rPr>
          <w:rFonts w:hint="eastAsia"/>
          <w:color w:val="auto"/>
          <w:highlight w:val="none"/>
          <w:lang w:val="en-US" w:eastAsia="zh-CN"/>
        </w:rPr>
        <w:t>-裂隙水</w:t>
      </w:r>
      <w:r>
        <w:rPr>
          <w:rFonts w:hint="eastAsia"/>
          <w:color w:val="auto"/>
          <w:highlight w:val="none"/>
          <w:lang w:eastAsia="zh-CN"/>
        </w:rPr>
        <w:t>，</w:t>
      </w:r>
      <w:r>
        <w:rPr>
          <w:rFonts w:hint="eastAsia"/>
          <w:color w:val="auto"/>
          <w:highlight w:val="none"/>
        </w:rPr>
        <w:t>取水井埋藏条件均为承压水。</w:t>
      </w:r>
    </w:p>
    <w:p w14:paraId="25339A3E">
      <w:pPr>
        <w:ind w:firstLine="480"/>
        <w:rPr>
          <w:color w:val="auto"/>
          <w:highlight w:val="none"/>
        </w:rPr>
      </w:pPr>
      <w:r>
        <w:rPr>
          <w:rFonts w:hint="eastAsia"/>
          <w:color w:val="auto"/>
          <w:highlight w:val="none"/>
        </w:rPr>
        <w:t>依据《饮用水水源保护区划分技术规范》（HJ 338-2018）中章节7.2，孔隙承压水型水源保护区一级保护区为“将上部潜水的一级保护区作为承压水型水源地的一级保护区，划分方法同孔隙水潜水中小型水源地。一般不设二级保护区。将水源的补给区划为准保护区。”根据章节7.3，风化裂隙承压水型水源保护区一级保护区为“将上部潜水的一级保护区作为风化裂隙承压水型水源地的一级保护区，划分方法根据上部潜水的含水层介质类型，参考对应介质类型的中小型水源地一级保护区的划分方法。一般不设二级保护区。将水源的补给区划为准保护区。”</w:t>
      </w:r>
    </w:p>
    <w:p w14:paraId="1139466F">
      <w:pPr>
        <w:ind w:firstLine="480"/>
        <w:rPr>
          <w:color w:val="auto"/>
          <w:highlight w:val="none"/>
        </w:rPr>
      </w:pPr>
      <w:r>
        <w:rPr>
          <w:rFonts w:hint="eastAsia"/>
          <w:color w:val="auto"/>
          <w:highlight w:val="none"/>
        </w:rPr>
        <w:t>根据《饮用水水源保护区划分技术规范》（HJ 338-2018）中章节4.5.2，“具备计算条件的水源地采用数值模型计算法，中小型水源可采用经验公式法，资料严重缺乏的，采用经验值法确定保护区范围”。不同含水层介质的各级保护区半径见表3-1。</w:t>
      </w:r>
    </w:p>
    <w:p w14:paraId="6DD614E7">
      <w:pPr>
        <w:ind w:firstLine="0" w:firstLineChars="0"/>
        <w:jc w:val="center"/>
        <w:rPr>
          <w:rFonts w:eastAsia="黑体"/>
          <w:color w:val="auto"/>
          <w:highlight w:val="none"/>
        </w:rPr>
      </w:pPr>
      <w:r>
        <w:rPr>
          <w:rFonts w:hint="eastAsia" w:eastAsia="黑体"/>
          <w:color w:val="auto"/>
          <w:highlight w:val="none"/>
        </w:rPr>
        <w:t>表3-1 中小型潜水型水源保护区范围的经验值</w:t>
      </w:r>
    </w:p>
    <w:tbl>
      <w:tblPr>
        <w:tblStyle w:val="21"/>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081"/>
        <w:gridCol w:w="3044"/>
        <w:gridCol w:w="3044"/>
      </w:tblGrid>
      <w:tr w14:paraId="2D3EF4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680" w:type="pct"/>
            <w:tcBorders>
              <w:tl2br w:val="nil"/>
              <w:tr2bl w:val="nil"/>
            </w:tcBorders>
            <w:noWrap/>
            <w:vAlign w:val="center"/>
          </w:tcPr>
          <w:p w14:paraId="7FBD742A">
            <w:pPr>
              <w:pStyle w:val="30"/>
              <w:rPr>
                <w:rFonts w:hint="default"/>
                <w:color w:val="auto"/>
                <w:highlight w:val="none"/>
              </w:rPr>
            </w:pPr>
            <w:r>
              <w:rPr>
                <w:color w:val="auto"/>
                <w:highlight w:val="none"/>
              </w:rPr>
              <w:t>介质类型</w:t>
            </w:r>
          </w:p>
        </w:tc>
        <w:tc>
          <w:tcPr>
            <w:tcW w:w="1659" w:type="pct"/>
            <w:tcBorders>
              <w:tl2br w:val="nil"/>
              <w:tr2bl w:val="nil"/>
            </w:tcBorders>
            <w:noWrap/>
            <w:vAlign w:val="center"/>
          </w:tcPr>
          <w:p w14:paraId="0C93818C">
            <w:pPr>
              <w:pStyle w:val="30"/>
              <w:rPr>
                <w:rFonts w:hint="default"/>
                <w:color w:val="auto"/>
                <w:highlight w:val="none"/>
              </w:rPr>
            </w:pPr>
            <w:r>
              <w:rPr>
                <w:color w:val="auto"/>
                <w:highlight w:val="none"/>
              </w:rPr>
              <w:t>一级保护区半径R（m）</w:t>
            </w:r>
          </w:p>
        </w:tc>
        <w:tc>
          <w:tcPr>
            <w:tcW w:w="1659" w:type="pct"/>
            <w:tcBorders>
              <w:tl2br w:val="nil"/>
              <w:tr2bl w:val="nil"/>
            </w:tcBorders>
            <w:noWrap/>
            <w:vAlign w:val="center"/>
          </w:tcPr>
          <w:p w14:paraId="5E8C1D77">
            <w:pPr>
              <w:pStyle w:val="30"/>
              <w:rPr>
                <w:rFonts w:hint="default"/>
                <w:color w:val="auto"/>
                <w:highlight w:val="none"/>
              </w:rPr>
            </w:pPr>
            <w:r>
              <w:rPr>
                <w:color w:val="auto"/>
                <w:highlight w:val="none"/>
              </w:rPr>
              <w:t>二级保护区半径R（m）</w:t>
            </w:r>
          </w:p>
        </w:tc>
      </w:tr>
      <w:tr w14:paraId="7ECB51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9" w:hRule="atLeast"/>
          <w:jc w:val="center"/>
        </w:trPr>
        <w:tc>
          <w:tcPr>
            <w:tcW w:w="1680" w:type="pct"/>
            <w:tcBorders>
              <w:tl2br w:val="nil"/>
              <w:tr2bl w:val="nil"/>
            </w:tcBorders>
            <w:noWrap/>
            <w:vAlign w:val="center"/>
          </w:tcPr>
          <w:p w14:paraId="1689E3EA">
            <w:pPr>
              <w:pStyle w:val="30"/>
              <w:rPr>
                <w:rFonts w:hint="default"/>
                <w:color w:val="auto"/>
                <w:highlight w:val="none"/>
              </w:rPr>
            </w:pPr>
            <w:r>
              <w:rPr>
                <w:color w:val="auto"/>
                <w:highlight w:val="none"/>
              </w:rPr>
              <w:t>细砂</w:t>
            </w:r>
          </w:p>
        </w:tc>
        <w:tc>
          <w:tcPr>
            <w:tcW w:w="1659" w:type="pct"/>
            <w:tcBorders>
              <w:tl2br w:val="nil"/>
              <w:tr2bl w:val="nil"/>
            </w:tcBorders>
            <w:noWrap/>
            <w:vAlign w:val="center"/>
          </w:tcPr>
          <w:p w14:paraId="73DA1039">
            <w:pPr>
              <w:pStyle w:val="30"/>
              <w:rPr>
                <w:rFonts w:hint="default"/>
                <w:color w:val="auto"/>
                <w:highlight w:val="none"/>
              </w:rPr>
            </w:pPr>
            <w:r>
              <w:rPr>
                <w:color w:val="auto"/>
                <w:highlight w:val="none"/>
              </w:rPr>
              <w:t>30</w:t>
            </w:r>
          </w:p>
        </w:tc>
        <w:tc>
          <w:tcPr>
            <w:tcW w:w="3044" w:type="dxa"/>
            <w:tcBorders>
              <w:tl2br w:val="nil"/>
              <w:tr2bl w:val="nil"/>
            </w:tcBorders>
            <w:noWrap/>
            <w:vAlign w:val="center"/>
          </w:tcPr>
          <w:p w14:paraId="3F5F53BE">
            <w:pPr>
              <w:pStyle w:val="30"/>
              <w:rPr>
                <w:rFonts w:hint="default"/>
                <w:color w:val="auto"/>
                <w:highlight w:val="none"/>
              </w:rPr>
            </w:pPr>
            <w:r>
              <w:rPr>
                <w:color w:val="auto"/>
                <w:highlight w:val="none"/>
              </w:rPr>
              <w:t>300</w:t>
            </w:r>
          </w:p>
        </w:tc>
      </w:tr>
      <w:tr w14:paraId="2D49F2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9" w:hRule="atLeast"/>
          <w:jc w:val="center"/>
        </w:trPr>
        <w:tc>
          <w:tcPr>
            <w:tcW w:w="1680" w:type="pct"/>
            <w:tcBorders>
              <w:tl2br w:val="nil"/>
              <w:tr2bl w:val="nil"/>
            </w:tcBorders>
            <w:noWrap/>
            <w:vAlign w:val="center"/>
          </w:tcPr>
          <w:p w14:paraId="387DB224">
            <w:pPr>
              <w:pStyle w:val="30"/>
              <w:rPr>
                <w:rFonts w:hint="default"/>
                <w:color w:val="auto"/>
                <w:highlight w:val="none"/>
              </w:rPr>
            </w:pPr>
            <w:r>
              <w:rPr>
                <w:color w:val="auto"/>
                <w:highlight w:val="none"/>
              </w:rPr>
              <w:t>中砂</w:t>
            </w:r>
          </w:p>
        </w:tc>
        <w:tc>
          <w:tcPr>
            <w:tcW w:w="1659" w:type="pct"/>
            <w:tcBorders>
              <w:tl2br w:val="nil"/>
              <w:tr2bl w:val="nil"/>
            </w:tcBorders>
            <w:noWrap/>
            <w:vAlign w:val="center"/>
          </w:tcPr>
          <w:p w14:paraId="4FB539EB">
            <w:pPr>
              <w:pStyle w:val="30"/>
              <w:rPr>
                <w:rFonts w:hint="default"/>
                <w:color w:val="auto"/>
                <w:highlight w:val="none"/>
              </w:rPr>
            </w:pPr>
            <w:r>
              <w:rPr>
                <w:color w:val="auto"/>
                <w:highlight w:val="none"/>
              </w:rPr>
              <w:t>50</w:t>
            </w:r>
          </w:p>
        </w:tc>
        <w:tc>
          <w:tcPr>
            <w:tcW w:w="3044" w:type="dxa"/>
            <w:tcBorders>
              <w:tl2br w:val="nil"/>
              <w:tr2bl w:val="nil"/>
            </w:tcBorders>
            <w:noWrap/>
            <w:vAlign w:val="center"/>
          </w:tcPr>
          <w:p w14:paraId="14166A0F">
            <w:pPr>
              <w:pStyle w:val="30"/>
              <w:rPr>
                <w:rFonts w:hint="default"/>
                <w:color w:val="auto"/>
                <w:highlight w:val="none"/>
              </w:rPr>
            </w:pPr>
            <w:r>
              <w:rPr>
                <w:color w:val="auto"/>
                <w:highlight w:val="none"/>
              </w:rPr>
              <w:t>500</w:t>
            </w:r>
          </w:p>
        </w:tc>
      </w:tr>
      <w:tr w14:paraId="4C189F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9" w:hRule="atLeast"/>
          <w:jc w:val="center"/>
        </w:trPr>
        <w:tc>
          <w:tcPr>
            <w:tcW w:w="1680" w:type="pct"/>
            <w:tcBorders>
              <w:tl2br w:val="nil"/>
              <w:tr2bl w:val="nil"/>
            </w:tcBorders>
            <w:noWrap/>
            <w:vAlign w:val="center"/>
          </w:tcPr>
          <w:p w14:paraId="7A1ADDCD">
            <w:pPr>
              <w:pStyle w:val="30"/>
              <w:rPr>
                <w:rFonts w:hint="default"/>
                <w:color w:val="auto"/>
                <w:highlight w:val="none"/>
              </w:rPr>
            </w:pPr>
            <w:r>
              <w:rPr>
                <w:color w:val="auto"/>
                <w:highlight w:val="none"/>
              </w:rPr>
              <w:t>粗砂</w:t>
            </w:r>
          </w:p>
        </w:tc>
        <w:tc>
          <w:tcPr>
            <w:tcW w:w="1659" w:type="pct"/>
            <w:tcBorders>
              <w:tl2br w:val="nil"/>
              <w:tr2bl w:val="nil"/>
            </w:tcBorders>
            <w:noWrap/>
            <w:vAlign w:val="center"/>
          </w:tcPr>
          <w:p w14:paraId="3BFB3EB3">
            <w:pPr>
              <w:pStyle w:val="30"/>
              <w:rPr>
                <w:rFonts w:hint="default"/>
                <w:color w:val="auto"/>
                <w:highlight w:val="none"/>
              </w:rPr>
            </w:pPr>
            <w:r>
              <w:rPr>
                <w:color w:val="auto"/>
                <w:highlight w:val="none"/>
              </w:rPr>
              <w:t>100</w:t>
            </w:r>
          </w:p>
        </w:tc>
        <w:tc>
          <w:tcPr>
            <w:tcW w:w="3044" w:type="dxa"/>
            <w:tcBorders>
              <w:tl2br w:val="nil"/>
              <w:tr2bl w:val="nil"/>
            </w:tcBorders>
            <w:noWrap/>
            <w:vAlign w:val="center"/>
          </w:tcPr>
          <w:p w14:paraId="718BA7F8">
            <w:pPr>
              <w:pStyle w:val="30"/>
              <w:rPr>
                <w:rFonts w:hint="default"/>
                <w:color w:val="auto"/>
                <w:highlight w:val="none"/>
              </w:rPr>
            </w:pPr>
            <w:r>
              <w:rPr>
                <w:color w:val="auto"/>
                <w:highlight w:val="none"/>
              </w:rPr>
              <w:t>1000</w:t>
            </w:r>
          </w:p>
        </w:tc>
      </w:tr>
      <w:tr w14:paraId="5D283A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80" w:type="pct"/>
            <w:tcBorders>
              <w:tl2br w:val="nil"/>
              <w:tr2bl w:val="nil"/>
            </w:tcBorders>
            <w:noWrap/>
            <w:vAlign w:val="center"/>
          </w:tcPr>
          <w:p w14:paraId="4126E025">
            <w:pPr>
              <w:pStyle w:val="30"/>
              <w:rPr>
                <w:rFonts w:hint="default"/>
                <w:color w:val="auto"/>
                <w:highlight w:val="none"/>
              </w:rPr>
            </w:pPr>
            <w:r>
              <w:rPr>
                <w:color w:val="auto"/>
                <w:highlight w:val="none"/>
              </w:rPr>
              <w:t>砾石</w:t>
            </w:r>
          </w:p>
        </w:tc>
        <w:tc>
          <w:tcPr>
            <w:tcW w:w="1659" w:type="pct"/>
            <w:tcBorders>
              <w:tl2br w:val="nil"/>
              <w:tr2bl w:val="nil"/>
            </w:tcBorders>
            <w:noWrap/>
            <w:vAlign w:val="center"/>
          </w:tcPr>
          <w:p w14:paraId="0C0D4F11">
            <w:pPr>
              <w:pStyle w:val="30"/>
              <w:rPr>
                <w:rFonts w:hint="default"/>
                <w:color w:val="auto"/>
                <w:highlight w:val="none"/>
              </w:rPr>
            </w:pPr>
            <w:r>
              <w:rPr>
                <w:color w:val="auto"/>
                <w:highlight w:val="none"/>
              </w:rPr>
              <w:t>200</w:t>
            </w:r>
          </w:p>
        </w:tc>
        <w:tc>
          <w:tcPr>
            <w:tcW w:w="3044" w:type="dxa"/>
            <w:tcBorders>
              <w:tl2br w:val="nil"/>
              <w:tr2bl w:val="nil"/>
            </w:tcBorders>
            <w:noWrap/>
            <w:vAlign w:val="center"/>
          </w:tcPr>
          <w:p w14:paraId="6DFF583C">
            <w:pPr>
              <w:pStyle w:val="30"/>
              <w:rPr>
                <w:rFonts w:hint="default"/>
                <w:color w:val="auto"/>
                <w:highlight w:val="none"/>
              </w:rPr>
            </w:pPr>
            <w:r>
              <w:rPr>
                <w:color w:val="auto"/>
                <w:highlight w:val="none"/>
              </w:rPr>
              <w:t>2000</w:t>
            </w:r>
          </w:p>
        </w:tc>
      </w:tr>
      <w:tr w14:paraId="48BECAF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80" w:type="pct"/>
            <w:tcBorders>
              <w:tl2br w:val="nil"/>
              <w:tr2bl w:val="nil"/>
            </w:tcBorders>
            <w:noWrap/>
            <w:vAlign w:val="center"/>
          </w:tcPr>
          <w:p w14:paraId="38558C2F">
            <w:pPr>
              <w:pStyle w:val="30"/>
              <w:rPr>
                <w:rFonts w:hint="default"/>
                <w:color w:val="auto"/>
                <w:highlight w:val="none"/>
              </w:rPr>
            </w:pPr>
            <w:r>
              <w:rPr>
                <w:color w:val="auto"/>
                <w:highlight w:val="none"/>
              </w:rPr>
              <w:t>卵石</w:t>
            </w:r>
          </w:p>
        </w:tc>
        <w:tc>
          <w:tcPr>
            <w:tcW w:w="1659" w:type="pct"/>
            <w:tcBorders>
              <w:tl2br w:val="nil"/>
              <w:tr2bl w:val="nil"/>
            </w:tcBorders>
            <w:noWrap/>
            <w:vAlign w:val="center"/>
          </w:tcPr>
          <w:p w14:paraId="741C49F4">
            <w:pPr>
              <w:pStyle w:val="30"/>
              <w:rPr>
                <w:rFonts w:hint="default"/>
                <w:color w:val="auto"/>
                <w:highlight w:val="none"/>
              </w:rPr>
            </w:pPr>
            <w:r>
              <w:rPr>
                <w:color w:val="auto"/>
                <w:highlight w:val="none"/>
              </w:rPr>
              <w:t>500</w:t>
            </w:r>
          </w:p>
        </w:tc>
        <w:tc>
          <w:tcPr>
            <w:tcW w:w="3044" w:type="dxa"/>
            <w:tcBorders>
              <w:tl2br w:val="nil"/>
              <w:tr2bl w:val="nil"/>
            </w:tcBorders>
            <w:noWrap/>
            <w:vAlign w:val="center"/>
          </w:tcPr>
          <w:p w14:paraId="2F6263CC">
            <w:pPr>
              <w:pStyle w:val="30"/>
              <w:rPr>
                <w:rFonts w:hint="default"/>
                <w:color w:val="auto"/>
                <w:highlight w:val="none"/>
              </w:rPr>
            </w:pPr>
            <w:r>
              <w:rPr>
                <w:color w:val="auto"/>
                <w:highlight w:val="none"/>
              </w:rPr>
              <w:t>5000</w:t>
            </w:r>
          </w:p>
        </w:tc>
      </w:tr>
    </w:tbl>
    <w:p w14:paraId="0A7B375C">
      <w:pPr>
        <w:pStyle w:val="10"/>
        <w:rPr>
          <w:rFonts w:hint="eastAsia"/>
          <w:color w:val="auto"/>
          <w:highlight w:val="none"/>
        </w:rPr>
      </w:pPr>
      <w:r>
        <w:rPr>
          <w:rFonts w:hint="eastAsia"/>
          <w:color w:val="auto"/>
          <w:highlight w:val="none"/>
        </w:rPr>
        <w:t>注：二级保护区是以一级保护区边界为起点。</w:t>
      </w:r>
    </w:p>
    <w:p w14:paraId="00E497B1">
      <w:pPr>
        <w:spacing w:line="360" w:lineRule="auto"/>
        <w:ind w:firstLine="472" w:firstLineChars="200"/>
        <w:rPr>
          <w:rFonts w:hint="eastAsia" w:ascii="Times New Roman" w:hAnsi="Times New Roman" w:eastAsia="宋体" w:cs="Times New Roman"/>
          <w:color w:val="auto"/>
          <w:kern w:val="0"/>
          <w:sz w:val="24"/>
          <w:szCs w:val="24"/>
          <w:highlight w:val="none"/>
          <w:lang w:eastAsia="zh-CN"/>
        </w:rPr>
      </w:pPr>
      <w:r>
        <w:rPr>
          <w:rFonts w:hint="eastAsia"/>
          <w:color w:val="auto"/>
          <w:highlight w:val="none"/>
          <w:lang w:eastAsia="zh-CN"/>
        </w:rPr>
        <w:t>根据</w:t>
      </w:r>
      <w:r>
        <w:rPr>
          <w:rFonts w:hint="default" w:ascii="Times New Roman" w:hAnsi="Times New Roman" w:eastAsia="宋体" w:cs="Times New Roman"/>
          <w:color w:val="auto"/>
          <w:sz w:val="24"/>
          <w:szCs w:val="24"/>
          <w:highlight w:val="none"/>
          <w:lang w:val="en-US" w:eastAsia="zh-CN"/>
        </w:rPr>
        <w:t>《关于推进乡镇及以下集中式饮用水水源地生态环境保护工作的指导意见》（环水体函〔2019〕92号）</w:t>
      </w:r>
      <w:r>
        <w:rPr>
          <w:rFonts w:hint="eastAsia" w:ascii="Times New Roman" w:hAnsi="Times New Roman" w:eastAsia="宋体" w:cs="Times New Roman"/>
          <w:color w:val="auto"/>
          <w:sz w:val="24"/>
          <w:szCs w:val="24"/>
          <w:highlight w:val="none"/>
          <w:lang w:val="en-US" w:eastAsia="zh-CN"/>
        </w:rPr>
        <w:t>，对已建成投入运行的农村供水工程，工程建设及管理单位应及时向当地生态环境和水利部门提供水源相关资料，协助做好保护区的划分及规范管理工作。对新建、改建、扩建的农村供水工程，应在建设期间同步开展保护区的划定或调整工作。</w:t>
      </w:r>
      <w:r>
        <w:rPr>
          <w:rFonts w:hint="eastAsia" w:ascii="Times New Roman" w:hAnsi="Times New Roman" w:eastAsia="宋体" w:cs="Times New Roman"/>
          <w:color w:val="auto"/>
          <w:kern w:val="0"/>
          <w:sz w:val="24"/>
          <w:szCs w:val="24"/>
          <w:highlight w:val="none"/>
        </w:rPr>
        <w:t>保护区分为一级保护区和二级保护区。各地在保障农村水源地水质安全的前提下，结合当地实际，因地制宜合理确定农村饮用水水源保护区。原则上，地下水型保护区，以取水口为中心，径向离不小于30米</w:t>
      </w:r>
      <w:r>
        <w:rPr>
          <w:rFonts w:hint="eastAsia" w:cs="Times New Roman"/>
          <w:color w:val="auto"/>
          <w:kern w:val="0"/>
          <w:sz w:val="24"/>
          <w:szCs w:val="24"/>
          <w:highlight w:val="none"/>
          <w:lang w:eastAsia="zh-CN"/>
        </w:rPr>
        <w:t>。</w:t>
      </w:r>
    </w:p>
    <w:p w14:paraId="5B6C1D77">
      <w:pPr>
        <w:spacing w:line="360" w:lineRule="auto"/>
        <w:ind w:firstLine="472" w:firstLineChars="200"/>
        <w:rPr>
          <w:rFonts w:ascii="Times New Roman" w:hAnsi="Times New Roman" w:eastAsia="宋体" w:cs="Times New Roman"/>
          <w:color w:val="auto"/>
          <w:kern w:val="0"/>
          <w:sz w:val="24"/>
          <w:szCs w:val="24"/>
          <w:highlight w:val="none"/>
        </w:rPr>
      </w:pPr>
      <w:r>
        <w:rPr>
          <w:rFonts w:hint="eastAsia" w:ascii="Times New Roman" w:hAnsi="Times New Roman" w:eastAsia="宋体" w:cs="Times New Roman"/>
          <w:color w:val="auto"/>
          <w:kern w:val="0"/>
          <w:sz w:val="24"/>
          <w:szCs w:val="24"/>
          <w:highlight w:val="none"/>
        </w:rPr>
        <w:t>依据《饮用水水源保护区划分技术规范》（HJ 338-2018）</w:t>
      </w:r>
      <w:r>
        <w:rPr>
          <w:rFonts w:hint="eastAsia"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《关于推进乡镇及以下集中式饮用水水源地生态环境保护工作的指导意见》（环水体函〔2019〕92号）</w:t>
      </w:r>
      <w:r>
        <w:rPr>
          <w:rFonts w:hint="eastAsia" w:ascii="Times New Roman" w:hAnsi="Times New Roman" w:eastAsia="宋体" w:cs="Times New Roman"/>
          <w:color w:val="auto"/>
          <w:kern w:val="0"/>
          <w:sz w:val="24"/>
          <w:szCs w:val="24"/>
          <w:highlight w:val="none"/>
        </w:rPr>
        <w:t>，</w:t>
      </w:r>
      <w:r>
        <w:rPr>
          <w:rFonts w:hint="eastAsia" w:ascii="Times New Roman" w:hAnsi="Times New Roman" w:eastAsia="宋体" w:cs="Times New Roman"/>
          <w:color w:val="auto"/>
          <w:highlight w:val="none"/>
          <w:lang w:eastAsia="zh-CN"/>
        </w:rPr>
        <w:t>绥化市庆安县丰收乡等6个乡镇级和柳河镇新强村1个村屯级集中式饮用水水源地</w:t>
      </w:r>
      <w:r>
        <w:rPr>
          <w:rFonts w:hint="eastAsia" w:ascii="Times New Roman" w:hAnsi="Times New Roman" w:eastAsia="宋体" w:cs="Times New Roman"/>
          <w:color w:val="auto"/>
          <w:highlight w:val="none"/>
        </w:rPr>
        <w:t>属于中小型水源</w:t>
      </w:r>
      <w:r>
        <w:rPr>
          <w:rFonts w:hint="eastAsia"/>
          <w:color w:val="auto"/>
          <w:highlight w:val="none"/>
        </w:rPr>
        <w:t>地</w:t>
      </w:r>
      <w:r>
        <w:rPr>
          <w:rFonts w:hint="eastAsia"/>
          <w:color w:val="auto"/>
          <w:highlight w:val="none"/>
          <w:lang w:eastAsia="zh-CN"/>
        </w:rPr>
        <w:t>，</w:t>
      </w:r>
      <w:r>
        <w:rPr>
          <w:rFonts w:hint="eastAsia"/>
          <w:color w:val="auto"/>
          <w:highlight w:val="none"/>
        </w:rPr>
        <w:t>取水井取水层介质为孔隙水</w:t>
      </w:r>
      <w:r>
        <w:rPr>
          <w:rFonts w:hint="eastAsia"/>
          <w:color w:val="auto"/>
          <w:highlight w:val="none"/>
          <w:lang w:eastAsia="zh-CN"/>
        </w:rPr>
        <w:t>、孔隙</w:t>
      </w:r>
      <w:r>
        <w:rPr>
          <w:rFonts w:hint="eastAsia"/>
          <w:color w:val="auto"/>
          <w:highlight w:val="none"/>
          <w:lang w:val="en-US" w:eastAsia="zh-CN"/>
        </w:rPr>
        <w:t>-裂隙水</w:t>
      </w:r>
      <w:r>
        <w:rPr>
          <w:rFonts w:hint="eastAsia" w:ascii="Times New Roman" w:hAnsi="Times New Roman" w:eastAsia="宋体" w:cs="Times New Roman"/>
          <w:color w:val="auto"/>
          <w:kern w:val="0"/>
          <w:sz w:val="24"/>
          <w:szCs w:val="24"/>
          <w:highlight w:val="none"/>
        </w:rPr>
        <w:t>，</w:t>
      </w:r>
      <w:r>
        <w:rPr>
          <w:rFonts w:hint="eastAsia"/>
          <w:color w:val="auto"/>
          <w:highlight w:val="none"/>
        </w:rPr>
        <w:t>取水井埋藏条件均为承压水</w:t>
      </w:r>
      <w:r>
        <w:rPr>
          <w:rFonts w:hint="eastAsia"/>
          <w:color w:val="auto"/>
          <w:highlight w:val="none"/>
          <w:lang w:eastAsia="zh-CN"/>
        </w:rPr>
        <w:t>。</w:t>
      </w:r>
      <w:r>
        <w:rPr>
          <w:rFonts w:hint="eastAsia" w:ascii="Times New Roman" w:hAnsi="Times New Roman" w:eastAsia="宋体" w:cs="Times New Roman"/>
          <w:color w:val="auto"/>
          <w:kern w:val="0"/>
          <w:sz w:val="24"/>
          <w:szCs w:val="24"/>
          <w:highlight w:val="none"/>
        </w:rPr>
        <w:t>因水源地地质资料缺乏，</w:t>
      </w:r>
      <w:r>
        <w:rPr>
          <w:rFonts w:hint="eastAsia" w:cs="Times New Roman"/>
          <w:color w:val="auto"/>
          <w:kern w:val="0"/>
          <w:sz w:val="24"/>
          <w:szCs w:val="24"/>
          <w:highlight w:val="none"/>
          <w:lang w:eastAsia="zh-CN"/>
        </w:rPr>
        <w:t>无有效孔隙度等参数，</w:t>
      </w:r>
      <w:r>
        <w:rPr>
          <w:rFonts w:hint="eastAsia" w:ascii="Times New Roman" w:hAnsi="Times New Roman" w:eastAsia="宋体" w:cs="Times New Roman"/>
          <w:color w:val="auto"/>
          <w:kern w:val="0"/>
          <w:sz w:val="24"/>
          <w:szCs w:val="24"/>
          <w:highlight w:val="none"/>
        </w:rPr>
        <w:t>不具备采用按公式计算的条件，故采用经验值法确定保护区范围。</w:t>
      </w:r>
    </w:p>
    <w:p w14:paraId="6C629CF5">
      <w:pPr>
        <w:pStyle w:val="3"/>
        <w:rPr>
          <w:color w:val="auto"/>
          <w:highlight w:val="none"/>
          <w:lang w:val="en-US"/>
        </w:rPr>
      </w:pPr>
      <w:bookmarkStart w:id="78" w:name="_Toc264"/>
      <w:bookmarkStart w:id="79" w:name="_Toc26550"/>
      <w:r>
        <w:rPr>
          <w:color w:val="auto"/>
          <w:highlight w:val="none"/>
          <w:lang w:val="en-US"/>
        </w:rPr>
        <w:t>3.2初步</w:t>
      </w:r>
      <w:r>
        <w:rPr>
          <w:rFonts w:hint="eastAsia"/>
          <w:color w:val="auto"/>
          <w:highlight w:val="none"/>
          <w:lang w:val="en-US" w:eastAsia="zh-CN"/>
        </w:rPr>
        <w:t>调整</w:t>
      </w:r>
      <w:r>
        <w:rPr>
          <w:color w:val="auto"/>
          <w:highlight w:val="none"/>
          <w:lang w:val="en-US"/>
        </w:rPr>
        <w:t>结果与分析</w:t>
      </w:r>
      <w:bookmarkEnd w:id="78"/>
      <w:bookmarkEnd w:id="79"/>
    </w:p>
    <w:p w14:paraId="4FBDAB81">
      <w:pPr>
        <w:pStyle w:val="4"/>
        <w:rPr>
          <w:color w:val="auto"/>
          <w:highlight w:val="none"/>
        </w:rPr>
      </w:pPr>
      <w:bookmarkStart w:id="80" w:name="_Toc15700"/>
      <w:r>
        <w:rPr>
          <w:color w:val="auto"/>
          <w:highlight w:val="none"/>
        </w:rPr>
        <w:t>3.2.1保护区半径的确定</w:t>
      </w:r>
      <w:bookmarkEnd w:id="80"/>
    </w:p>
    <w:p w14:paraId="052301C6">
      <w:pPr>
        <w:spacing w:line="360" w:lineRule="auto"/>
        <w:ind w:firstLine="472" w:firstLineChars="200"/>
        <w:rPr>
          <w:rFonts w:hint="eastAsia"/>
          <w:color w:val="auto"/>
          <w:kern w:val="0"/>
          <w:sz w:val="24"/>
          <w:szCs w:val="24"/>
          <w:highlight w:val="none"/>
        </w:rPr>
      </w:pPr>
      <w:r>
        <w:rPr>
          <w:rFonts w:hint="eastAsia"/>
          <w:color w:val="auto"/>
          <w:kern w:val="0"/>
          <w:sz w:val="24"/>
          <w:szCs w:val="24"/>
          <w:highlight w:val="none"/>
        </w:rPr>
        <w:t>根据《饮用水水源保护区划分技术规范》（HJ 338-2018），“小型孔隙、裂隙</w:t>
      </w:r>
      <w:r>
        <w:rPr>
          <w:color w:val="auto"/>
          <w:kern w:val="0"/>
          <w:sz w:val="24"/>
          <w:szCs w:val="24"/>
          <w:highlight w:val="none"/>
        </w:rPr>
        <w:t>承压水型</w:t>
      </w:r>
      <w:r>
        <w:rPr>
          <w:rFonts w:hint="eastAsia"/>
          <w:color w:val="auto"/>
          <w:kern w:val="0"/>
          <w:sz w:val="24"/>
          <w:szCs w:val="24"/>
          <w:highlight w:val="none"/>
          <w:lang w:eastAsia="zh-CN"/>
        </w:rPr>
        <w:t>水源地</w:t>
      </w:r>
      <w:r>
        <w:rPr>
          <w:color w:val="auto"/>
          <w:kern w:val="0"/>
          <w:sz w:val="24"/>
          <w:szCs w:val="24"/>
          <w:highlight w:val="none"/>
        </w:rPr>
        <w:t>一般不设二级保护区</w:t>
      </w:r>
      <w:r>
        <w:rPr>
          <w:rFonts w:hint="eastAsia"/>
          <w:color w:val="auto"/>
          <w:kern w:val="0"/>
          <w:sz w:val="24"/>
          <w:szCs w:val="24"/>
          <w:highlight w:val="none"/>
        </w:rPr>
        <w:t>”。依据《关于推进乡镇及以下集中式饮用水水源地生态环境保护区工作的指导意见》（环水体函〔2019〕92），“各地在保障农村水源地水质安全的前提下，结合当地实际，因地制宜合理确定农村饮用水水源保护区”。</w:t>
      </w:r>
    </w:p>
    <w:p w14:paraId="5BBFC0E9">
      <w:pPr>
        <w:spacing w:line="360" w:lineRule="auto"/>
        <w:ind w:firstLine="472" w:firstLineChars="200"/>
        <w:rPr>
          <w:rFonts w:hint="eastAsia"/>
          <w:color w:val="auto"/>
          <w:sz w:val="24"/>
          <w:szCs w:val="24"/>
          <w:highlight w:val="none"/>
        </w:rPr>
      </w:pPr>
      <w:r>
        <w:rPr>
          <w:rFonts w:hint="eastAsia"/>
          <w:color w:val="auto"/>
          <w:kern w:val="0"/>
          <w:sz w:val="24"/>
          <w:szCs w:val="24"/>
          <w:highlight w:val="none"/>
          <w:lang w:val="en-US" w:eastAsia="zh-CN"/>
        </w:rPr>
        <w:t>根据“2.5.4 饮用水水源地水文地质特征”，</w:t>
      </w:r>
      <w:r>
        <w:rPr>
          <w:rFonts w:hint="eastAsia"/>
          <w:color w:val="auto"/>
          <w:kern w:val="0"/>
          <w:sz w:val="24"/>
          <w:szCs w:val="24"/>
          <w:highlight w:val="none"/>
        </w:rPr>
        <w:t>本次划分涉及</w:t>
      </w:r>
      <w:r>
        <w:rPr>
          <w:rFonts w:hint="eastAsia"/>
          <w:color w:val="auto"/>
          <w:kern w:val="0"/>
          <w:sz w:val="24"/>
          <w:szCs w:val="24"/>
          <w:highlight w:val="none"/>
          <w:lang w:eastAsia="zh-CN"/>
        </w:rPr>
        <w:t>的各</w:t>
      </w:r>
      <w:r>
        <w:rPr>
          <w:rFonts w:hint="eastAsia"/>
          <w:color w:val="auto"/>
          <w:kern w:val="0"/>
          <w:sz w:val="24"/>
          <w:szCs w:val="24"/>
          <w:highlight w:val="none"/>
        </w:rPr>
        <w:t>水源地上部潜水</w:t>
      </w:r>
      <w:r>
        <w:rPr>
          <w:rFonts w:hint="eastAsia"/>
          <w:color w:val="auto"/>
          <w:kern w:val="0"/>
          <w:sz w:val="24"/>
          <w:szCs w:val="24"/>
          <w:highlight w:val="none"/>
          <w:lang w:eastAsia="zh-CN"/>
        </w:rPr>
        <w:t>含</w:t>
      </w:r>
      <w:r>
        <w:rPr>
          <w:rFonts w:hint="eastAsia"/>
          <w:color w:val="auto"/>
          <w:kern w:val="0"/>
          <w:sz w:val="24"/>
          <w:szCs w:val="24"/>
          <w:highlight w:val="none"/>
        </w:rPr>
        <w:t>水层</w:t>
      </w:r>
      <w:r>
        <w:rPr>
          <w:rFonts w:hint="eastAsia"/>
          <w:color w:val="auto"/>
          <w:kern w:val="0"/>
          <w:sz w:val="24"/>
          <w:szCs w:val="24"/>
          <w:highlight w:val="none"/>
          <w:lang w:eastAsia="zh-CN"/>
        </w:rPr>
        <w:t>介质</w:t>
      </w:r>
      <w:r>
        <w:rPr>
          <w:rFonts w:hint="eastAsia"/>
          <w:color w:val="auto"/>
          <w:kern w:val="0"/>
          <w:sz w:val="24"/>
          <w:szCs w:val="24"/>
          <w:highlight w:val="none"/>
        </w:rPr>
        <w:t>为</w:t>
      </w:r>
      <w:r>
        <w:rPr>
          <w:rFonts w:hint="eastAsia"/>
          <w:color w:val="auto"/>
          <w:kern w:val="0"/>
          <w:sz w:val="24"/>
          <w:szCs w:val="24"/>
          <w:highlight w:val="none"/>
          <w:lang w:eastAsia="zh-CN"/>
        </w:rPr>
        <w:t>粉质粘土</w:t>
      </w:r>
      <w:r>
        <w:rPr>
          <w:rFonts w:hint="eastAsia"/>
          <w:color w:val="auto"/>
          <w:kern w:val="0"/>
          <w:sz w:val="24"/>
          <w:szCs w:val="24"/>
          <w:highlight w:val="none"/>
        </w:rPr>
        <w:t>，根据表3-1中小型潜水型水源保护区范围的经验值，取细砂对应经验值30</w:t>
      </w:r>
      <w:r>
        <w:rPr>
          <w:color w:val="auto"/>
          <w:kern w:val="0"/>
          <w:sz w:val="24"/>
          <w:szCs w:val="24"/>
          <w:highlight w:val="none"/>
        </w:rPr>
        <w:t>米</w:t>
      </w:r>
      <w:r>
        <w:rPr>
          <w:rFonts w:hint="eastAsia"/>
          <w:color w:val="auto"/>
          <w:kern w:val="0"/>
          <w:sz w:val="24"/>
          <w:szCs w:val="24"/>
          <w:highlight w:val="none"/>
        </w:rPr>
        <w:t>为本次划分水源地一级保护区半径。不划分二级保护区。</w:t>
      </w:r>
      <w:r>
        <w:rPr>
          <w:rFonts w:hint="eastAsia"/>
          <w:color w:val="auto"/>
          <w:kern w:val="0"/>
          <w:sz w:val="24"/>
          <w:szCs w:val="24"/>
          <w:highlight w:val="none"/>
          <w:lang w:eastAsia="zh-CN"/>
        </w:rPr>
        <w:t>各水源地水井</w:t>
      </w:r>
      <w:r>
        <w:rPr>
          <w:rFonts w:hint="eastAsia"/>
          <w:color w:val="auto"/>
          <w:sz w:val="24"/>
          <w:szCs w:val="24"/>
          <w:highlight w:val="none"/>
        </w:rPr>
        <w:t>原水各指标除锰外均符合《地下水质量标准》（GB/T 14848-2017）中的</w:t>
      </w:r>
      <w:r>
        <w:rPr>
          <w:rFonts w:hint="eastAsia" w:ascii="宋体" w:hAnsi="宋体" w:cs="宋体"/>
          <w:color w:val="auto"/>
          <w:sz w:val="24"/>
          <w:szCs w:val="24"/>
          <w:highlight w:val="none"/>
        </w:rPr>
        <w:t>Ⅲ</w:t>
      </w:r>
      <w:r>
        <w:rPr>
          <w:rFonts w:hint="eastAsia"/>
          <w:color w:val="auto"/>
          <w:sz w:val="24"/>
          <w:szCs w:val="24"/>
          <w:highlight w:val="none"/>
        </w:rPr>
        <w:t>类要求，水质较好，锰超标主要受区域原生地质因素影响。</w:t>
      </w:r>
    </w:p>
    <w:p w14:paraId="40DD60C7">
      <w:pPr>
        <w:spacing w:line="360" w:lineRule="auto"/>
        <w:ind w:firstLine="472" w:firstLineChars="200"/>
        <w:rPr>
          <w:color w:val="auto"/>
          <w:kern w:val="0"/>
          <w:sz w:val="24"/>
          <w:szCs w:val="24"/>
          <w:highlight w:val="none"/>
        </w:rPr>
      </w:pPr>
      <w:r>
        <w:rPr>
          <w:rFonts w:hint="eastAsia"/>
          <w:color w:val="auto"/>
          <w:kern w:val="0"/>
          <w:sz w:val="24"/>
          <w:szCs w:val="24"/>
          <w:highlight w:val="none"/>
        </w:rPr>
        <w:t>经调查水源地周边及上游主要为居民区，经济发展缓慢，无石化、冶炼、制药、尾矿库、填埋场、排污口、规模化养殖等风险源，上游道路已禁止危险品运输，仅有少量农药运输，上游基本为</w:t>
      </w:r>
      <w:r>
        <w:rPr>
          <w:rFonts w:hint="eastAsia"/>
          <w:color w:val="auto"/>
          <w:kern w:val="0"/>
          <w:sz w:val="24"/>
          <w:szCs w:val="24"/>
          <w:highlight w:val="none"/>
          <w:lang w:eastAsia="zh-CN"/>
        </w:rPr>
        <w:t>农业面源污染</w:t>
      </w:r>
      <w:r>
        <w:rPr>
          <w:rFonts w:hint="eastAsia"/>
          <w:color w:val="auto"/>
          <w:kern w:val="0"/>
          <w:sz w:val="24"/>
          <w:szCs w:val="24"/>
          <w:highlight w:val="none"/>
        </w:rPr>
        <w:t>，无重大危险源。</w:t>
      </w:r>
      <w:r>
        <w:rPr>
          <w:rFonts w:hint="eastAsia"/>
          <w:color w:val="auto"/>
          <w:sz w:val="24"/>
          <w:szCs w:val="24"/>
          <w:highlight w:val="none"/>
        </w:rPr>
        <w:t>综上，</w:t>
      </w:r>
      <w:r>
        <w:rPr>
          <w:color w:val="auto"/>
          <w:kern w:val="0"/>
          <w:sz w:val="24"/>
          <w:szCs w:val="24"/>
          <w:highlight w:val="none"/>
        </w:rPr>
        <w:t>为方便水源地管理，并考虑地方经济发展，本次</w:t>
      </w:r>
      <w:r>
        <w:rPr>
          <w:rFonts w:hint="eastAsia"/>
          <w:color w:val="auto"/>
          <w:kern w:val="0"/>
          <w:sz w:val="24"/>
          <w:szCs w:val="24"/>
          <w:highlight w:val="none"/>
        </w:rPr>
        <w:t>划分</w:t>
      </w:r>
      <w:r>
        <w:rPr>
          <w:color w:val="auto"/>
          <w:kern w:val="0"/>
          <w:sz w:val="24"/>
          <w:szCs w:val="24"/>
          <w:highlight w:val="none"/>
        </w:rPr>
        <w:t>不设准保护区。</w:t>
      </w:r>
    </w:p>
    <w:p w14:paraId="36F7312A">
      <w:pPr>
        <w:pStyle w:val="4"/>
        <w:rPr>
          <w:color w:val="auto"/>
          <w:highlight w:val="none"/>
        </w:rPr>
      </w:pPr>
      <w:bookmarkStart w:id="81" w:name="_Toc22507"/>
      <w:r>
        <w:rPr>
          <w:color w:val="auto"/>
          <w:highlight w:val="none"/>
        </w:rPr>
        <w:t>3.2.2保护区范围</w:t>
      </w:r>
      <w:r>
        <w:rPr>
          <w:rFonts w:hint="eastAsia"/>
          <w:color w:val="auto"/>
          <w:highlight w:val="none"/>
          <w:lang w:eastAsia="zh-CN"/>
        </w:rPr>
        <w:t>调整</w:t>
      </w:r>
      <w:r>
        <w:rPr>
          <w:color w:val="auto"/>
          <w:highlight w:val="none"/>
        </w:rPr>
        <w:t>结果</w:t>
      </w:r>
      <w:bookmarkEnd w:id="81"/>
    </w:p>
    <w:p w14:paraId="42C42D2A">
      <w:pPr>
        <w:spacing w:line="360" w:lineRule="auto"/>
        <w:ind w:firstLine="472" w:firstLineChars="200"/>
        <w:rPr>
          <w:rFonts w:ascii="Times New Roman" w:hAnsi="Times New Roman" w:cs="Times New Roman"/>
          <w:color w:val="auto"/>
          <w:sz w:val="24"/>
          <w:szCs w:val="24"/>
          <w:highlight w:val="none"/>
        </w:rPr>
      </w:pPr>
      <w:r>
        <w:rPr>
          <w:rFonts w:hint="eastAsia"/>
          <w:color w:val="auto"/>
          <w:kern w:val="0"/>
          <w:sz w:val="24"/>
          <w:szCs w:val="24"/>
          <w:highlight w:val="none"/>
        </w:rPr>
        <w:t>根据《饮用水水源保护区划分技术规范》（HJ 338-2018），</w:t>
      </w:r>
      <w:r>
        <w:rPr>
          <w:rFonts w:hint="eastAsia" w:ascii="Times New Roman" w:hAnsi="Times New Roman" w:cs="Times New Roman"/>
          <w:color w:val="auto"/>
          <w:sz w:val="24"/>
          <w:szCs w:val="24"/>
          <w:highlight w:val="none"/>
        </w:rPr>
        <w:t>本次划分共涉及</w:t>
      </w:r>
      <w:r>
        <w:rPr>
          <w:rFonts w:hint="eastAsia" w:ascii="Times New Roman" w:hAnsi="Times New Roman" w:cs="Times New Roman"/>
          <w:color w:val="auto"/>
          <w:sz w:val="24"/>
          <w:szCs w:val="24"/>
          <w:highlight w:val="none"/>
          <w:lang w:eastAsia="zh-CN"/>
        </w:rPr>
        <w:t>绥化市庆安县丰收乡等6个乡镇级和柳河镇新强村1个村屯级集中式饮用水水源保护区调整（共</w:t>
      </w:r>
      <w:r>
        <w:rPr>
          <w:rFonts w:hint="eastAsia" w:ascii="Times New Roman" w:hAnsi="Times New Roman" w:cs="Times New Roman"/>
          <w:color w:val="auto"/>
          <w:sz w:val="24"/>
          <w:szCs w:val="24"/>
          <w:highlight w:val="none"/>
          <w:lang w:val="en-US" w:eastAsia="zh-CN"/>
        </w:rPr>
        <w:t>29眼水井</w:t>
      </w:r>
      <w:r>
        <w:rPr>
          <w:rFonts w:hint="eastAsia" w:ascii="Times New Roman" w:hAnsi="Times New Roman" w:cs="Times New Roman"/>
          <w:color w:val="auto"/>
          <w:sz w:val="24"/>
          <w:szCs w:val="24"/>
          <w:highlight w:val="none"/>
          <w:lang w:eastAsia="zh-CN"/>
        </w:rPr>
        <w:t>），</w:t>
      </w:r>
      <w:r>
        <w:rPr>
          <w:color w:val="auto"/>
          <w:highlight w:val="none"/>
        </w:rPr>
        <w:t>相邻两口水井单井间距</w:t>
      </w:r>
      <w:r>
        <w:rPr>
          <w:rFonts w:hint="eastAsia"/>
          <w:color w:val="auto"/>
          <w:highlight w:val="none"/>
        </w:rPr>
        <w:t>均</w:t>
      </w:r>
      <w:r>
        <w:rPr>
          <w:color w:val="auto"/>
          <w:highlight w:val="none"/>
        </w:rPr>
        <w:t>大于一级保护区半径的2倍，分别对每口井进行一级保护区划分</w:t>
      </w:r>
      <w:r>
        <w:rPr>
          <w:rFonts w:hint="eastAsia"/>
          <w:color w:val="auto"/>
          <w:highlight w:val="none"/>
        </w:rPr>
        <w:t>。</w:t>
      </w:r>
      <w:r>
        <w:rPr>
          <w:rFonts w:hint="eastAsia" w:ascii="Times New Roman" w:hAnsi="Times New Roman" w:cs="Times New Roman"/>
          <w:color w:val="auto"/>
          <w:sz w:val="24"/>
          <w:szCs w:val="24"/>
          <w:highlight w:val="none"/>
        </w:rPr>
        <w:t>根据现场核查，所有水源地周围无明显地形、地标、地物界限特征，一级保护区划分范围为以取水井为圆心，30米为半径的圆形所围区域。</w:t>
      </w:r>
      <w:r>
        <w:rPr>
          <w:rFonts w:hint="eastAsia" w:ascii="Times New Roman" w:hAnsi="Times New Roman" w:cs="Times New Roman"/>
          <w:color w:val="auto"/>
          <w:sz w:val="24"/>
          <w:szCs w:val="24"/>
          <w:highlight w:val="none"/>
          <w:lang w:eastAsia="zh-CN"/>
        </w:rPr>
        <w:t>各水源地水井井间间距见表</w:t>
      </w:r>
      <w:r>
        <w:rPr>
          <w:rFonts w:hint="eastAsia" w:ascii="Times New Roman" w:hAnsi="Times New Roman" w:cs="Times New Roman"/>
          <w:color w:val="auto"/>
          <w:sz w:val="24"/>
          <w:szCs w:val="24"/>
          <w:highlight w:val="none"/>
          <w:lang w:val="en-US" w:eastAsia="zh-CN"/>
        </w:rPr>
        <w:t>3-2，</w:t>
      </w:r>
      <w:r>
        <w:rPr>
          <w:rFonts w:hint="eastAsia" w:ascii="Times New Roman" w:hAnsi="Times New Roman" w:cs="Times New Roman"/>
          <w:color w:val="auto"/>
          <w:sz w:val="24"/>
          <w:szCs w:val="24"/>
          <w:highlight w:val="none"/>
          <w:lang w:eastAsia="zh-CN"/>
        </w:rPr>
        <w:t>各水源地</w:t>
      </w:r>
      <w:r>
        <w:rPr>
          <w:rFonts w:ascii="Times New Roman" w:hAnsi="Times New Roman" w:cs="Times New Roman"/>
          <w:color w:val="auto"/>
          <w:sz w:val="24"/>
          <w:szCs w:val="24"/>
          <w:highlight w:val="none"/>
        </w:rPr>
        <w:t>保护区划分范围见图</w:t>
      </w:r>
      <w:r>
        <w:rPr>
          <w:rFonts w:hint="eastAsia" w:cs="Times New Roman"/>
          <w:color w:val="auto"/>
          <w:sz w:val="24"/>
          <w:szCs w:val="24"/>
          <w:highlight w:val="none"/>
          <w:lang w:val="en-US" w:eastAsia="zh-CN"/>
        </w:rPr>
        <w:t>3-1至图3-7</w:t>
      </w:r>
      <w:r>
        <w:rPr>
          <w:rFonts w:ascii="Times New Roman" w:hAnsi="Times New Roman" w:cs="Times New Roman"/>
          <w:color w:val="auto"/>
          <w:sz w:val="24"/>
          <w:szCs w:val="24"/>
          <w:highlight w:val="none"/>
        </w:rPr>
        <w:t>。</w:t>
      </w:r>
    </w:p>
    <w:p w14:paraId="1A6891C1">
      <w:pPr>
        <w:ind w:firstLine="0" w:firstLineChars="0"/>
        <w:jc w:val="center"/>
        <w:rPr>
          <w:rFonts w:hint="default" w:ascii="Times New Roman" w:hAnsi="Times New Roman" w:eastAsia="黑体" w:cs="Times New Roman"/>
          <w:color w:val="auto"/>
          <w:highlight w:val="none"/>
          <w:lang w:val="en-US" w:eastAsia="zh-CN"/>
        </w:rPr>
      </w:pPr>
      <w:r>
        <w:rPr>
          <w:rFonts w:hint="eastAsia" w:ascii="Times New Roman" w:hAnsi="Times New Roman" w:eastAsia="黑体" w:cs="Times New Roman"/>
          <w:color w:val="auto"/>
          <w:highlight w:val="none"/>
          <w:lang w:eastAsia="zh-CN"/>
        </w:rPr>
        <w:t>表</w:t>
      </w:r>
      <w:r>
        <w:rPr>
          <w:rFonts w:hint="eastAsia" w:ascii="Times New Roman" w:hAnsi="Times New Roman" w:eastAsia="黑体" w:cs="Times New Roman"/>
          <w:color w:val="auto"/>
          <w:highlight w:val="none"/>
          <w:lang w:val="en-US" w:eastAsia="zh-CN"/>
        </w:rPr>
        <w:t>3-2 各水源地水井井间</w:t>
      </w:r>
      <w:r>
        <w:rPr>
          <w:rFonts w:hint="eastAsia" w:ascii="Times New Roman" w:hAnsi="Times New Roman" w:eastAsia="黑体" w:cs="Times New Roman"/>
          <w:color w:val="auto"/>
          <w:highlight w:val="none"/>
          <w:lang w:eastAsia="zh-CN"/>
        </w:rPr>
        <w:t>间距明细</w:t>
      </w:r>
      <w:r>
        <w:rPr>
          <w:rFonts w:hint="eastAsia" w:ascii="Times New Roman" w:hAnsi="Times New Roman" w:eastAsia="黑体" w:cs="Times New Roman"/>
          <w:color w:val="auto"/>
          <w:highlight w:val="none"/>
          <w:lang w:val="en-US" w:eastAsia="zh-CN"/>
        </w:rPr>
        <w:t>表</w:t>
      </w:r>
    </w:p>
    <w:tbl>
      <w:tblPr>
        <w:tblStyle w:val="21"/>
        <w:tblW w:w="4996"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57" w:type="dxa"/>
          <w:bottom w:w="0" w:type="dxa"/>
          <w:right w:w="57" w:type="dxa"/>
        </w:tblCellMar>
      </w:tblPr>
      <w:tblGrid>
        <w:gridCol w:w="1873"/>
        <w:gridCol w:w="1213"/>
        <w:gridCol w:w="3097"/>
        <w:gridCol w:w="2881"/>
      </w:tblGrid>
      <w:tr w14:paraId="5C6D712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57" w:type="dxa"/>
            <w:bottom w:w="0" w:type="dxa"/>
            <w:right w:w="57" w:type="dxa"/>
          </w:tblCellMar>
        </w:tblPrEx>
        <w:trPr>
          <w:trHeight w:val="454" w:hRule="atLeast"/>
          <w:tblHeader/>
          <w:jc w:val="center"/>
        </w:trPr>
        <w:tc>
          <w:tcPr>
            <w:tcW w:w="1033" w:type="pct"/>
            <w:tcBorders>
              <w:tl2br w:val="nil"/>
              <w:tr2bl w:val="nil"/>
            </w:tcBorders>
            <w:noWrap w:val="0"/>
            <w:vAlign w:val="center"/>
          </w:tcPr>
          <w:p w14:paraId="7FE41862">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eastAsia="en-US"/>
              </w:rPr>
            </w:pPr>
            <w:r>
              <w:rPr>
                <w:rFonts w:hint="eastAsia" w:ascii="Times New Roman" w:hAnsi="Times New Roman" w:eastAsia="宋体" w:cs="Times New Roman"/>
                <w:color w:val="auto"/>
                <w:kern w:val="0"/>
                <w:sz w:val="21"/>
                <w:szCs w:val="21"/>
                <w:highlight w:val="none"/>
                <w:lang w:eastAsia="en-US"/>
              </w:rPr>
              <w:t>水源地名称</w:t>
            </w:r>
          </w:p>
        </w:tc>
        <w:tc>
          <w:tcPr>
            <w:tcW w:w="669" w:type="pct"/>
            <w:tcBorders>
              <w:tl2br w:val="nil"/>
              <w:tr2bl w:val="nil"/>
            </w:tcBorders>
            <w:noWrap w:val="0"/>
            <w:vAlign w:val="center"/>
          </w:tcPr>
          <w:p w14:paraId="3D5DE960">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eastAsia="en-US"/>
              </w:rPr>
            </w:pPr>
            <w:r>
              <w:rPr>
                <w:rFonts w:hint="eastAsia" w:ascii="Times New Roman" w:hAnsi="Times New Roman" w:eastAsia="宋体" w:cs="Times New Roman"/>
                <w:color w:val="auto"/>
                <w:kern w:val="0"/>
                <w:sz w:val="21"/>
                <w:szCs w:val="21"/>
                <w:highlight w:val="none"/>
                <w:lang w:eastAsia="en-US"/>
              </w:rPr>
              <w:t>水源井编号</w:t>
            </w:r>
          </w:p>
        </w:tc>
        <w:tc>
          <w:tcPr>
            <w:tcW w:w="1708" w:type="pct"/>
            <w:tcBorders>
              <w:tl2br w:val="nil"/>
              <w:tr2bl w:val="nil"/>
            </w:tcBorders>
            <w:noWrap w:val="0"/>
            <w:vAlign w:val="center"/>
          </w:tcPr>
          <w:p w14:paraId="7C47AD24">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eastAsia="zh-CN"/>
              </w:rPr>
            </w:pPr>
            <w:r>
              <w:rPr>
                <w:rFonts w:hint="eastAsia" w:ascii="Times New Roman" w:hAnsi="Times New Roman" w:eastAsia="宋体" w:cs="Times New Roman"/>
                <w:color w:val="auto"/>
                <w:kern w:val="0"/>
                <w:sz w:val="21"/>
                <w:szCs w:val="21"/>
                <w:highlight w:val="none"/>
                <w:lang w:eastAsia="zh-CN"/>
              </w:rPr>
              <w:t>相邻最近水井</w:t>
            </w:r>
            <w:r>
              <w:rPr>
                <w:rFonts w:hint="eastAsia" w:ascii="Times New Roman" w:hAnsi="Times New Roman" w:eastAsia="宋体" w:cs="Times New Roman"/>
                <w:color w:val="auto"/>
                <w:kern w:val="0"/>
                <w:sz w:val="21"/>
                <w:szCs w:val="21"/>
                <w:highlight w:val="none"/>
                <w:lang w:eastAsia="en-US"/>
              </w:rPr>
              <w:t>编号</w:t>
            </w:r>
          </w:p>
        </w:tc>
        <w:tc>
          <w:tcPr>
            <w:tcW w:w="1589" w:type="pct"/>
            <w:tcBorders>
              <w:tl2br w:val="nil"/>
              <w:tr2bl w:val="nil"/>
            </w:tcBorders>
            <w:noWrap w:val="0"/>
            <w:vAlign w:val="center"/>
          </w:tcPr>
          <w:p w14:paraId="6F2D7B22">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eastAsia="en-US"/>
              </w:rPr>
            </w:pPr>
            <w:r>
              <w:rPr>
                <w:rFonts w:hint="eastAsia" w:ascii="Times New Roman" w:hAnsi="Times New Roman" w:eastAsia="宋体" w:cs="Times New Roman"/>
                <w:color w:val="auto"/>
                <w:kern w:val="0"/>
                <w:sz w:val="21"/>
                <w:szCs w:val="21"/>
                <w:highlight w:val="none"/>
                <w:lang w:eastAsia="zh-CN"/>
              </w:rPr>
              <w:t>最近井间间距（</w:t>
            </w:r>
            <w:r>
              <w:rPr>
                <w:rFonts w:hint="eastAsia" w:ascii="Times New Roman" w:hAnsi="Times New Roman" w:eastAsia="宋体" w:cs="Times New Roman"/>
                <w:color w:val="auto"/>
                <w:kern w:val="0"/>
                <w:sz w:val="21"/>
                <w:szCs w:val="21"/>
                <w:highlight w:val="none"/>
                <w:lang w:val="en-US" w:eastAsia="zh-CN"/>
              </w:rPr>
              <w:t>m</w:t>
            </w:r>
            <w:r>
              <w:rPr>
                <w:rFonts w:hint="eastAsia" w:ascii="Times New Roman" w:hAnsi="Times New Roman" w:eastAsia="宋体" w:cs="Times New Roman"/>
                <w:color w:val="auto"/>
                <w:kern w:val="0"/>
                <w:sz w:val="21"/>
                <w:szCs w:val="21"/>
                <w:highlight w:val="none"/>
                <w:lang w:eastAsia="zh-CN"/>
              </w:rPr>
              <w:t>）</w:t>
            </w:r>
          </w:p>
        </w:tc>
      </w:tr>
      <w:tr w14:paraId="332F60A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57" w:type="dxa"/>
            <w:bottom w:w="0" w:type="dxa"/>
            <w:right w:w="57" w:type="dxa"/>
          </w:tblCellMar>
        </w:tblPrEx>
        <w:trPr>
          <w:trHeight w:val="454" w:hRule="atLeast"/>
          <w:jc w:val="center"/>
        </w:trPr>
        <w:tc>
          <w:tcPr>
            <w:tcW w:w="1033" w:type="pct"/>
            <w:vMerge w:val="restart"/>
            <w:tcBorders>
              <w:tl2br w:val="nil"/>
              <w:tr2bl w:val="nil"/>
            </w:tcBorders>
            <w:noWrap w:val="0"/>
            <w:vAlign w:val="center"/>
          </w:tcPr>
          <w:p w14:paraId="2204E8BF">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rPr>
            </w:pPr>
            <w:r>
              <w:rPr>
                <w:rFonts w:hint="eastAsia" w:ascii="Times New Roman" w:hAnsi="Times New Roman" w:eastAsia="宋体" w:cs="Times New Roman"/>
                <w:color w:val="auto"/>
                <w:kern w:val="0"/>
                <w:sz w:val="21"/>
                <w:szCs w:val="21"/>
                <w:highlight w:val="none"/>
                <w:lang w:val="en-US" w:eastAsia="zh-CN" w:bidi="ar"/>
              </w:rPr>
              <w:t>绥化市庆安县发展乡</w:t>
            </w:r>
            <w:r>
              <w:rPr>
                <w:rFonts w:ascii="Times New Roman" w:hAnsi="Times New Roman" w:eastAsia="宋体" w:cs="Times New Roman"/>
                <w:color w:val="auto"/>
                <w:kern w:val="0"/>
                <w:sz w:val="21"/>
                <w:szCs w:val="21"/>
                <w:highlight w:val="none"/>
                <w:lang w:bidi="ar"/>
              </w:rPr>
              <w:t>饮用水水源地</w:t>
            </w:r>
          </w:p>
        </w:tc>
        <w:tc>
          <w:tcPr>
            <w:tcW w:w="669" w:type="pct"/>
            <w:tcBorders>
              <w:tl2br w:val="nil"/>
              <w:tr2bl w:val="nil"/>
            </w:tcBorders>
            <w:noWrap w:val="0"/>
            <w:vAlign w:val="center"/>
          </w:tcPr>
          <w:p w14:paraId="324F4218">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1#</w:t>
            </w:r>
          </w:p>
        </w:tc>
        <w:tc>
          <w:tcPr>
            <w:tcW w:w="1708" w:type="pct"/>
            <w:tcBorders>
              <w:tl2br w:val="nil"/>
              <w:tr2bl w:val="nil"/>
            </w:tcBorders>
            <w:noWrap w:val="0"/>
            <w:vAlign w:val="center"/>
          </w:tcPr>
          <w:p w14:paraId="67957069">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2#</w:t>
            </w:r>
          </w:p>
        </w:tc>
        <w:tc>
          <w:tcPr>
            <w:tcW w:w="1589" w:type="pct"/>
            <w:tcBorders>
              <w:tl2br w:val="nil"/>
              <w:tr2bl w:val="nil"/>
            </w:tcBorders>
            <w:noWrap w:val="0"/>
            <w:vAlign w:val="center"/>
          </w:tcPr>
          <w:p w14:paraId="6FD24335">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192</w:t>
            </w:r>
          </w:p>
        </w:tc>
      </w:tr>
      <w:tr w14:paraId="179124C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57" w:type="dxa"/>
            <w:bottom w:w="0" w:type="dxa"/>
            <w:right w:w="57" w:type="dxa"/>
          </w:tblCellMar>
        </w:tblPrEx>
        <w:trPr>
          <w:trHeight w:val="454" w:hRule="atLeast"/>
          <w:jc w:val="center"/>
        </w:trPr>
        <w:tc>
          <w:tcPr>
            <w:tcW w:w="1033" w:type="pct"/>
            <w:vMerge w:val="continue"/>
            <w:tcBorders>
              <w:tl2br w:val="nil"/>
              <w:tr2bl w:val="nil"/>
            </w:tcBorders>
            <w:noWrap w:val="0"/>
            <w:vAlign w:val="center"/>
          </w:tcPr>
          <w:p w14:paraId="452A60D5">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p>
        </w:tc>
        <w:tc>
          <w:tcPr>
            <w:tcW w:w="669" w:type="pct"/>
            <w:tcBorders>
              <w:tl2br w:val="nil"/>
              <w:tr2bl w:val="nil"/>
            </w:tcBorders>
            <w:noWrap w:val="0"/>
            <w:vAlign w:val="center"/>
          </w:tcPr>
          <w:p w14:paraId="7D8FB8A0">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2#</w:t>
            </w:r>
          </w:p>
        </w:tc>
        <w:tc>
          <w:tcPr>
            <w:tcW w:w="1708" w:type="pct"/>
            <w:tcBorders>
              <w:tl2br w:val="nil"/>
              <w:tr2bl w:val="nil"/>
            </w:tcBorders>
            <w:noWrap w:val="0"/>
            <w:vAlign w:val="center"/>
          </w:tcPr>
          <w:p w14:paraId="183BBF97">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3#</w:t>
            </w:r>
          </w:p>
        </w:tc>
        <w:tc>
          <w:tcPr>
            <w:tcW w:w="1589" w:type="pct"/>
            <w:tcBorders>
              <w:tl2br w:val="nil"/>
              <w:tr2bl w:val="nil"/>
            </w:tcBorders>
            <w:noWrap w:val="0"/>
            <w:vAlign w:val="center"/>
          </w:tcPr>
          <w:p w14:paraId="38619949">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172</w:t>
            </w:r>
          </w:p>
        </w:tc>
      </w:tr>
      <w:tr w14:paraId="1F52B0E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57" w:type="dxa"/>
            <w:bottom w:w="0" w:type="dxa"/>
            <w:right w:w="57" w:type="dxa"/>
          </w:tblCellMar>
        </w:tblPrEx>
        <w:trPr>
          <w:trHeight w:val="454" w:hRule="atLeast"/>
          <w:jc w:val="center"/>
        </w:trPr>
        <w:tc>
          <w:tcPr>
            <w:tcW w:w="1033" w:type="pct"/>
            <w:vMerge w:val="continue"/>
            <w:tcBorders>
              <w:tl2br w:val="nil"/>
              <w:tr2bl w:val="nil"/>
            </w:tcBorders>
            <w:noWrap w:val="0"/>
            <w:vAlign w:val="center"/>
          </w:tcPr>
          <w:p w14:paraId="62590E8F">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p>
        </w:tc>
        <w:tc>
          <w:tcPr>
            <w:tcW w:w="669" w:type="pct"/>
            <w:tcBorders>
              <w:tl2br w:val="nil"/>
              <w:tr2bl w:val="nil"/>
            </w:tcBorders>
            <w:noWrap w:val="0"/>
            <w:vAlign w:val="center"/>
          </w:tcPr>
          <w:p w14:paraId="5EE6D594">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3#</w:t>
            </w:r>
          </w:p>
        </w:tc>
        <w:tc>
          <w:tcPr>
            <w:tcW w:w="1708" w:type="pct"/>
            <w:tcBorders>
              <w:tl2br w:val="nil"/>
              <w:tr2bl w:val="nil"/>
            </w:tcBorders>
            <w:noWrap w:val="0"/>
            <w:vAlign w:val="center"/>
          </w:tcPr>
          <w:p w14:paraId="33D3B597">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2#</w:t>
            </w:r>
          </w:p>
        </w:tc>
        <w:tc>
          <w:tcPr>
            <w:tcW w:w="1589" w:type="pct"/>
            <w:tcBorders>
              <w:tl2br w:val="nil"/>
              <w:tr2bl w:val="nil"/>
            </w:tcBorders>
            <w:noWrap w:val="0"/>
            <w:vAlign w:val="center"/>
          </w:tcPr>
          <w:p w14:paraId="1B5E53A5">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172</w:t>
            </w:r>
          </w:p>
        </w:tc>
      </w:tr>
      <w:tr w14:paraId="0B60DDB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57" w:type="dxa"/>
            <w:bottom w:w="0" w:type="dxa"/>
            <w:right w:w="57" w:type="dxa"/>
          </w:tblCellMar>
        </w:tblPrEx>
        <w:trPr>
          <w:trHeight w:val="454" w:hRule="atLeast"/>
          <w:jc w:val="center"/>
        </w:trPr>
        <w:tc>
          <w:tcPr>
            <w:tcW w:w="1033" w:type="pct"/>
            <w:vMerge w:val="continue"/>
            <w:tcBorders>
              <w:tl2br w:val="nil"/>
              <w:tr2bl w:val="nil"/>
            </w:tcBorders>
            <w:noWrap w:val="0"/>
            <w:vAlign w:val="center"/>
          </w:tcPr>
          <w:p w14:paraId="6D1EE49B">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p>
        </w:tc>
        <w:tc>
          <w:tcPr>
            <w:tcW w:w="669" w:type="pct"/>
            <w:tcBorders>
              <w:tl2br w:val="nil"/>
              <w:tr2bl w:val="nil"/>
            </w:tcBorders>
            <w:noWrap w:val="0"/>
            <w:vAlign w:val="center"/>
          </w:tcPr>
          <w:p w14:paraId="4ADF1E9F">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4#</w:t>
            </w:r>
          </w:p>
        </w:tc>
        <w:tc>
          <w:tcPr>
            <w:tcW w:w="1708" w:type="pct"/>
            <w:tcBorders>
              <w:tl2br w:val="nil"/>
              <w:tr2bl w:val="nil"/>
            </w:tcBorders>
            <w:noWrap w:val="0"/>
            <w:vAlign w:val="center"/>
          </w:tcPr>
          <w:p w14:paraId="7990D27B">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5#</w:t>
            </w:r>
          </w:p>
        </w:tc>
        <w:tc>
          <w:tcPr>
            <w:tcW w:w="1589" w:type="pct"/>
            <w:tcBorders>
              <w:tl2br w:val="nil"/>
              <w:tr2bl w:val="nil"/>
            </w:tcBorders>
            <w:noWrap w:val="0"/>
            <w:vAlign w:val="center"/>
          </w:tcPr>
          <w:p w14:paraId="3703355F">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78</w:t>
            </w:r>
          </w:p>
        </w:tc>
      </w:tr>
      <w:tr w14:paraId="0FB4A64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57" w:type="dxa"/>
            <w:bottom w:w="0" w:type="dxa"/>
            <w:right w:w="57" w:type="dxa"/>
          </w:tblCellMar>
        </w:tblPrEx>
        <w:trPr>
          <w:trHeight w:val="454" w:hRule="atLeast"/>
          <w:jc w:val="center"/>
        </w:trPr>
        <w:tc>
          <w:tcPr>
            <w:tcW w:w="1033" w:type="pct"/>
            <w:vMerge w:val="continue"/>
            <w:tcBorders>
              <w:tl2br w:val="nil"/>
              <w:tr2bl w:val="nil"/>
            </w:tcBorders>
            <w:noWrap w:val="0"/>
            <w:vAlign w:val="center"/>
          </w:tcPr>
          <w:p w14:paraId="7034FDAF">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p>
        </w:tc>
        <w:tc>
          <w:tcPr>
            <w:tcW w:w="669" w:type="pct"/>
            <w:tcBorders>
              <w:tl2br w:val="nil"/>
              <w:tr2bl w:val="nil"/>
            </w:tcBorders>
            <w:noWrap w:val="0"/>
            <w:vAlign w:val="center"/>
          </w:tcPr>
          <w:p w14:paraId="4C90FE02">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5#</w:t>
            </w:r>
          </w:p>
        </w:tc>
        <w:tc>
          <w:tcPr>
            <w:tcW w:w="1708" w:type="pct"/>
            <w:tcBorders>
              <w:tl2br w:val="nil"/>
              <w:tr2bl w:val="nil"/>
            </w:tcBorders>
            <w:noWrap w:val="0"/>
            <w:vAlign w:val="center"/>
          </w:tcPr>
          <w:p w14:paraId="0484F7D0">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4#</w:t>
            </w:r>
          </w:p>
        </w:tc>
        <w:tc>
          <w:tcPr>
            <w:tcW w:w="1589" w:type="pct"/>
            <w:tcBorders>
              <w:tl2br w:val="nil"/>
              <w:tr2bl w:val="nil"/>
            </w:tcBorders>
            <w:noWrap w:val="0"/>
            <w:vAlign w:val="center"/>
          </w:tcPr>
          <w:p w14:paraId="00456757">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78</w:t>
            </w:r>
          </w:p>
        </w:tc>
      </w:tr>
      <w:tr w14:paraId="7A12580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57" w:type="dxa"/>
            <w:bottom w:w="0" w:type="dxa"/>
            <w:right w:w="57" w:type="dxa"/>
          </w:tblCellMar>
        </w:tblPrEx>
        <w:trPr>
          <w:trHeight w:val="454" w:hRule="atLeast"/>
          <w:jc w:val="center"/>
        </w:trPr>
        <w:tc>
          <w:tcPr>
            <w:tcW w:w="1033" w:type="pct"/>
            <w:vMerge w:val="continue"/>
            <w:tcBorders>
              <w:tl2br w:val="nil"/>
              <w:tr2bl w:val="nil"/>
            </w:tcBorders>
            <w:noWrap w:val="0"/>
            <w:vAlign w:val="center"/>
          </w:tcPr>
          <w:p w14:paraId="3EC79F41">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p>
        </w:tc>
        <w:tc>
          <w:tcPr>
            <w:tcW w:w="669" w:type="pct"/>
            <w:tcBorders>
              <w:tl2br w:val="nil"/>
              <w:tr2bl w:val="nil"/>
            </w:tcBorders>
            <w:noWrap w:val="0"/>
            <w:vAlign w:val="center"/>
          </w:tcPr>
          <w:p w14:paraId="2FE0F18A">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6#</w:t>
            </w:r>
          </w:p>
        </w:tc>
        <w:tc>
          <w:tcPr>
            <w:tcW w:w="1708" w:type="pct"/>
            <w:tcBorders>
              <w:tl2br w:val="nil"/>
              <w:tr2bl w:val="nil"/>
            </w:tcBorders>
            <w:noWrap w:val="0"/>
            <w:vAlign w:val="center"/>
          </w:tcPr>
          <w:p w14:paraId="104273C4">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5#</w:t>
            </w:r>
          </w:p>
        </w:tc>
        <w:tc>
          <w:tcPr>
            <w:tcW w:w="1589" w:type="pct"/>
            <w:tcBorders>
              <w:tl2br w:val="nil"/>
              <w:tr2bl w:val="nil"/>
            </w:tcBorders>
            <w:noWrap w:val="0"/>
            <w:vAlign w:val="center"/>
          </w:tcPr>
          <w:p w14:paraId="72E124C0">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250</w:t>
            </w:r>
          </w:p>
        </w:tc>
      </w:tr>
      <w:tr w14:paraId="591E74B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57" w:type="dxa"/>
            <w:bottom w:w="0" w:type="dxa"/>
            <w:right w:w="57" w:type="dxa"/>
          </w:tblCellMar>
        </w:tblPrEx>
        <w:trPr>
          <w:trHeight w:val="454" w:hRule="atLeast"/>
          <w:jc w:val="center"/>
        </w:trPr>
        <w:tc>
          <w:tcPr>
            <w:tcW w:w="1033" w:type="pct"/>
            <w:vMerge w:val="continue"/>
            <w:tcBorders>
              <w:tl2br w:val="nil"/>
              <w:tr2bl w:val="nil"/>
            </w:tcBorders>
            <w:noWrap w:val="0"/>
            <w:vAlign w:val="center"/>
          </w:tcPr>
          <w:p w14:paraId="634007E5">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p>
        </w:tc>
        <w:tc>
          <w:tcPr>
            <w:tcW w:w="669" w:type="pct"/>
            <w:tcBorders>
              <w:tl2br w:val="nil"/>
              <w:tr2bl w:val="nil"/>
            </w:tcBorders>
            <w:noWrap w:val="0"/>
            <w:vAlign w:val="center"/>
          </w:tcPr>
          <w:p w14:paraId="0989CCCF">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7#</w:t>
            </w:r>
          </w:p>
        </w:tc>
        <w:tc>
          <w:tcPr>
            <w:tcW w:w="1708" w:type="pct"/>
            <w:tcBorders>
              <w:tl2br w:val="nil"/>
              <w:tr2bl w:val="nil"/>
            </w:tcBorders>
            <w:noWrap w:val="0"/>
            <w:vAlign w:val="center"/>
          </w:tcPr>
          <w:p w14:paraId="20575184">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8#</w:t>
            </w:r>
          </w:p>
        </w:tc>
        <w:tc>
          <w:tcPr>
            <w:tcW w:w="1589" w:type="pct"/>
            <w:tcBorders>
              <w:tl2br w:val="nil"/>
              <w:tr2bl w:val="nil"/>
            </w:tcBorders>
            <w:noWrap w:val="0"/>
            <w:vAlign w:val="center"/>
          </w:tcPr>
          <w:p w14:paraId="03A7A7C6">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166</w:t>
            </w:r>
          </w:p>
        </w:tc>
      </w:tr>
      <w:tr w14:paraId="5AE51E3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57" w:type="dxa"/>
            <w:bottom w:w="0" w:type="dxa"/>
            <w:right w:w="57" w:type="dxa"/>
          </w:tblCellMar>
        </w:tblPrEx>
        <w:trPr>
          <w:trHeight w:val="454" w:hRule="atLeast"/>
          <w:jc w:val="center"/>
        </w:trPr>
        <w:tc>
          <w:tcPr>
            <w:tcW w:w="1033" w:type="pct"/>
            <w:vMerge w:val="continue"/>
            <w:tcBorders>
              <w:tl2br w:val="nil"/>
              <w:tr2bl w:val="nil"/>
            </w:tcBorders>
            <w:noWrap w:val="0"/>
            <w:vAlign w:val="center"/>
          </w:tcPr>
          <w:p w14:paraId="4A1E54C5">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p>
        </w:tc>
        <w:tc>
          <w:tcPr>
            <w:tcW w:w="669" w:type="pct"/>
            <w:tcBorders>
              <w:tl2br w:val="nil"/>
              <w:tr2bl w:val="nil"/>
            </w:tcBorders>
            <w:noWrap w:val="0"/>
            <w:vAlign w:val="center"/>
          </w:tcPr>
          <w:p w14:paraId="4C5ACD47">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8#</w:t>
            </w:r>
          </w:p>
        </w:tc>
        <w:tc>
          <w:tcPr>
            <w:tcW w:w="1708" w:type="pct"/>
            <w:tcBorders>
              <w:tl2br w:val="nil"/>
              <w:tr2bl w:val="nil"/>
            </w:tcBorders>
            <w:noWrap w:val="0"/>
            <w:vAlign w:val="center"/>
          </w:tcPr>
          <w:p w14:paraId="3E358B35">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7#</w:t>
            </w:r>
          </w:p>
        </w:tc>
        <w:tc>
          <w:tcPr>
            <w:tcW w:w="1589" w:type="pct"/>
            <w:tcBorders>
              <w:tl2br w:val="nil"/>
              <w:tr2bl w:val="nil"/>
            </w:tcBorders>
            <w:noWrap w:val="0"/>
            <w:vAlign w:val="center"/>
          </w:tcPr>
          <w:p w14:paraId="6CFDA481">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166</w:t>
            </w:r>
          </w:p>
        </w:tc>
      </w:tr>
      <w:tr w14:paraId="2E99FEF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57" w:type="dxa"/>
            <w:bottom w:w="0" w:type="dxa"/>
            <w:right w:w="57" w:type="dxa"/>
          </w:tblCellMar>
        </w:tblPrEx>
        <w:trPr>
          <w:trHeight w:val="454" w:hRule="atLeast"/>
          <w:jc w:val="center"/>
        </w:trPr>
        <w:tc>
          <w:tcPr>
            <w:tcW w:w="1033" w:type="pct"/>
            <w:vMerge w:val="restart"/>
            <w:tcBorders>
              <w:tl2br w:val="nil"/>
              <w:tr2bl w:val="nil"/>
            </w:tcBorders>
            <w:noWrap w:val="0"/>
            <w:vAlign w:val="center"/>
          </w:tcPr>
          <w:p w14:paraId="6C3E2835">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rPr>
            </w:pPr>
            <w:r>
              <w:rPr>
                <w:rFonts w:hint="eastAsia" w:ascii="Times New Roman" w:hAnsi="Times New Roman" w:eastAsia="宋体" w:cs="Times New Roman"/>
                <w:color w:val="auto"/>
                <w:kern w:val="0"/>
                <w:sz w:val="21"/>
                <w:szCs w:val="21"/>
                <w:highlight w:val="none"/>
                <w:lang w:val="en-US" w:eastAsia="zh-CN" w:bidi="ar"/>
              </w:rPr>
              <w:t>绥化市庆安县建民乡</w:t>
            </w:r>
            <w:r>
              <w:rPr>
                <w:rFonts w:ascii="Times New Roman" w:hAnsi="Times New Roman" w:eastAsia="宋体" w:cs="Times New Roman"/>
                <w:color w:val="auto"/>
                <w:kern w:val="0"/>
                <w:sz w:val="21"/>
                <w:szCs w:val="21"/>
                <w:highlight w:val="none"/>
                <w:lang w:bidi="ar"/>
              </w:rPr>
              <w:t>饮用水水源地</w:t>
            </w:r>
          </w:p>
        </w:tc>
        <w:tc>
          <w:tcPr>
            <w:tcW w:w="669" w:type="pct"/>
            <w:tcBorders>
              <w:tl2br w:val="nil"/>
              <w:tr2bl w:val="nil"/>
            </w:tcBorders>
            <w:noWrap w:val="0"/>
            <w:vAlign w:val="center"/>
          </w:tcPr>
          <w:p w14:paraId="3C4807D3">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cs="Times New Roman"/>
                <w:color w:val="auto"/>
                <w:kern w:val="0"/>
                <w:sz w:val="21"/>
                <w:szCs w:val="21"/>
                <w:highlight w:val="none"/>
                <w:lang w:val="en-US" w:eastAsia="zh-CN"/>
              </w:rPr>
              <w:t>1#</w:t>
            </w:r>
          </w:p>
        </w:tc>
        <w:tc>
          <w:tcPr>
            <w:tcW w:w="1708" w:type="pct"/>
            <w:tcBorders>
              <w:tl2br w:val="nil"/>
              <w:tr2bl w:val="nil"/>
            </w:tcBorders>
            <w:noWrap w:val="0"/>
            <w:vAlign w:val="center"/>
          </w:tcPr>
          <w:p w14:paraId="0AB3713B">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2#</w:t>
            </w:r>
          </w:p>
        </w:tc>
        <w:tc>
          <w:tcPr>
            <w:tcW w:w="1589" w:type="pct"/>
            <w:tcBorders>
              <w:tl2br w:val="nil"/>
              <w:tr2bl w:val="nil"/>
            </w:tcBorders>
            <w:noWrap w:val="0"/>
            <w:vAlign w:val="center"/>
          </w:tcPr>
          <w:p w14:paraId="59DB7040">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536</w:t>
            </w:r>
          </w:p>
        </w:tc>
      </w:tr>
      <w:tr w14:paraId="2F40A63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57" w:type="dxa"/>
            <w:bottom w:w="0" w:type="dxa"/>
            <w:right w:w="57" w:type="dxa"/>
          </w:tblCellMar>
        </w:tblPrEx>
        <w:trPr>
          <w:trHeight w:val="454" w:hRule="atLeast"/>
          <w:jc w:val="center"/>
        </w:trPr>
        <w:tc>
          <w:tcPr>
            <w:tcW w:w="1033" w:type="pct"/>
            <w:vMerge w:val="continue"/>
            <w:tcBorders>
              <w:tl2br w:val="nil"/>
              <w:tr2bl w:val="nil"/>
            </w:tcBorders>
            <w:noWrap w:val="0"/>
            <w:vAlign w:val="center"/>
          </w:tcPr>
          <w:p w14:paraId="09945A47">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p>
        </w:tc>
        <w:tc>
          <w:tcPr>
            <w:tcW w:w="669" w:type="pct"/>
            <w:tcBorders>
              <w:tl2br w:val="nil"/>
              <w:tr2bl w:val="nil"/>
            </w:tcBorders>
            <w:noWrap w:val="0"/>
            <w:vAlign w:val="center"/>
          </w:tcPr>
          <w:p w14:paraId="60725325">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cs="Times New Roman"/>
                <w:color w:val="auto"/>
                <w:kern w:val="0"/>
                <w:sz w:val="21"/>
                <w:szCs w:val="21"/>
                <w:highlight w:val="none"/>
                <w:lang w:val="en-US" w:eastAsia="zh-CN"/>
              </w:rPr>
              <w:t>2#</w:t>
            </w:r>
          </w:p>
        </w:tc>
        <w:tc>
          <w:tcPr>
            <w:tcW w:w="1708" w:type="pct"/>
            <w:tcBorders>
              <w:tl2br w:val="nil"/>
              <w:tr2bl w:val="nil"/>
            </w:tcBorders>
            <w:noWrap w:val="0"/>
            <w:vAlign w:val="center"/>
          </w:tcPr>
          <w:p w14:paraId="557321E3">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1#</w:t>
            </w:r>
          </w:p>
        </w:tc>
        <w:tc>
          <w:tcPr>
            <w:tcW w:w="1589" w:type="pct"/>
            <w:tcBorders>
              <w:tl2br w:val="nil"/>
              <w:tr2bl w:val="nil"/>
            </w:tcBorders>
            <w:noWrap w:val="0"/>
            <w:vAlign w:val="center"/>
          </w:tcPr>
          <w:p w14:paraId="41A1BBA5">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536</w:t>
            </w:r>
          </w:p>
        </w:tc>
      </w:tr>
      <w:tr w14:paraId="6CDC982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57" w:type="dxa"/>
            <w:bottom w:w="0" w:type="dxa"/>
            <w:right w:w="57" w:type="dxa"/>
          </w:tblCellMar>
        </w:tblPrEx>
        <w:trPr>
          <w:trHeight w:val="454" w:hRule="atLeast"/>
          <w:jc w:val="center"/>
        </w:trPr>
        <w:tc>
          <w:tcPr>
            <w:tcW w:w="1033" w:type="pct"/>
            <w:vMerge w:val="continue"/>
            <w:tcBorders>
              <w:tl2br w:val="nil"/>
              <w:tr2bl w:val="nil"/>
            </w:tcBorders>
            <w:noWrap w:val="0"/>
            <w:vAlign w:val="center"/>
          </w:tcPr>
          <w:p w14:paraId="2BBEC319">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p>
        </w:tc>
        <w:tc>
          <w:tcPr>
            <w:tcW w:w="669" w:type="pct"/>
            <w:tcBorders>
              <w:tl2br w:val="nil"/>
              <w:tr2bl w:val="nil"/>
            </w:tcBorders>
            <w:noWrap w:val="0"/>
            <w:vAlign w:val="center"/>
          </w:tcPr>
          <w:p w14:paraId="7264D16E">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cs="Times New Roman"/>
                <w:color w:val="auto"/>
                <w:kern w:val="0"/>
                <w:sz w:val="21"/>
                <w:szCs w:val="21"/>
                <w:highlight w:val="none"/>
                <w:lang w:val="en-US" w:eastAsia="zh-CN"/>
              </w:rPr>
              <w:t>3#</w:t>
            </w:r>
          </w:p>
        </w:tc>
        <w:tc>
          <w:tcPr>
            <w:tcW w:w="1708" w:type="pct"/>
            <w:tcBorders>
              <w:tl2br w:val="nil"/>
              <w:tr2bl w:val="nil"/>
            </w:tcBorders>
            <w:noWrap w:val="0"/>
            <w:vAlign w:val="center"/>
          </w:tcPr>
          <w:p w14:paraId="2AF7A22E">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2#</w:t>
            </w:r>
          </w:p>
        </w:tc>
        <w:tc>
          <w:tcPr>
            <w:tcW w:w="1589" w:type="pct"/>
            <w:tcBorders>
              <w:tl2br w:val="nil"/>
              <w:tr2bl w:val="nil"/>
            </w:tcBorders>
            <w:noWrap w:val="0"/>
            <w:vAlign w:val="center"/>
          </w:tcPr>
          <w:p w14:paraId="6EF965BF">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720</w:t>
            </w:r>
          </w:p>
        </w:tc>
      </w:tr>
      <w:tr w14:paraId="5AF86F7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57" w:type="dxa"/>
            <w:bottom w:w="0" w:type="dxa"/>
            <w:right w:w="57" w:type="dxa"/>
          </w:tblCellMar>
        </w:tblPrEx>
        <w:trPr>
          <w:trHeight w:val="454" w:hRule="atLeast"/>
          <w:jc w:val="center"/>
        </w:trPr>
        <w:tc>
          <w:tcPr>
            <w:tcW w:w="1033" w:type="pct"/>
            <w:vMerge w:val="restart"/>
            <w:tcBorders>
              <w:tl2br w:val="nil"/>
              <w:tr2bl w:val="nil"/>
            </w:tcBorders>
            <w:noWrap w:val="0"/>
            <w:vAlign w:val="center"/>
          </w:tcPr>
          <w:p w14:paraId="4418D5CE">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rPr>
            </w:pPr>
            <w:r>
              <w:rPr>
                <w:rFonts w:hint="eastAsia" w:ascii="Times New Roman" w:hAnsi="Times New Roman" w:eastAsia="宋体" w:cs="Times New Roman"/>
                <w:color w:val="auto"/>
                <w:kern w:val="0"/>
                <w:sz w:val="21"/>
                <w:szCs w:val="21"/>
                <w:highlight w:val="none"/>
                <w:lang w:val="en-US" w:eastAsia="zh-CN" w:bidi="ar"/>
              </w:rPr>
              <w:t>绥化市庆安县同乐镇</w:t>
            </w:r>
            <w:r>
              <w:rPr>
                <w:rFonts w:ascii="Times New Roman" w:hAnsi="Times New Roman" w:eastAsia="宋体" w:cs="Times New Roman"/>
                <w:color w:val="auto"/>
                <w:kern w:val="0"/>
                <w:sz w:val="21"/>
                <w:szCs w:val="21"/>
                <w:highlight w:val="none"/>
                <w:lang w:bidi="ar"/>
              </w:rPr>
              <w:t>饮用水水源地</w:t>
            </w:r>
          </w:p>
        </w:tc>
        <w:tc>
          <w:tcPr>
            <w:tcW w:w="669" w:type="pct"/>
            <w:tcBorders>
              <w:tl2br w:val="nil"/>
              <w:tr2bl w:val="nil"/>
            </w:tcBorders>
            <w:noWrap w:val="0"/>
            <w:vAlign w:val="center"/>
          </w:tcPr>
          <w:p w14:paraId="79A2E696">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cs="Times New Roman"/>
                <w:color w:val="auto"/>
                <w:kern w:val="0"/>
                <w:sz w:val="21"/>
                <w:szCs w:val="21"/>
                <w:highlight w:val="none"/>
                <w:lang w:val="en-US" w:eastAsia="zh-CN"/>
              </w:rPr>
              <w:t>1#</w:t>
            </w:r>
          </w:p>
        </w:tc>
        <w:tc>
          <w:tcPr>
            <w:tcW w:w="1708" w:type="pct"/>
            <w:tcBorders>
              <w:tl2br w:val="nil"/>
              <w:tr2bl w:val="nil"/>
            </w:tcBorders>
            <w:noWrap w:val="0"/>
            <w:vAlign w:val="center"/>
          </w:tcPr>
          <w:p w14:paraId="3FA57712">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2#</w:t>
            </w:r>
          </w:p>
        </w:tc>
        <w:tc>
          <w:tcPr>
            <w:tcW w:w="1589" w:type="pct"/>
            <w:tcBorders>
              <w:tl2br w:val="nil"/>
              <w:tr2bl w:val="nil"/>
            </w:tcBorders>
            <w:noWrap w:val="0"/>
            <w:vAlign w:val="center"/>
          </w:tcPr>
          <w:p w14:paraId="20EDE93C">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77</w:t>
            </w:r>
          </w:p>
        </w:tc>
      </w:tr>
      <w:tr w14:paraId="676B15B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57" w:type="dxa"/>
            <w:bottom w:w="0" w:type="dxa"/>
            <w:right w:w="57" w:type="dxa"/>
          </w:tblCellMar>
        </w:tblPrEx>
        <w:trPr>
          <w:trHeight w:val="431" w:hRule="atLeast"/>
          <w:jc w:val="center"/>
        </w:trPr>
        <w:tc>
          <w:tcPr>
            <w:tcW w:w="1033" w:type="pct"/>
            <w:vMerge w:val="continue"/>
            <w:tcBorders>
              <w:tl2br w:val="nil"/>
              <w:tr2bl w:val="nil"/>
            </w:tcBorders>
            <w:noWrap w:val="0"/>
            <w:vAlign w:val="center"/>
          </w:tcPr>
          <w:p w14:paraId="42FDE0B1">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rPr>
            </w:pPr>
          </w:p>
        </w:tc>
        <w:tc>
          <w:tcPr>
            <w:tcW w:w="669" w:type="pct"/>
            <w:tcBorders>
              <w:tl2br w:val="nil"/>
              <w:tr2bl w:val="nil"/>
            </w:tcBorders>
            <w:noWrap w:val="0"/>
            <w:vAlign w:val="center"/>
          </w:tcPr>
          <w:p w14:paraId="34D994EA">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cs="Times New Roman"/>
                <w:color w:val="auto"/>
                <w:kern w:val="0"/>
                <w:sz w:val="21"/>
                <w:szCs w:val="21"/>
                <w:highlight w:val="none"/>
                <w:lang w:val="en-US" w:eastAsia="zh-CN"/>
              </w:rPr>
              <w:t>2#</w:t>
            </w:r>
          </w:p>
        </w:tc>
        <w:tc>
          <w:tcPr>
            <w:tcW w:w="1708" w:type="pct"/>
            <w:tcBorders>
              <w:tl2br w:val="nil"/>
              <w:tr2bl w:val="nil"/>
            </w:tcBorders>
            <w:noWrap w:val="0"/>
            <w:vAlign w:val="center"/>
          </w:tcPr>
          <w:p w14:paraId="09F03259">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1#</w:t>
            </w:r>
          </w:p>
        </w:tc>
        <w:tc>
          <w:tcPr>
            <w:tcW w:w="1589" w:type="pct"/>
            <w:tcBorders>
              <w:tl2br w:val="nil"/>
              <w:tr2bl w:val="nil"/>
            </w:tcBorders>
            <w:noWrap w:val="0"/>
            <w:vAlign w:val="center"/>
          </w:tcPr>
          <w:p w14:paraId="35D21026">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77</w:t>
            </w:r>
          </w:p>
        </w:tc>
      </w:tr>
      <w:tr w14:paraId="44714FA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57" w:type="dxa"/>
            <w:bottom w:w="0" w:type="dxa"/>
            <w:right w:w="57" w:type="dxa"/>
          </w:tblCellMar>
        </w:tblPrEx>
        <w:trPr>
          <w:trHeight w:val="454" w:hRule="atLeast"/>
          <w:jc w:val="center"/>
        </w:trPr>
        <w:tc>
          <w:tcPr>
            <w:tcW w:w="1033" w:type="pct"/>
            <w:vMerge w:val="continue"/>
            <w:tcBorders>
              <w:tl2br w:val="nil"/>
              <w:tr2bl w:val="nil"/>
            </w:tcBorders>
            <w:noWrap w:val="0"/>
            <w:vAlign w:val="center"/>
          </w:tcPr>
          <w:p w14:paraId="36BBDCFC">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rPr>
            </w:pPr>
          </w:p>
        </w:tc>
        <w:tc>
          <w:tcPr>
            <w:tcW w:w="669" w:type="pct"/>
            <w:tcBorders>
              <w:tl2br w:val="nil"/>
              <w:tr2bl w:val="nil"/>
            </w:tcBorders>
            <w:noWrap w:val="0"/>
            <w:vAlign w:val="center"/>
          </w:tcPr>
          <w:p w14:paraId="65829954">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cs="Times New Roman"/>
                <w:color w:val="auto"/>
                <w:kern w:val="0"/>
                <w:sz w:val="21"/>
                <w:szCs w:val="21"/>
                <w:highlight w:val="none"/>
                <w:lang w:val="en-US" w:eastAsia="zh-CN"/>
              </w:rPr>
              <w:t>3#</w:t>
            </w:r>
          </w:p>
        </w:tc>
        <w:tc>
          <w:tcPr>
            <w:tcW w:w="1708" w:type="pct"/>
            <w:tcBorders>
              <w:tl2br w:val="nil"/>
              <w:tr2bl w:val="nil"/>
            </w:tcBorders>
            <w:noWrap w:val="0"/>
            <w:vAlign w:val="center"/>
          </w:tcPr>
          <w:p w14:paraId="77C38018">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2#</w:t>
            </w:r>
          </w:p>
        </w:tc>
        <w:tc>
          <w:tcPr>
            <w:tcW w:w="1589" w:type="pct"/>
            <w:tcBorders>
              <w:tl2br w:val="nil"/>
              <w:tr2bl w:val="nil"/>
            </w:tcBorders>
            <w:noWrap w:val="0"/>
            <w:vAlign w:val="center"/>
          </w:tcPr>
          <w:p w14:paraId="47D7CD2E">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327</w:t>
            </w:r>
          </w:p>
        </w:tc>
      </w:tr>
      <w:tr w14:paraId="581FE6D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57" w:type="dxa"/>
            <w:bottom w:w="0" w:type="dxa"/>
            <w:right w:w="57" w:type="dxa"/>
          </w:tblCellMar>
        </w:tblPrEx>
        <w:trPr>
          <w:trHeight w:val="454" w:hRule="atLeast"/>
          <w:jc w:val="center"/>
        </w:trPr>
        <w:tc>
          <w:tcPr>
            <w:tcW w:w="1033" w:type="pct"/>
            <w:vMerge w:val="restart"/>
            <w:tcBorders>
              <w:tl2br w:val="nil"/>
              <w:tr2bl w:val="nil"/>
            </w:tcBorders>
            <w:noWrap w:val="0"/>
            <w:vAlign w:val="center"/>
          </w:tcPr>
          <w:p w14:paraId="13B88BF5">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rPr>
            </w:pPr>
            <w:r>
              <w:rPr>
                <w:rFonts w:hint="eastAsia" w:ascii="Times New Roman" w:hAnsi="Times New Roman" w:eastAsia="宋体" w:cs="Times New Roman"/>
                <w:color w:val="auto"/>
                <w:kern w:val="0"/>
                <w:sz w:val="21"/>
                <w:szCs w:val="21"/>
                <w:highlight w:val="none"/>
                <w:lang w:val="en-US" w:eastAsia="zh-CN" w:bidi="ar"/>
              </w:rPr>
              <w:t>绥化市庆安县柳河镇饮用水水源地</w:t>
            </w:r>
          </w:p>
        </w:tc>
        <w:tc>
          <w:tcPr>
            <w:tcW w:w="669" w:type="pct"/>
            <w:tcBorders>
              <w:tl2br w:val="nil"/>
              <w:tr2bl w:val="nil"/>
            </w:tcBorders>
            <w:noWrap w:val="0"/>
            <w:vAlign w:val="center"/>
          </w:tcPr>
          <w:p w14:paraId="4827BEB9">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cs="Times New Roman"/>
                <w:color w:val="auto"/>
                <w:kern w:val="0"/>
                <w:sz w:val="21"/>
                <w:szCs w:val="21"/>
                <w:highlight w:val="none"/>
                <w:lang w:val="en-US" w:eastAsia="zh-CN"/>
              </w:rPr>
              <w:t>1#</w:t>
            </w:r>
          </w:p>
        </w:tc>
        <w:tc>
          <w:tcPr>
            <w:tcW w:w="1708" w:type="pct"/>
            <w:tcBorders>
              <w:tl2br w:val="nil"/>
              <w:tr2bl w:val="nil"/>
            </w:tcBorders>
            <w:noWrap w:val="0"/>
            <w:vAlign w:val="center"/>
          </w:tcPr>
          <w:p w14:paraId="257E71A5">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2#</w:t>
            </w:r>
          </w:p>
        </w:tc>
        <w:tc>
          <w:tcPr>
            <w:tcW w:w="1589" w:type="pct"/>
            <w:tcBorders>
              <w:tl2br w:val="nil"/>
              <w:tr2bl w:val="nil"/>
            </w:tcBorders>
            <w:noWrap w:val="0"/>
            <w:vAlign w:val="center"/>
          </w:tcPr>
          <w:p w14:paraId="4334D860">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212</w:t>
            </w:r>
          </w:p>
        </w:tc>
      </w:tr>
      <w:tr w14:paraId="3B2AE7D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57" w:type="dxa"/>
            <w:bottom w:w="0" w:type="dxa"/>
            <w:right w:w="57" w:type="dxa"/>
          </w:tblCellMar>
        </w:tblPrEx>
        <w:trPr>
          <w:trHeight w:val="454" w:hRule="atLeast"/>
          <w:jc w:val="center"/>
        </w:trPr>
        <w:tc>
          <w:tcPr>
            <w:tcW w:w="1033" w:type="pct"/>
            <w:vMerge w:val="continue"/>
            <w:tcBorders>
              <w:tl2br w:val="nil"/>
              <w:tr2bl w:val="nil"/>
            </w:tcBorders>
            <w:noWrap w:val="0"/>
            <w:vAlign w:val="center"/>
          </w:tcPr>
          <w:p w14:paraId="71D7F65E">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p>
        </w:tc>
        <w:tc>
          <w:tcPr>
            <w:tcW w:w="669" w:type="pct"/>
            <w:tcBorders>
              <w:tl2br w:val="nil"/>
              <w:tr2bl w:val="nil"/>
            </w:tcBorders>
            <w:noWrap w:val="0"/>
            <w:vAlign w:val="center"/>
          </w:tcPr>
          <w:p w14:paraId="0EFF5581">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cs="Times New Roman"/>
                <w:color w:val="auto"/>
                <w:kern w:val="0"/>
                <w:sz w:val="21"/>
                <w:szCs w:val="21"/>
                <w:highlight w:val="none"/>
                <w:lang w:val="en-US" w:eastAsia="zh-CN"/>
              </w:rPr>
              <w:t>2#</w:t>
            </w:r>
          </w:p>
        </w:tc>
        <w:tc>
          <w:tcPr>
            <w:tcW w:w="1708" w:type="pct"/>
            <w:tcBorders>
              <w:tl2br w:val="nil"/>
              <w:tr2bl w:val="nil"/>
            </w:tcBorders>
            <w:noWrap w:val="0"/>
            <w:vAlign w:val="center"/>
          </w:tcPr>
          <w:p w14:paraId="32890315">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1#</w:t>
            </w:r>
          </w:p>
        </w:tc>
        <w:tc>
          <w:tcPr>
            <w:tcW w:w="1589" w:type="pct"/>
            <w:tcBorders>
              <w:tl2br w:val="nil"/>
              <w:tr2bl w:val="nil"/>
            </w:tcBorders>
            <w:noWrap w:val="0"/>
            <w:vAlign w:val="center"/>
          </w:tcPr>
          <w:p w14:paraId="0F79DF0B">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212</w:t>
            </w:r>
          </w:p>
        </w:tc>
      </w:tr>
      <w:tr w14:paraId="101CBE3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57" w:type="dxa"/>
            <w:bottom w:w="0" w:type="dxa"/>
            <w:right w:w="57" w:type="dxa"/>
          </w:tblCellMar>
        </w:tblPrEx>
        <w:trPr>
          <w:trHeight w:val="454" w:hRule="atLeast"/>
          <w:jc w:val="center"/>
        </w:trPr>
        <w:tc>
          <w:tcPr>
            <w:tcW w:w="1033" w:type="pct"/>
            <w:vMerge w:val="continue"/>
            <w:tcBorders>
              <w:tl2br w:val="nil"/>
              <w:tr2bl w:val="nil"/>
            </w:tcBorders>
            <w:noWrap w:val="0"/>
            <w:vAlign w:val="center"/>
          </w:tcPr>
          <w:p w14:paraId="3798C318">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p>
        </w:tc>
        <w:tc>
          <w:tcPr>
            <w:tcW w:w="669" w:type="pct"/>
            <w:tcBorders>
              <w:tl2br w:val="nil"/>
              <w:tr2bl w:val="nil"/>
            </w:tcBorders>
            <w:noWrap w:val="0"/>
            <w:vAlign w:val="center"/>
          </w:tcPr>
          <w:p w14:paraId="12E3D259">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cs="Times New Roman"/>
                <w:color w:val="auto"/>
                <w:kern w:val="0"/>
                <w:sz w:val="21"/>
                <w:szCs w:val="21"/>
                <w:highlight w:val="none"/>
                <w:lang w:val="en-US" w:eastAsia="zh-CN"/>
              </w:rPr>
              <w:t>3#</w:t>
            </w:r>
          </w:p>
        </w:tc>
        <w:tc>
          <w:tcPr>
            <w:tcW w:w="1708" w:type="pct"/>
            <w:tcBorders>
              <w:tl2br w:val="nil"/>
              <w:tr2bl w:val="nil"/>
            </w:tcBorders>
            <w:noWrap w:val="0"/>
            <w:vAlign w:val="center"/>
          </w:tcPr>
          <w:p w14:paraId="5E1CB286">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4#</w:t>
            </w:r>
          </w:p>
        </w:tc>
        <w:tc>
          <w:tcPr>
            <w:tcW w:w="1589" w:type="pct"/>
            <w:tcBorders>
              <w:tl2br w:val="nil"/>
              <w:tr2bl w:val="nil"/>
            </w:tcBorders>
            <w:noWrap w:val="0"/>
            <w:vAlign w:val="center"/>
          </w:tcPr>
          <w:p w14:paraId="4AC2FDE4">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76</w:t>
            </w:r>
          </w:p>
        </w:tc>
      </w:tr>
      <w:tr w14:paraId="4C5B862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57" w:type="dxa"/>
            <w:bottom w:w="0" w:type="dxa"/>
            <w:right w:w="57" w:type="dxa"/>
          </w:tblCellMar>
        </w:tblPrEx>
        <w:trPr>
          <w:trHeight w:val="454" w:hRule="atLeast"/>
          <w:jc w:val="center"/>
        </w:trPr>
        <w:tc>
          <w:tcPr>
            <w:tcW w:w="1033" w:type="pct"/>
            <w:vMerge w:val="continue"/>
            <w:tcBorders>
              <w:tl2br w:val="nil"/>
              <w:tr2bl w:val="nil"/>
            </w:tcBorders>
            <w:noWrap w:val="0"/>
            <w:vAlign w:val="center"/>
          </w:tcPr>
          <w:p w14:paraId="131E1B0B">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p>
        </w:tc>
        <w:tc>
          <w:tcPr>
            <w:tcW w:w="669" w:type="pct"/>
            <w:tcBorders>
              <w:tl2br w:val="nil"/>
              <w:tr2bl w:val="nil"/>
            </w:tcBorders>
            <w:noWrap w:val="0"/>
            <w:vAlign w:val="center"/>
          </w:tcPr>
          <w:p w14:paraId="6FF25965">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cs="Times New Roman"/>
                <w:color w:val="auto"/>
                <w:kern w:val="0"/>
                <w:sz w:val="21"/>
                <w:szCs w:val="21"/>
                <w:highlight w:val="none"/>
                <w:lang w:val="en-US" w:eastAsia="zh-CN"/>
              </w:rPr>
              <w:t>4#</w:t>
            </w:r>
          </w:p>
        </w:tc>
        <w:tc>
          <w:tcPr>
            <w:tcW w:w="1708" w:type="pct"/>
            <w:tcBorders>
              <w:tl2br w:val="nil"/>
              <w:tr2bl w:val="nil"/>
            </w:tcBorders>
            <w:noWrap w:val="0"/>
            <w:vAlign w:val="center"/>
          </w:tcPr>
          <w:p w14:paraId="4FA2AF59">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3#</w:t>
            </w:r>
          </w:p>
        </w:tc>
        <w:tc>
          <w:tcPr>
            <w:tcW w:w="1589" w:type="pct"/>
            <w:tcBorders>
              <w:tl2br w:val="nil"/>
              <w:tr2bl w:val="nil"/>
            </w:tcBorders>
            <w:noWrap w:val="0"/>
            <w:vAlign w:val="center"/>
          </w:tcPr>
          <w:p w14:paraId="2DCE95BD">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76</w:t>
            </w:r>
          </w:p>
        </w:tc>
      </w:tr>
      <w:tr w14:paraId="430A8BB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57" w:type="dxa"/>
            <w:bottom w:w="0" w:type="dxa"/>
            <w:right w:w="57" w:type="dxa"/>
          </w:tblCellMar>
        </w:tblPrEx>
        <w:trPr>
          <w:trHeight w:val="454" w:hRule="atLeast"/>
          <w:jc w:val="center"/>
        </w:trPr>
        <w:tc>
          <w:tcPr>
            <w:tcW w:w="1033" w:type="pct"/>
            <w:vMerge w:val="continue"/>
            <w:tcBorders>
              <w:tl2br w:val="nil"/>
              <w:tr2bl w:val="nil"/>
            </w:tcBorders>
            <w:noWrap w:val="0"/>
            <w:vAlign w:val="center"/>
          </w:tcPr>
          <w:p w14:paraId="41761621">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p>
        </w:tc>
        <w:tc>
          <w:tcPr>
            <w:tcW w:w="669" w:type="pct"/>
            <w:tcBorders>
              <w:tl2br w:val="nil"/>
              <w:tr2bl w:val="nil"/>
            </w:tcBorders>
            <w:noWrap w:val="0"/>
            <w:vAlign w:val="center"/>
          </w:tcPr>
          <w:p w14:paraId="4B16C947">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cs="Times New Roman"/>
                <w:color w:val="auto"/>
                <w:kern w:val="0"/>
                <w:sz w:val="21"/>
                <w:szCs w:val="21"/>
                <w:highlight w:val="none"/>
                <w:lang w:val="en-US" w:eastAsia="zh-CN"/>
              </w:rPr>
              <w:t>5#</w:t>
            </w:r>
          </w:p>
        </w:tc>
        <w:tc>
          <w:tcPr>
            <w:tcW w:w="1708" w:type="pct"/>
            <w:tcBorders>
              <w:tl2br w:val="nil"/>
              <w:tr2bl w:val="nil"/>
            </w:tcBorders>
            <w:noWrap w:val="0"/>
            <w:vAlign w:val="center"/>
          </w:tcPr>
          <w:p w14:paraId="27E9C78E">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1#</w:t>
            </w:r>
          </w:p>
        </w:tc>
        <w:tc>
          <w:tcPr>
            <w:tcW w:w="1589" w:type="pct"/>
            <w:tcBorders>
              <w:tl2br w:val="nil"/>
              <w:tr2bl w:val="nil"/>
            </w:tcBorders>
            <w:noWrap w:val="0"/>
            <w:vAlign w:val="center"/>
          </w:tcPr>
          <w:p w14:paraId="027E0260">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401</w:t>
            </w:r>
          </w:p>
        </w:tc>
      </w:tr>
      <w:tr w14:paraId="47A93A5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57" w:type="dxa"/>
            <w:bottom w:w="0" w:type="dxa"/>
            <w:right w:w="57" w:type="dxa"/>
          </w:tblCellMar>
        </w:tblPrEx>
        <w:trPr>
          <w:trHeight w:val="454" w:hRule="atLeast"/>
          <w:jc w:val="center"/>
        </w:trPr>
        <w:tc>
          <w:tcPr>
            <w:tcW w:w="1033" w:type="pct"/>
            <w:vMerge w:val="restart"/>
            <w:tcBorders>
              <w:tl2br w:val="nil"/>
              <w:tr2bl w:val="nil"/>
            </w:tcBorders>
            <w:noWrap w:val="0"/>
            <w:vAlign w:val="center"/>
          </w:tcPr>
          <w:p w14:paraId="1C2477B2">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绥化市庆安县柳河镇新强村饮用水水源地</w:t>
            </w:r>
          </w:p>
        </w:tc>
        <w:tc>
          <w:tcPr>
            <w:tcW w:w="669" w:type="pct"/>
            <w:tcBorders>
              <w:tl2br w:val="nil"/>
              <w:tr2bl w:val="nil"/>
            </w:tcBorders>
            <w:noWrap w:val="0"/>
            <w:vAlign w:val="center"/>
          </w:tcPr>
          <w:p w14:paraId="09DAC0A0">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cs="Times New Roman"/>
                <w:color w:val="auto"/>
                <w:kern w:val="0"/>
                <w:sz w:val="21"/>
                <w:szCs w:val="21"/>
                <w:highlight w:val="none"/>
                <w:lang w:val="en-US" w:eastAsia="zh-CN"/>
              </w:rPr>
              <w:t>1#</w:t>
            </w:r>
          </w:p>
        </w:tc>
        <w:tc>
          <w:tcPr>
            <w:tcW w:w="1708" w:type="pct"/>
            <w:tcBorders>
              <w:tl2br w:val="nil"/>
              <w:tr2bl w:val="nil"/>
            </w:tcBorders>
            <w:noWrap w:val="0"/>
            <w:vAlign w:val="center"/>
          </w:tcPr>
          <w:p w14:paraId="68E21064">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2#</w:t>
            </w:r>
          </w:p>
        </w:tc>
        <w:tc>
          <w:tcPr>
            <w:tcW w:w="1589" w:type="pct"/>
            <w:tcBorders>
              <w:tl2br w:val="nil"/>
              <w:tr2bl w:val="nil"/>
            </w:tcBorders>
            <w:noWrap w:val="0"/>
            <w:vAlign w:val="center"/>
          </w:tcPr>
          <w:p w14:paraId="10959E65">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849</w:t>
            </w:r>
          </w:p>
        </w:tc>
      </w:tr>
      <w:tr w14:paraId="2B4E3FB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57" w:type="dxa"/>
            <w:bottom w:w="0" w:type="dxa"/>
            <w:right w:w="57" w:type="dxa"/>
          </w:tblCellMar>
        </w:tblPrEx>
        <w:trPr>
          <w:trHeight w:val="454" w:hRule="atLeast"/>
          <w:jc w:val="center"/>
        </w:trPr>
        <w:tc>
          <w:tcPr>
            <w:tcW w:w="1033" w:type="pct"/>
            <w:vMerge w:val="continue"/>
            <w:tcBorders>
              <w:tl2br w:val="nil"/>
              <w:tr2bl w:val="nil"/>
            </w:tcBorders>
            <w:noWrap w:val="0"/>
            <w:vAlign w:val="center"/>
          </w:tcPr>
          <w:p w14:paraId="6B1195A0">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rPr>
            </w:pPr>
          </w:p>
        </w:tc>
        <w:tc>
          <w:tcPr>
            <w:tcW w:w="669" w:type="pct"/>
            <w:tcBorders>
              <w:tl2br w:val="nil"/>
              <w:tr2bl w:val="nil"/>
            </w:tcBorders>
            <w:noWrap w:val="0"/>
            <w:vAlign w:val="center"/>
          </w:tcPr>
          <w:p w14:paraId="5E478553">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cs="Times New Roman"/>
                <w:color w:val="auto"/>
                <w:kern w:val="0"/>
                <w:sz w:val="21"/>
                <w:szCs w:val="21"/>
                <w:highlight w:val="none"/>
                <w:lang w:val="en-US" w:eastAsia="zh-CN"/>
              </w:rPr>
              <w:t>2#</w:t>
            </w:r>
          </w:p>
        </w:tc>
        <w:tc>
          <w:tcPr>
            <w:tcW w:w="1708" w:type="pct"/>
            <w:tcBorders>
              <w:tl2br w:val="nil"/>
              <w:tr2bl w:val="nil"/>
            </w:tcBorders>
            <w:noWrap w:val="0"/>
            <w:vAlign w:val="center"/>
          </w:tcPr>
          <w:p w14:paraId="3EC66E92">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4#</w:t>
            </w:r>
          </w:p>
        </w:tc>
        <w:tc>
          <w:tcPr>
            <w:tcW w:w="1589" w:type="pct"/>
            <w:tcBorders>
              <w:tl2br w:val="nil"/>
              <w:tr2bl w:val="nil"/>
            </w:tcBorders>
            <w:noWrap w:val="0"/>
            <w:vAlign w:val="center"/>
          </w:tcPr>
          <w:p w14:paraId="0AFC3829">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106</w:t>
            </w:r>
          </w:p>
        </w:tc>
      </w:tr>
      <w:tr w14:paraId="4416E7F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57" w:type="dxa"/>
            <w:bottom w:w="0" w:type="dxa"/>
            <w:right w:w="57" w:type="dxa"/>
          </w:tblCellMar>
        </w:tblPrEx>
        <w:trPr>
          <w:trHeight w:val="454" w:hRule="atLeast"/>
          <w:jc w:val="center"/>
        </w:trPr>
        <w:tc>
          <w:tcPr>
            <w:tcW w:w="1033" w:type="pct"/>
            <w:vMerge w:val="continue"/>
            <w:tcBorders>
              <w:tl2br w:val="nil"/>
              <w:tr2bl w:val="nil"/>
            </w:tcBorders>
            <w:noWrap w:val="0"/>
            <w:vAlign w:val="center"/>
          </w:tcPr>
          <w:p w14:paraId="3A595D44">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p>
        </w:tc>
        <w:tc>
          <w:tcPr>
            <w:tcW w:w="669" w:type="pct"/>
            <w:tcBorders>
              <w:tl2br w:val="nil"/>
              <w:tr2bl w:val="nil"/>
            </w:tcBorders>
            <w:noWrap w:val="0"/>
            <w:vAlign w:val="center"/>
          </w:tcPr>
          <w:p w14:paraId="7CBE5EE4">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cs="Times New Roman"/>
                <w:color w:val="auto"/>
                <w:kern w:val="0"/>
                <w:sz w:val="21"/>
                <w:szCs w:val="21"/>
                <w:highlight w:val="none"/>
                <w:lang w:val="en-US" w:eastAsia="zh-CN"/>
              </w:rPr>
              <w:t>3#</w:t>
            </w:r>
          </w:p>
        </w:tc>
        <w:tc>
          <w:tcPr>
            <w:tcW w:w="1708" w:type="pct"/>
            <w:tcBorders>
              <w:tl2br w:val="nil"/>
              <w:tr2bl w:val="nil"/>
            </w:tcBorders>
            <w:noWrap w:val="0"/>
            <w:vAlign w:val="center"/>
          </w:tcPr>
          <w:p w14:paraId="0BF5EAD4">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4#</w:t>
            </w:r>
          </w:p>
        </w:tc>
        <w:tc>
          <w:tcPr>
            <w:tcW w:w="1589" w:type="pct"/>
            <w:tcBorders>
              <w:tl2br w:val="nil"/>
              <w:tr2bl w:val="nil"/>
            </w:tcBorders>
            <w:noWrap w:val="0"/>
            <w:vAlign w:val="center"/>
          </w:tcPr>
          <w:p w14:paraId="33736AFD">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71</w:t>
            </w:r>
          </w:p>
        </w:tc>
      </w:tr>
      <w:tr w14:paraId="31EEE0B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57" w:type="dxa"/>
            <w:bottom w:w="0" w:type="dxa"/>
            <w:right w:w="57" w:type="dxa"/>
          </w:tblCellMar>
        </w:tblPrEx>
        <w:trPr>
          <w:trHeight w:val="454" w:hRule="atLeast"/>
          <w:jc w:val="center"/>
        </w:trPr>
        <w:tc>
          <w:tcPr>
            <w:tcW w:w="1033" w:type="pct"/>
            <w:vMerge w:val="continue"/>
            <w:tcBorders>
              <w:tl2br w:val="nil"/>
              <w:tr2bl w:val="nil"/>
            </w:tcBorders>
            <w:noWrap w:val="0"/>
            <w:vAlign w:val="center"/>
          </w:tcPr>
          <w:p w14:paraId="7CF30BCD">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p>
        </w:tc>
        <w:tc>
          <w:tcPr>
            <w:tcW w:w="669" w:type="pct"/>
            <w:tcBorders>
              <w:tl2br w:val="nil"/>
              <w:tr2bl w:val="nil"/>
            </w:tcBorders>
            <w:noWrap w:val="0"/>
            <w:vAlign w:val="center"/>
          </w:tcPr>
          <w:p w14:paraId="5C9CC2B2">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cs="Times New Roman"/>
                <w:color w:val="auto"/>
                <w:kern w:val="0"/>
                <w:sz w:val="21"/>
                <w:szCs w:val="21"/>
                <w:highlight w:val="none"/>
                <w:lang w:val="en-US" w:eastAsia="zh-CN"/>
              </w:rPr>
              <w:t>4#</w:t>
            </w:r>
          </w:p>
        </w:tc>
        <w:tc>
          <w:tcPr>
            <w:tcW w:w="1708" w:type="pct"/>
            <w:tcBorders>
              <w:tl2br w:val="nil"/>
              <w:tr2bl w:val="nil"/>
            </w:tcBorders>
            <w:noWrap w:val="0"/>
            <w:vAlign w:val="center"/>
          </w:tcPr>
          <w:p w14:paraId="5262ECC7">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3#</w:t>
            </w:r>
          </w:p>
        </w:tc>
        <w:tc>
          <w:tcPr>
            <w:tcW w:w="1589" w:type="pct"/>
            <w:tcBorders>
              <w:tl2br w:val="nil"/>
              <w:tr2bl w:val="nil"/>
            </w:tcBorders>
            <w:noWrap w:val="0"/>
            <w:vAlign w:val="center"/>
          </w:tcPr>
          <w:p w14:paraId="656ACEAA">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71</w:t>
            </w:r>
          </w:p>
        </w:tc>
      </w:tr>
      <w:tr w14:paraId="4E11822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57" w:type="dxa"/>
            <w:bottom w:w="0" w:type="dxa"/>
            <w:right w:w="57" w:type="dxa"/>
          </w:tblCellMar>
        </w:tblPrEx>
        <w:trPr>
          <w:trHeight w:val="454" w:hRule="atLeast"/>
          <w:jc w:val="center"/>
        </w:trPr>
        <w:tc>
          <w:tcPr>
            <w:tcW w:w="1033" w:type="pct"/>
            <w:vMerge w:val="continue"/>
            <w:tcBorders>
              <w:tl2br w:val="nil"/>
              <w:tr2bl w:val="nil"/>
            </w:tcBorders>
            <w:noWrap w:val="0"/>
            <w:vAlign w:val="center"/>
          </w:tcPr>
          <w:p w14:paraId="0233CEEA">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p>
        </w:tc>
        <w:tc>
          <w:tcPr>
            <w:tcW w:w="669" w:type="pct"/>
            <w:tcBorders>
              <w:tl2br w:val="nil"/>
              <w:tr2bl w:val="nil"/>
            </w:tcBorders>
            <w:noWrap w:val="0"/>
            <w:vAlign w:val="center"/>
          </w:tcPr>
          <w:p w14:paraId="6236C582">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cs="Times New Roman"/>
                <w:color w:val="auto"/>
                <w:kern w:val="0"/>
                <w:sz w:val="21"/>
                <w:szCs w:val="21"/>
                <w:highlight w:val="none"/>
                <w:lang w:val="en-US" w:eastAsia="zh-CN"/>
              </w:rPr>
              <w:t>5#</w:t>
            </w:r>
          </w:p>
        </w:tc>
        <w:tc>
          <w:tcPr>
            <w:tcW w:w="1708" w:type="pct"/>
            <w:tcBorders>
              <w:tl2br w:val="nil"/>
              <w:tr2bl w:val="nil"/>
            </w:tcBorders>
            <w:noWrap w:val="0"/>
            <w:vAlign w:val="center"/>
          </w:tcPr>
          <w:p w14:paraId="5F349AB8">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4#</w:t>
            </w:r>
          </w:p>
        </w:tc>
        <w:tc>
          <w:tcPr>
            <w:tcW w:w="1589" w:type="pct"/>
            <w:tcBorders>
              <w:tl2br w:val="nil"/>
              <w:tr2bl w:val="nil"/>
            </w:tcBorders>
            <w:noWrap w:val="0"/>
            <w:vAlign w:val="center"/>
          </w:tcPr>
          <w:p w14:paraId="0A65DA10">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86</w:t>
            </w:r>
          </w:p>
        </w:tc>
      </w:tr>
      <w:tr w14:paraId="0570C5E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57" w:type="dxa"/>
            <w:bottom w:w="0" w:type="dxa"/>
            <w:right w:w="57" w:type="dxa"/>
          </w:tblCellMar>
        </w:tblPrEx>
        <w:trPr>
          <w:trHeight w:val="454" w:hRule="atLeast"/>
          <w:jc w:val="center"/>
        </w:trPr>
        <w:tc>
          <w:tcPr>
            <w:tcW w:w="1033" w:type="pct"/>
            <w:vMerge w:val="restart"/>
            <w:tcBorders>
              <w:tl2br w:val="nil"/>
              <w:tr2bl w:val="nil"/>
            </w:tcBorders>
            <w:noWrap w:val="0"/>
            <w:vAlign w:val="center"/>
          </w:tcPr>
          <w:p w14:paraId="756C303B">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rPr>
            </w:pPr>
            <w:r>
              <w:rPr>
                <w:rFonts w:hint="eastAsia" w:ascii="Times New Roman" w:hAnsi="Times New Roman" w:eastAsia="宋体" w:cs="Times New Roman"/>
                <w:color w:val="auto"/>
                <w:kern w:val="0"/>
                <w:sz w:val="21"/>
                <w:szCs w:val="21"/>
                <w:highlight w:val="none"/>
                <w:lang w:val="en-US" w:eastAsia="zh-CN" w:bidi="ar"/>
              </w:rPr>
              <w:t>绥化市庆安县丰收乡饮用水水源地</w:t>
            </w:r>
          </w:p>
        </w:tc>
        <w:tc>
          <w:tcPr>
            <w:tcW w:w="669" w:type="pct"/>
            <w:tcBorders>
              <w:tl2br w:val="nil"/>
              <w:tr2bl w:val="nil"/>
            </w:tcBorders>
            <w:noWrap w:val="0"/>
            <w:vAlign w:val="center"/>
          </w:tcPr>
          <w:p w14:paraId="55D0B602">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cs="Times New Roman"/>
                <w:color w:val="auto"/>
                <w:kern w:val="0"/>
                <w:sz w:val="21"/>
                <w:szCs w:val="21"/>
                <w:highlight w:val="none"/>
                <w:lang w:val="en-US" w:eastAsia="zh-CN"/>
              </w:rPr>
              <w:t>1#</w:t>
            </w:r>
          </w:p>
        </w:tc>
        <w:tc>
          <w:tcPr>
            <w:tcW w:w="1708" w:type="pct"/>
            <w:tcBorders>
              <w:tl2br w:val="nil"/>
              <w:tr2bl w:val="nil"/>
            </w:tcBorders>
            <w:noWrap w:val="0"/>
            <w:vAlign w:val="center"/>
          </w:tcPr>
          <w:p w14:paraId="3F4A01D8">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2#</w:t>
            </w:r>
          </w:p>
        </w:tc>
        <w:tc>
          <w:tcPr>
            <w:tcW w:w="1589" w:type="pct"/>
            <w:tcBorders>
              <w:tl2br w:val="nil"/>
              <w:tr2bl w:val="nil"/>
            </w:tcBorders>
            <w:noWrap w:val="0"/>
            <w:vAlign w:val="center"/>
          </w:tcPr>
          <w:p w14:paraId="4305D16B">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183</w:t>
            </w:r>
          </w:p>
        </w:tc>
      </w:tr>
      <w:tr w14:paraId="2CABF58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57" w:type="dxa"/>
            <w:bottom w:w="0" w:type="dxa"/>
            <w:right w:w="57" w:type="dxa"/>
          </w:tblCellMar>
        </w:tblPrEx>
        <w:trPr>
          <w:trHeight w:val="454" w:hRule="atLeast"/>
          <w:jc w:val="center"/>
        </w:trPr>
        <w:tc>
          <w:tcPr>
            <w:tcW w:w="1033" w:type="pct"/>
            <w:vMerge w:val="continue"/>
            <w:tcBorders>
              <w:tl2br w:val="nil"/>
              <w:tr2bl w:val="nil"/>
            </w:tcBorders>
            <w:noWrap w:val="0"/>
            <w:vAlign w:val="center"/>
          </w:tcPr>
          <w:p w14:paraId="7F169BF2">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p>
        </w:tc>
        <w:tc>
          <w:tcPr>
            <w:tcW w:w="669" w:type="pct"/>
            <w:tcBorders>
              <w:tl2br w:val="nil"/>
              <w:tr2bl w:val="nil"/>
            </w:tcBorders>
            <w:noWrap w:val="0"/>
            <w:vAlign w:val="center"/>
          </w:tcPr>
          <w:p w14:paraId="2EBB0F37">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cs="Times New Roman"/>
                <w:color w:val="auto"/>
                <w:kern w:val="0"/>
                <w:sz w:val="21"/>
                <w:szCs w:val="21"/>
                <w:highlight w:val="none"/>
                <w:lang w:val="en-US" w:eastAsia="zh-CN"/>
              </w:rPr>
              <w:t>2#</w:t>
            </w:r>
          </w:p>
        </w:tc>
        <w:tc>
          <w:tcPr>
            <w:tcW w:w="1708" w:type="pct"/>
            <w:tcBorders>
              <w:tl2br w:val="nil"/>
              <w:tr2bl w:val="nil"/>
            </w:tcBorders>
            <w:noWrap w:val="0"/>
            <w:vAlign w:val="center"/>
          </w:tcPr>
          <w:p w14:paraId="0039964C">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3#</w:t>
            </w:r>
          </w:p>
        </w:tc>
        <w:tc>
          <w:tcPr>
            <w:tcW w:w="1589" w:type="pct"/>
            <w:tcBorders>
              <w:tl2br w:val="nil"/>
              <w:tr2bl w:val="nil"/>
            </w:tcBorders>
            <w:noWrap w:val="0"/>
            <w:vAlign w:val="center"/>
          </w:tcPr>
          <w:p w14:paraId="1586EC2C">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160</w:t>
            </w:r>
          </w:p>
        </w:tc>
      </w:tr>
      <w:tr w14:paraId="67C0591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57" w:type="dxa"/>
            <w:bottom w:w="0" w:type="dxa"/>
            <w:right w:w="57" w:type="dxa"/>
          </w:tblCellMar>
        </w:tblPrEx>
        <w:trPr>
          <w:trHeight w:val="454" w:hRule="atLeast"/>
          <w:jc w:val="center"/>
        </w:trPr>
        <w:tc>
          <w:tcPr>
            <w:tcW w:w="1033" w:type="pct"/>
            <w:vMerge w:val="continue"/>
            <w:tcBorders>
              <w:tl2br w:val="nil"/>
              <w:tr2bl w:val="nil"/>
            </w:tcBorders>
            <w:noWrap w:val="0"/>
            <w:vAlign w:val="center"/>
          </w:tcPr>
          <w:p w14:paraId="1C494978">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p>
        </w:tc>
        <w:tc>
          <w:tcPr>
            <w:tcW w:w="669" w:type="pct"/>
            <w:tcBorders>
              <w:tl2br w:val="nil"/>
              <w:tr2bl w:val="nil"/>
            </w:tcBorders>
            <w:noWrap w:val="0"/>
            <w:vAlign w:val="center"/>
          </w:tcPr>
          <w:p w14:paraId="5EE7CB1D">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cs="Times New Roman"/>
                <w:color w:val="auto"/>
                <w:kern w:val="0"/>
                <w:sz w:val="21"/>
                <w:szCs w:val="21"/>
                <w:highlight w:val="none"/>
                <w:lang w:val="en-US" w:eastAsia="zh-CN"/>
              </w:rPr>
              <w:t>3#</w:t>
            </w:r>
          </w:p>
        </w:tc>
        <w:tc>
          <w:tcPr>
            <w:tcW w:w="1708" w:type="pct"/>
            <w:tcBorders>
              <w:tl2br w:val="nil"/>
              <w:tr2bl w:val="nil"/>
            </w:tcBorders>
            <w:noWrap w:val="0"/>
            <w:vAlign w:val="center"/>
          </w:tcPr>
          <w:p w14:paraId="48A4D331">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2#</w:t>
            </w:r>
          </w:p>
        </w:tc>
        <w:tc>
          <w:tcPr>
            <w:tcW w:w="1589" w:type="pct"/>
            <w:tcBorders>
              <w:tl2br w:val="nil"/>
              <w:tr2bl w:val="nil"/>
            </w:tcBorders>
            <w:noWrap w:val="0"/>
            <w:vAlign w:val="center"/>
          </w:tcPr>
          <w:p w14:paraId="79FD0A40">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160</w:t>
            </w:r>
          </w:p>
        </w:tc>
      </w:tr>
      <w:tr w14:paraId="175905F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57" w:type="dxa"/>
            <w:bottom w:w="0" w:type="dxa"/>
            <w:right w:w="57" w:type="dxa"/>
          </w:tblCellMar>
        </w:tblPrEx>
        <w:trPr>
          <w:trHeight w:val="454" w:hRule="atLeast"/>
          <w:jc w:val="center"/>
        </w:trPr>
        <w:tc>
          <w:tcPr>
            <w:tcW w:w="1033" w:type="pct"/>
            <w:vMerge w:val="restart"/>
            <w:tcBorders>
              <w:tl2br w:val="nil"/>
              <w:tr2bl w:val="nil"/>
            </w:tcBorders>
            <w:noWrap w:val="0"/>
            <w:vAlign w:val="center"/>
          </w:tcPr>
          <w:p w14:paraId="52ED446C">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rPr>
            </w:pPr>
            <w:r>
              <w:rPr>
                <w:rFonts w:hint="eastAsia" w:cs="Times New Roman"/>
                <w:color w:val="auto"/>
                <w:kern w:val="0"/>
                <w:sz w:val="21"/>
                <w:szCs w:val="21"/>
                <w:highlight w:val="none"/>
                <w:lang w:val="en-US" w:eastAsia="zh-CN" w:bidi="ar"/>
              </w:rPr>
              <w:t>绥化市庆安县</w:t>
            </w:r>
            <w:r>
              <w:rPr>
                <w:rFonts w:hint="eastAsia" w:ascii="Times New Roman" w:hAnsi="Times New Roman" w:eastAsia="宋体" w:cs="Times New Roman"/>
                <w:color w:val="auto"/>
                <w:kern w:val="0"/>
                <w:sz w:val="21"/>
                <w:szCs w:val="21"/>
                <w:highlight w:val="none"/>
                <w:lang w:val="en-US" w:eastAsia="zh-CN" w:bidi="ar"/>
              </w:rPr>
              <w:t>平安镇饮用水水源地</w:t>
            </w:r>
          </w:p>
        </w:tc>
        <w:tc>
          <w:tcPr>
            <w:tcW w:w="669" w:type="pct"/>
            <w:tcBorders>
              <w:tl2br w:val="nil"/>
              <w:tr2bl w:val="nil"/>
            </w:tcBorders>
            <w:shd w:val="clear" w:color="auto" w:fill="auto"/>
            <w:noWrap w:val="0"/>
            <w:vAlign w:val="center"/>
          </w:tcPr>
          <w:p w14:paraId="0DD67E8C">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rPr>
              <w:t>1#</w:t>
            </w:r>
          </w:p>
        </w:tc>
        <w:tc>
          <w:tcPr>
            <w:tcW w:w="1708" w:type="pct"/>
            <w:tcBorders>
              <w:tl2br w:val="nil"/>
              <w:tr2bl w:val="nil"/>
            </w:tcBorders>
            <w:shd w:val="clear" w:color="auto" w:fill="auto"/>
            <w:noWrap w:val="0"/>
            <w:vAlign w:val="center"/>
          </w:tcPr>
          <w:p w14:paraId="75FD5481">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rPr>
              <w:t>2#</w:t>
            </w:r>
          </w:p>
        </w:tc>
        <w:tc>
          <w:tcPr>
            <w:tcW w:w="1589" w:type="pct"/>
            <w:tcBorders>
              <w:tl2br w:val="nil"/>
              <w:tr2bl w:val="nil"/>
            </w:tcBorders>
            <w:noWrap w:val="0"/>
            <w:vAlign w:val="center"/>
          </w:tcPr>
          <w:p w14:paraId="4400F4E0">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185</w:t>
            </w:r>
          </w:p>
        </w:tc>
      </w:tr>
      <w:tr w14:paraId="7BD861C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57" w:type="dxa"/>
            <w:bottom w:w="0" w:type="dxa"/>
            <w:right w:w="57" w:type="dxa"/>
          </w:tblCellMar>
        </w:tblPrEx>
        <w:trPr>
          <w:trHeight w:val="454" w:hRule="atLeast"/>
          <w:jc w:val="center"/>
        </w:trPr>
        <w:tc>
          <w:tcPr>
            <w:tcW w:w="1033" w:type="pct"/>
            <w:vMerge w:val="continue"/>
            <w:tcBorders>
              <w:tl2br w:val="nil"/>
              <w:tr2bl w:val="nil"/>
            </w:tcBorders>
            <w:noWrap w:val="0"/>
            <w:vAlign w:val="center"/>
          </w:tcPr>
          <w:p w14:paraId="650564B7">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rPr>
            </w:pPr>
          </w:p>
        </w:tc>
        <w:tc>
          <w:tcPr>
            <w:tcW w:w="669" w:type="pct"/>
            <w:tcBorders>
              <w:tl2br w:val="nil"/>
              <w:tr2bl w:val="nil"/>
            </w:tcBorders>
            <w:shd w:val="clear" w:color="auto" w:fill="auto"/>
            <w:noWrap w:val="0"/>
            <w:vAlign w:val="center"/>
          </w:tcPr>
          <w:p w14:paraId="7C2DCAB6">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rPr>
              <w:t>2#</w:t>
            </w:r>
          </w:p>
        </w:tc>
        <w:tc>
          <w:tcPr>
            <w:tcW w:w="1708" w:type="pct"/>
            <w:tcBorders>
              <w:tl2br w:val="nil"/>
              <w:tr2bl w:val="nil"/>
            </w:tcBorders>
            <w:shd w:val="clear" w:color="auto" w:fill="auto"/>
            <w:noWrap w:val="0"/>
            <w:vAlign w:val="center"/>
          </w:tcPr>
          <w:p w14:paraId="45C739AD">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rPr>
              <w:t>1#</w:t>
            </w:r>
          </w:p>
        </w:tc>
        <w:tc>
          <w:tcPr>
            <w:tcW w:w="1589" w:type="pct"/>
            <w:tcBorders>
              <w:tl2br w:val="nil"/>
              <w:tr2bl w:val="nil"/>
            </w:tcBorders>
            <w:noWrap w:val="0"/>
            <w:vAlign w:val="center"/>
          </w:tcPr>
          <w:p w14:paraId="2CC5B6F4">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185</w:t>
            </w:r>
          </w:p>
        </w:tc>
      </w:tr>
    </w:tbl>
    <w:p w14:paraId="1F1A2E25">
      <w:pPr>
        <w:pStyle w:val="5"/>
        <w:bidi w:val="0"/>
        <w:rPr>
          <w:rFonts w:hint="default" w:ascii="Times New Roman" w:hAnsi="Times New Roman" w:eastAsia="黑体" w:cs="Times New Roman"/>
          <w:color w:val="auto"/>
          <w:highlight w:val="none"/>
          <w:lang w:val="en-US" w:eastAsia="zh-CN"/>
        </w:rPr>
      </w:pPr>
      <w:r>
        <w:rPr>
          <w:rFonts w:hint="eastAsia" w:ascii="Times New Roman" w:hAnsi="Times New Roman" w:eastAsia="黑体" w:cs="Times New Roman"/>
          <w:color w:val="auto"/>
          <w:highlight w:val="none"/>
          <w:lang w:val="en-US" w:eastAsia="zh-CN"/>
        </w:rPr>
        <w:t>3</w:t>
      </w:r>
      <w:r>
        <w:rPr>
          <w:rFonts w:hint="default" w:ascii="Times New Roman" w:hAnsi="Times New Roman" w:eastAsia="黑体" w:cs="Times New Roman"/>
          <w:color w:val="auto"/>
          <w:highlight w:val="none"/>
          <w:lang w:val="en-US" w:eastAsia="zh-CN"/>
        </w:rPr>
        <w:t>.</w:t>
      </w:r>
      <w:r>
        <w:rPr>
          <w:rFonts w:hint="eastAsia" w:ascii="Times New Roman" w:hAnsi="Times New Roman" w:eastAsia="黑体" w:cs="Times New Roman"/>
          <w:color w:val="auto"/>
          <w:highlight w:val="none"/>
          <w:lang w:val="en-US" w:eastAsia="zh-CN"/>
        </w:rPr>
        <w:t>2</w:t>
      </w:r>
      <w:r>
        <w:rPr>
          <w:rFonts w:hint="default" w:ascii="Times New Roman" w:hAnsi="Times New Roman" w:eastAsia="黑体" w:cs="Times New Roman"/>
          <w:color w:val="auto"/>
          <w:highlight w:val="none"/>
          <w:lang w:val="en-US" w:eastAsia="zh-CN"/>
        </w:rPr>
        <w:t>.</w:t>
      </w:r>
      <w:r>
        <w:rPr>
          <w:rFonts w:hint="eastAsia" w:eastAsia="黑体" w:cs="Times New Roman"/>
          <w:color w:val="auto"/>
          <w:highlight w:val="none"/>
          <w:lang w:val="en-US" w:eastAsia="zh-CN"/>
        </w:rPr>
        <w:t>2</w:t>
      </w:r>
      <w:r>
        <w:rPr>
          <w:rFonts w:hint="eastAsia" w:ascii="Times New Roman" w:hAnsi="Times New Roman" w:eastAsia="黑体" w:cs="Times New Roman"/>
          <w:color w:val="auto"/>
          <w:highlight w:val="none"/>
          <w:lang w:val="en-US" w:eastAsia="zh-CN"/>
        </w:rPr>
        <w:t>.1</w:t>
      </w:r>
      <w:r>
        <w:rPr>
          <w:rFonts w:hint="default" w:ascii="Times New Roman" w:hAnsi="Times New Roman" w:eastAsia="黑体" w:cs="Times New Roman"/>
          <w:color w:val="auto"/>
          <w:highlight w:val="none"/>
          <w:lang w:val="en-US" w:eastAsia="zh-CN"/>
        </w:rPr>
        <w:t xml:space="preserve"> </w:t>
      </w:r>
      <w:r>
        <w:rPr>
          <w:rFonts w:hint="eastAsia" w:ascii="Times New Roman" w:hAnsi="Times New Roman" w:eastAsia="黑体" w:cs="Times New Roman"/>
          <w:color w:val="auto"/>
          <w:highlight w:val="none"/>
          <w:lang w:val="en-US" w:eastAsia="zh-CN"/>
        </w:rPr>
        <w:t>乡镇级水源地</w:t>
      </w:r>
    </w:p>
    <w:p w14:paraId="7F08CFC3">
      <w:pPr>
        <w:pStyle w:val="5"/>
        <w:bidi w:val="0"/>
        <w:ind w:firstLine="472" w:firstLineChars="200"/>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（1）绥化市庆安县发展乡饮用水水源地</w:t>
      </w:r>
    </w:p>
    <w:p w14:paraId="28255FDA">
      <w:pPr>
        <w:ind w:firstLine="480"/>
        <w:rPr>
          <w:rFonts w:hint="eastAsia"/>
          <w:color w:val="auto"/>
          <w:highlight w:val="none"/>
        </w:rPr>
        <w:sectPr>
          <w:pgSz w:w="11905" w:h="16838"/>
          <w:pgMar w:top="1474" w:right="1474" w:bottom="1474" w:left="1474" w:header="964" w:footer="992" w:gutter="0"/>
          <w:pgBorders>
            <w:top w:val="none" w:sz="0" w:space="0"/>
            <w:left w:val="none" w:sz="0" w:space="0"/>
            <w:bottom w:val="none" w:sz="0" w:space="0"/>
            <w:right w:val="none" w:sz="0" w:space="0"/>
          </w:pgBorders>
          <w:pgNumType w:fmt="decimal"/>
          <w:cols w:space="720" w:num="1"/>
          <w:docGrid w:type="linesAndChars" w:linePitch="347" w:charSpace="-1024"/>
        </w:sectPr>
      </w:pPr>
      <w:r>
        <w:rPr>
          <w:rFonts w:hint="eastAsia"/>
          <w:color w:val="auto"/>
          <w:sz w:val="24"/>
          <w:szCs w:val="24"/>
          <w:highlight w:val="none"/>
          <w:lang w:eastAsia="zh-CN"/>
        </w:rPr>
        <w:t>绥化市庆安县发展乡饮用水水源地</w:t>
      </w:r>
      <w:r>
        <w:rPr>
          <w:rFonts w:hint="eastAsia" w:ascii="Times New Roman" w:hAnsi="Times New Roman" w:cs="Times New Roman"/>
          <w:color w:val="auto"/>
          <w:kern w:val="0"/>
          <w:sz w:val="24"/>
          <w:szCs w:val="24"/>
          <w:highlight w:val="none"/>
          <w:lang w:val="en-US" w:eastAsia="zh-CN"/>
        </w:rPr>
        <w:t>利用的是</w:t>
      </w:r>
      <w:r>
        <w:rPr>
          <w:rFonts w:hint="eastAsia"/>
          <w:color w:val="auto"/>
          <w:kern w:val="0"/>
          <w:sz w:val="24"/>
          <w:szCs w:val="24"/>
          <w:highlight w:val="none"/>
        </w:rPr>
        <w:t>裂隙承压水层</w:t>
      </w:r>
      <w:r>
        <w:rPr>
          <w:rFonts w:hint="eastAsia" w:ascii="Times New Roman" w:hAnsi="Times New Roman" w:cs="Times New Roman"/>
          <w:color w:val="auto"/>
          <w:kern w:val="0"/>
          <w:sz w:val="24"/>
          <w:szCs w:val="24"/>
          <w:highlight w:val="none"/>
          <w:lang w:val="en-US" w:eastAsia="zh-CN"/>
        </w:rPr>
        <w:t>。</w:t>
      </w:r>
      <w:r>
        <w:rPr>
          <w:rFonts w:hint="eastAsia" w:ascii="Times New Roman" w:hAnsi="Times New Roman" w:eastAsia="宋体" w:cs="Times New Roman"/>
          <w:color w:val="auto"/>
          <w:kern w:val="0"/>
          <w:sz w:val="24"/>
          <w:szCs w:val="24"/>
          <w:highlight w:val="none"/>
          <w:lang w:val="en-US" w:eastAsia="zh-CN"/>
        </w:rPr>
        <w:t>水源地设有水井8眼，取水井井深均为130</w:t>
      </w:r>
      <w:r>
        <w:rPr>
          <w:rFonts w:hint="eastAsia" w:cs="Times New Roman"/>
          <w:color w:val="auto"/>
          <w:kern w:val="0"/>
          <w:sz w:val="24"/>
          <w:szCs w:val="24"/>
          <w:highlight w:val="none"/>
          <w:lang w:val="en-US" w:eastAsia="zh-CN"/>
        </w:rPr>
        <w:t>米</w:t>
      </w:r>
      <w:r>
        <w:rPr>
          <w:rFonts w:hint="eastAsia" w:ascii="Times New Roman" w:hAnsi="Times New Roman" w:eastAsia="宋体" w:cs="Times New Roman"/>
          <w:color w:val="auto"/>
          <w:kern w:val="0"/>
          <w:sz w:val="24"/>
          <w:szCs w:val="24"/>
          <w:highlight w:val="none"/>
          <w:lang w:val="en-US" w:eastAsia="zh-CN"/>
        </w:rPr>
        <w:t>，其表层为腐殖土、黄土、</w:t>
      </w:r>
      <w:r>
        <w:rPr>
          <w:rFonts w:hint="eastAsia" w:cs="Times New Roman"/>
          <w:color w:val="auto"/>
          <w:kern w:val="0"/>
          <w:sz w:val="24"/>
          <w:szCs w:val="24"/>
          <w:highlight w:val="none"/>
          <w:lang w:val="en-US" w:eastAsia="zh-CN"/>
        </w:rPr>
        <w:t>粉质粘土</w:t>
      </w:r>
      <w:r>
        <w:rPr>
          <w:rFonts w:hint="eastAsia" w:ascii="Times New Roman" w:hAnsi="Times New Roman" w:eastAsia="宋体" w:cs="Times New Roman"/>
          <w:color w:val="auto"/>
          <w:kern w:val="0"/>
          <w:sz w:val="24"/>
          <w:szCs w:val="24"/>
          <w:highlight w:val="none"/>
          <w:lang w:val="en-US" w:eastAsia="zh-CN"/>
        </w:rPr>
        <w:t>，构成稳定隔</w:t>
      </w:r>
      <w:r>
        <w:rPr>
          <w:rFonts w:hint="eastAsia"/>
          <w:color w:val="auto"/>
          <w:sz w:val="24"/>
          <w:szCs w:val="24"/>
          <w:highlight w:val="none"/>
        </w:rPr>
        <w:t>水顶板</w:t>
      </w:r>
      <w:r>
        <w:rPr>
          <w:rFonts w:hint="eastAsia" w:ascii="Times New Roman" w:hAnsi="Times New Roman" w:cs="Times New Roman"/>
          <w:color w:val="auto"/>
          <w:kern w:val="0"/>
          <w:sz w:val="24"/>
          <w:szCs w:val="24"/>
          <w:highlight w:val="none"/>
          <w:lang w:val="en-US" w:eastAsia="zh-CN"/>
        </w:rPr>
        <w:t>。</w:t>
      </w:r>
      <w:r>
        <w:rPr>
          <w:rFonts w:hint="eastAsia" w:ascii="Times New Roman" w:hAnsi="Times New Roman" w:eastAsia="宋体" w:cs="Times New Roman"/>
          <w:color w:val="auto"/>
          <w:sz w:val="24"/>
          <w:szCs w:val="24"/>
          <w:highlight w:val="none"/>
          <w:lang w:val="en-US" w:eastAsia="zh-CN"/>
        </w:rPr>
        <w:t>因此，参照裂隙水潜水型水源地保护区范围经验值，取细砂一级保护区半径经验值的下限，即30米，作为水源地的一级保护区半径。一级保护区范围：分别以8眼取水井为圆心，30米为半径的圆形区域，一级保护区总面积为22608平方米</w:t>
      </w:r>
      <w:r>
        <w:rPr>
          <w:rFonts w:hint="eastAsia"/>
          <w:color w:val="auto"/>
          <w:highlight w:val="none"/>
        </w:rPr>
        <w:t>。</w:t>
      </w:r>
    </w:p>
    <w:p w14:paraId="66B4085F">
      <w:pPr>
        <w:pStyle w:val="13"/>
        <w:spacing w:line="360" w:lineRule="auto"/>
        <w:ind w:left="0" w:leftChars="0" w:firstLine="0" w:firstLineChars="0"/>
        <w:jc w:val="center"/>
        <w:rPr>
          <w:rFonts w:hint="eastAsia" w:ascii="Times New Roman" w:hAnsi="Times New Roman" w:eastAsia="宋体" w:cs="Times New Roman"/>
          <w:color w:val="auto"/>
          <w:sz w:val="24"/>
          <w:szCs w:val="24"/>
          <w:highlight w:val="none"/>
          <w:lang w:val="zh-CN" w:eastAsia="zh-CN"/>
        </w:rPr>
      </w:pPr>
      <w:r>
        <w:rPr>
          <w:rFonts w:hint="eastAsia" w:ascii="Times New Roman" w:hAnsi="Times New Roman" w:eastAsia="宋体" w:cs="Times New Roman"/>
          <w:color w:val="auto"/>
          <w:sz w:val="24"/>
          <w:szCs w:val="24"/>
          <w:highlight w:val="none"/>
          <w:lang w:val="zh-CN" w:eastAsia="zh-CN"/>
        </w:rPr>
        <w:drawing>
          <wp:inline distT="0" distB="0" distL="114300" distR="114300">
            <wp:extent cx="7075170" cy="5085715"/>
            <wp:effectExtent l="0" t="0" r="11430" b="635"/>
            <wp:docPr id="24" name="图片 24" descr="发展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发展乡"/>
                    <pic:cNvPicPr>
                      <a:picLocks noChangeAspect="1"/>
                    </pic:cNvPicPr>
                  </pic:nvPicPr>
                  <pic:blipFill>
                    <a:blip r:embed="rId84"/>
                    <a:stretch>
                      <a:fillRect/>
                    </a:stretch>
                  </pic:blipFill>
                  <pic:spPr>
                    <a:xfrm>
                      <a:off x="0" y="0"/>
                      <a:ext cx="7075170" cy="5085715"/>
                    </a:xfrm>
                    <a:prstGeom prst="rect">
                      <a:avLst/>
                    </a:prstGeom>
                  </pic:spPr>
                </pic:pic>
              </a:graphicData>
            </a:graphic>
          </wp:inline>
        </w:drawing>
      </w:r>
    </w:p>
    <w:p w14:paraId="0B289E42">
      <w:pPr>
        <w:pStyle w:val="13"/>
        <w:spacing w:line="360" w:lineRule="auto"/>
        <w:ind w:left="0" w:leftChars="0" w:firstLine="0" w:firstLineChars="0"/>
        <w:jc w:val="center"/>
        <w:rPr>
          <w:rFonts w:hint="eastAsia" w:ascii="Times New Roman" w:hAnsi="Times New Roman" w:eastAsia="宋体" w:cs="Times New Roman"/>
          <w:color w:val="auto"/>
          <w:sz w:val="24"/>
          <w:szCs w:val="24"/>
          <w:highlight w:val="none"/>
          <w:lang w:val="zh-CN" w:eastAsia="zh-CN"/>
        </w:rPr>
      </w:pPr>
      <w:r>
        <w:rPr>
          <w:rFonts w:hint="eastAsia" w:ascii="Times New Roman" w:hAnsi="Times New Roman" w:cs="Times New Roman"/>
          <w:color w:val="auto"/>
          <w:sz w:val="24"/>
          <w:szCs w:val="24"/>
          <w:highlight w:val="none"/>
          <w:lang w:val="zh-CN" w:eastAsia="zh-CN"/>
        </w:rPr>
        <w:t>图</w:t>
      </w:r>
      <w:r>
        <w:rPr>
          <w:rFonts w:hint="eastAsia" w:ascii="Times New Roman" w:hAnsi="Times New Roman" w:cs="Times New Roman"/>
          <w:color w:val="auto"/>
          <w:sz w:val="24"/>
          <w:szCs w:val="24"/>
          <w:highlight w:val="none"/>
          <w:lang w:val="en-US" w:eastAsia="zh-CN"/>
        </w:rPr>
        <w:t xml:space="preserve">3-1  </w:t>
      </w:r>
      <w:r>
        <w:rPr>
          <w:rFonts w:hint="eastAsia" w:ascii="Times New Roman" w:hAnsi="Times New Roman" w:eastAsia="宋体" w:cs="Times New Roman"/>
          <w:color w:val="auto"/>
          <w:sz w:val="24"/>
          <w:szCs w:val="24"/>
          <w:highlight w:val="none"/>
          <w:lang w:val="zh-CN" w:eastAsia="zh-CN"/>
        </w:rPr>
        <w:t>绥化市庆安县发展乡饮用水水源保护区划分图</w:t>
      </w:r>
    </w:p>
    <w:p w14:paraId="780202D6">
      <w:pPr>
        <w:ind w:firstLine="480"/>
        <w:rPr>
          <w:rFonts w:hint="eastAsia"/>
          <w:color w:val="auto"/>
          <w:highlight w:val="none"/>
        </w:rPr>
        <w:sectPr>
          <w:pgSz w:w="16838" w:h="11905" w:orient="landscape"/>
          <w:pgMar w:top="1474" w:right="1474" w:bottom="1474" w:left="1474" w:header="964" w:footer="992" w:gutter="0"/>
          <w:pgBorders>
            <w:top w:val="none" w:sz="0" w:space="0"/>
            <w:left w:val="none" w:sz="0" w:space="0"/>
            <w:bottom w:val="none" w:sz="0" w:space="0"/>
            <w:right w:val="none" w:sz="0" w:space="0"/>
          </w:pgBorders>
          <w:pgNumType w:fmt="decimal"/>
          <w:cols w:space="720" w:num="1"/>
          <w:docGrid w:type="linesAndChars" w:linePitch="347" w:charSpace="-1024"/>
        </w:sectPr>
      </w:pPr>
    </w:p>
    <w:p w14:paraId="11A9233B">
      <w:pPr>
        <w:pStyle w:val="5"/>
        <w:bidi w:val="0"/>
        <w:ind w:firstLine="472" w:firstLineChars="200"/>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（2）绥化市庆安县建民乡饮用水水源地</w:t>
      </w:r>
    </w:p>
    <w:p w14:paraId="3E7D0C57">
      <w:pPr>
        <w:ind w:firstLine="480"/>
        <w:rPr>
          <w:rFonts w:hint="eastAsia"/>
          <w:color w:val="auto"/>
          <w:highlight w:val="none"/>
        </w:rPr>
        <w:sectPr>
          <w:pgSz w:w="11905" w:h="16838"/>
          <w:pgMar w:top="1474" w:right="1474" w:bottom="1474" w:left="1474" w:header="964" w:footer="992" w:gutter="0"/>
          <w:pgBorders>
            <w:top w:val="none" w:sz="0" w:space="0"/>
            <w:left w:val="none" w:sz="0" w:space="0"/>
            <w:bottom w:val="none" w:sz="0" w:space="0"/>
            <w:right w:val="none" w:sz="0" w:space="0"/>
          </w:pgBorders>
          <w:pgNumType w:fmt="decimal"/>
          <w:cols w:space="720" w:num="1"/>
          <w:docGrid w:type="linesAndChars" w:linePitch="347" w:charSpace="-1024"/>
        </w:sectPr>
      </w:pPr>
      <w:r>
        <w:rPr>
          <w:rFonts w:hint="eastAsia"/>
          <w:color w:val="auto"/>
          <w:highlight w:val="none"/>
          <w:lang w:eastAsia="zh-CN"/>
        </w:rPr>
        <w:t>绥化市庆安县建民乡饮用水水源地</w:t>
      </w:r>
      <w:r>
        <w:rPr>
          <w:rFonts w:hint="eastAsia" w:ascii="Times New Roman" w:hAnsi="Times New Roman" w:cs="Times New Roman"/>
          <w:color w:val="auto"/>
          <w:kern w:val="0"/>
          <w:sz w:val="24"/>
          <w:szCs w:val="24"/>
          <w:highlight w:val="none"/>
          <w:lang w:val="en-US" w:eastAsia="zh-CN"/>
        </w:rPr>
        <w:t>利用的是</w:t>
      </w:r>
      <w:r>
        <w:rPr>
          <w:rFonts w:hint="eastAsia" w:ascii="Times New Roman" w:hAnsi="Times New Roman" w:cs="Times New Roman"/>
          <w:color w:val="auto"/>
          <w:highlight w:val="none"/>
          <w:lang w:eastAsia="zh-CN"/>
        </w:rPr>
        <w:t>孔隙—裂隙承压水层</w:t>
      </w:r>
      <w:r>
        <w:rPr>
          <w:rFonts w:hint="eastAsia" w:ascii="Times New Roman" w:hAnsi="Times New Roman" w:cs="Times New Roman"/>
          <w:color w:val="auto"/>
          <w:kern w:val="0"/>
          <w:sz w:val="24"/>
          <w:szCs w:val="24"/>
          <w:highlight w:val="none"/>
          <w:lang w:val="en-US" w:eastAsia="zh-CN"/>
        </w:rPr>
        <w:t>。</w:t>
      </w:r>
      <w:r>
        <w:rPr>
          <w:rFonts w:hint="eastAsia" w:ascii="Times New Roman" w:hAnsi="Times New Roman" w:eastAsia="宋体" w:cs="Times New Roman"/>
          <w:color w:val="auto"/>
          <w:kern w:val="0"/>
          <w:sz w:val="24"/>
          <w:szCs w:val="24"/>
          <w:highlight w:val="none"/>
          <w:lang w:val="en-US" w:eastAsia="zh-CN"/>
        </w:rPr>
        <w:t>水源地设有水井</w:t>
      </w:r>
      <w:r>
        <w:rPr>
          <w:rFonts w:hint="eastAsia" w:cs="Times New Roman"/>
          <w:color w:val="auto"/>
          <w:kern w:val="0"/>
          <w:sz w:val="24"/>
          <w:szCs w:val="24"/>
          <w:highlight w:val="none"/>
          <w:lang w:val="en-US" w:eastAsia="zh-CN"/>
        </w:rPr>
        <w:t>3</w:t>
      </w:r>
      <w:r>
        <w:rPr>
          <w:rFonts w:hint="eastAsia" w:ascii="Times New Roman" w:hAnsi="Times New Roman" w:eastAsia="宋体" w:cs="Times New Roman"/>
          <w:color w:val="auto"/>
          <w:kern w:val="0"/>
          <w:sz w:val="24"/>
          <w:szCs w:val="24"/>
          <w:highlight w:val="none"/>
          <w:lang w:val="en-US" w:eastAsia="zh-CN"/>
        </w:rPr>
        <w:t>眼，取水井井深均为90</w:t>
      </w:r>
      <w:r>
        <w:rPr>
          <w:rFonts w:hint="eastAsia" w:cs="Times New Roman"/>
          <w:color w:val="auto"/>
          <w:kern w:val="0"/>
          <w:sz w:val="24"/>
          <w:szCs w:val="24"/>
          <w:highlight w:val="none"/>
          <w:lang w:val="en-US" w:eastAsia="zh-CN"/>
        </w:rPr>
        <w:t>米</w:t>
      </w:r>
      <w:r>
        <w:rPr>
          <w:rFonts w:hint="eastAsia" w:ascii="Times New Roman" w:hAnsi="Times New Roman" w:eastAsia="宋体" w:cs="Times New Roman"/>
          <w:color w:val="auto"/>
          <w:kern w:val="0"/>
          <w:sz w:val="24"/>
          <w:szCs w:val="24"/>
          <w:highlight w:val="none"/>
          <w:lang w:val="en-US" w:eastAsia="zh-CN"/>
        </w:rPr>
        <w:t>，其表层为腐殖土、黄土、</w:t>
      </w:r>
      <w:r>
        <w:rPr>
          <w:rFonts w:hint="eastAsia" w:cs="Times New Roman"/>
          <w:color w:val="auto"/>
          <w:kern w:val="0"/>
          <w:sz w:val="24"/>
          <w:szCs w:val="24"/>
          <w:highlight w:val="none"/>
          <w:lang w:val="en-US" w:eastAsia="zh-CN"/>
        </w:rPr>
        <w:t>粉质粘土</w:t>
      </w:r>
      <w:r>
        <w:rPr>
          <w:rFonts w:hint="eastAsia" w:ascii="Times New Roman" w:hAnsi="Times New Roman" w:eastAsia="宋体" w:cs="Times New Roman"/>
          <w:color w:val="auto"/>
          <w:kern w:val="0"/>
          <w:sz w:val="24"/>
          <w:szCs w:val="24"/>
          <w:highlight w:val="none"/>
          <w:lang w:val="en-US" w:eastAsia="zh-CN"/>
        </w:rPr>
        <w:t>，构成稳定隔</w:t>
      </w:r>
      <w:r>
        <w:rPr>
          <w:rFonts w:hint="eastAsia"/>
          <w:color w:val="auto"/>
          <w:sz w:val="24"/>
          <w:szCs w:val="24"/>
          <w:highlight w:val="none"/>
        </w:rPr>
        <w:t>水顶板</w:t>
      </w:r>
      <w:r>
        <w:rPr>
          <w:rFonts w:hint="eastAsia" w:ascii="Times New Roman" w:hAnsi="Times New Roman" w:cs="Times New Roman"/>
          <w:color w:val="auto"/>
          <w:kern w:val="0"/>
          <w:sz w:val="24"/>
          <w:szCs w:val="24"/>
          <w:highlight w:val="none"/>
          <w:lang w:val="en-US" w:eastAsia="zh-CN"/>
        </w:rPr>
        <w:t>。</w:t>
      </w:r>
      <w:r>
        <w:rPr>
          <w:rFonts w:hint="eastAsia" w:cs="Times New Roman"/>
          <w:color w:val="auto"/>
          <w:sz w:val="24"/>
          <w:szCs w:val="24"/>
          <w:highlight w:val="none"/>
          <w:lang w:val="en-US" w:eastAsia="zh-CN"/>
        </w:rPr>
        <w:t>因此，参照</w:t>
      </w:r>
      <w:r>
        <w:rPr>
          <w:rFonts w:hint="eastAsia"/>
          <w:color w:val="auto"/>
          <w:highlight w:val="none"/>
        </w:rPr>
        <w:t>孔隙</w:t>
      </w:r>
      <w:r>
        <w:rPr>
          <w:rFonts w:hint="eastAsia"/>
          <w:color w:val="auto"/>
          <w:highlight w:val="none"/>
          <w:lang w:eastAsia="zh-CN"/>
        </w:rPr>
        <w:t>、</w:t>
      </w:r>
      <w:r>
        <w:rPr>
          <w:rFonts w:hint="eastAsia"/>
          <w:color w:val="auto"/>
          <w:highlight w:val="none"/>
        </w:rPr>
        <w:t>裂隙</w:t>
      </w:r>
      <w:r>
        <w:rPr>
          <w:rFonts w:hint="eastAsia" w:cs="Times New Roman"/>
          <w:color w:val="auto"/>
          <w:sz w:val="24"/>
          <w:szCs w:val="24"/>
          <w:highlight w:val="none"/>
          <w:lang w:val="en-US" w:eastAsia="zh-CN"/>
        </w:rPr>
        <w:t>水潜水型水源地保护区范围经验值，取细砂一级保护区半径经验值的下限，即30</w:t>
      </w:r>
      <w:r>
        <w:rPr>
          <w:rFonts w:hint="eastAsia" w:cs="Times New Roman"/>
          <w:color w:val="auto"/>
          <w:kern w:val="0"/>
          <w:sz w:val="24"/>
          <w:szCs w:val="24"/>
          <w:highlight w:val="none"/>
          <w:lang w:val="en-US" w:eastAsia="zh-CN"/>
        </w:rPr>
        <w:t>米</w:t>
      </w:r>
      <w:r>
        <w:rPr>
          <w:rFonts w:hint="eastAsia" w:cs="Times New Roman"/>
          <w:color w:val="auto"/>
          <w:sz w:val="24"/>
          <w:szCs w:val="24"/>
          <w:highlight w:val="none"/>
          <w:lang w:val="en-US" w:eastAsia="zh-CN"/>
        </w:rPr>
        <w:t>，作为水源地的一级保护区半径。</w:t>
      </w:r>
      <w:r>
        <w:rPr>
          <w:rFonts w:hint="eastAsia" w:ascii="Times New Roman" w:hAnsi="Times New Roman" w:eastAsia="宋体" w:cs="Times New Roman"/>
          <w:color w:val="auto"/>
          <w:sz w:val="24"/>
          <w:szCs w:val="24"/>
          <w:highlight w:val="none"/>
          <w:lang w:val="en-US" w:eastAsia="zh-CN"/>
        </w:rPr>
        <w:t>一级保护区范围：分别以3眼取水井为圆心，30米为半径的圆形区域，一级保护区总面积为</w:t>
      </w:r>
      <w:r>
        <w:rPr>
          <w:rFonts w:hint="eastAsia"/>
          <w:color w:val="auto"/>
          <w:highlight w:val="none"/>
          <w:lang w:val="en-US" w:eastAsia="zh-CN"/>
        </w:rPr>
        <w:t>8478</w:t>
      </w:r>
      <w:r>
        <w:rPr>
          <w:rFonts w:hint="eastAsia"/>
          <w:color w:val="auto"/>
          <w:highlight w:val="none"/>
        </w:rPr>
        <w:t>平方米。</w:t>
      </w:r>
    </w:p>
    <w:p w14:paraId="43BD991C">
      <w:pPr>
        <w:pStyle w:val="13"/>
        <w:spacing w:line="360" w:lineRule="auto"/>
        <w:ind w:left="0" w:leftChars="0" w:firstLine="0" w:firstLineChars="0"/>
        <w:jc w:val="center"/>
        <w:rPr>
          <w:rFonts w:hint="eastAsia" w:ascii="Times New Roman" w:hAnsi="Times New Roman" w:eastAsia="宋体" w:cs="Times New Roman"/>
          <w:color w:val="auto"/>
          <w:sz w:val="24"/>
          <w:szCs w:val="24"/>
          <w:highlight w:val="none"/>
          <w:lang w:val="zh-CN" w:eastAsia="zh-CN"/>
        </w:rPr>
      </w:pPr>
      <w:r>
        <w:rPr>
          <w:rFonts w:hint="eastAsia" w:ascii="Times New Roman" w:hAnsi="Times New Roman" w:eastAsia="宋体" w:cs="Times New Roman"/>
          <w:color w:val="auto"/>
          <w:sz w:val="24"/>
          <w:szCs w:val="24"/>
          <w:highlight w:val="none"/>
          <w:lang w:val="zh-CN" w:eastAsia="zh-CN"/>
        </w:rPr>
        <w:drawing>
          <wp:inline distT="0" distB="0" distL="114300" distR="114300">
            <wp:extent cx="6989445" cy="5024120"/>
            <wp:effectExtent l="0" t="0" r="1905" b="5080"/>
            <wp:docPr id="26" name="图片 26" descr="建民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建民乡"/>
                    <pic:cNvPicPr>
                      <a:picLocks noChangeAspect="1"/>
                    </pic:cNvPicPr>
                  </pic:nvPicPr>
                  <pic:blipFill>
                    <a:blip r:embed="rId85"/>
                    <a:stretch>
                      <a:fillRect/>
                    </a:stretch>
                  </pic:blipFill>
                  <pic:spPr>
                    <a:xfrm>
                      <a:off x="0" y="0"/>
                      <a:ext cx="6989445" cy="5024120"/>
                    </a:xfrm>
                    <a:prstGeom prst="rect">
                      <a:avLst/>
                    </a:prstGeom>
                  </pic:spPr>
                </pic:pic>
              </a:graphicData>
            </a:graphic>
          </wp:inline>
        </w:drawing>
      </w:r>
    </w:p>
    <w:p w14:paraId="3833FA7B">
      <w:pPr>
        <w:pStyle w:val="13"/>
        <w:spacing w:line="360" w:lineRule="auto"/>
        <w:ind w:left="0" w:leftChars="0" w:firstLine="0" w:firstLineChars="0"/>
        <w:jc w:val="center"/>
        <w:rPr>
          <w:rFonts w:hint="eastAsia" w:ascii="Times New Roman" w:hAnsi="Times New Roman" w:eastAsia="宋体" w:cs="Times New Roman"/>
          <w:color w:val="auto"/>
          <w:sz w:val="24"/>
          <w:szCs w:val="24"/>
          <w:highlight w:val="none"/>
          <w:lang w:val="zh-CN" w:eastAsia="zh-CN"/>
        </w:rPr>
      </w:pPr>
      <w:r>
        <w:rPr>
          <w:rFonts w:hint="eastAsia" w:ascii="Times New Roman" w:hAnsi="Times New Roman" w:cs="Times New Roman"/>
          <w:color w:val="auto"/>
          <w:sz w:val="24"/>
          <w:szCs w:val="24"/>
          <w:highlight w:val="none"/>
          <w:lang w:val="zh-CN" w:eastAsia="zh-CN"/>
        </w:rPr>
        <w:t>图</w:t>
      </w:r>
      <w:r>
        <w:rPr>
          <w:rFonts w:hint="eastAsia" w:ascii="Times New Roman" w:hAnsi="Times New Roman" w:cs="Times New Roman"/>
          <w:color w:val="auto"/>
          <w:sz w:val="24"/>
          <w:szCs w:val="24"/>
          <w:highlight w:val="none"/>
          <w:lang w:val="en-US" w:eastAsia="zh-CN"/>
        </w:rPr>
        <w:t xml:space="preserve">3-2  </w:t>
      </w:r>
      <w:r>
        <w:rPr>
          <w:rFonts w:hint="eastAsia" w:ascii="Times New Roman" w:hAnsi="Times New Roman" w:eastAsia="宋体" w:cs="Times New Roman"/>
          <w:color w:val="auto"/>
          <w:sz w:val="24"/>
          <w:szCs w:val="24"/>
          <w:highlight w:val="none"/>
          <w:lang w:val="zh-CN" w:eastAsia="zh-CN"/>
        </w:rPr>
        <w:t>绥化市庆安县建民乡饮用水水源保护区划分图</w:t>
      </w:r>
    </w:p>
    <w:p w14:paraId="58DC6853">
      <w:pPr>
        <w:ind w:firstLine="480"/>
        <w:rPr>
          <w:rFonts w:hint="eastAsia"/>
          <w:color w:val="auto"/>
          <w:highlight w:val="none"/>
        </w:rPr>
        <w:sectPr>
          <w:pgSz w:w="16838" w:h="11905" w:orient="landscape"/>
          <w:pgMar w:top="1474" w:right="1474" w:bottom="1474" w:left="1474" w:header="964" w:footer="992" w:gutter="0"/>
          <w:pgBorders>
            <w:top w:val="none" w:sz="0" w:space="0"/>
            <w:left w:val="none" w:sz="0" w:space="0"/>
            <w:bottom w:val="none" w:sz="0" w:space="0"/>
            <w:right w:val="none" w:sz="0" w:space="0"/>
          </w:pgBorders>
          <w:pgNumType w:fmt="decimal"/>
          <w:cols w:space="720" w:num="1"/>
          <w:docGrid w:type="linesAndChars" w:linePitch="347" w:charSpace="-1024"/>
        </w:sectPr>
      </w:pPr>
    </w:p>
    <w:p w14:paraId="27027E55">
      <w:pPr>
        <w:pStyle w:val="5"/>
        <w:bidi w:val="0"/>
        <w:ind w:firstLine="472" w:firstLineChars="200"/>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（3）绥化市庆安县同乐镇饮用水水源地</w:t>
      </w:r>
    </w:p>
    <w:p w14:paraId="12A00E7E">
      <w:pPr>
        <w:ind w:firstLine="480"/>
        <w:rPr>
          <w:rFonts w:hint="eastAsia"/>
          <w:color w:val="auto"/>
          <w:highlight w:val="none"/>
        </w:rPr>
        <w:sectPr>
          <w:pgSz w:w="11905" w:h="16838"/>
          <w:pgMar w:top="1474" w:right="1474" w:bottom="1474" w:left="1474" w:header="964" w:footer="992" w:gutter="0"/>
          <w:pgBorders>
            <w:top w:val="none" w:sz="0" w:space="0"/>
            <w:left w:val="none" w:sz="0" w:space="0"/>
            <w:bottom w:val="none" w:sz="0" w:space="0"/>
            <w:right w:val="none" w:sz="0" w:space="0"/>
          </w:pgBorders>
          <w:pgNumType w:fmt="decimal"/>
          <w:cols w:space="720" w:num="1"/>
          <w:docGrid w:type="linesAndChars" w:linePitch="347" w:charSpace="-1024"/>
        </w:sectPr>
      </w:pPr>
      <w:r>
        <w:rPr>
          <w:rFonts w:hint="eastAsia"/>
          <w:color w:val="auto"/>
          <w:highlight w:val="none"/>
          <w:lang w:eastAsia="zh-CN"/>
        </w:rPr>
        <w:t>绥化市庆安县同乐镇饮用水水源地</w:t>
      </w:r>
      <w:r>
        <w:rPr>
          <w:rFonts w:hint="eastAsia" w:ascii="Times New Roman" w:hAnsi="Times New Roman" w:cs="Times New Roman"/>
          <w:color w:val="auto"/>
          <w:kern w:val="0"/>
          <w:sz w:val="24"/>
          <w:szCs w:val="24"/>
          <w:highlight w:val="none"/>
          <w:lang w:val="en-US" w:eastAsia="zh-CN"/>
        </w:rPr>
        <w:t>利用的是</w:t>
      </w:r>
      <w:r>
        <w:rPr>
          <w:rFonts w:hint="eastAsia" w:ascii="Times New Roman" w:hAnsi="Times New Roman" w:cs="Times New Roman"/>
          <w:color w:val="auto"/>
          <w:highlight w:val="none"/>
          <w:lang w:eastAsia="zh-CN"/>
        </w:rPr>
        <w:t>孔隙—裂隙承压水层</w:t>
      </w:r>
      <w:r>
        <w:rPr>
          <w:rFonts w:hint="eastAsia" w:ascii="Times New Roman" w:hAnsi="Times New Roman" w:cs="Times New Roman"/>
          <w:color w:val="auto"/>
          <w:kern w:val="0"/>
          <w:sz w:val="24"/>
          <w:szCs w:val="24"/>
          <w:highlight w:val="none"/>
          <w:lang w:val="en-US" w:eastAsia="zh-CN"/>
        </w:rPr>
        <w:t>。</w:t>
      </w:r>
      <w:r>
        <w:rPr>
          <w:rFonts w:hint="eastAsia" w:ascii="Times New Roman" w:hAnsi="Times New Roman" w:eastAsia="宋体" w:cs="Times New Roman"/>
          <w:color w:val="auto"/>
          <w:kern w:val="0"/>
          <w:sz w:val="24"/>
          <w:szCs w:val="24"/>
          <w:highlight w:val="none"/>
          <w:lang w:val="en-US" w:eastAsia="zh-CN"/>
        </w:rPr>
        <w:t>水源地设有水井</w:t>
      </w:r>
      <w:r>
        <w:rPr>
          <w:rFonts w:hint="eastAsia" w:cs="Times New Roman"/>
          <w:color w:val="auto"/>
          <w:kern w:val="0"/>
          <w:sz w:val="24"/>
          <w:szCs w:val="24"/>
          <w:highlight w:val="none"/>
          <w:lang w:val="en-US" w:eastAsia="zh-CN"/>
        </w:rPr>
        <w:t>3</w:t>
      </w:r>
      <w:r>
        <w:rPr>
          <w:rFonts w:hint="eastAsia" w:ascii="Times New Roman" w:hAnsi="Times New Roman" w:eastAsia="宋体" w:cs="Times New Roman"/>
          <w:color w:val="auto"/>
          <w:kern w:val="0"/>
          <w:sz w:val="24"/>
          <w:szCs w:val="24"/>
          <w:highlight w:val="none"/>
          <w:lang w:val="en-US" w:eastAsia="zh-CN"/>
        </w:rPr>
        <w:t>眼，取水井井深均为90</w:t>
      </w:r>
      <w:r>
        <w:rPr>
          <w:rFonts w:hint="eastAsia" w:cs="Times New Roman"/>
          <w:color w:val="auto"/>
          <w:kern w:val="0"/>
          <w:sz w:val="24"/>
          <w:szCs w:val="24"/>
          <w:highlight w:val="none"/>
          <w:lang w:val="en-US" w:eastAsia="zh-CN"/>
        </w:rPr>
        <w:t>米</w:t>
      </w:r>
      <w:r>
        <w:rPr>
          <w:rFonts w:hint="eastAsia" w:ascii="Times New Roman" w:hAnsi="Times New Roman" w:eastAsia="宋体" w:cs="Times New Roman"/>
          <w:color w:val="auto"/>
          <w:kern w:val="0"/>
          <w:sz w:val="24"/>
          <w:szCs w:val="24"/>
          <w:highlight w:val="none"/>
          <w:lang w:val="en-US" w:eastAsia="zh-CN"/>
        </w:rPr>
        <w:t>，其表层为腐殖土、黄土、</w:t>
      </w:r>
      <w:r>
        <w:rPr>
          <w:rFonts w:hint="eastAsia" w:cs="Times New Roman"/>
          <w:color w:val="auto"/>
          <w:kern w:val="0"/>
          <w:sz w:val="24"/>
          <w:szCs w:val="24"/>
          <w:highlight w:val="none"/>
          <w:lang w:val="en-US" w:eastAsia="zh-CN"/>
        </w:rPr>
        <w:t>粉质粘土</w:t>
      </w:r>
      <w:r>
        <w:rPr>
          <w:rFonts w:hint="eastAsia" w:ascii="Times New Roman" w:hAnsi="Times New Roman" w:eastAsia="宋体" w:cs="Times New Roman"/>
          <w:color w:val="auto"/>
          <w:kern w:val="0"/>
          <w:sz w:val="24"/>
          <w:szCs w:val="24"/>
          <w:highlight w:val="none"/>
          <w:lang w:val="en-US" w:eastAsia="zh-CN"/>
        </w:rPr>
        <w:t>，构成稳定隔</w:t>
      </w:r>
      <w:r>
        <w:rPr>
          <w:rFonts w:hint="eastAsia"/>
          <w:color w:val="auto"/>
          <w:sz w:val="24"/>
          <w:szCs w:val="24"/>
          <w:highlight w:val="none"/>
        </w:rPr>
        <w:t>水顶板</w:t>
      </w:r>
      <w:r>
        <w:rPr>
          <w:rFonts w:hint="eastAsia" w:ascii="Times New Roman" w:hAnsi="Times New Roman" w:cs="Times New Roman"/>
          <w:color w:val="auto"/>
          <w:kern w:val="0"/>
          <w:sz w:val="24"/>
          <w:szCs w:val="24"/>
          <w:highlight w:val="none"/>
          <w:lang w:val="en-US" w:eastAsia="zh-CN"/>
        </w:rPr>
        <w:t>。</w:t>
      </w:r>
      <w:r>
        <w:rPr>
          <w:rFonts w:hint="eastAsia" w:cs="Times New Roman"/>
          <w:color w:val="auto"/>
          <w:sz w:val="24"/>
          <w:szCs w:val="24"/>
          <w:highlight w:val="none"/>
          <w:lang w:val="en-US" w:eastAsia="zh-CN"/>
        </w:rPr>
        <w:t>因此，参照</w:t>
      </w:r>
      <w:r>
        <w:rPr>
          <w:rFonts w:hint="eastAsia"/>
          <w:color w:val="auto"/>
          <w:highlight w:val="none"/>
        </w:rPr>
        <w:t>孔隙</w:t>
      </w:r>
      <w:r>
        <w:rPr>
          <w:rFonts w:hint="eastAsia"/>
          <w:color w:val="auto"/>
          <w:highlight w:val="none"/>
          <w:lang w:eastAsia="zh-CN"/>
        </w:rPr>
        <w:t>、</w:t>
      </w:r>
      <w:r>
        <w:rPr>
          <w:rFonts w:hint="eastAsia"/>
          <w:color w:val="auto"/>
          <w:highlight w:val="none"/>
        </w:rPr>
        <w:t>裂隙</w:t>
      </w:r>
      <w:r>
        <w:rPr>
          <w:rFonts w:hint="eastAsia" w:cs="Times New Roman"/>
          <w:color w:val="auto"/>
          <w:sz w:val="24"/>
          <w:szCs w:val="24"/>
          <w:highlight w:val="none"/>
          <w:lang w:val="en-US" w:eastAsia="zh-CN"/>
        </w:rPr>
        <w:t>水潜水型水源地保护区范围经验值，取细砂一级保护区半径经验值的下限，即30</w:t>
      </w:r>
      <w:r>
        <w:rPr>
          <w:rFonts w:hint="eastAsia" w:cs="Times New Roman"/>
          <w:color w:val="auto"/>
          <w:kern w:val="0"/>
          <w:sz w:val="24"/>
          <w:szCs w:val="24"/>
          <w:highlight w:val="none"/>
          <w:lang w:val="en-US" w:eastAsia="zh-CN"/>
        </w:rPr>
        <w:t>米</w:t>
      </w:r>
      <w:r>
        <w:rPr>
          <w:rFonts w:hint="eastAsia" w:cs="Times New Roman"/>
          <w:color w:val="auto"/>
          <w:sz w:val="24"/>
          <w:szCs w:val="24"/>
          <w:highlight w:val="none"/>
          <w:lang w:val="en-US" w:eastAsia="zh-CN"/>
        </w:rPr>
        <w:t>，作为水源地的一级保护区半径。</w:t>
      </w:r>
      <w:r>
        <w:rPr>
          <w:rFonts w:hint="eastAsia" w:ascii="Times New Roman" w:hAnsi="Times New Roman" w:eastAsia="宋体" w:cs="Times New Roman"/>
          <w:color w:val="auto"/>
          <w:sz w:val="24"/>
          <w:szCs w:val="24"/>
          <w:highlight w:val="none"/>
          <w:lang w:val="en-US" w:eastAsia="zh-CN"/>
        </w:rPr>
        <w:t>一级保护区范围：分别以3眼取水井为圆心，30米为半径的圆形区域，一级保护区总面积为</w:t>
      </w:r>
      <w:r>
        <w:rPr>
          <w:rFonts w:hint="eastAsia"/>
          <w:color w:val="auto"/>
          <w:highlight w:val="none"/>
          <w:lang w:val="en-US" w:eastAsia="zh-CN"/>
        </w:rPr>
        <w:t>8478</w:t>
      </w:r>
      <w:r>
        <w:rPr>
          <w:rFonts w:hint="eastAsia"/>
          <w:color w:val="auto"/>
          <w:highlight w:val="none"/>
        </w:rPr>
        <w:t>平方米。</w:t>
      </w:r>
    </w:p>
    <w:p w14:paraId="5F7B2CF7">
      <w:pPr>
        <w:pStyle w:val="13"/>
        <w:spacing w:line="360" w:lineRule="auto"/>
        <w:ind w:left="0" w:leftChars="0" w:firstLine="0" w:firstLineChars="0"/>
        <w:jc w:val="center"/>
        <w:rPr>
          <w:rFonts w:hint="eastAsia" w:ascii="Times New Roman" w:hAnsi="Times New Roman" w:eastAsia="宋体" w:cs="Times New Roman"/>
          <w:color w:val="auto"/>
          <w:sz w:val="24"/>
          <w:szCs w:val="24"/>
          <w:highlight w:val="none"/>
          <w:lang w:val="zh-CN" w:eastAsia="zh-CN"/>
        </w:rPr>
      </w:pPr>
      <w:r>
        <w:rPr>
          <w:rFonts w:hint="eastAsia" w:ascii="Times New Roman" w:hAnsi="Times New Roman" w:eastAsia="宋体" w:cs="Times New Roman"/>
          <w:color w:val="auto"/>
          <w:sz w:val="24"/>
          <w:szCs w:val="24"/>
          <w:highlight w:val="none"/>
          <w:lang w:val="zh-CN" w:eastAsia="zh-CN"/>
        </w:rPr>
        <w:drawing>
          <wp:inline distT="0" distB="0" distL="114300" distR="114300">
            <wp:extent cx="7284720" cy="5236210"/>
            <wp:effectExtent l="0" t="0" r="11430" b="2540"/>
            <wp:docPr id="32" name="图片 32" descr="同乐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同乐镇"/>
                    <pic:cNvPicPr>
                      <a:picLocks noChangeAspect="1"/>
                    </pic:cNvPicPr>
                  </pic:nvPicPr>
                  <pic:blipFill>
                    <a:blip r:embed="rId86"/>
                    <a:stretch>
                      <a:fillRect/>
                    </a:stretch>
                  </pic:blipFill>
                  <pic:spPr>
                    <a:xfrm>
                      <a:off x="0" y="0"/>
                      <a:ext cx="7284720" cy="5236210"/>
                    </a:xfrm>
                    <a:prstGeom prst="rect">
                      <a:avLst/>
                    </a:prstGeom>
                  </pic:spPr>
                </pic:pic>
              </a:graphicData>
            </a:graphic>
          </wp:inline>
        </w:drawing>
      </w:r>
    </w:p>
    <w:p w14:paraId="307E07A2">
      <w:pPr>
        <w:pStyle w:val="13"/>
        <w:spacing w:line="360" w:lineRule="auto"/>
        <w:ind w:left="0" w:leftChars="0" w:firstLine="0" w:firstLineChars="0"/>
        <w:jc w:val="center"/>
        <w:rPr>
          <w:rFonts w:hint="eastAsia" w:ascii="Times New Roman" w:hAnsi="Times New Roman" w:eastAsia="宋体" w:cs="Times New Roman"/>
          <w:color w:val="auto"/>
          <w:sz w:val="24"/>
          <w:szCs w:val="24"/>
          <w:highlight w:val="none"/>
          <w:lang w:val="zh-CN" w:eastAsia="zh-CN"/>
        </w:rPr>
      </w:pPr>
      <w:r>
        <w:rPr>
          <w:rFonts w:hint="eastAsia" w:ascii="Times New Roman" w:hAnsi="Times New Roman" w:cs="Times New Roman"/>
          <w:color w:val="auto"/>
          <w:sz w:val="24"/>
          <w:szCs w:val="24"/>
          <w:highlight w:val="none"/>
          <w:lang w:val="zh-CN" w:eastAsia="zh-CN"/>
        </w:rPr>
        <w:t>图</w:t>
      </w:r>
      <w:r>
        <w:rPr>
          <w:rFonts w:hint="eastAsia" w:ascii="Times New Roman" w:hAnsi="Times New Roman" w:cs="Times New Roman"/>
          <w:color w:val="auto"/>
          <w:sz w:val="24"/>
          <w:szCs w:val="24"/>
          <w:highlight w:val="none"/>
          <w:lang w:val="en-US" w:eastAsia="zh-CN"/>
        </w:rPr>
        <w:t xml:space="preserve">3-3  </w:t>
      </w:r>
      <w:r>
        <w:rPr>
          <w:rFonts w:hint="eastAsia" w:ascii="Times New Roman" w:hAnsi="Times New Roman" w:eastAsia="宋体" w:cs="Times New Roman"/>
          <w:color w:val="auto"/>
          <w:sz w:val="24"/>
          <w:szCs w:val="24"/>
          <w:highlight w:val="none"/>
          <w:lang w:val="zh-CN" w:eastAsia="zh-CN"/>
        </w:rPr>
        <w:t>绥化市庆安县同乐镇饮用水水源保护区划分图</w:t>
      </w:r>
    </w:p>
    <w:p w14:paraId="3BF81C1D">
      <w:pPr>
        <w:ind w:firstLine="480"/>
        <w:rPr>
          <w:rFonts w:hint="eastAsia"/>
          <w:color w:val="auto"/>
          <w:highlight w:val="none"/>
        </w:rPr>
        <w:sectPr>
          <w:pgSz w:w="16838" w:h="11905" w:orient="landscape"/>
          <w:pgMar w:top="1474" w:right="1474" w:bottom="1474" w:left="1474" w:header="964" w:footer="992" w:gutter="0"/>
          <w:pgBorders>
            <w:top w:val="none" w:sz="0" w:space="0"/>
            <w:left w:val="none" w:sz="0" w:space="0"/>
            <w:bottom w:val="none" w:sz="0" w:space="0"/>
            <w:right w:val="none" w:sz="0" w:space="0"/>
          </w:pgBorders>
          <w:pgNumType w:fmt="decimal"/>
          <w:cols w:space="720" w:num="1"/>
          <w:docGrid w:type="linesAndChars" w:linePitch="347" w:charSpace="-1024"/>
        </w:sectPr>
      </w:pPr>
    </w:p>
    <w:p w14:paraId="3D27BBFA">
      <w:pPr>
        <w:pStyle w:val="5"/>
        <w:bidi w:val="0"/>
        <w:ind w:firstLine="472" w:firstLineChars="200"/>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（4）绥化市庆安县柳河镇饮用水水源地</w:t>
      </w:r>
    </w:p>
    <w:p w14:paraId="0837292B">
      <w:pPr>
        <w:ind w:firstLine="480"/>
        <w:rPr>
          <w:rFonts w:hint="eastAsia"/>
          <w:color w:val="auto"/>
          <w:highlight w:val="none"/>
        </w:rPr>
        <w:sectPr>
          <w:pgSz w:w="11905" w:h="16838"/>
          <w:pgMar w:top="1474" w:right="1474" w:bottom="1474" w:left="1474" w:header="964" w:footer="992" w:gutter="0"/>
          <w:pgBorders>
            <w:top w:val="none" w:sz="0" w:space="0"/>
            <w:left w:val="none" w:sz="0" w:space="0"/>
            <w:bottom w:val="none" w:sz="0" w:space="0"/>
            <w:right w:val="none" w:sz="0" w:space="0"/>
          </w:pgBorders>
          <w:pgNumType w:fmt="decimal"/>
          <w:cols w:space="720" w:num="1"/>
          <w:docGrid w:type="linesAndChars" w:linePitch="347" w:charSpace="-1024"/>
        </w:sectPr>
      </w:pPr>
      <w:r>
        <w:rPr>
          <w:rFonts w:hint="eastAsia"/>
          <w:color w:val="auto"/>
          <w:highlight w:val="none"/>
          <w:lang w:eastAsia="zh-CN"/>
        </w:rPr>
        <w:t>绥化市庆安县柳河镇饮用水水源地</w:t>
      </w:r>
      <w:r>
        <w:rPr>
          <w:rFonts w:hint="eastAsia" w:ascii="Times New Roman" w:hAnsi="Times New Roman" w:cs="Times New Roman"/>
          <w:color w:val="auto"/>
          <w:kern w:val="0"/>
          <w:sz w:val="24"/>
          <w:szCs w:val="24"/>
          <w:highlight w:val="none"/>
          <w:lang w:val="en-US" w:eastAsia="zh-CN"/>
        </w:rPr>
        <w:t>利用的是</w:t>
      </w:r>
      <w:r>
        <w:rPr>
          <w:rFonts w:hint="eastAsia" w:ascii="Times New Roman" w:hAnsi="Times New Roman" w:cs="Times New Roman"/>
          <w:color w:val="auto"/>
          <w:highlight w:val="none"/>
          <w:lang w:eastAsia="zh-CN"/>
        </w:rPr>
        <w:t>孔隙—裂隙承压水层</w:t>
      </w:r>
      <w:r>
        <w:rPr>
          <w:rFonts w:hint="eastAsia" w:ascii="Times New Roman" w:hAnsi="Times New Roman" w:cs="Times New Roman"/>
          <w:color w:val="auto"/>
          <w:kern w:val="0"/>
          <w:sz w:val="24"/>
          <w:szCs w:val="24"/>
          <w:highlight w:val="none"/>
          <w:lang w:val="en-US" w:eastAsia="zh-CN"/>
        </w:rPr>
        <w:t>。</w:t>
      </w:r>
      <w:r>
        <w:rPr>
          <w:rFonts w:hint="eastAsia" w:ascii="Times New Roman" w:hAnsi="Times New Roman" w:eastAsia="宋体" w:cs="Times New Roman"/>
          <w:color w:val="auto"/>
          <w:kern w:val="0"/>
          <w:sz w:val="24"/>
          <w:szCs w:val="24"/>
          <w:highlight w:val="none"/>
          <w:lang w:val="en-US" w:eastAsia="zh-CN"/>
        </w:rPr>
        <w:t>水源地设有水井5眼，取水井井深均为90</w:t>
      </w:r>
      <w:r>
        <w:rPr>
          <w:rFonts w:hint="eastAsia" w:cs="Times New Roman"/>
          <w:color w:val="auto"/>
          <w:kern w:val="0"/>
          <w:sz w:val="24"/>
          <w:szCs w:val="24"/>
          <w:highlight w:val="none"/>
          <w:lang w:val="en-US" w:eastAsia="zh-CN"/>
        </w:rPr>
        <w:t>米</w:t>
      </w:r>
      <w:r>
        <w:rPr>
          <w:rFonts w:hint="eastAsia" w:ascii="Times New Roman" w:hAnsi="Times New Roman" w:eastAsia="宋体" w:cs="Times New Roman"/>
          <w:color w:val="auto"/>
          <w:kern w:val="0"/>
          <w:sz w:val="24"/>
          <w:szCs w:val="24"/>
          <w:highlight w:val="none"/>
          <w:lang w:val="en-US" w:eastAsia="zh-CN"/>
        </w:rPr>
        <w:t>，其表层为腐殖土、黄土、</w:t>
      </w:r>
      <w:r>
        <w:rPr>
          <w:rFonts w:hint="eastAsia" w:cs="Times New Roman"/>
          <w:color w:val="auto"/>
          <w:kern w:val="0"/>
          <w:sz w:val="24"/>
          <w:szCs w:val="24"/>
          <w:highlight w:val="none"/>
          <w:lang w:val="en-US" w:eastAsia="zh-CN"/>
        </w:rPr>
        <w:t>粉质粘土</w:t>
      </w:r>
      <w:r>
        <w:rPr>
          <w:rFonts w:hint="eastAsia" w:ascii="Times New Roman" w:hAnsi="Times New Roman" w:eastAsia="宋体" w:cs="Times New Roman"/>
          <w:color w:val="auto"/>
          <w:kern w:val="0"/>
          <w:sz w:val="24"/>
          <w:szCs w:val="24"/>
          <w:highlight w:val="none"/>
          <w:lang w:val="en-US" w:eastAsia="zh-CN"/>
        </w:rPr>
        <w:t>，构成稳定隔</w:t>
      </w:r>
      <w:r>
        <w:rPr>
          <w:rFonts w:hint="eastAsia"/>
          <w:color w:val="auto"/>
          <w:sz w:val="24"/>
          <w:szCs w:val="24"/>
          <w:highlight w:val="none"/>
        </w:rPr>
        <w:t>水顶板</w:t>
      </w:r>
      <w:r>
        <w:rPr>
          <w:rFonts w:hint="eastAsia" w:ascii="Times New Roman" w:hAnsi="Times New Roman" w:cs="Times New Roman"/>
          <w:color w:val="auto"/>
          <w:kern w:val="0"/>
          <w:sz w:val="24"/>
          <w:szCs w:val="24"/>
          <w:highlight w:val="none"/>
          <w:lang w:val="en-US" w:eastAsia="zh-CN"/>
        </w:rPr>
        <w:t>。</w:t>
      </w:r>
      <w:r>
        <w:rPr>
          <w:rFonts w:hint="eastAsia" w:cs="Times New Roman"/>
          <w:color w:val="auto"/>
          <w:sz w:val="24"/>
          <w:szCs w:val="24"/>
          <w:highlight w:val="none"/>
          <w:lang w:val="en-US" w:eastAsia="zh-CN"/>
        </w:rPr>
        <w:t>因此，参照</w:t>
      </w:r>
      <w:r>
        <w:rPr>
          <w:rFonts w:hint="eastAsia"/>
          <w:color w:val="auto"/>
          <w:highlight w:val="none"/>
        </w:rPr>
        <w:t>孔隙</w:t>
      </w:r>
      <w:r>
        <w:rPr>
          <w:rFonts w:hint="eastAsia"/>
          <w:color w:val="auto"/>
          <w:highlight w:val="none"/>
          <w:lang w:eastAsia="zh-CN"/>
        </w:rPr>
        <w:t>、</w:t>
      </w:r>
      <w:r>
        <w:rPr>
          <w:rFonts w:hint="eastAsia"/>
          <w:color w:val="auto"/>
          <w:highlight w:val="none"/>
        </w:rPr>
        <w:t>裂隙</w:t>
      </w:r>
      <w:r>
        <w:rPr>
          <w:rFonts w:hint="eastAsia" w:cs="Times New Roman"/>
          <w:color w:val="auto"/>
          <w:sz w:val="24"/>
          <w:szCs w:val="24"/>
          <w:highlight w:val="none"/>
          <w:lang w:val="en-US" w:eastAsia="zh-CN"/>
        </w:rPr>
        <w:t>水潜水型水源地保护区范围经验值，取细砂一级保护区半径经验值的下限，即30</w:t>
      </w:r>
      <w:r>
        <w:rPr>
          <w:rFonts w:hint="eastAsia" w:cs="Times New Roman"/>
          <w:color w:val="auto"/>
          <w:kern w:val="0"/>
          <w:sz w:val="24"/>
          <w:szCs w:val="24"/>
          <w:highlight w:val="none"/>
          <w:lang w:val="en-US" w:eastAsia="zh-CN"/>
        </w:rPr>
        <w:t>米</w:t>
      </w:r>
      <w:r>
        <w:rPr>
          <w:rFonts w:hint="eastAsia" w:cs="Times New Roman"/>
          <w:color w:val="auto"/>
          <w:sz w:val="24"/>
          <w:szCs w:val="24"/>
          <w:highlight w:val="none"/>
          <w:lang w:val="en-US" w:eastAsia="zh-CN"/>
        </w:rPr>
        <w:t>，作为水源地的一级保护区半径。</w:t>
      </w:r>
      <w:r>
        <w:rPr>
          <w:rFonts w:hint="eastAsia" w:ascii="Times New Roman" w:hAnsi="Times New Roman" w:eastAsia="宋体" w:cs="Times New Roman"/>
          <w:color w:val="auto"/>
          <w:sz w:val="24"/>
          <w:szCs w:val="24"/>
          <w:highlight w:val="none"/>
          <w:lang w:val="en-US" w:eastAsia="zh-CN"/>
        </w:rPr>
        <w:t>一级保护区范围：分别以5眼取水井为圆心，30米为半径的圆形区域，一级保护区总面积为</w:t>
      </w:r>
      <w:r>
        <w:rPr>
          <w:rFonts w:hint="eastAsia"/>
          <w:color w:val="auto"/>
          <w:highlight w:val="none"/>
          <w:lang w:val="en-US" w:eastAsia="zh-CN"/>
        </w:rPr>
        <w:t>14130</w:t>
      </w:r>
      <w:r>
        <w:rPr>
          <w:rFonts w:hint="eastAsia"/>
          <w:color w:val="auto"/>
          <w:highlight w:val="none"/>
        </w:rPr>
        <w:t>平方米。</w:t>
      </w:r>
    </w:p>
    <w:p w14:paraId="01C0EDAA">
      <w:pPr>
        <w:pStyle w:val="13"/>
        <w:spacing w:line="360" w:lineRule="auto"/>
        <w:ind w:left="0" w:leftChars="0" w:firstLine="0" w:firstLineChars="0"/>
        <w:jc w:val="center"/>
        <w:rPr>
          <w:rFonts w:hint="eastAsia" w:ascii="Times New Roman" w:hAnsi="Times New Roman" w:eastAsia="宋体" w:cs="Times New Roman"/>
          <w:color w:val="auto"/>
          <w:sz w:val="24"/>
          <w:szCs w:val="24"/>
          <w:highlight w:val="none"/>
          <w:lang w:val="zh-CN" w:eastAsia="zh-CN"/>
        </w:rPr>
      </w:pPr>
      <w:r>
        <w:rPr>
          <w:rFonts w:hint="eastAsia" w:ascii="Times New Roman" w:hAnsi="Times New Roman" w:eastAsia="宋体" w:cs="Times New Roman"/>
          <w:color w:val="auto"/>
          <w:sz w:val="24"/>
          <w:szCs w:val="24"/>
          <w:highlight w:val="none"/>
          <w:lang w:val="zh-CN" w:eastAsia="zh-CN"/>
        </w:rPr>
        <w:drawing>
          <wp:inline distT="0" distB="0" distL="114300" distR="114300">
            <wp:extent cx="7256780" cy="5215890"/>
            <wp:effectExtent l="0" t="0" r="1270" b="3810"/>
            <wp:docPr id="38" name="图片 38" descr="柳河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柳河镇"/>
                    <pic:cNvPicPr>
                      <a:picLocks noChangeAspect="1"/>
                    </pic:cNvPicPr>
                  </pic:nvPicPr>
                  <pic:blipFill>
                    <a:blip r:embed="rId87"/>
                    <a:stretch>
                      <a:fillRect/>
                    </a:stretch>
                  </pic:blipFill>
                  <pic:spPr>
                    <a:xfrm>
                      <a:off x="0" y="0"/>
                      <a:ext cx="7256780" cy="5215890"/>
                    </a:xfrm>
                    <a:prstGeom prst="rect">
                      <a:avLst/>
                    </a:prstGeom>
                  </pic:spPr>
                </pic:pic>
              </a:graphicData>
            </a:graphic>
          </wp:inline>
        </w:drawing>
      </w:r>
    </w:p>
    <w:p w14:paraId="38FE636D">
      <w:pPr>
        <w:pStyle w:val="13"/>
        <w:spacing w:line="360" w:lineRule="auto"/>
        <w:ind w:left="0" w:leftChars="0" w:firstLine="0" w:firstLineChars="0"/>
        <w:jc w:val="center"/>
        <w:rPr>
          <w:rFonts w:hint="eastAsia" w:ascii="Times New Roman" w:hAnsi="Times New Roman" w:eastAsia="宋体" w:cs="Times New Roman"/>
          <w:color w:val="auto"/>
          <w:sz w:val="24"/>
          <w:szCs w:val="24"/>
          <w:highlight w:val="none"/>
          <w:lang w:val="zh-CN" w:eastAsia="zh-CN"/>
        </w:rPr>
      </w:pPr>
      <w:r>
        <w:rPr>
          <w:rFonts w:hint="eastAsia" w:ascii="Times New Roman" w:hAnsi="Times New Roman" w:cs="Times New Roman"/>
          <w:color w:val="auto"/>
          <w:sz w:val="24"/>
          <w:szCs w:val="24"/>
          <w:highlight w:val="none"/>
          <w:lang w:val="zh-CN" w:eastAsia="zh-CN"/>
        </w:rPr>
        <w:t>图</w:t>
      </w:r>
      <w:r>
        <w:rPr>
          <w:rFonts w:hint="eastAsia" w:ascii="Times New Roman" w:hAnsi="Times New Roman" w:cs="Times New Roman"/>
          <w:color w:val="auto"/>
          <w:sz w:val="24"/>
          <w:szCs w:val="24"/>
          <w:highlight w:val="none"/>
          <w:lang w:val="en-US" w:eastAsia="zh-CN"/>
        </w:rPr>
        <w:t xml:space="preserve">3-4  </w:t>
      </w:r>
      <w:r>
        <w:rPr>
          <w:rFonts w:hint="eastAsia" w:ascii="Times New Roman" w:hAnsi="Times New Roman" w:eastAsia="宋体" w:cs="Times New Roman"/>
          <w:color w:val="auto"/>
          <w:sz w:val="24"/>
          <w:szCs w:val="24"/>
          <w:highlight w:val="none"/>
          <w:lang w:val="zh-CN" w:eastAsia="zh-CN"/>
        </w:rPr>
        <w:t>绥化市庆安县柳河镇饮用水水源保护区划分图</w:t>
      </w:r>
    </w:p>
    <w:p w14:paraId="1ECBB8D5">
      <w:pPr>
        <w:ind w:firstLine="480"/>
        <w:rPr>
          <w:rFonts w:hint="eastAsia"/>
          <w:color w:val="auto"/>
          <w:highlight w:val="none"/>
        </w:rPr>
        <w:sectPr>
          <w:pgSz w:w="16838" w:h="11905" w:orient="landscape"/>
          <w:pgMar w:top="1474" w:right="1474" w:bottom="1474" w:left="1474" w:header="964" w:footer="992" w:gutter="0"/>
          <w:pgBorders>
            <w:top w:val="none" w:sz="0" w:space="0"/>
            <w:left w:val="none" w:sz="0" w:space="0"/>
            <w:bottom w:val="none" w:sz="0" w:space="0"/>
            <w:right w:val="none" w:sz="0" w:space="0"/>
          </w:pgBorders>
          <w:pgNumType w:fmt="decimal"/>
          <w:cols w:space="720" w:num="1"/>
          <w:docGrid w:type="linesAndChars" w:linePitch="347" w:charSpace="-1024"/>
        </w:sectPr>
      </w:pPr>
    </w:p>
    <w:p w14:paraId="24287138">
      <w:pPr>
        <w:pStyle w:val="5"/>
        <w:bidi w:val="0"/>
        <w:ind w:firstLine="472" w:firstLineChars="200"/>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（5）绥化市庆安县丰收乡饮用水水源地</w:t>
      </w:r>
    </w:p>
    <w:p w14:paraId="7FF69896">
      <w:pPr>
        <w:ind w:firstLine="480"/>
        <w:rPr>
          <w:rFonts w:hint="eastAsia"/>
          <w:color w:val="auto"/>
          <w:highlight w:val="none"/>
        </w:rPr>
        <w:sectPr>
          <w:pgSz w:w="11905" w:h="16838"/>
          <w:pgMar w:top="1474" w:right="1474" w:bottom="1474" w:left="1474" w:header="964" w:footer="992" w:gutter="0"/>
          <w:pgBorders>
            <w:top w:val="none" w:sz="0" w:space="0"/>
            <w:left w:val="none" w:sz="0" w:space="0"/>
            <w:bottom w:val="none" w:sz="0" w:space="0"/>
            <w:right w:val="none" w:sz="0" w:space="0"/>
          </w:pgBorders>
          <w:pgNumType w:fmt="decimal"/>
          <w:cols w:space="720" w:num="1"/>
          <w:docGrid w:type="linesAndChars" w:linePitch="347" w:charSpace="-1024"/>
        </w:sectPr>
      </w:pPr>
      <w:r>
        <w:rPr>
          <w:rFonts w:hint="eastAsia"/>
          <w:color w:val="auto"/>
          <w:highlight w:val="none"/>
          <w:lang w:eastAsia="zh-CN"/>
        </w:rPr>
        <w:t>绥化市庆安县丰收乡饮用水水源地</w:t>
      </w:r>
      <w:r>
        <w:rPr>
          <w:rFonts w:hint="eastAsia" w:ascii="Times New Roman" w:hAnsi="Times New Roman" w:cs="Times New Roman"/>
          <w:color w:val="auto"/>
          <w:kern w:val="0"/>
          <w:sz w:val="24"/>
          <w:szCs w:val="24"/>
          <w:highlight w:val="none"/>
          <w:lang w:val="en-US" w:eastAsia="zh-CN"/>
        </w:rPr>
        <w:t>利用的是</w:t>
      </w:r>
      <w:r>
        <w:rPr>
          <w:rFonts w:hint="eastAsia" w:ascii="Times New Roman" w:hAnsi="Times New Roman" w:eastAsia="宋体" w:cs="Times New Roman"/>
          <w:color w:val="auto"/>
          <w:sz w:val="24"/>
          <w:szCs w:val="24"/>
          <w:highlight w:val="none"/>
        </w:rPr>
        <w:t>孔隙—裂隙承压水层</w:t>
      </w:r>
      <w:r>
        <w:rPr>
          <w:rFonts w:hint="eastAsia" w:ascii="Times New Roman" w:hAnsi="Times New Roman" w:cs="Times New Roman"/>
          <w:color w:val="auto"/>
          <w:kern w:val="0"/>
          <w:sz w:val="24"/>
          <w:szCs w:val="24"/>
          <w:highlight w:val="none"/>
          <w:lang w:val="en-US" w:eastAsia="zh-CN"/>
        </w:rPr>
        <w:t>。</w:t>
      </w:r>
      <w:r>
        <w:rPr>
          <w:rFonts w:hint="eastAsia" w:ascii="Times New Roman" w:hAnsi="Times New Roman" w:eastAsia="宋体" w:cs="Times New Roman"/>
          <w:color w:val="auto"/>
          <w:kern w:val="0"/>
          <w:sz w:val="24"/>
          <w:szCs w:val="24"/>
          <w:highlight w:val="none"/>
          <w:lang w:val="en-US" w:eastAsia="zh-CN"/>
        </w:rPr>
        <w:t>水源地设有水井3眼，取水井井深均为90</w:t>
      </w:r>
      <w:r>
        <w:rPr>
          <w:rFonts w:hint="eastAsia" w:cs="Times New Roman"/>
          <w:color w:val="auto"/>
          <w:kern w:val="0"/>
          <w:sz w:val="24"/>
          <w:szCs w:val="24"/>
          <w:highlight w:val="none"/>
          <w:lang w:val="en-US" w:eastAsia="zh-CN"/>
        </w:rPr>
        <w:t>米</w:t>
      </w:r>
      <w:r>
        <w:rPr>
          <w:rFonts w:hint="eastAsia" w:ascii="Times New Roman" w:hAnsi="Times New Roman" w:eastAsia="宋体" w:cs="Times New Roman"/>
          <w:color w:val="auto"/>
          <w:kern w:val="0"/>
          <w:sz w:val="24"/>
          <w:szCs w:val="24"/>
          <w:highlight w:val="none"/>
          <w:lang w:val="en-US" w:eastAsia="zh-CN"/>
        </w:rPr>
        <w:t>，其表层为腐殖土、黄土、</w:t>
      </w:r>
      <w:r>
        <w:rPr>
          <w:rFonts w:hint="eastAsia" w:cs="Times New Roman"/>
          <w:color w:val="auto"/>
          <w:kern w:val="0"/>
          <w:sz w:val="24"/>
          <w:szCs w:val="24"/>
          <w:highlight w:val="none"/>
          <w:lang w:val="en-US" w:eastAsia="zh-CN"/>
        </w:rPr>
        <w:t>粉质粘土</w:t>
      </w:r>
      <w:r>
        <w:rPr>
          <w:rFonts w:hint="eastAsia" w:ascii="Times New Roman" w:hAnsi="Times New Roman" w:eastAsia="宋体" w:cs="Times New Roman"/>
          <w:color w:val="auto"/>
          <w:kern w:val="0"/>
          <w:sz w:val="24"/>
          <w:szCs w:val="24"/>
          <w:highlight w:val="none"/>
          <w:lang w:val="en-US" w:eastAsia="zh-CN"/>
        </w:rPr>
        <w:t>，构成稳定隔</w:t>
      </w:r>
      <w:r>
        <w:rPr>
          <w:rFonts w:hint="eastAsia"/>
          <w:color w:val="auto"/>
          <w:sz w:val="24"/>
          <w:szCs w:val="24"/>
          <w:highlight w:val="none"/>
        </w:rPr>
        <w:t>水顶板</w:t>
      </w:r>
      <w:r>
        <w:rPr>
          <w:rFonts w:hint="eastAsia" w:ascii="Times New Roman" w:hAnsi="Times New Roman" w:cs="Times New Roman"/>
          <w:color w:val="auto"/>
          <w:kern w:val="0"/>
          <w:sz w:val="24"/>
          <w:szCs w:val="24"/>
          <w:highlight w:val="none"/>
          <w:lang w:val="en-US" w:eastAsia="zh-CN"/>
        </w:rPr>
        <w:t>。</w:t>
      </w:r>
      <w:r>
        <w:rPr>
          <w:rFonts w:hint="eastAsia" w:cs="Times New Roman"/>
          <w:color w:val="auto"/>
          <w:sz w:val="24"/>
          <w:szCs w:val="24"/>
          <w:highlight w:val="none"/>
          <w:lang w:val="en-US" w:eastAsia="zh-CN"/>
        </w:rPr>
        <w:t>因此，参照</w:t>
      </w:r>
      <w:r>
        <w:rPr>
          <w:rFonts w:hint="eastAsia"/>
          <w:color w:val="auto"/>
          <w:highlight w:val="none"/>
        </w:rPr>
        <w:t>孔隙</w:t>
      </w:r>
      <w:r>
        <w:rPr>
          <w:rFonts w:hint="eastAsia"/>
          <w:color w:val="auto"/>
          <w:highlight w:val="none"/>
          <w:lang w:eastAsia="zh-CN"/>
        </w:rPr>
        <w:t>、</w:t>
      </w:r>
      <w:r>
        <w:rPr>
          <w:rFonts w:hint="eastAsia"/>
          <w:color w:val="auto"/>
          <w:highlight w:val="none"/>
        </w:rPr>
        <w:t>裂隙</w:t>
      </w:r>
      <w:r>
        <w:rPr>
          <w:rFonts w:hint="eastAsia" w:cs="Times New Roman"/>
          <w:color w:val="auto"/>
          <w:sz w:val="24"/>
          <w:szCs w:val="24"/>
          <w:highlight w:val="none"/>
          <w:lang w:val="en-US" w:eastAsia="zh-CN"/>
        </w:rPr>
        <w:t>水潜水型水源地保护区范围经验值，取细砂一级保护区半径经验值的下限，即30</w:t>
      </w:r>
      <w:r>
        <w:rPr>
          <w:rFonts w:hint="eastAsia" w:cs="Times New Roman"/>
          <w:color w:val="auto"/>
          <w:kern w:val="0"/>
          <w:sz w:val="24"/>
          <w:szCs w:val="24"/>
          <w:highlight w:val="none"/>
          <w:lang w:val="en-US" w:eastAsia="zh-CN"/>
        </w:rPr>
        <w:t>米</w:t>
      </w:r>
      <w:r>
        <w:rPr>
          <w:rFonts w:hint="eastAsia" w:cs="Times New Roman"/>
          <w:color w:val="auto"/>
          <w:sz w:val="24"/>
          <w:szCs w:val="24"/>
          <w:highlight w:val="none"/>
          <w:lang w:val="en-US" w:eastAsia="zh-CN"/>
        </w:rPr>
        <w:t>，作为水源地的一级保护区半径。</w:t>
      </w:r>
      <w:r>
        <w:rPr>
          <w:rFonts w:hint="eastAsia" w:ascii="Times New Roman" w:hAnsi="Times New Roman" w:eastAsia="宋体" w:cs="Times New Roman"/>
          <w:color w:val="auto"/>
          <w:sz w:val="24"/>
          <w:szCs w:val="24"/>
          <w:highlight w:val="none"/>
          <w:lang w:val="en-US" w:eastAsia="zh-CN"/>
        </w:rPr>
        <w:t>一级保护区范围：分别以3眼取水井为圆心，30米为半径的圆形区域，一级保护区总面积为</w:t>
      </w:r>
      <w:r>
        <w:rPr>
          <w:rFonts w:hint="eastAsia"/>
          <w:color w:val="auto"/>
          <w:highlight w:val="none"/>
          <w:lang w:val="en-US" w:eastAsia="zh-CN"/>
        </w:rPr>
        <w:t>8478</w:t>
      </w:r>
      <w:r>
        <w:rPr>
          <w:rFonts w:hint="eastAsia"/>
          <w:color w:val="auto"/>
          <w:highlight w:val="none"/>
        </w:rPr>
        <w:t>平方米。</w:t>
      </w:r>
    </w:p>
    <w:p w14:paraId="2303E6BB">
      <w:pPr>
        <w:pStyle w:val="13"/>
        <w:spacing w:line="360" w:lineRule="auto"/>
        <w:ind w:left="0" w:leftChars="0" w:firstLine="0" w:firstLineChars="0"/>
        <w:jc w:val="center"/>
        <w:rPr>
          <w:rFonts w:hint="eastAsia" w:ascii="Times New Roman" w:hAnsi="Times New Roman" w:eastAsia="宋体" w:cs="Times New Roman"/>
          <w:color w:val="auto"/>
          <w:sz w:val="24"/>
          <w:szCs w:val="24"/>
          <w:highlight w:val="none"/>
          <w:lang w:val="zh-CN" w:eastAsia="zh-CN"/>
        </w:rPr>
      </w:pPr>
      <w:r>
        <w:rPr>
          <w:rFonts w:hint="eastAsia" w:ascii="Times New Roman" w:hAnsi="Times New Roman" w:eastAsia="宋体" w:cs="Times New Roman"/>
          <w:color w:val="auto"/>
          <w:sz w:val="24"/>
          <w:szCs w:val="24"/>
          <w:highlight w:val="none"/>
          <w:lang w:val="zh-CN" w:eastAsia="zh-CN"/>
        </w:rPr>
        <w:drawing>
          <wp:inline distT="0" distB="0" distL="114300" distR="114300">
            <wp:extent cx="7225665" cy="5108575"/>
            <wp:effectExtent l="0" t="0" r="13335" b="15875"/>
            <wp:docPr id="39" name="图片 39" descr="丰收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丰收乡"/>
                    <pic:cNvPicPr>
                      <a:picLocks noChangeAspect="1"/>
                    </pic:cNvPicPr>
                  </pic:nvPicPr>
                  <pic:blipFill>
                    <a:blip r:embed="rId88"/>
                    <a:stretch>
                      <a:fillRect/>
                    </a:stretch>
                  </pic:blipFill>
                  <pic:spPr>
                    <a:xfrm>
                      <a:off x="0" y="0"/>
                      <a:ext cx="7225665" cy="5108575"/>
                    </a:xfrm>
                    <a:prstGeom prst="rect">
                      <a:avLst/>
                    </a:prstGeom>
                  </pic:spPr>
                </pic:pic>
              </a:graphicData>
            </a:graphic>
          </wp:inline>
        </w:drawing>
      </w:r>
    </w:p>
    <w:p w14:paraId="48B659FE">
      <w:pPr>
        <w:pStyle w:val="13"/>
        <w:spacing w:line="360" w:lineRule="auto"/>
        <w:ind w:left="0" w:leftChars="0" w:firstLine="0" w:firstLineChars="0"/>
        <w:jc w:val="center"/>
        <w:rPr>
          <w:rFonts w:hint="eastAsia" w:ascii="Times New Roman" w:hAnsi="Times New Roman" w:eastAsia="宋体" w:cs="Times New Roman"/>
          <w:color w:val="auto"/>
          <w:sz w:val="24"/>
          <w:szCs w:val="24"/>
          <w:highlight w:val="none"/>
          <w:lang w:val="zh-CN" w:eastAsia="zh-CN"/>
        </w:rPr>
      </w:pPr>
      <w:r>
        <w:rPr>
          <w:rFonts w:hint="eastAsia" w:ascii="Times New Roman" w:hAnsi="Times New Roman" w:cs="Times New Roman"/>
          <w:color w:val="auto"/>
          <w:sz w:val="24"/>
          <w:szCs w:val="24"/>
          <w:highlight w:val="none"/>
          <w:lang w:val="zh-CN" w:eastAsia="zh-CN"/>
        </w:rPr>
        <w:t>图</w:t>
      </w:r>
      <w:r>
        <w:rPr>
          <w:rFonts w:hint="eastAsia" w:ascii="Times New Roman" w:hAnsi="Times New Roman" w:cs="Times New Roman"/>
          <w:color w:val="auto"/>
          <w:sz w:val="24"/>
          <w:szCs w:val="24"/>
          <w:highlight w:val="none"/>
          <w:lang w:val="en-US" w:eastAsia="zh-CN"/>
        </w:rPr>
        <w:t xml:space="preserve">3-5  </w:t>
      </w:r>
      <w:r>
        <w:rPr>
          <w:rFonts w:hint="eastAsia" w:ascii="Times New Roman" w:hAnsi="Times New Roman" w:eastAsia="宋体" w:cs="Times New Roman"/>
          <w:color w:val="auto"/>
          <w:sz w:val="24"/>
          <w:szCs w:val="24"/>
          <w:highlight w:val="none"/>
          <w:lang w:val="zh-CN" w:eastAsia="zh-CN"/>
        </w:rPr>
        <w:t>绥化市庆安县丰收乡饮用水水源保护区划分图</w:t>
      </w:r>
    </w:p>
    <w:p w14:paraId="0D1D5040">
      <w:pPr>
        <w:ind w:firstLine="480"/>
        <w:rPr>
          <w:rFonts w:hint="eastAsia"/>
          <w:color w:val="auto"/>
          <w:highlight w:val="none"/>
        </w:rPr>
        <w:sectPr>
          <w:pgSz w:w="16838" w:h="11905" w:orient="landscape"/>
          <w:pgMar w:top="1474" w:right="1474" w:bottom="1474" w:left="1474" w:header="964" w:footer="992" w:gutter="0"/>
          <w:pgBorders>
            <w:top w:val="none" w:sz="0" w:space="0"/>
            <w:left w:val="none" w:sz="0" w:space="0"/>
            <w:bottom w:val="none" w:sz="0" w:space="0"/>
            <w:right w:val="none" w:sz="0" w:space="0"/>
          </w:pgBorders>
          <w:pgNumType w:fmt="decimal"/>
          <w:cols w:space="720" w:num="1"/>
          <w:docGrid w:type="linesAndChars" w:linePitch="347" w:charSpace="-1024"/>
        </w:sectPr>
      </w:pPr>
    </w:p>
    <w:p w14:paraId="3B93A848">
      <w:pPr>
        <w:pStyle w:val="5"/>
        <w:bidi w:val="0"/>
        <w:ind w:firstLine="472" w:firstLineChars="200"/>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（6）绥化市庆安县平安镇饮用水水源地</w:t>
      </w:r>
    </w:p>
    <w:p w14:paraId="350467A9">
      <w:pPr>
        <w:numPr>
          <w:ilvl w:val="0"/>
          <w:numId w:val="0"/>
        </w:numPr>
        <w:ind w:left="0" w:leftChars="0" w:firstLine="472" w:firstLineChars="200"/>
        <w:rPr>
          <w:rFonts w:hint="eastAsia"/>
          <w:color w:val="auto"/>
          <w:highlight w:val="none"/>
        </w:rPr>
        <w:sectPr>
          <w:pgSz w:w="11905" w:h="16838"/>
          <w:pgMar w:top="1474" w:right="1474" w:bottom="1474" w:left="1474" w:header="964" w:footer="992" w:gutter="0"/>
          <w:pgBorders>
            <w:top w:val="none" w:sz="0" w:space="0"/>
            <w:left w:val="none" w:sz="0" w:space="0"/>
            <w:bottom w:val="none" w:sz="0" w:space="0"/>
            <w:right w:val="none" w:sz="0" w:space="0"/>
          </w:pgBorders>
          <w:pgNumType w:fmt="decimal"/>
          <w:cols w:space="720" w:num="1"/>
          <w:docGrid w:type="linesAndChars" w:linePitch="347" w:charSpace="-1024"/>
        </w:sectPr>
      </w:pPr>
      <w:r>
        <w:rPr>
          <w:rFonts w:hint="eastAsia"/>
          <w:color w:val="auto"/>
          <w:highlight w:val="none"/>
          <w:lang w:eastAsia="zh-CN"/>
        </w:rPr>
        <w:t>绥化市庆安县平安镇饮用水水源地</w:t>
      </w:r>
      <w:r>
        <w:rPr>
          <w:rFonts w:hint="eastAsia" w:ascii="Times New Roman" w:hAnsi="Times New Roman" w:cs="Times New Roman"/>
          <w:color w:val="auto"/>
          <w:kern w:val="0"/>
          <w:sz w:val="24"/>
          <w:szCs w:val="24"/>
          <w:highlight w:val="none"/>
          <w:lang w:val="en-US" w:eastAsia="zh-CN"/>
        </w:rPr>
        <w:t>利用的是</w:t>
      </w:r>
      <w:r>
        <w:rPr>
          <w:rFonts w:hint="eastAsia" w:ascii="Times New Roman" w:hAnsi="Times New Roman" w:eastAsia="宋体" w:cs="Times New Roman"/>
          <w:color w:val="auto"/>
          <w:highlight w:val="none"/>
          <w:lang w:val="en-US" w:eastAsia="zh-CN"/>
        </w:rPr>
        <w:t>孔隙承压水层和孔隙—裂隙承压水层</w:t>
      </w:r>
      <w:r>
        <w:rPr>
          <w:rFonts w:hint="eastAsia" w:ascii="Times New Roman" w:hAnsi="Times New Roman" w:cs="Times New Roman"/>
          <w:color w:val="auto"/>
          <w:kern w:val="0"/>
          <w:sz w:val="24"/>
          <w:szCs w:val="24"/>
          <w:highlight w:val="none"/>
          <w:lang w:val="en-US" w:eastAsia="zh-CN"/>
        </w:rPr>
        <w:t>。</w:t>
      </w:r>
      <w:r>
        <w:rPr>
          <w:rFonts w:hint="eastAsia" w:ascii="Times New Roman" w:hAnsi="Times New Roman" w:eastAsia="宋体" w:cs="Times New Roman"/>
          <w:color w:val="auto"/>
          <w:kern w:val="0"/>
          <w:sz w:val="24"/>
          <w:szCs w:val="24"/>
          <w:highlight w:val="none"/>
          <w:lang w:val="en-US" w:eastAsia="zh-CN"/>
        </w:rPr>
        <w:t>水源地设有水井2眼，取水井井深均为90</w:t>
      </w:r>
      <w:r>
        <w:rPr>
          <w:rFonts w:hint="eastAsia" w:cs="Times New Roman"/>
          <w:color w:val="auto"/>
          <w:kern w:val="0"/>
          <w:sz w:val="24"/>
          <w:szCs w:val="24"/>
          <w:highlight w:val="none"/>
          <w:lang w:val="en-US" w:eastAsia="zh-CN"/>
        </w:rPr>
        <w:t>米</w:t>
      </w:r>
      <w:r>
        <w:rPr>
          <w:rFonts w:hint="eastAsia" w:ascii="Times New Roman" w:hAnsi="Times New Roman" w:eastAsia="宋体" w:cs="Times New Roman"/>
          <w:color w:val="auto"/>
          <w:kern w:val="0"/>
          <w:sz w:val="24"/>
          <w:szCs w:val="24"/>
          <w:highlight w:val="none"/>
          <w:lang w:val="en-US" w:eastAsia="zh-CN"/>
        </w:rPr>
        <w:t>，其表层为腐殖土、黄土、</w:t>
      </w:r>
      <w:r>
        <w:rPr>
          <w:rFonts w:hint="eastAsia" w:cs="Times New Roman"/>
          <w:color w:val="auto"/>
          <w:kern w:val="0"/>
          <w:sz w:val="24"/>
          <w:szCs w:val="24"/>
          <w:highlight w:val="none"/>
          <w:lang w:val="en-US" w:eastAsia="zh-CN"/>
        </w:rPr>
        <w:t>粉质粘土</w:t>
      </w:r>
      <w:r>
        <w:rPr>
          <w:rFonts w:hint="eastAsia" w:ascii="Times New Roman" w:hAnsi="Times New Roman" w:eastAsia="宋体" w:cs="Times New Roman"/>
          <w:color w:val="auto"/>
          <w:kern w:val="0"/>
          <w:sz w:val="24"/>
          <w:szCs w:val="24"/>
          <w:highlight w:val="none"/>
          <w:lang w:val="en-US" w:eastAsia="zh-CN"/>
        </w:rPr>
        <w:t>，构成稳定隔</w:t>
      </w:r>
      <w:r>
        <w:rPr>
          <w:rFonts w:hint="eastAsia"/>
          <w:color w:val="auto"/>
          <w:sz w:val="24"/>
          <w:szCs w:val="24"/>
          <w:highlight w:val="none"/>
        </w:rPr>
        <w:t>水顶板</w:t>
      </w:r>
      <w:r>
        <w:rPr>
          <w:rFonts w:hint="eastAsia" w:ascii="Times New Roman" w:hAnsi="Times New Roman" w:cs="Times New Roman"/>
          <w:color w:val="auto"/>
          <w:kern w:val="0"/>
          <w:sz w:val="24"/>
          <w:szCs w:val="24"/>
          <w:highlight w:val="none"/>
          <w:lang w:val="en-US" w:eastAsia="zh-CN"/>
        </w:rPr>
        <w:t>。</w:t>
      </w:r>
      <w:r>
        <w:rPr>
          <w:rFonts w:hint="eastAsia" w:cs="Times New Roman"/>
          <w:color w:val="auto"/>
          <w:sz w:val="24"/>
          <w:szCs w:val="24"/>
          <w:highlight w:val="none"/>
          <w:lang w:val="en-US" w:eastAsia="zh-CN"/>
        </w:rPr>
        <w:t>因此，参照</w:t>
      </w:r>
      <w:r>
        <w:rPr>
          <w:rFonts w:hint="eastAsia"/>
          <w:color w:val="auto"/>
          <w:highlight w:val="none"/>
        </w:rPr>
        <w:t>孔隙</w:t>
      </w:r>
      <w:r>
        <w:rPr>
          <w:rFonts w:hint="eastAsia"/>
          <w:color w:val="auto"/>
          <w:highlight w:val="none"/>
          <w:lang w:eastAsia="zh-CN"/>
        </w:rPr>
        <w:t>、</w:t>
      </w:r>
      <w:r>
        <w:rPr>
          <w:rFonts w:hint="eastAsia"/>
          <w:color w:val="auto"/>
          <w:highlight w:val="none"/>
        </w:rPr>
        <w:t>裂隙</w:t>
      </w:r>
      <w:r>
        <w:rPr>
          <w:rFonts w:hint="eastAsia" w:cs="Times New Roman"/>
          <w:color w:val="auto"/>
          <w:sz w:val="24"/>
          <w:szCs w:val="24"/>
          <w:highlight w:val="none"/>
          <w:lang w:val="en-US" w:eastAsia="zh-CN"/>
        </w:rPr>
        <w:t>水潜水型水源地保护区范围经验值，取细砂一级保护区半径经验值的下限，即30米，作为水源地的一级保护区半径。</w:t>
      </w:r>
      <w:r>
        <w:rPr>
          <w:rFonts w:hint="eastAsia" w:ascii="Times New Roman" w:hAnsi="Times New Roman" w:eastAsia="宋体" w:cs="Times New Roman"/>
          <w:color w:val="auto"/>
          <w:sz w:val="24"/>
          <w:szCs w:val="24"/>
          <w:highlight w:val="none"/>
          <w:lang w:val="en-US" w:eastAsia="zh-CN"/>
        </w:rPr>
        <w:t>一级保护区范围：分别以2眼取水井为圆心，30米为半径的圆形区域，一级保护区总面积为</w:t>
      </w:r>
      <w:r>
        <w:rPr>
          <w:rFonts w:hint="eastAsia"/>
          <w:color w:val="auto"/>
          <w:highlight w:val="none"/>
          <w:lang w:val="en-US" w:eastAsia="zh-CN"/>
        </w:rPr>
        <w:t>5652</w:t>
      </w:r>
      <w:r>
        <w:rPr>
          <w:rFonts w:hint="eastAsia"/>
          <w:color w:val="auto"/>
          <w:highlight w:val="none"/>
        </w:rPr>
        <w:t>平方米。</w:t>
      </w:r>
    </w:p>
    <w:p w14:paraId="5F60D395">
      <w:pPr>
        <w:pStyle w:val="13"/>
        <w:spacing w:line="360" w:lineRule="auto"/>
        <w:ind w:left="0" w:leftChars="0" w:firstLine="0" w:firstLineChars="0"/>
        <w:jc w:val="center"/>
        <w:rPr>
          <w:rFonts w:hint="eastAsia" w:ascii="Times New Roman" w:hAnsi="Times New Roman" w:eastAsia="宋体" w:cs="Times New Roman"/>
          <w:color w:val="auto"/>
          <w:sz w:val="24"/>
          <w:szCs w:val="24"/>
          <w:highlight w:val="none"/>
          <w:lang w:val="zh-CN" w:eastAsia="zh-CN"/>
        </w:rPr>
      </w:pPr>
      <w:r>
        <w:rPr>
          <w:rFonts w:hint="eastAsia" w:ascii="Times New Roman" w:hAnsi="Times New Roman" w:eastAsia="宋体" w:cs="Times New Roman"/>
          <w:color w:val="auto"/>
          <w:sz w:val="24"/>
          <w:szCs w:val="24"/>
          <w:highlight w:val="none"/>
          <w:lang w:val="zh-CN" w:eastAsia="zh-CN"/>
        </w:rPr>
        <w:drawing>
          <wp:inline distT="0" distB="0" distL="114300" distR="114300">
            <wp:extent cx="7190105" cy="5168265"/>
            <wp:effectExtent l="0" t="0" r="10795" b="13335"/>
            <wp:docPr id="40" name="图片 40" descr="平安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平安镇"/>
                    <pic:cNvPicPr>
                      <a:picLocks noChangeAspect="1"/>
                    </pic:cNvPicPr>
                  </pic:nvPicPr>
                  <pic:blipFill>
                    <a:blip r:embed="rId89"/>
                    <a:stretch>
                      <a:fillRect/>
                    </a:stretch>
                  </pic:blipFill>
                  <pic:spPr>
                    <a:xfrm>
                      <a:off x="0" y="0"/>
                      <a:ext cx="7190105" cy="5168265"/>
                    </a:xfrm>
                    <a:prstGeom prst="rect">
                      <a:avLst/>
                    </a:prstGeom>
                  </pic:spPr>
                </pic:pic>
              </a:graphicData>
            </a:graphic>
          </wp:inline>
        </w:drawing>
      </w:r>
    </w:p>
    <w:p w14:paraId="3959E08A">
      <w:pPr>
        <w:numPr>
          <w:ilvl w:val="0"/>
          <w:numId w:val="0"/>
        </w:numPr>
        <w:ind w:left="0" w:leftChars="0" w:firstLine="472" w:firstLineChars="200"/>
        <w:jc w:val="center"/>
        <w:rPr>
          <w:rFonts w:hint="eastAsia"/>
          <w:color w:val="auto"/>
          <w:highlight w:val="none"/>
          <w:lang w:eastAsia="zh-CN"/>
        </w:rPr>
        <w:sectPr>
          <w:pgSz w:w="16838" w:h="11905" w:orient="landscape"/>
          <w:pgMar w:top="1474" w:right="1474" w:bottom="1474" w:left="1474" w:header="964" w:footer="992" w:gutter="0"/>
          <w:pgBorders>
            <w:top w:val="none" w:sz="0" w:space="0"/>
            <w:left w:val="none" w:sz="0" w:space="0"/>
            <w:bottom w:val="none" w:sz="0" w:space="0"/>
            <w:right w:val="none" w:sz="0" w:space="0"/>
          </w:pgBorders>
          <w:pgNumType w:fmt="decimal"/>
          <w:cols w:space="720" w:num="1"/>
          <w:docGrid w:type="linesAndChars" w:linePitch="347" w:charSpace="-1024"/>
        </w:sectPr>
      </w:pPr>
      <w:r>
        <w:rPr>
          <w:rFonts w:hint="eastAsia" w:ascii="Times New Roman" w:hAnsi="Times New Roman" w:cs="Times New Roman"/>
          <w:color w:val="auto"/>
          <w:sz w:val="24"/>
          <w:szCs w:val="24"/>
          <w:highlight w:val="none"/>
          <w:lang w:val="zh-CN" w:eastAsia="zh-CN"/>
        </w:rPr>
        <w:t>图</w:t>
      </w:r>
      <w:r>
        <w:rPr>
          <w:rFonts w:hint="eastAsia" w:ascii="Times New Roman" w:hAnsi="Times New Roman" w:cs="Times New Roman"/>
          <w:color w:val="auto"/>
          <w:sz w:val="24"/>
          <w:szCs w:val="24"/>
          <w:highlight w:val="none"/>
          <w:lang w:val="en-US" w:eastAsia="zh-CN"/>
        </w:rPr>
        <w:t xml:space="preserve">3-6  </w:t>
      </w:r>
      <w:r>
        <w:rPr>
          <w:rFonts w:hint="eastAsia" w:ascii="Times New Roman" w:hAnsi="Times New Roman" w:eastAsia="宋体" w:cs="Times New Roman"/>
          <w:color w:val="auto"/>
          <w:sz w:val="24"/>
          <w:szCs w:val="24"/>
          <w:highlight w:val="none"/>
          <w:lang w:val="zh-CN" w:eastAsia="zh-CN"/>
        </w:rPr>
        <w:t>绥化市庆安县平安镇饮用水水源保护区划分</w:t>
      </w:r>
    </w:p>
    <w:p w14:paraId="77974AA6">
      <w:pPr>
        <w:pStyle w:val="5"/>
        <w:bidi w:val="0"/>
        <w:rPr>
          <w:rFonts w:hint="default" w:ascii="Times New Roman" w:hAnsi="Times New Roman" w:eastAsia="黑体" w:cs="Times New Roman"/>
          <w:color w:val="auto"/>
          <w:highlight w:val="none"/>
          <w:lang w:val="en-US" w:eastAsia="zh-CN"/>
        </w:rPr>
      </w:pPr>
      <w:r>
        <w:rPr>
          <w:rFonts w:hint="eastAsia" w:ascii="Times New Roman" w:hAnsi="Times New Roman" w:eastAsia="黑体" w:cs="Times New Roman"/>
          <w:color w:val="auto"/>
          <w:highlight w:val="none"/>
          <w:lang w:val="en-US" w:eastAsia="zh-CN"/>
        </w:rPr>
        <w:t>3.2.</w:t>
      </w:r>
      <w:r>
        <w:rPr>
          <w:rFonts w:hint="eastAsia" w:eastAsia="黑体" w:cs="Times New Roman"/>
          <w:color w:val="auto"/>
          <w:highlight w:val="none"/>
          <w:lang w:val="en-US" w:eastAsia="zh-CN"/>
        </w:rPr>
        <w:t>2</w:t>
      </w:r>
      <w:r>
        <w:rPr>
          <w:rFonts w:hint="eastAsia" w:ascii="Times New Roman" w:hAnsi="Times New Roman" w:eastAsia="黑体" w:cs="Times New Roman"/>
          <w:color w:val="auto"/>
          <w:highlight w:val="none"/>
          <w:lang w:val="en-US" w:eastAsia="zh-CN"/>
        </w:rPr>
        <w:t>.2村屯级水源地</w:t>
      </w:r>
      <w:r>
        <w:rPr>
          <w:rFonts w:hint="eastAsia" w:eastAsia="黑体" w:cs="Times New Roman"/>
          <w:color w:val="auto"/>
          <w:highlight w:val="none"/>
          <w:lang w:val="en-US" w:eastAsia="zh-CN"/>
        </w:rPr>
        <w:t>（</w:t>
      </w:r>
      <w:r>
        <w:rPr>
          <w:rFonts w:hint="eastAsia" w:ascii="Times New Roman" w:hAnsi="Times New Roman" w:eastAsia="黑体" w:cs="Times New Roman"/>
          <w:color w:val="auto"/>
          <w:highlight w:val="none"/>
          <w:lang w:val="en-US" w:eastAsia="zh-CN"/>
        </w:rPr>
        <w:t>绥化市庆安县柳河镇新强村饮用水水源地</w:t>
      </w:r>
      <w:r>
        <w:rPr>
          <w:rFonts w:hint="eastAsia" w:eastAsia="黑体" w:cs="Times New Roman"/>
          <w:color w:val="auto"/>
          <w:highlight w:val="none"/>
          <w:lang w:val="en-US" w:eastAsia="zh-CN"/>
        </w:rPr>
        <w:t>）</w:t>
      </w:r>
    </w:p>
    <w:p w14:paraId="4063A9E7">
      <w:pPr>
        <w:spacing w:line="360" w:lineRule="auto"/>
        <w:ind w:firstLine="472" w:firstLineChars="200"/>
        <w:rPr>
          <w:rFonts w:hint="eastAsia"/>
          <w:color w:val="auto"/>
          <w:highlight w:val="none"/>
        </w:rPr>
        <w:sectPr>
          <w:pgSz w:w="11905" w:h="16838"/>
          <w:pgMar w:top="1474" w:right="1474" w:bottom="1474" w:left="1474" w:header="964" w:footer="992" w:gutter="0"/>
          <w:pgBorders>
            <w:top w:val="none" w:sz="0" w:space="0"/>
            <w:left w:val="none" w:sz="0" w:space="0"/>
            <w:bottom w:val="none" w:sz="0" w:space="0"/>
            <w:right w:val="none" w:sz="0" w:space="0"/>
          </w:pgBorders>
          <w:pgNumType w:fmt="decimal"/>
          <w:cols w:space="720" w:num="1"/>
          <w:docGrid w:type="linesAndChars" w:linePitch="347" w:charSpace="-1024"/>
        </w:sectPr>
      </w:pPr>
      <w:r>
        <w:rPr>
          <w:rFonts w:hint="eastAsia"/>
          <w:color w:val="auto"/>
          <w:highlight w:val="none"/>
          <w:lang w:eastAsia="zh-CN"/>
        </w:rPr>
        <w:t>绥化市庆安县柳河镇新强村饮用水水源地：</w:t>
      </w:r>
      <w:r>
        <w:rPr>
          <w:rFonts w:hint="eastAsia" w:ascii="Times New Roman" w:hAnsi="Times New Roman" w:cs="Times New Roman"/>
          <w:color w:val="auto"/>
          <w:kern w:val="0"/>
          <w:sz w:val="24"/>
          <w:szCs w:val="24"/>
          <w:highlight w:val="none"/>
          <w:lang w:val="en-US" w:eastAsia="zh-CN"/>
        </w:rPr>
        <w:t>利用的是</w:t>
      </w:r>
      <w:r>
        <w:rPr>
          <w:rFonts w:hint="eastAsia"/>
          <w:color w:val="auto"/>
          <w:highlight w:val="none"/>
        </w:rPr>
        <w:t>孔隙承压水层和孔隙—裂隙承压水层</w:t>
      </w:r>
      <w:r>
        <w:rPr>
          <w:rFonts w:hint="eastAsia" w:ascii="Times New Roman" w:hAnsi="Times New Roman" w:cs="Times New Roman"/>
          <w:color w:val="auto"/>
          <w:kern w:val="0"/>
          <w:sz w:val="24"/>
          <w:szCs w:val="24"/>
          <w:highlight w:val="none"/>
          <w:lang w:val="en-US" w:eastAsia="zh-CN"/>
        </w:rPr>
        <w:t>。</w:t>
      </w:r>
      <w:r>
        <w:rPr>
          <w:rFonts w:hint="eastAsia" w:ascii="Times New Roman" w:hAnsi="Times New Roman" w:eastAsia="宋体" w:cs="Times New Roman"/>
          <w:color w:val="auto"/>
          <w:kern w:val="0"/>
          <w:sz w:val="24"/>
          <w:szCs w:val="24"/>
          <w:highlight w:val="none"/>
          <w:lang w:val="en-US" w:eastAsia="zh-CN"/>
        </w:rPr>
        <w:t>水源地设有水井5眼，取水井井深均为90</w:t>
      </w:r>
      <w:r>
        <w:rPr>
          <w:rFonts w:hint="eastAsia" w:cs="Times New Roman"/>
          <w:color w:val="auto"/>
          <w:kern w:val="0"/>
          <w:sz w:val="24"/>
          <w:szCs w:val="24"/>
          <w:highlight w:val="none"/>
          <w:lang w:val="en-US" w:eastAsia="zh-CN"/>
        </w:rPr>
        <w:t>米</w:t>
      </w:r>
      <w:r>
        <w:rPr>
          <w:rFonts w:hint="eastAsia" w:ascii="Times New Roman" w:hAnsi="Times New Roman" w:eastAsia="宋体" w:cs="Times New Roman"/>
          <w:color w:val="auto"/>
          <w:kern w:val="0"/>
          <w:sz w:val="24"/>
          <w:szCs w:val="24"/>
          <w:highlight w:val="none"/>
          <w:lang w:val="en-US" w:eastAsia="zh-CN"/>
        </w:rPr>
        <w:t>，其表层为腐殖土、黄土、</w:t>
      </w:r>
      <w:r>
        <w:rPr>
          <w:rFonts w:hint="eastAsia" w:cs="Times New Roman"/>
          <w:color w:val="auto"/>
          <w:kern w:val="0"/>
          <w:sz w:val="24"/>
          <w:szCs w:val="24"/>
          <w:highlight w:val="none"/>
          <w:lang w:val="en-US" w:eastAsia="zh-CN"/>
        </w:rPr>
        <w:t>粉质粘土</w:t>
      </w:r>
      <w:r>
        <w:rPr>
          <w:rFonts w:hint="eastAsia" w:ascii="Times New Roman" w:hAnsi="Times New Roman" w:eastAsia="宋体" w:cs="Times New Roman"/>
          <w:color w:val="auto"/>
          <w:kern w:val="0"/>
          <w:sz w:val="24"/>
          <w:szCs w:val="24"/>
          <w:highlight w:val="none"/>
          <w:lang w:val="en-US" w:eastAsia="zh-CN"/>
        </w:rPr>
        <w:t>，构成稳定隔</w:t>
      </w:r>
      <w:r>
        <w:rPr>
          <w:rFonts w:hint="eastAsia"/>
          <w:color w:val="auto"/>
          <w:sz w:val="24"/>
          <w:szCs w:val="24"/>
          <w:highlight w:val="none"/>
        </w:rPr>
        <w:t>水顶板</w:t>
      </w:r>
      <w:r>
        <w:rPr>
          <w:rFonts w:hint="eastAsia" w:ascii="Times New Roman" w:hAnsi="Times New Roman" w:cs="Times New Roman"/>
          <w:color w:val="auto"/>
          <w:kern w:val="0"/>
          <w:sz w:val="24"/>
          <w:szCs w:val="24"/>
          <w:highlight w:val="none"/>
          <w:lang w:val="en-US" w:eastAsia="zh-CN"/>
        </w:rPr>
        <w:t>。</w:t>
      </w:r>
      <w:r>
        <w:rPr>
          <w:rFonts w:hint="eastAsia" w:cs="Times New Roman"/>
          <w:color w:val="auto"/>
          <w:sz w:val="24"/>
          <w:szCs w:val="24"/>
          <w:highlight w:val="none"/>
          <w:lang w:val="en-US" w:eastAsia="zh-CN"/>
        </w:rPr>
        <w:t>因此，参照</w:t>
      </w:r>
      <w:r>
        <w:rPr>
          <w:rFonts w:hint="eastAsia"/>
          <w:color w:val="auto"/>
          <w:highlight w:val="none"/>
        </w:rPr>
        <w:t>孔隙</w:t>
      </w:r>
      <w:r>
        <w:rPr>
          <w:rFonts w:hint="eastAsia"/>
          <w:color w:val="auto"/>
          <w:highlight w:val="none"/>
          <w:lang w:eastAsia="zh-CN"/>
        </w:rPr>
        <w:t>、</w:t>
      </w:r>
      <w:r>
        <w:rPr>
          <w:rFonts w:hint="eastAsia"/>
          <w:color w:val="auto"/>
          <w:highlight w:val="none"/>
        </w:rPr>
        <w:t>裂隙</w:t>
      </w:r>
      <w:r>
        <w:rPr>
          <w:rFonts w:hint="eastAsia" w:cs="Times New Roman"/>
          <w:color w:val="auto"/>
          <w:sz w:val="24"/>
          <w:szCs w:val="24"/>
          <w:highlight w:val="none"/>
          <w:lang w:val="en-US" w:eastAsia="zh-CN"/>
        </w:rPr>
        <w:t>水潜水型水源地保护区范围经验值，取细砂一级保护区半径经验值的下限，即30米，作为水源地的一级保护区半径。</w:t>
      </w:r>
      <w:r>
        <w:rPr>
          <w:rFonts w:hint="eastAsia" w:ascii="Times New Roman" w:hAnsi="Times New Roman" w:eastAsia="宋体" w:cs="Times New Roman"/>
          <w:color w:val="auto"/>
          <w:sz w:val="24"/>
          <w:szCs w:val="24"/>
          <w:highlight w:val="none"/>
          <w:lang w:val="en-US" w:eastAsia="zh-CN"/>
        </w:rPr>
        <w:t>一级保护区范围：分别以5眼取水井为圆心，30米为半径的圆形区域，一级保护区总面积为</w:t>
      </w:r>
      <w:r>
        <w:rPr>
          <w:rFonts w:hint="eastAsia"/>
          <w:color w:val="auto"/>
          <w:highlight w:val="none"/>
          <w:lang w:val="en-US" w:eastAsia="zh-CN"/>
        </w:rPr>
        <w:t>14130</w:t>
      </w:r>
      <w:r>
        <w:rPr>
          <w:rFonts w:hint="eastAsia"/>
          <w:color w:val="auto"/>
          <w:highlight w:val="none"/>
        </w:rPr>
        <w:t>平方米。</w:t>
      </w:r>
    </w:p>
    <w:p w14:paraId="1150C27E">
      <w:pPr>
        <w:pStyle w:val="13"/>
        <w:spacing w:line="360" w:lineRule="auto"/>
        <w:ind w:left="0" w:leftChars="0" w:firstLine="0" w:firstLineChars="0"/>
        <w:jc w:val="center"/>
        <w:rPr>
          <w:rFonts w:hint="eastAsia" w:ascii="Times New Roman" w:hAnsi="Times New Roman" w:eastAsia="宋体" w:cs="Times New Roman"/>
          <w:color w:val="auto"/>
          <w:sz w:val="24"/>
          <w:szCs w:val="24"/>
          <w:highlight w:val="none"/>
          <w:lang w:val="zh-CN" w:eastAsia="zh-CN"/>
        </w:rPr>
      </w:pPr>
      <w:r>
        <w:rPr>
          <w:rFonts w:hint="eastAsia" w:ascii="Times New Roman" w:hAnsi="Times New Roman" w:eastAsia="宋体" w:cs="Times New Roman"/>
          <w:color w:val="auto"/>
          <w:sz w:val="24"/>
          <w:szCs w:val="24"/>
          <w:highlight w:val="none"/>
          <w:lang w:val="zh-CN" w:eastAsia="zh-CN"/>
        </w:rPr>
        <w:drawing>
          <wp:inline distT="0" distB="0" distL="114300" distR="114300">
            <wp:extent cx="7126605" cy="5122545"/>
            <wp:effectExtent l="0" t="0" r="17145" b="1905"/>
            <wp:docPr id="41" name="图片 41" descr="柳河镇新强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柳河镇新强村"/>
                    <pic:cNvPicPr>
                      <a:picLocks noChangeAspect="1"/>
                    </pic:cNvPicPr>
                  </pic:nvPicPr>
                  <pic:blipFill>
                    <a:blip r:embed="rId90"/>
                    <a:stretch>
                      <a:fillRect/>
                    </a:stretch>
                  </pic:blipFill>
                  <pic:spPr>
                    <a:xfrm>
                      <a:off x="0" y="0"/>
                      <a:ext cx="7126605" cy="5122545"/>
                    </a:xfrm>
                    <a:prstGeom prst="rect">
                      <a:avLst/>
                    </a:prstGeom>
                  </pic:spPr>
                </pic:pic>
              </a:graphicData>
            </a:graphic>
          </wp:inline>
        </w:drawing>
      </w:r>
    </w:p>
    <w:p w14:paraId="56E45AA2">
      <w:pPr>
        <w:pStyle w:val="13"/>
        <w:spacing w:line="360" w:lineRule="auto"/>
        <w:ind w:left="0" w:leftChars="0" w:firstLine="0" w:firstLineChars="0"/>
        <w:jc w:val="center"/>
        <w:rPr>
          <w:rFonts w:hint="eastAsia" w:ascii="Times New Roman" w:hAnsi="Times New Roman" w:eastAsia="宋体" w:cs="Times New Roman"/>
          <w:color w:val="auto"/>
          <w:sz w:val="24"/>
          <w:szCs w:val="24"/>
          <w:highlight w:val="none"/>
          <w:lang w:val="zh-CN" w:eastAsia="zh-CN"/>
        </w:rPr>
      </w:pPr>
      <w:r>
        <w:rPr>
          <w:rFonts w:hint="eastAsia" w:ascii="Times New Roman" w:hAnsi="Times New Roman" w:cs="Times New Roman"/>
          <w:color w:val="auto"/>
          <w:sz w:val="24"/>
          <w:szCs w:val="24"/>
          <w:highlight w:val="none"/>
          <w:lang w:val="zh-CN" w:eastAsia="zh-CN"/>
        </w:rPr>
        <w:t>图</w:t>
      </w:r>
      <w:r>
        <w:rPr>
          <w:rFonts w:hint="eastAsia" w:ascii="Times New Roman" w:hAnsi="Times New Roman" w:cs="Times New Roman"/>
          <w:color w:val="auto"/>
          <w:sz w:val="24"/>
          <w:szCs w:val="24"/>
          <w:highlight w:val="none"/>
          <w:lang w:val="en-US" w:eastAsia="zh-CN"/>
        </w:rPr>
        <w:t xml:space="preserve">3-7  </w:t>
      </w:r>
      <w:r>
        <w:rPr>
          <w:rFonts w:hint="eastAsia" w:ascii="Times New Roman" w:hAnsi="Times New Roman" w:eastAsia="宋体" w:cs="Times New Roman"/>
          <w:color w:val="auto"/>
          <w:sz w:val="24"/>
          <w:szCs w:val="24"/>
          <w:highlight w:val="none"/>
          <w:lang w:val="zh-CN" w:eastAsia="zh-CN"/>
        </w:rPr>
        <w:t>绥化市庆安县柳河镇新强村饮用水水源保护区划分图</w:t>
      </w:r>
    </w:p>
    <w:p w14:paraId="5F7DF29A">
      <w:pPr>
        <w:spacing w:line="360" w:lineRule="auto"/>
        <w:ind w:firstLine="472" w:firstLineChars="200"/>
        <w:rPr>
          <w:rFonts w:hint="eastAsia"/>
          <w:color w:val="auto"/>
          <w:highlight w:val="none"/>
        </w:rPr>
        <w:sectPr>
          <w:pgSz w:w="16838" w:h="11905" w:orient="landscape"/>
          <w:pgMar w:top="1474" w:right="1474" w:bottom="1474" w:left="1474" w:header="964" w:footer="992" w:gutter="0"/>
          <w:pgBorders>
            <w:top w:val="none" w:sz="0" w:space="0"/>
            <w:left w:val="none" w:sz="0" w:space="0"/>
            <w:bottom w:val="none" w:sz="0" w:space="0"/>
            <w:right w:val="none" w:sz="0" w:space="0"/>
          </w:pgBorders>
          <w:pgNumType w:fmt="decimal"/>
          <w:cols w:space="720" w:num="1"/>
          <w:docGrid w:type="linesAndChars" w:linePitch="347" w:charSpace="-1024"/>
        </w:sectPr>
      </w:pPr>
    </w:p>
    <w:p w14:paraId="64F56726">
      <w:pPr>
        <w:pStyle w:val="3"/>
        <w:rPr>
          <w:color w:val="auto"/>
          <w:highlight w:val="none"/>
          <w:lang w:val="en-US"/>
        </w:rPr>
      </w:pPr>
      <w:bookmarkStart w:id="82" w:name="_Toc15200"/>
      <w:bookmarkStart w:id="83" w:name="_Toc29363"/>
      <w:r>
        <w:rPr>
          <w:color w:val="auto"/>
          <w:highlight w:val="none"/>
          <w:lang w:val="en-US"/>
        </w:rPr>
        <w:t>3.3保护区定界方案</w:t>
      </w:r>
      <w:bookmarkEnd w:id="82"/>
      <w:bookmarkEnd w:id="83"/>
    </w:p>
    <w:p w14:paraId="66374947">
      <w:pPr>
        <w:pStyle w:val="4"/>
        <w:rPr>
          <w:rFonts w:hint="eastAsia"/>
          <w:color w:val="auto"/>
          <w:highlight w:val="none"/>
          <w:lang w:val="en-US" w:eastAsia="zh-CN"/>
        </w:rPr>
      </w:pPr>
      <w:r>
        <w:rPr>
          <w:rFonts w:hint="eastAsia"/>
          <w:color w:val="auto"/>
          <w:highlight w:val="none"/>
          <w:lang w:val="en-US" w:eastAsia="zh-CN"/>
        </w:rPr>
        <w:t>3</w:t>
      </w:r>
      <w:r>
        <w:rPr>
          <w:rFonts w:hint="default"/>
          <w:color w:val="auto"/>
          <w:highlight w:val="none"/>
          <w:lang w:val="en-US" w:eastAsia="zh-CN"/>
        </w:rPr>
        <w:t>.</w:t>
      </w:r>
      <w:r>
        <w:rPr>
          <w:rFonts w:hint="eastAsia"/>
          <w:color w:val="auto"/>
          <w:highlight w:val="none"/>
          <w:lang w:val="en-US" w:eastAsia="zh-CN"/>
        </w:rPr>
        <w:t>3</w:t>
      </w:r>
      <w:r>
        <w:rPr>
          <w:rFonts w:hint="default"/>
          <w:color w:val="auto"/>
          <w:highlight w:val="none"/>
          <w:lang w:val="en-US" w:eastAsia="zh-CN"/>
        </w:rPr>
        <w:t>.</w:t>
      </w:r>
      <w:r>
        <w:rPr>
          <w:rFonts w:hint="eastAsia"/>
          <w:color w:val="auto"/>
          <w:highlight w:val="none"/>
          <w:lang w:val="en-US" w:eastAsia="zh-CN"/>
        </w:rPr>
        <w:t>1</w:t>
      </w:r>
      <w:r>
        <w:rPr>
          <w:rFonts w:hint="default"/>
          <w:color w:val="auto"/>
          <w:highlight w:val="none"/>
          <w:lang w:val="en-US" w:eastAsia="zh-CN"/>
        </w:rPr>
        <w:t xml:space="preserve"> </w:t>
      </w:r>
      <w:r>
        <w:rPr>
          <w:rFonts w:hint="eastAsia"/>
          <w:color w:val="auto"/>
          <w:highlight w:val="none"/>
          <w:lang w:val="en-US" w:eastAsia="zh-CN"/>
        </w:rPr>
        <w:t>乡镇级水源地</w:t>
      </w:r>
    </w:p>
    <w:p w14:paraId="3C17CBE9">
      <w:pPr>
        <w:bidi w:val="0"/>
        <w:rPr>
          <w:rFonts w:hint="eastAsia"/>
          <w:color w:val="auto"/>
          <w:kern w:val="0"/>
          <w:sz w:val="24"/>
          <w:szCs w:val="24"/>
          <w:highlight w:val="none"/>
        </w:rPr>
      </w:pPr>
      <w:r>
        <w:rPr>
          <w:rFonts w:hint="eastAsia"/>
          <w:color w:val="auto"/>
          <w:kern w:val="0"/>
          <w:sz w:val="24"/>
          <w:szCs w:val="24"/>
          <w:highlight w:val="none"/>
          <w:lang w:eastAsia="zh-CN"/>
        </w:rPr>
        <w:t>乡镇级</w:t>
      </w:r>
      <w:r>
        <w:rPr>
          <w:rFonts w:hint="eastAsia"/>
          <w:color w:val="auto"/>
          <w:kern w:val="0"/>
          <w:sz w:val="24"/>
          <w:szCs w:val="24"/>
          <w:highlight w:val="none"/>
          <w:lang w:val="en-US" w:eastAsia="zh-CN"/>
        </w:rPr>
        <w:t>6</w:t>
      </w:r>
      <w:r>
        <w:rPr>
          <w:rFonts w:hint="eastAsia"/>
          <w:color w:val="auto"/>
          <w:kern w:val="0"/>
          <w:sz w:val="24"/>
          <w:szCs w:val="24"/>
          <w:highlight w:val="none"/>
          <w:lang w:eastAsia="zh-CN"/>
        </w:rPr>
        <w:t>个</w:t>
      </w:r>
      <w:r>
        <w:rPr>
          <w:rFonts w:hint="eastAsia"/>
          <w:color w:val="auto"/>
          <w:kern w:val="0"/>
          <w:sz w:val="24"/>
          <w:szCs w:val="24"/>
          <w:highlight w:val="none"/>
        </w:rPr>
        <w:t>饮用水水源保护区的拐点坐标见表3-</w:t>
      </w:r>
      <w:r>
        <w:rPr>
          <w:rFonts w:hint="eastAsia"/>
          <w:color w:val="auto"/>
          <w:kern w:val="0"/>
          <w:sz w:val="24"/>
          <w:szCs w:val="24"/>
          <w:highlight w:val="none"/>
          <w:lang w:val="en-US" w:eastAsia="zh-CN"/>
        </w:rPr>
        <w:t>3</w:t>
      </w:r>
      <w:r>
        <w:rPr>
          <w:rFonts w:hint="eastAsia"/>
          <w:color w:val="auto"/>
          <w:kern w:val="0"/>
          <w:sz w:val="24"/>
          <w:szCs w:val="24"/>
          <w:highlight w:val="none"/>
        </w:rPr>
        <w:t>。</w:t>
      </w:r>
      <w:bookmarkStart w:id="84" w:name="_Toc9982_WPSOffice_Level2"/>
      <w:bookmarkStart w:id="85" w:name="_Toc31961_WPSOffice_Level2"/>
    </w:p>
    <w:p w14:paraId="4684CB82">
      <w:pPr>
        <w:bidi w:val="0"/>
        <w:jc w:val="center"/>
        <w:rPr>
          <w:rFonts w:eastAsia="黑体"/>
          <w:color w:val="auto"/>
          <w:sz w:val="24"/>
          <w:szCs w:val="24"/>
          <w:highlight w:val="none"/>
        </w:rPr>
      </w:pPr>
      <w:r>
        <w:rPr>
          <w:rFonts w:eastAsia="黑体"/>
          <w:color w:val="auto"/>
          <w:sz w:val="24"/>
          <w:szCs w:val="24"/>
          <w:highlight w:val="none"/>
        </w:rPr>
        <w:t>表3-</w:t>
      </w:r>
      <w:r>
        <w:rPr>
          <w:rFonts w:hint="eastAsia" w:eastAsia="黑体"/>
          <w:color w:val="auto"/>
          <w:sz w:val="24"/>
          <w:szCs w:val="24"/>
          <w:highlight w:val="none"/>
          <w:lang w:val="en-US" w:eastAsia="zh-CN"/>
        </w:rPr>
        <w:t>3</w:t>
      </w:r>
      <w:r>
        <w:rPr>
          <w:rFonts w:eastAsia="黑体"/>
          <w:color w:val="auto"/>
          <w:sz w:val="24"/>
          <w:szCs w:val="24"/>
          <w:highlight w:val="none"/>
        </w:rPr>
        <w:t xml:space="preserve"> </w:t>
      </w:r>
      <w:r>
        <w:rPr>
          <w:rFonts w:hint="eastAsia" w:eastAsia="黑体"/>
          <w:color w:val="auto"/>
          <w:sz w:val="24"/>
          <w:szCs w:val="24"/>
          <w:highlight w:val="none"/>
          <w:lang w:eastAsia="zh-CN"/>
        </w:rPr>
        <w:t>乡镇级各</w:t>
      </w:r>
      <w:r>
        <w:rPr>
          <w:rFonts w:eastAsia="黑体"/>
          <w:color w:val="auto"/>
          <w:sz w:val="24"/>
          <w:szCs w:val="24"/>
          <w:highlight w:val="none"/>
        </w:rPr>
        <w:t>水源保护区拐点坐标</w:t>
      </w:r>
      <w:bookmarkEnd w:id="84"/>
      <w:bookmarkEnd w:id="85"/>
    </w:p>
    <w:tbl>
      <w:tblPr>
        <w:tblStyle w:val="21"/>
        <w:tblW w:w="4996"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1641"/>
        <w:gridCol w:w="1359"/>
        <w:gridCol w:w="1649"/>
        <w:gridCol w:w="2193"/>
        <w:gridCol w:w="2324"/>
      </w:tblGrid>
      <w:tr w14:paraId="702809D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425" w:hRule="atLeast"/>
          <w:tblHeader/>
        </w:trPr>
        <w:tc>
          <w:tcPr>
            <w:tcW w:w="895" w:type="pct"/>
            <w:vMerge w:val="restart"/>
            <w:noWrap w:val="0"/>
            <w:vAlign w:val="center"/>
          </w:tcPr>
          <w:p w14:paraId="105A8299">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水源地名称</w:t>
            </w:r>
          </w:p>
        </w:tc>
        <w:tc>
          <w:tcPr>
            <w:tcW w:w="741" w:type="pct"/>
            <w:vMerge w:val="restart"/>
            <w:noWrap w:val="0"/>
            <w:vAlign w:val="center"/>
          </w:tcPr>
          <w:p w14:paraId="30CC6FFF">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水井名称</w:t>
            </w:r>
          </w:p>
        </w:tc>
        <w:tc>
          <w:tcPr>
            <w:tcW w:w="899" w:type="pct"/>
            <w:vMerge w:val="restart"/>
            <w:noWrap w:val="0"/>
            <w:vAlign w:val="center"/>
          </w:tcPr>
          <w:p w14:paraId="6F34737F">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en-US"/>
              </w:rPr>
            </w:pPr>
            <w:r>
              <w:rPr>
                <w:rFonts w:hint="default" w:ascii="Times New Roman" w:hAnsi="Times New Roman" w:eastAsia="宋体" w:cs="Times New Roman"/>
                <w:color w:val="auto"/>
                <w:kern w:val="0"/>
                <w:sz w:val="21"/>
                <w:szCs w:val="21"/>
                <w:highlight w:val="none"/>
                <w:lang w:val="en-US" w:eastAsia="zh-CN"/>
              </w:rPr>
              <w:t>一级保护区</w:t>
            </w:r>
            <w:r>
              <w:rPr>
                <w:rFonts w:hint="default" w:ascii="Times New Roman" w:hAnsi="Times New Roman" w:eastAsia="宋体" w:cs="Times New Roman"/>
                <w:color w:val="auto"/>
                <w:kern w:val="0"/>
                <w:sz w:val="21"/>
                <w:szCs w:val="21"/>
                <w:highlight w:val="none"/>
                <w:lang w:val="en-US" w:eastAsia="en-US"/>
              </w:rPr>
              <w:t>拐点</w:t>
            </w:r>
            <w:r>
              <w:rPr>
                <w:rFonts w:hint="default" w:ascii="Times New Roman" w:hAnsi="Times New Roman" w:eastAsia="宋体" w:cs="Times New Roman"/>
                <w:color w:val="auto"/>
                <w:kern w:val="0"/>
                <w:sz w:val="21"/>
                <w:szCs w:val="21"/>
                <w:highlight w:val="none"/>
                <w:lang w:val="en-US" w:eastAsia="zh-CN"/>
              </w:rPr>
              <w:t>序号</w:t>
            </w:r>
          </w:p>
        </w:tc>
        <w:tc>
          <w:tcPr>
            <w:tcW w:w="2463" w:type="pct"/>
            <w:gridSpan w:val="2"/>
            <w:noWrap w:val="0"/>
            <w:vAlign w:val="center"/>
          </w:tcPr>
          <w:p w14:paraId="1439ADC4">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一级保护区拐点坐标（2000坐标系）</w:t>
            </w:r>
          </w:p>
        </w:tc>
      </w:tr>
      <w:tr w14:paraId="0C105F0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425" w:hRule="atLeast"/>
          <w:tblHeader/>
        </w:trPr>
        <w:tc>
          <w:tcPr>
            <w:tcW w:w="895" w:type="pct"/>
            <w:vMerge w:val="continue"/>
            <w:noWrap w:val="0"/>
            <w:vAlign w:val="center"/>
          </w:tcPr>
          <w:p w14:paraId="77412A6D">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741" w:type="pct"/>
            <w:vMerge w:val="continue"/>
            <w:noWrap w:val="0"/>
            <w:vAlign w:val="center"/>
          </w:tcPr>
          <w:p w14:paraId="7189747D">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899" w:type="pct"/>
            <w:vMerge w:val="continue"/>
            <w:noWrap w:val="0"/>
            <w:vAlign w:val="center"/>
          </w:tcPr>
          <w:p w14:paraId="19FA97C7">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1196" w:type="pct"/>
            <w:noWrap w:val="0"/>
            <w:vAlign w:val="center"/>
          </w:tcPr>
          <w:p w14:paraId="731A250B">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东经E</w:t>
            </w:r>
          </w:p>
        </w:tc>
        <w:tc>
          <w:tcPr>
            <w:tcW w:w="1267" w:type="pct"/>
            <w:noWrap w:val="0"/>
            <w:vAlign w:val="center"/>
          </w:tcPr>
          <w:p w14:paraId="29A3F928">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北纬N</w:t>
            </w:r>
          </w:p>
        </w:tc>
      </w:tr>
      <w:tr w14:paraId="1C90F81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895" w:type="pct"/>
            <w:vMerge w:val="restart"/>
            <w:noWrap w:val="0"/>
            <w:vAlign w:val="center"/>
          </w:tcPr>
          <w:p w14:paraId="526A7EBB">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sz w:val="21"/>
                <w:szCs w:val="21"/>
                <w:highlight w:val="none"/>
                <w:lang w:eastAsia="zh-CN"/>
              </w:rPr>
              <w:t>绥化市庆安县发展乡饮用水水源地</w:t>
            </w:r>
          </w:p>
        </w:tc>
        <w:tc>
          <w:tcPr>
            <w:tcW w:w="741" w:type="pct"/>
            <w:vMerge w:val="restart"/>
            <w:noWrap w:val="0"/>
            <w:vAlign w:val="center"/>
          </w:tcPr>
          <w:p w14:paraId="0185BEBC">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1#取水井</w:t>
            </w:r>
          </w:p>
        </w:tc>
        <w:tc>
          <w:tcPr>
            <w:tcW w:w="899" w:type="pct"/>
            <w:noWrap w:val="0"/>
            <w:vAlign w:val="center"/>
          </w:tcPr>
          <w:p w14:paraId="266237D5">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Y1</w:t>
            </w:r>
          </w:p>
        </w:tc>
        <w:tc>
          <w:tcPr>
            <w:tcW w:w="1196" w:type="pct"/>
            <w:noWrap w:val="0"/>
            <w:vAlign w:val="center"/>
          </w:tcPr>
          <w:p w14:paraId="731AB02C">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127°40'45.797"</w:t>
            </w:r>
          </w:p>
        </w:tc>
        <w:tc>
          <w:tcPr>
            <w:tcW w:w="1267" w:type="pct"/>
            <w:noWrap w:val="0"/>
            <w:vAlign w:val="center"/>
          </w:tcPr>
          <w:p w14:paraId="615CE8F7">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47°03'04.000"</w:t>
            </w:r>
          </w:p>
        </w:tc>
      </w:tr>
      <w:tr w14:paraId="2B784EE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895" w:type="pct"/>
            <w:vMerge w:val="continue"/>
            <w:noWrap w:val="0"/>
            <w:vAlign w:val="center"/>
          </w:tcPr>
          <w:p w14:paraId="1A412182">
            <w:pPr>
              <w:adjustRightInd w:val="0"/>
              <w:snapToGrid w:val="0"/>
              <w:spacing w:line="240" w:lineRule="auto"/>
              <w:jc w:val="center"/>
              <w:rPr>
                <w:rFonts w:hint="default" w:ascii="Times New Roman" w:hAnsi="Times New Roman" w:eastAsia="宋体" w:cs="Times New Roman"/>
                <w:color w:val="auto"/>
                <w:kern w:val="0"/>
                <w:sz w:val="21"/>
                <w:szCs w:val="21"/>
                <w:highlight w:val="none"/>
              </w:rPr>
            </w:pPr>
          </w:p>
        </w:tc>
        <w:tc>
          <w:tcPr>
            <w:tcW w:w="741" w:type="pct"/>
            <w:vMerge w:val="continue"/>
            <w:noWrap w:val="0"/>
            <w:vAlign w:val="center"/>
          </w:tcPr>
          <w:p w14:paraId="0F628C1D">
            <w:pPr>
              <w:widowControl/>
              <w:spacing w:line="240" w:lineRule="auto"/>
              <w:jc w:val="center"/>
              <w:textAlignment w:val="center"/>
              <w:rPr>
                <w:rFonts w:hint="default" w:ascii="Times New Roman" w:hAnsi="Times New Roman" w:eastAsia="宋体" w:cs="Times New Roman"/>
                <w:color w:val="auto"/>
                <w:kern w:val="0"/>
                <w:sz w:val="21"/>
                <w:szCs w:val="21"/>
                <w:highlight w:val="none"/>
              </w:rPr>
            </w:pPr>
          </w:p>
        </w:tc>
        <w:tc>
          <w:tcPr>
            <w:tcW w:w="899" w:type="pct"/>
            <w:noWrap w:val="0"/>
            <w:vAlign w:val="center"/>
          </w:tcPr>
          <w:p w14:paraId="545C9120">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Y2</w:t>
            </w:r>
          </w:p>
        </w:tc>
        <w:tc>
          <w:tcPr>
            <w:tcW w:w="1196" w:type="pct"/>
            <w:noWrap w:val="0"/>
            <w:vAlign w:val="center"/>
          </w:tcPr>
          <w:p w14:paraId="2621F5DE">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127°40'47.241"</w:t>
            </w:r>
          </w:p>
        </w:tc>
        <w:tc>
          <w:tcPr>
            <w:tcW w:w="1267" w:type="pct"/>
            <w:noWrap w:val="0"/>
            <w:vAlign w:val="center"/>
          </w:tcPr>
          <w:p w14:paraId="2A06895F">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47°03'03.006"</w:t>
            </w:r>
          </w:p>
        </w:tc>
      </w:tr>
      <w:tr w14:paraId="785A48B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895" w:type="pct"/>
            <w:vMerge w:val="continue"/>
            <w:noWrap w:val="0"/>
            <w:vAlign w:val="center"/>
          </w:tcPr>
          <w:p w14:paraId="281AAFE8">
            <w:pPr>
              <w:adjustRightInd w:val="0"/>
              <w:snapToGrid w:val="0"/>
              <w:spacing w:line="240" w:lineRule="auto"/>
              <w:jc w:val="center"/>
              <w:rPr>
                <w:rFonts w:hint="default" w:ascii="Times New Roman" w:hAnsi="Times New Roman" w:eastAsia="宋体" w:cs="Times New Roman"/>
                <w:color w:val="auto"/>
                <w:kern w:val="0"/>
                <w:sz w:val="21"/>
                <w:szCs w:val="21"/>
                <w:highlight w:val="none"/>
              </w:rPr>
            </w:pPr>
          </w:p>
        </w:tc>
        <w:tc>
          <w:tcPr>
            <w:tcW w:w="741" w:type="pct"/>
            <w:vMerge w:val="continue"/>
            <w:noWrap w:val="0"/>
            <w:vAlign w:val="center"/>
          </w:tcPr>
          <w:p w14:paraId="12EFAFE1">
            <w:pPr>
              <w:widowControl/>
              <w:spacing w:line="240" w:lineRule="auto"/>
              <w:jc w:val="center"/>
              <w:textAlignment w:val="center"/>
              <w:rPr>
                <w:rFonts w:hint="default" w:ascii="Times New Roman" w:hAnsi="Times New Roman" w:eastAsia="宋体" w:cs="Times New Roman"/>
                <w:color w:val="auto"/>
                <w:kern w:val="0"/>
                <w:sz w:val="21"/>
                <w:szCs w:val="21"/>
                <w:highlight w:val="none"/>
              </w:rPr>
            </w:pPr>
          </w:p>
        </w:tc>
        <w:tc>
          <w:tcPr>
            <w:tcW w:w="899" w:type="pct"/>
            <w:noWrap w:val="0"/>
            <w:vAlign w:val="center"/>
          </w:tcPr>
          <w:p w14:paraId="479FE379">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Y3</w:t>
            </w:r>
          </w:p>
        </w:tc>
        <w:tc>
          <w:tcPr>
            <w:tcW w:w="1196" w:type="pct"/>
            <w:noWrap w:val="0"/>
            <w:vAlign w:val="center"/>
          </w:tcPr>
          <w:p w14:paraId="7B9ABB6E">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127°40'45.845"</w:t>
            </w:r>
          </w:p>
        </w:tc>
        <w:tc>
          <w:tcPr>
            <w:tcW w:w="1267" w:type="pct"/>
            <w:noWrap w:val="0"/>
            <w:vAlign w:val="center"/>
          </w:tcPr>
          <w:p w14:paraId="2445FAF2">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47°03'02.058"</w:t>
            </w:r>
          </w:p>
        </w:tc>
      </w:tr>
      <w:tr w14:paraId="3C3E947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895" w:type="pct"/>
            <w:vMerge w:val="continue"/>
            <w:noWrap w:val="0"/>
            <w:vAlign w:val="center"/>
          </w:tcPr>
          <w:p w14:paraId="5E2C9A00">
            <w:pPr>
              <w:adjustRightInd w:val="0"/>
              <w:snapToGrid w:val="0"/>
              <w:spacing w:line="240" w:lineRule="auto"/>
              <w:jc w:val="center"/>
              <w:rPr>
                <w:rFonts w:hint="default" w:ascii="Times New Roman" w:hAnsi="Times New Roman" w:eastAsia="宋体" w:cs="Times New Roman"/>
                <w:color w:val="auto"/>
                <w:kern w:val="0"/>
                <w:sz w:val="21"/>
                <w:szCs w:val="21"/>
                <w:highlight w:val="none"/>
              </w:rPr>
            </w:pPr>
          </w:p>
        </w:tc>
        <w:tc>
          <w:tcPr>
            <w:tcW w:w="741" w:type="pct"/>
            <w:vMerge w:val="continue"/>
            <w:noWrap w:val="0"/>
            <w:vAlign w:val="center"/>
          </w:tcPr>
          <w:p w14:paraId="491EC68A">
            <w:pPr>
              <w:widowControl/>
              <w:spacing w:line="240" w:lineRule="auto"/>
              <w:jc w:val="center"/>
              <w:textAlignment w:val="center"/>
              <w:rPr>
                <w:rFonts w:hint="default" w:ascii="Times New Roman" w:hAnsi="Times New Roman" w:eastAsia="宋体" w:cs="Times New Roman"/>
                <w:color w:val="auto"/>
                <w:kern w:val="0"/>
                <w:sz w:val="21"/>
                <w:szCs w:val="21"/>
                <w:highlight w:val="none"/>
              </w:rPr>
            </w:pPr>
          </w:p>
        </w:tc>
        <w:tc>
          <w:tcPr>
            <w:tcW w:w="899" w:type="pct"/>
            <w:noWrap w:val="0"/>
            <w:vAlign w:val="center"/>
          </w:tcPr>
          <w:p w14:paraId="4C1A0038">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Y4</w:t>
            </w:r>
          </w:p>
        </w:tc>
        <w:tc>
          <w:tcPr>
            <w:tcW w:w="1196" w:type="pct"/>
            <w:noWrap w:val="0"/>
            <w:vAlign w:val="center"/>
          </w:tcPr>
          <w:p w14:paraId="0BD5AAE2">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127°40'44.402"</w:t>
            </w:r>
          </w:p>
        </w:tc>
        <w:tc>
          <w:tcPr>
            <w:tcW w:w="1267" w:type="pct"/>
            <w:noWrap w:val="0"/>
            <w:vAlign w:val="center"/>
          </w:tcPr>
          <w:p w14:paraId="1A467ED4">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47°03'02.973"</w:t>
            </w:r>
          </w:p>
        </w:tc>
      </w:tr>
      <w:tr w14:paraId="5A4D4C1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895" w:type="pct"/>
            <w:vMerge w:val="continue"/>
            <w:noWrap w:val="0"/>
            <w:vAlign w:val="center"/>
          </w:tcPr>
          <w:p w14:paraId="25330EA9">
            <w:pPr>
              <w:adjustRightInd w:val="0"/>
              <w:snapToGrid w:val="0"/>
              <w:spacing w:line="240" w:lineRule="auto"/>
              <w:jc w:val="center"/>
              <w:rPr>
                <w:rFonts w:hint="default" w:ascii="Times New Roman" w:hAnsi="Times New Roman" w:eastAsia="宋体" w:cs="Times New Roman"/>
                <w:color w:val="auto"/>
                <w:kern w:val="0"/>
                <w:sz w:val="21"/>
                <w:szCs w:val="21"/>
                <w:highlight w:val="none"/>
              </w:rPr>
            </w:pPr>
          </w:p>
        </w:tc>
        <w:tc>
          <w:tcPr>
            <w:tcW w:w="741" w:type="pct"/>
            <w:vMerge w:val="restart"/>
            <w:noWrap w:val="0"/>
            <w:vAlign w:val="center"/>
          </w:tcPr>
          <w:p w14:paraId="1283110D">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val="en-US" w:eastAsia="zh-CN"/>
              </w:rPr>
              <w:t>2#取水井</w:t>
            </w:r>
          </w:p>
        </w:tc>
        <w:tc>
          <w:tcPr>
            <w:tcW w:w="899" w:type="pct"/>
            <w:noWrap w:val="0"/>
            <w:vAlign w:val="center"/>
          </w:tcPr>
          <w:p w14:paraId="42465854">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Y5</w:t>
            </w:r>
          </w:p>
        </w:tc>
        <w:tc>
          <w:tcPr>
            <w:tcW w:w="1196" w:type="pct"/>
            <w:noWrap w:val="0"/>
            <w:vAlign w:val="center"/>
          </w:tcPr>
          <w:p w14:paraId="7207658A">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127°40'54.680"</w:t>
            </w:r>
          </w:p>
        </w:tc>
        <w:tc>
          <w:tcPr>
            <w:tcW w:w="1267" w:type="pct"/>
            <w:noWrap w:val="0"/>
            <w:vAlign w:val="center"/>
          </w:tcPr>
          <w:p w14:paraId="1FA81D5C">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47°03'02.572"</w:t>
            </w:r>
          </w:p>
        </w:tc>
      </w:tr>
      <w:tr w14:paraId="1732DDB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895" w:type="pct"/>
            <w:vMerge w:val="continue"/>
            <w:noWrap w:val="0"/>
            <w:vAlign w:val="center"/>
          </w:tcPr>
          <w:p w14:paraId="7C90113F">
            <w:pPr>
              <w:adjustRightInd w:val="0"/>
              <w:snapToGrid w:val="0"/>
              <w:spacing w:line="240" w:lineRule="auto"/>
              <w:jc w:val="center"/>
              <w:rPr>
                <w:rFonts w:hint="default" w:ascii="Times New Roman" w:hAnsi="Times New Roman" w:eastAsia="宋体" w:cs="Times New Roman"/>
                <w:color w:val="auto"/>
                <w:kern w:val="0"/>
                <w:sz w:val="21"/>
                <w:szCs w:val="21"/>
                <w:highlight w:val="none"/>
              </w:rPr>
            </w:pPr>
          </w:p>
        </w:tc>
        <w:tc>
          <w:tcPr>
            <w:tcW w:w="741" w:type="pct"/>
            <w:vMerge w:val="continue"/>
            <w:noWrap w:val="0"/>
            <w:vAlign w:val="center"/>
          </w:tcPr>
          <w:p w14:paraId="16EDA408">
            <w:pPr>
              <w:widowControl/>
              <w:spacing w:line="240" w:lineRule="auto"/>
              <w:jc w:val="center"/>
              <w:textAlignment w:val="center"/>
              <w:rPr>
                <w:rFonts w:hint="default" w:ascii="Times New Roman" w:hAnsi="Times New Roman" w:eastAsia="宋体" w:cs="Times New Roman"/>
                <w:color w:val="auto"/>
                <w:kern w:val="0"/>
                <w:sz w:val="21"/>
                <w:szCs w:val="21"/>
                <w:highlight w:val="none"/>
              </w:rPr>
            </w:pPr>
          </w:p>
        </w:tc>
        <w:tc>
          <w:tcPr>
            <w:tcW w:w="899" w:type="pct"/>
            <w:noWrap w:val="0"/>
            <w:vAlign w:val="center"/>
          </w:tcPr>
          <w:p w14:paraId="45698B79">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Y6</w:t>
            </w:r>
          </w:p>
        </w:tc>
        <w:tc>
          <w:tcPr>
            <w:tcW w:w="1196" w:type="pct"/>
            <w:noWrap w:val="0"/>
            <w:vAlign w:val="center"/>
          </w:tcPr>
          <w:p w14:paraId="0DB8DE43">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127°40'56.125"</w:t>
            </w:r>
          </w:p>
        </w:tc>
        <w:tc>
          <w:tcPr>
            <w:tcW w:w="1267" w:type="pct"/>
            <w:noWrap w:val="0"/>
            <w:vAlign w:val="center"/>
          </w:tcPr>
          <w:p w14:paraId="52917216">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47°03'01.578"</w:t>
            </w:r>
          </w:p>
        </w:tc>
      </w:tr>
      <w:tr w14:paraId="1B5C719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895" w:type="pct"/>
            <w:vMerge w:val="continue"/>
            <w:noWrap w:val="0"/>
            <w:vAlign w:val="center"/>
          </w:tcPr>
          <w:p w14:paraId="27ACA3CD">
            <w:pPr>
              <w:adjustRightInd w:val="0"/>
              <w:snapToGrid w:val="0"/>
              <w:spacing w:line="240" w:lineRule="auto"/>
              <w:jc w:val="center"/>
              <w:rPr>
                <w:rFonts w:hint="default" w:ascii="Times New Roman" w:hAnsi="Times New Roman" w:eastAsia="宋体" w:cs="Times New Roman"/>
                <w:color w:val="auto"/>
                <w:kern w:val="0"/>
                <w:sz w:val="21"/>
                <w:szCs w:val="21"/>
                <w:highlight w:val="none"/>
              </w:rPr>
            </w:pPr>
          </w:p>
        </w:tc>
        <w:tc>
          <w:tcPr>
            <w:tcW w:w="741" w:type="pct"/>
            <w:vMerge w:val="continue"/>
            <w:noWrap w:val="0"/>
            <w:vAlign w:val="center"/>
          </w:tcPr>
          <w:p w14:paraId="2931CD3A">
            <w:pPr>
              <w:widowControl/>
              <w:spacing w:line="240" w:lineRule="auto"/>
              <w:jc w:val="center"/>
              <w:textAlignment w:val="center"/>
              <w:rPr>
                <w:rFonts w:hint="default" w:ascii="Times New Roman" w:hAnsi="Times New Roman" w:eastAsia="宋体" w:cs="Times New Roman"/>
                <w:color w:val="auto"/>
                <w:kern w:val="0"/>
                <w:sz w:val="21"/>
                <w:szCs w:val="21"/>
                <w:highlight w:val="none"/>
              </w:rPr>
            </w:pPr>
          </w:p>
        </w:tc>
        <w:tc>
          <w:tcPr>
            <w:tcW w:w="899" w:type="pct"/>
            <w:noWrap w:val="0"/>
            <w:vAlign w:val="center"/>
          </w:tcPr>
          <w:p w14:paraId="3F6A9F73">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Y7</w:t>
            </w:r>
          </w:p>
        </w:tc>
        <w:tc>
          <w:tcPr>
            <w:tcW w:w="1196" w:type="pct"/>
            <w:noWrap w:val="0"/>
            <w:vAlign w:val="center"/>
          </w:tcPr>
          <w:p w14:paraId="61744208">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127°40'54.728"</w:t>
            </w:r>
          </w:p>
        </w:tc>
        <w:tc>
          <w:tcPr>
            <w:tcW w:w="1267" w:type="pct"/>
            <w:noWrap w:val="0"/>
            <w:vAlign w:val="center"/>
          </w:tcPr>
          <w:p w14:paraId="1E18E893">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47°03'00.630"</w:t>
            </w:r>
          </w:p>
        </w:tc>
      </w:tr>
      <w:tr w14:paraId="78F1A28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895" w:type="pct"/>
            <w:vMerge w:val="continue"/>
            <w:noWrap w:val="0"/>
            <w:vAlign w:val="center"/>
          </w:tcPr>
          <w:p w14:paraId="76F5DB4E">
            <w:pPr>
              <w:adjustRightInd w:val="0"/>
              <w:snapToGrid w:val="0"/>
              <w:spacing w:line="240" w:lineRule="auto"/>
              <w:jc w:val="center"/>
              <w:rPr>
                <w:rFonts w:hint="default" w:ascii="Times New Roman" w:hAnsi="Times New Roman" w:eastAsia="宋体" w:cs="Times New Roman"/>
                <w:color w:val="auto"/>
                <w:kern w:val="0"/>
                <w:sz w:val="21"/>
                <w:szCs w:val="21"/>
                <w:highlight w:val="none"/>
              </w:rPr>
            </w:pPr>
          </w:p>
        </w:tc>
        <w:tc>
          <w:tcPr>
            <w:tcW w:w="741" w:type="pct"/>
            <w:vMerge w:val="continue"/>
            <w:noWrap w:val="0"/>
            <w:vAlign w:val="center"/>
          </w:tcPr>
          <w:p w14:paraId="17BA3BF7">
            <w:pPr>
              <w:widowControl/>
              <w:spacing w:line="240" w:lineRule="auto"/>
              <w:jc w:val="center"/>
              <w:textAlignment w:val="center"/>
              <w:rPr>
                <w:rFonts w:hint="default" w:ascii="Times New Roman" w:hAnsi="Times New Roman" w:eastAsia="宋体" w:cs="Times New Roman"/>
                <w:color w:val="auto"/>
                <w:kern w:val="0"/>
                <w:sz w:val="21"/>
                <w:szCs w:val="21"/>
                <w:highlight w:val="none"/>
              </w:rPr>
            </w:pPr>
          </w:p>
        </w:tc>
        <w:tc>
          <w:tcPr>
            <w:tcW w:w="899" w:type="pct"/>
            <w:noWrap w:val="0"/>
            <w:vAlign w:val="center"/>
          </w:tcPr>
          <w:p w14:paraId="62CFF82F">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Y8</w:t>
            </w:r>
          </w:p>
        </w:tc>
        <w:tc>
          <w:tcPr>
            <w:tcW w:w="1196" w:type="pct"/>
            <w:noWrap w:val="0"/>
            <w:vAlign w:val="center"/>
          </w:tcPr>
          <w:p w14:paraId="2291CA48">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127°40'53.285"</w:t>
            </w:r>
          </w:p>
        </w:tc>
        <w:tc>
          <w:tcPr>
            <w:tcW w:w="1267" w:type="pct"/>
            <w:noWrap w:val="0"/>
            <w:vAlign w:val="center"/>
          </w:tcPr>
          <w:p w14:paraId="1CB6BE58">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47°03'01.546"</w:t>
            </w:r>
          </w:p>
        </w:tc>
      </w:tr>
      <w:tr w14:paraId="5601802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895" w:type="pct"/>
            <w:vMerge w:val="continue"/>
            <w:noWrap w:val="0"/>
            <w:vAlign w:val="center"/>
          </w:tcPr>
          <w:p w14:paraId="7A4054F0">
            <w:pPr>
              <w:adjustRightInd w:val="0"/>
              <w:snapToGrid w:val="0"/>
              <w:spacing w:line="240" w:lineRule="auto"/>
              <w:jc w:val="center"/>
              <w:rPr>
                <w:rFonts w:hint="default" w:ascii="Times New Roman" w:hAnsi="Times New Roman" w:eastAsia="宋体" w:cs="Times New Roman"/>
                <w:color w:val="auto"/>
                <w:kern w:val="0"/>
                <w:sz w:val="21"/>
                <w:szCs w:val="21"/>
                <w:highlight w:val="none"/>
              </w:rPr>
            </w:pPr>
          </w:p>
        </w:tc>
        <w:tc>
          <w:tcPr>
            <w:tcW w:w="741" w:type="pct"/>
            <w:vMerge w:val="restart"/>
            <w:noWrap w:val="0"/>
            <w:vAlign w:val="center"/>
          </w:tcPr>
          <w:p w14:paraId="0C191883">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val="en-US" w:eastAsia="zh-CN"/>
              </w:rPr>
              <w:t>3#取水井</w:t>
            </w:r>
          </w:p>
        </w:tc>
        <w:tc>
          <w:tcPr>
            <w:tcW w:w="899" w:type="pct"/>
            <w:noWrap w:val="0"/>
            <w:vAlign w:val="center"/>
          </w:tcPr>
          <w:p w14:paraId="1B860327">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Y9</w:t>
            </w:r>
          </w:p>
        </w:tc>
        <w:tc>
          <w:tcPr>
            <w:tcW w:w="1196" w:type="pct"/>
            <w:noWrap w:val="0"/>
            <w:vAlign w:val="center"/>
          </w:tcPr>
          <w:p w14:paraId="698999AE">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127°41'00.821"</w:t>
            </w:r>
          </w:p>
        </w:tc>
        <w:tc>
          <w:tcPr>
            <w:tcW w:w="1267" w:type="pct"/>
            <w:noWrap w:val="0"/>
            <w:vAlign w:val="center"/>
          </w:tcPr>
          <w:p w14:paraId="22451771">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47°02'58.875"</w:t>
            </w:r>
          </w:p>
        </w:tc>
      </w:tr>
      <w:tr w14:paraId="0D7C97D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895" w:type="pct"/>
            <w:vMerge w:val="continue"/>
            <w:noWrap w:val="0"/>
            <w:vAlign w:val="center"/>
          </w:tcPr>
          <w:p w14:paraId="0527C30A">
            <w:pPr>
              <w:adjustRightInd w:val="0"/>
              <w:snapToGrid w:val="0"/>
              <w:spacing w:line="240" w:lineRule="auto"/>
              <w:jc w:val="center"/>
              <w:rPr>
                <w:rFonts w:hint="default" w:ascii="Times New Roman" w:hAnsi="Times New Roman" w:eastAsia="宋体" w:cs="Times New Roman"/>
                <w:color w:val="auto"/>
                <w:kern w:val="0"/>
                <w:sz w:val="21"/>
                <w:szCs w:val="21"/>
                <w:highlight w:val="none"/>
              </w:rPr>
            </w:pPr>
          </w:p>
        </w:tc>
        <w:tc>
          <w:tcPr>
            <w:tcW w:w="741" w:type="pct"/>
            <w:vMerge w:val="continue"/>
            <w:noWrap w:val="0"/>
            <w:vAlign w:val="center"/>
          </w:tcPr>
          <w:p w14:paraId="63A6CDCF">
            <w:pPr>
              <w:widowControl/>
              <w:spacing w:line="240" w:lineRule="auto"/>
              <w:jc w:val="center"/>
              <w:textAlignment w:val="center"/>
              <w:rPr>
                <w:rFonts w:hint="default" w:ascii="Times New Roman" w:hAnsi="Times New Roman" w:eastAsia="宋体" w:cs="Times New Roman"/>
                <w:color w:val="auto"/>
                <w:kern w:val="0"/>
                <w:sz w:val="21"/>
                <w:szCs w:val="21"/>
                <w:highlight w:val="none"/>
              </w:rPr>
            </w:pPr>
          </w:p>
        </w:tc>
        <w:tc>
          <w:tcPr>
            <w:tcW w:w="899" w:type="pct"/>
            <w:noWrap w:val="0"/>
            <w:vAlign w:val="center"/>
          </w:tcPr>
          <w:p w14:paraId="373A8CC6">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Y10</w:t>
            </w:r>
          </w:p>
        </w:tc>
        <w:tc>
          <w:tcPr>
            <w:tcW w:w="1196" w:type="pct"/>
            <w:noWrap w:val="0"/>
            <w:vAlign w:val="center"/>
          </w:tcPr>
          <w:p w14:paraId="39E199D7">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127°41'02.266"</w:t>
            </w:r>
          </w:p>
        </w:tc>
        <w:tc>
          <w:tcPr>
            <w:tcW w:w="1267" w:type="pct"/>
            <w:noWrap w:val="0"/>
            <w:vAlign w:val="center"/>
          </w:tcPr>
          <w:p w14:paraId="3E3EB423">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47°02'57.881"</w:t>
            </w:r>
          </w:p>
        </w:tc>
      </w:tr>
      <w:tr w14:paraId="6BFFE00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895" w:type="pct"/>
            <w:vMerge w:val="continue"/>
            <w:noWrap w:val="0"/>
            <w:vAlign w:val="center"/>
          </w:tcPr>
          <w:p w14:paraId="51E4AA43">
            <w:pPr>
              <w:adjustRightInd w:val="0"/>
              <w:snapToGrid w:val="0"/>
              <w:spacing w:line="240" w:lineRule="auto"/>
              <w:jc w:val="center"/>
              <w:rPr>
                <w:rFonts w:hint="default" w:ascii="Times New Roman" w:hAnsi="Times New Roman" w:eastAsia="宋体" w:cs="Times New Roman"/>
                <w:color w:val="auto"/>
                <w:kern w:val="0"/>
                <w:sz w:val="21"/>
                <w:szCs w:val="21"/>
                <w:highlight w:val="none"/>
              </w:rPr>
            </w:pPr>
          </w:p>
        </w:tc>
        <w:tc>
          <w:tcPr>
            <w:tcW w:w="741" w:type="pct"/>
            <w:vMerge w:val="continue"/>
            <w:noWrap w:val="0"/>
            <w:vAlign w:val="center"/>
          </w:tcPr>
          <w:p w14:paraId="527EFD50">
            <w:pPr>
              <w:widowControl/>
              <w:spacing w:line="240" w:lineRule="auto"/>
              <w:jc w:val="center"/>
              <w:textAlignment w:val="center"/>
              <w:rPr>
                <w:rFonts w:hint="default" w:ascii="Times New Roman" w:hAnsi="Times New Roman" w:eastAsia="宋体" w:cs="Times New Roman"/>
                <w:color w:val="auto"/>
                <w:kern w:val="0"/>
                <w:sz w:val="21"/>
                <w:szCs w:val="21"/>
                <w:highlight w:val="none"/>
              </w:rPr>
            </w:pPr>
          </w:p>
        </w:tc>
        <w:tc>
          <w:tcPr>
            <w:tcW w:w="899" w:type="pct"/>
            <w:noWrap w:val="0"/>
            <w:vAlign w:val="center"/>
          </w:tcPr>
          <w:p w14:paraId="73821973">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Y11</w:t>
            </w:r>
          </w:p>
        </w:tc>
        <w:tc>
          <w:tcPr>
            <w:tcW w:w="1196" w:type="pct"/>
            <w:noWrap w:val="0"/>
            <w:vAlign w:val="center"/>
          </w:tcPr>
          <w:p w14:paraId="0D8341F4">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127°41'00.869"</w:t>
            </w:r>
          </w:p>
        </w:tc>
        <w:tc>
          <w:tcPr>
            <w:tcW w:w="1267" w:type="pct"/>
            <w:noWrap w:val="0"/>
            <w:vAlign w:val="center"/>
          </w:tcPr>
          <w:p w14:paraId="6CE7E63E">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47°02'56.932"</w:t>
            </w:r>
          </w:p>
        </w:tc>
      </w:tr>
      <w:tr w14:paraId="2EE456A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895" w:type="pct"/>
            <w:vMerge w:val="continue"/>
            <w:noWrap w:val="0"/>
            <w:vAlign w:val="center"/>
          </w:tcPr>
          <w:p w14:paraId="1C2E3CE8">
            <w:pPr>
              <w:adjustRightInd w:val="0"/>
              <w:snapToGrid w:val="0"/>
              <w:spacing w:line="240" w:lineRule="auto"/>
              <w:jc w:val="center"/>
              <w:rPr>
                <w:rFonts w:hint="default" w:ascii="Times New Roman" w:hAnsi="Times New Roman" w:eastAsia="宋体" w:cs="Times New Roman"/>
                <w:color w:val="auto"/>
                <w:kern w:val="0"/>
                <w:sz w:val="21"/>
                <w:szCs w:val="21"/>
                <w:highlight w:val="none"/>
              </w:rPr>
            </w:pPr>
          </w:p>
        </w:tc>
        <w:tc>
          <w:tcPr>
            <w:tcW w:w="741" w:type="pct"/>
            <w:vMerge w:val="continue"/>
            <w:noWrap w:val="0"/>
            <w:vAlign w:val="center"/>
          </w:tcPr>
          <w:p w14:paraId="2574FDE3">
            <w:pPr>
              <w:widowControl/>
              <w:spacing w:line="240" w:lineRule="auto"/>
              <w:jc w:val="center"/>
              <w:textAlignment w:val="center"/>
              <w:rPr>
                <w:rFonts w:hint="default" w:ascii="Times New Roman" w:hAnsi="Times New Roman" w:eastAsia="宋体" w:cs="Times New Roman"/>
                <w:color w:val="auto"/>
                <w:kern w:val="0"/>
                <w:sz w:val="21"/>
                <w:szCs w:val="21"/>
                <w:highlight w:val="none"/>
              </w:rPr>
            </w:pPr>
          </w:p>
        </w:tc>
        <w:tc>
          <w:tcPr>
            <w:tcW w:w="899" w:type="pct"/>
            <w:noWrap w:val="0"/>
            <w:vAlign w:val="center"/>
          </w:tcPr>
          <w:p w14:paraId="24F91004">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Y12</w:t>
            </w:r>
          </w:p>
        </w:tc>
        <w:tc>
          <w:tcPr>
            <w:tcW w:w="1196" w:type="pct"/>
            <w:noWrap w:val="0"/>
            <w:vAlign w:val="center"/>
          </w:tcPr>
          <w:p w14:paraId="4C1BFE0A">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127°40'59.427"</w:t>
            </w:r>
          </w:p>
        </w:tc>
        <w:tc>
          <w:tcPr>
            <w:tcW w:w="1267" w:type="pct"/>
            <w:noWrap w:val="0"/>
            <w:vAlign w:val="center"/>
          </w:tcPr>
          <w:p w14:paraId="61388637">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47°02'57.848"</w:t>
            </w:r>
          </w:p>
        </w:tc>
      </w:tr>
      <w:tr w14:paraId="0EC6C7C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895" w:type="pct"/>
            <w:vMerge w:val="continue"/>
            <w:noWrap w:val="0"/>
            <w:vAlign w:val="center"/>
          </w:tcPr>
          <w:p w14:paraId="4F78092B">
            <w:pPr>
              <w:adjustRightInd w:val="0"/>
              <w:snapToGrid w:val="0"/>
              <w:spacing w:line="240" w:lineRule="auto"/>
              <w:jc w:val="center"/>
              <w:rPr>
                <w:rFonts w:hint="default" w:ascii="Times New Roman" w:hAnsi="Times New Roman" w:eastAsia="宋体" w:cs="Times New Roman"/>
                <w:color w:val="auto"/>
                <w:kern w:val="0"/>
                <w:sz w:val="21"/>
                <w:szCs w:val="21"/>
                <w:highlight w:val="none"/>
              </w:rPr>
            </w:pPr>
          </w:p>
        </w:tc>
        <w:tc>
          <w:tcPr>
            <w:tcW w:w="741" w:type="pct"/>
            <w:vMerge w:val="restart"/>
            <w:noWrap w:val="0"/>
            <w:vAlign w:val="center"/>
          </w:tcPr>
          <w:p w14:paraId="6F15F836">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val="en-US" w:eastAsia="zh-CN"/>
              </w:rPr>
              <w:t>4#取水井</w:t>
            </w:r>
          </w:p>
        </w:tc>
        <w:tc>
          <w:tcPr>
            <w:tcW w:w="899" w:type="pct"/>
            <w:noWrap w:val="0"/>
            <w:vAlign w:val="center"/>
          </w:tcPr>
          <w:p w14:paraId="6DFEBCE6">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Y13</w:t>
            </w:r>
          </w:p>
        </w:tc>
        <w:tc>
          <w:tcPr>
            <w:tcW w:w="1196" w:type="pct"/>
            <w:noWrap w:val="0"/>
            <w:vAlign w:val="center"/>
          </w:tcPr>
          <w:p w14:paraId="3C12113D">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127°40'56.327"</w:t>
            </w:r>
          </w:p>
        </w:tc>
        <w:tc>
          <w:tcPr>
            <w:tcW w:w="1267" w:type="pct"/>
            <w:noWrap w:val="0"/>
            <w:vAlign w:val="center"/>
          </w:tcPr>
          <w:p w14:paraId="1375F9E6">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47°02'50.486"</w:t>
            </w:r>
          </w:p>
        </w:tc>
      </w:tr>
      <w:tr w14:paraId="67E516A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895" w:type="pct"/>
            <w:vMerge w:val="continue"/>
            <w:noWrap w:val="0"/>
            <w:vAlign w:val="center"/>
          </w:tcPr>
          <w:p w14:paraId="3C26C6AE">
            <w:pPr>
              <w:adjustRightInd w:val="0"/>
              <w:snapToGrid w:val="0"/>
              <w:spacing w:line="240" w:lineRule="auto"/>
              <w:jc w:val="center"/>
              <w:rPr>
                <w:rFonts w:hint="default" w:ascii="Times New Roman" w:hAnsi="Times New Roman" w:eastAsia="宋体" w:cs="Times New Roman"/>
                <w:color w:val="auto"/>
                <w:kern w:val="0"/>
                <w:sz w:val="21"/>
                <w:szCs w:val="21"/>
                <w:highlight w:val="none"/>
              </w:rPr>
            </w:pPr>
          </w:p>
        </w:tc>
        <w:tc>
          <w:tcPr>
            <w:tcW w:w="741" w:type="pct"/>
            <w:vMerge w:val="continue"/>
            <w:noWrap w:val="0"/>
            <w:vAlign w:val="center"/>
          </w:tcPr>
          <w:p w14:paraId="390D7869">
            <w:pPr>
              <w:widowControl/>
              <w:spacing w:line="240" w:lineRule="auto"/>
              <w:jc w:val="center"/>
              <w:textAlignment w:val="center"/>
              <w:rPr>
                <w:rFonts w:hint="default" w:ascii="Times New Roman" w:hAnsi="Times New Roman" w:eastAsia="宋体" w:cs="Times New Roman"/>
                <w:color w:val="auto"/>
                <w:kern w:val="0"/>
                <w:sz w:val="21"/>
                <w:szCs w:val="21"/>
                <w:highlight w:val="none"/>
              </w:rPr>
            </w:pPr>
          </w:p>
        </w:tc>
        <w:tc>
          <w:tcPr>
            <w:tcW w:w="899" w:type="pct"/>
            <w:noWrap w:val="0"/>
            <w:vAlign w:val="center"/>
          </w:tcPr>
          <w:p w14:paraId="26948CAB">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Y14</w:t>
            </w:r>
          </w:p>
        </w:tc>
        <w:tc>
          <w:tcPr>
            <w:tcW w:w="1196" w:type="pct"/>
            <w:noWrap w:val="0"/>
            <w:vAlign w:val="center"/>
          </w:tcPr>
          <w:p w14:paraId="772D75AE">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127°40'57.771"</w:t>
            </w:r>
          </w:p>
        </w:tc>
        <w:tc>
          <w:tcPr>
            <w:tcW w:w="1267" w:type="pct"/>
            <w:noWrap w:val="0"/>
            <w:vAlign w:val="center"/>
          </w:tcPr>
          <w:p w14:paraId="7660EF43">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47°02'49.492"</w:t>
            </w:r>
          </w:p>
        </w:tc>
      </w:tr>
      <w:tr w14:paraId="56906DF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895" w:type="pct"/>
            <w:vMerge w:val="continue"/>
            <w:noWrap w:val="0"/>
            <w:vAlign w:val="center"/>
          </w:tcPr>
          <w:p w14:paraId="7187E1D8">
            <w:pPr>
              <w:adjustRightInd w:val="0"/>
              <w:snapToGrid w:val="0"/>
              <w:spacing w:line="240" w:lineRule="auto"/>
              <w:jc w:val="center"/>
              <w:rPr>
                <w:rFonts w:hint="default" w:ascii="Times New Roman" w:hAnsi="Times New Roman" w:eastAsia="宋体" w:cs="Times New Roman"/>
                <w:color w:val="auto"/>
                <w:kern w:val="0"/>
                <w:sz w:val="21"/>
                <w:szCs w:val="21"/>
                <w:highlight w:val="none"/>
              </w:rPr>
            </w:pPr>
          </w:p>
        </w:tc>
        <w:tc>
          <w:tcPr>
            <w:tcW w:w="741" w:type="pct"/>
            <w:vMerge w:val="continue"/>
            <w:noWrap w:val="0"/>
            <w:vAlign w:val="center"/>
          </w:tcPr>
          <w:p w14:paraId="1B68DE52">
            <w:pPr>
              <w:widowControl/>
              <w:spacing w:line="240" w:lineRule="auto"/>
              <w:jc w:val="center"/>
              <w:textAlignment w:val="center"/>
              <w:rPr>
                <w:rFonts w:hint="default" w:ascii="Times New Roman" w:hAnsi="Times New Roman" w:eastAsia="宋体" w:cs="Times New Roman"/>
                <w:color w:val="auto"/>
                <w:kern w:val="0"/>
                <w:sz w:val="21"/>
                <w:szCs w:val="21"/>
                <w:highlight w:val="none"/>
              </w:rPr>
            </w:pPr>
          </w:p>
        </w:tc>
        <w:tc>
          <w:tcPr>
            <w:tcW w:w="899" w:type="pct"/>
            <w:noWrap w:val="0"/>
            <w:vAlign w:val="center"/>
          </w:tcPr>
          <w:p w14:paraId="051C8038">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Y15</w:t>
            </w:r>
          </w:p>
        </w:tc>
        <w:tc>
          <w:tcPr>
            <w:tcW w:w="1196" w:type="pct"/>
            <w:noWrap w:val="0"/>
            <w:vAlign w:val="center"/>
          </w:tcPr>
          <w:p w14:paraId="32DCB622">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127°40'56.374"</w:t>
            </w:r>
          </w:p>
        </w:tc>
        <w:tc>
          <w:tcPr>
            <w:tcW w:w="1267" w:type="pct"/>
            <w:noWrap w:val="0"/>
            <w:vAlign w:val="center"/>
          </w:tcPr>
          <w:p w14:paraId="400FF539">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47°02'48.544"</w:t>
            </w:r>
          </w:p>
        </w:tc>
      </w:tr>
      <w:tr w14:paraId="2025DE1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895" w:type="pct"/>
            <w:vMerge w:val="continue"/>
            <w:noWrap w:val="0"/>
            <w:vAlign w:val="center"/>
          </w:tcPr>
          <w:p w14:paraId="3CB6BBAF">
            <w:pPr>
              <w:adjustRightInd w:val="0"/>
              <w:snapToGrid w:val="0"/>
              <w:spacing w:line="240" w:lineRule="auto"/>
              <w:jc w:val="center"/>
              <w:rPr>
                <w:rFonts w:hint="default" w:ascii="Times New Roman" w:hAnsi="Times New Roman" w:eastAsia="宋体" w:cs="Times New Roman"/>
                <w:color w:val="auto"/>
                <w:kern w:val="0"/>
                <w:sz w:val="21"/>
                <w:szCs w:val="21"/>
                <w:highlight w:val="none"/>
              </w:rPr>
            </w:pPr>
          </w:p>
        </w:tc>
        <w:tc>
          <w:tcPr>
            <w:tcW w:w="741" w:type="pct"/>
            <w:vMerge w:val="continue"/>
            <w:noWrap w:val="0"/>
            <w:vAlign w:val="center"/>
          </w:tcPr>
          <w:p w14:paraId="3EC1CC7A">
            <w:pPr>
              <w:widowControl/>
              <w:spacing w:line="240" w:lineRule="auto"/>
              <w:jc w:val="center"/>
              <w:textAlignment w:val="center"/>
              <w:rPr>
                <w:rFonts w:hint="default" w:ascii="Times New Roman" w:hAnsi="Times New Roman" w:eastAsia="宋体" w:cs="Times New Roman"/>
                <w:color w:val="auto"/>
                <w:kern w:val="0"/>
                <w:sz w:val="21"/>
                <w:szCs w:val="21"/>
                <w:highlight w:val="none"/>
              </w:rPr>
            </w:pPr>
          </w:p>
        </w:tc>
        <w:tc>
          <w:tcPr>
            <w:tcW w:w="899" w:type="pct"/>
            <w:noWrap w:val="0"/>
            <w:vAlign w:val="center"/>
          </w:tcPr>
          <w:p w14:paraId="1187E416">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Y16</w:t>
            </w:r>
          </w:p>
        </w:tc>
        <w:tc>
          <w:tcPr>
            <w:tcW w:w="1196" w:type="pct"/>
            <w:noWrap w:val="0"/>
            <w:vAlign w:val="center"/>
          </w:tcPr>
          <w:p w14:paraId="2BB7D613">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127°40'54.932"</w:t>
            </w:r>
          </w:p>
        </w:tc>
        <w:tc>
          <w:tcPr>
            <w:tcW w:w="1267" w:type="pct"/>
            <w:noWrap w:val="0"/>
            <w:vAlign w:val="center"/>
          </w:tcPr>
          <w:p w14:paraId="49C32385">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47°02'49.459"</w:t>
            </w:r>
          </w:p>
        </w:tc>
      </w:tr>
      <w:tr w14:paraId="60A175F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895" w:type="pct"/>
            <w:vMerge w:val="continue"/>
            <w:noWrap w:val="0"/>
            <w:vAlign w:val="center"/>
          </w:tcPr>
          <w:p w14:paraId="26684C7A">
            <w:pPr>
              <w:adjustRightInd w:val="0"/>
              <w:snapToGrid w:val="0"/>
              <w:spacing w:line="240" w:lineRule="auto"/>
              <w:jc w:val="center"/>
              <w:rPr>
                <w:rFonts w:hint="default" w:ascii="Times New Roman" w:hAnsi="Times New Roman" w:eastAsia="宋体" w:cs="Times New Roman"/>
                <w:color w:val="auto"/>
                <w:kern w:val="0"/>
                <w:sz w:val="21"/>
                <w:szCs w:val="21"/>
                <w:highlight w:val="none"/>
              </w:rPr>
            </w:pPr>
          </w:p>
        </w:tc>
        <w:tc>
          <w:tcPr>
            <w:tcW w:w="741" w:type="pct"/>
            <w:vMerge w:val="restart"/>
            <w:noWrap w:val="0"/>
            <w:vAlign w:val="center"/>
          </w:tcPr>
          <w:p w14:paraId="1A26B252">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val="en-US" w:eastAsia="zh-CN"/>
              </w:rPr>
              <w:t>5#取水井</w:t>
            </w:r>
          </w:p>
        </w:tc>
        <w:tc>
          <w:tcPr>
            <w:tcW w:w="899" w:type="pct"/>
            <w:noWrap w:val="0"/>
            <w:vAlign w:val="center"/>
          </w:tcPr>
          <w:p w14:paraId="21F181B2">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Y17</w:t>
            </w:r>
          </w:p>
        </w:tc>
        <w:tc>
          <w:tcPr>
            <w:tcW w:w="1196" w:type="pct"/>
            <w:noWrap w:val="0"/>
            <w:vAlign w:val="center"/>
          </w:tcPr>
          <w:p w14:paraId="194979C7">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127°40'53.401"</w:t>
            </w:r>
          </w:p>
        </w:tc>
        <w:tc>
          <w:tcPr>
            <w:tcW w:w="1267" w:type="pct"/>
            <w:noWrap w:val="0"/>
            <w:vAlign w:val="center"/>
          </w:tcPr>
          <w:p w14:paraId="15149749">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47°02'48.930"</w:t>
            </w:r>
          </w:p>
        </w:tc>
      </w:tr>
      <w:tr w14:paraId="0DDE489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895" w:type="pct"/>
            <w:vMerge w:val="continue"/>
            <w:noWrap w:val="0"/>
            <w:vAlign w:val="center"/>
          </w:tcPr>
          <w:p w14:paraId="3FAA30A6">
            <w:pPr>
              <w:adjustRightInd w:val="0"/>
              <w:snapToGrid w:val="0"/>
              <w:spacing w:line="240" w:lineRule="auto"/>
              <w:jc w:val="center"/>
              <w:rPr>
                <w:rFonts w:hint="default" w:ascii="Times New Roman" w:hAnsi="Times New Roman" w:eastAsia="宋体" w:cs="Times New Roman"/>
                <w:color w:val="auto"/>
                <w:kern w:val="0"/>
                <w:sz w:val="21"/>
                <w:szCs w:val="21"/>
                <w:highlight w:val="none"/>
              </w:rPr>
            </w:pPr>
          </w:p>
        </w:tc>
        <w:tc>
          <w:tcPr>
            <w:tcW w:w="741" w:type="pct"/>
            <w:vMerge w:val="continue"/>
            <w:noWrap w:val="0"/>
            <w:vAlign w:val="center"/>
          </w:tcPr>
          <w:p w14:paraId="76E19BF9">
            <w:pPr>
              <w:widowControl/>
              <w:spacing w:line="240" w:lineRule="auto"/>
              <w:jc w:val="center"/>
              <w:textAlignment w:val="center"/>
              <w:rPr>
                <w:rFonts w:hint="default" w:ascii="Times New Roman" w:hAnsi="Times New Roman" w:eastAsia="宋体" w:cs="Times New Roman"/>
                <w:color w:val="auto"/>
                <w:kern w:val="0"/>
                <w:sz w:val="21"/>
                <w:szCs w:val="21"/>
                <w:highlight w:val="none"/>
              </w:rPr>
            </w:pPr>
          </w:p>
        </w:tc>
        <w:tc>
          <w:tcPr>
            <w:tcW w:w="899" w:type="pct"/>
            <w:noWrap w:val="0"/>
            <w:vAlign w:val="center"/>
          </w:tcPr>
          <w:p w14:paraId="1B737AB6">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Y18</w:t>
            </w:r>
          </w:p>
        </w:tc>
        <w:tc>
          <w:tcPr>
            <w:tcW w:w="1196" w:type="pct"/>
            <w:noWrap w:val="0"/>
            <w:vAlign w:val="center"/>
          </w:tcPr>
          <w:p w14:paraId="47F71F3E">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127°40'54.845"</w:t>
            </w:r>
          </w:p>
        </w:tc>
        <w:tc>
          <w:tcPr>
            <w:tcW w:w="1267" w:type="pct"/>
            <w:noWrap w:val="0"/>
            <w:vAlign w:val="center"/>
          </w:tcPr>
          <w:p w14:paraId="5F66F9F4">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47°02'47.936"</w:t>
            </w:r>
          </w:p>
        </w:tc>
      </w:tr>
      <w:tr w14:paraId="5B0587E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895" w:type="pct"/>
            <w:vMerge w:val="continue"/>
            <w:noWrap w:val="0"/>
            <w:vAlign w:val="center"/>
          </w:tcPr>
          <w:p w14:paraId="5C3CFD31">
            <w:pPr>
              <w:adjustRightInd w:val="0"/>
              <w:snapToGrid w:val="0"/>
              <w:spacing w:line="240" w:lineRule="auto"/>
              <w:jc w:val="center"/>
              <w:rPr>
                <w:rFonts w:hint="default" w:ascii="Times New Roman" w:hAnsi="Times New Roman" w:eastAsia="宋体" w:cs="Times New Roman"/>
                <w:color w:val="auto"/>
                <w:kern w:val="0"/>
                <w:sz w:val="21"/>
                <w:szCs w:val="21"/>
                <w:highlight w:val="none"/>
              </w:rPr>
            </w:pPr>
          </w:p>
        </w:tc>
        <w:tc>
          <w:tcPr>
            <w:tcW w:w="741" w:type="pct"/>
            <w:vMerge w:val="continue"/>
            <w:noWrap w:val="0"/>
            <w:vAlign w:val="center"/>
          </w:tcPr>
          <w:p w14:paraId="0EA9873A">
            <w:pPr>
              <w:widowControl/>
              <w:spacing w:line="240" w:lineRule="auto"/>
              <w:jc w:val="center"/>
              <w:textAlignment w:val="center"/>
              <w:rPr>
                <w:rFonts w:hint="default" w:ascii="Times New Roman" w:hAnsi="Times New Roman" w:eastAsia="宋体" w:cs="Times New Roman"/>
                <w:color w:val="auto"/>
                <w:kern w:val="0"/>
                <w:sz w:val="21"/>
                <w:szCs w:val="21"/>
                <w:highlight w:val="none"/>
              </w:rPr>
            </w:pPr>
          </w:p>
        </w:tc>
        <w:tc>
          <w:tcPr>
            <w:tcW w:w="899" w:type="pct"/>
            <w:noWrap w:val="0"/>
            <w:vAlign w:val="center"/>
          </w:tcPr>
          <w:p w14:paraId="35114329">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Y19</w:t>
            </w:r>
          </w:p>
        </w:tc>
        <w:tc>
          <w:tcPr>
            <w:tcW w:w="1196" w:type="pct"/>
            <w:noWrap w:val="0"/>
            <w:vAlign w:val="center"/>
          </w:tcPr>
          <w:p w14:paraId="2C74E748">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127°40'53.449"</w:t>
            </w:r>
          </w:p>
        </w:tc>
        <w:tc>
          <w:tcPr>
            <w:tcW w:w="1267" w:type="pct"/>
            <w:noWrap w:val="0"/>
            <w:vAlign w:val="center"/>
          </w:tcPr>
          <w:p w14:paraId="3FBCE549">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47°02'46.988"</w:t>
            </w:r>
          </w:p>
        </w:tc>
      </w:tr>
      <w:tr w14:paraId="42FD7B4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895" w:type="pct"/>
            <w:vMerge w:val="continue"/>
            <w:noWrap w:val="0"/>
            <w:vAlign w:val="center"/>
          </w:tcPr>
          <w:p w14:paraId="5F4CC9E0">
            <w:pPr>
              <w:adjustRightInd w:val="0"/>
              <w:snapToGrid w:val="0"/>
              <w:spacing w:line="240" w:lineRule="auto"/>
              <w:jc w:val="center"/>
              <w:rPr>
                <w:rFonts w:hint="default" w:ascii="Times New Roman" w:hAnsi="Times New Roman" w:eastAsia="宋体" w:cs="Times New Roman"/>
                <w:color w:val="auto"/>
                <w:kern w:val="0"/>
                <w:sz w:val="21"/>
                <w:szCs w:val="21"/>
                <w:highlight w:val="none"/>
              </w:rPr>
            </w:pPr>
          </w:p>
        </w:tc>
        <w:tc>
          <w:tcPr>
            <w:tcW w:w="741" w:type="pct"/>
            <w:vMerge w:val="continue"/>
            <w:noWrap w:val="0"/>
            <w:vAlign w:val="center"/>
          </w:tcPr>
          <w:p w14:paraId="2C46BD4C">
            <w:pPr>
              <w:widowControl/>
              <w:spacing w:line="240" w:lineRule="auto"/>
              <w:jc w:val="center"/>
              <w:textAlignment w:val="center"/>
              <w:rPr>
                <w:rFonts w:hint="default" w:ascii="Times New Roman" w:hAnsi="Times New Roman" w:eastAsia="宋体" w:cs="Times New Roman"/>
                <w:color w:val="auto"/>
                <w:kern w:val="0"/>
                <w:sz w:val="21"/>
                <w:szCs w:val="21"/>
                <w:highlight w:val="none"/>
              </w:rPr>
            </w:pPr>
          </w:p>
        </w:tc>
        <w:tc>
          <w:tcPr>
            <w:tcW w:w="899" w:type="pct"/>
            <w:noWrap w:val="0"/>
            <w:vAlign w:val="center"/>
          </w:tcPr>
          <w:p w14:paraId="6EC16B4C">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Y20</w:t>
            </w:r>
          </w:p>
        </w:tc>
        <w:tc>
          <w:tcPr>
            <w:tcW w:w="1196" w:type="pct"/>
            <w:noWrap w:val="0"/>
            <w:vAlign w:val="center"/>
          </w:tcPr>
          <w:p w14:paraId="77495716">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127°40'52.006"</w:t>
            </w:r>
          </w:p>
        </w:tc>
        <w:tc>
          <w:tcPr>
            <w:tcW w:w="1267" w:type="pct"/>
            <w:noWrap w:val="0"/>
            <w:vAlign w:val="center"/>
          </w:tcPr>
          <w:p w14:paraId="504580A1">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47°02'47.903"</w:t>
            </w:r>
          </w:p>
        </w:tc>
      </w:tr>
      <w:tr w14:paraId="0F38F87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895" w:type="pct"/>
            <w:vMerge w:val="continue"/>
            <w:noWrap w:val="0"/>
            <w:vAlign w:val="center"/>
          </w:tcPr>
          <w:p w14:paraId="2DD99F49">
            <w:pPr>
              <w:adjustRightInd w:val="0"/>
              <w:snapToGrid w:val="0"/>
              <w:spacing w:line="240" w:lineRule="auto"/>
              <w:jc w:val="center"/>
              <w:rPr>
                <w:rFonts w:hint="default" w:ascii="Times New Roman" w:hAnsi="Times New Roman" w:eastAsia="宋体" w:cs="Times New Roman"/>
                <w:color w:val="auto"/>
                <w:kern w:val="0"/>
                <w:sz w:val="21"/>
                <w:szCs w:val="21"/>
                <w:highlight w:val="none"/>
              </w:rPr>
            </w:pPr>
          </w:p>
        </w:tc>
        <w:tc>
          <w:tcPr>
            <w:tcW w:w="741" w:type="pct"/>
            <w:vMerge w:val="restart"/>
            <w:noWrap w:val="0"/>
            <w:vAlign w:val="center"/>
          </w:tcPr>
          <w:p w14:paraId="57024D3F">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val="en-US" w:eastAsia="zh-CN"/>
              </w:rPr>
              <w:t>6#取水井</w:t>
            </w:r>
          </w:p>
        </w:tc>
        <w:tc>
          <w:tcPr>
            <w:tcW w:w="899" w:type="pct"/>
            <w:noWrap w:val="0"/>
            <w:vAlign w:val="center"/>
          </w:tcPr>
          <w:p w14:paraId="7A636317">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Y21</w:t>
            </w:r>
          </w:p>
        </w:tc>
        <w:tc>
          <w:tcPr>
            <w:tcW w:w="1196" w:type="pct"/>
            <w:noWrap w:val="0"/>
            <w:vAlign w:val="center"/>
          </w:tcPr>
          <w:p w14:paraId="77AF4E9E">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127°40'41.792"</w:t>
            </w:r>
          </w:p>
        </w:tc>
        <w:tc>
          <w:tcPr>
            <w:tcW w:w="1267" w:type="pct"/>
            <w:noWrap w:val="0"/>
            <w:vAlign w:val="center"/>
          </w:tcPr>
          <w:p w14:paraId="17BF40F4">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47°02'50.527"</w:t>
            </w:r>
          </w:p>
        </w:tc>
      </w:tr>
      <w:tr w14:paraId="60ECF9D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895" w:type="pct"/>
            <w:vMerge w:val="continue"/>
            <w:noWrap w:val="0"/>
            <w:vAlign w:val="center"/>
          </w:tcPr>
          <w:p w14:paraId="7447A790">
            <w:pPr>
              <w:adjustRightInd w:val="0"/>
              <w:snapToGrid w:val="0"/>
              <w:spacing w:line="240" w:lineRule="auto"/>
              <w:jc w:val="center"/>
              <w:rPr>
                <w:rFonts w:hint="default" w:ascii="Times New Roman" w:hAnsi="Times New Roman" w:eastAsia="宋体" w:cs="Times New Roman"/>
                <w:color w:val="auto"/>
                <w:kern w:val="0"/>
                <w:sz w:val="21"/>
                <w:szCs w:val="21"/>
                <w:highlight w:val="none"/>
              </w:rPr>
            </w:pPr>
          </w:p>
        </w:tc>
        <w:tc>
          <w:tcPr>
            <w:tcW w:w="741" w:type="pct"/>
            <w:vMerge w:val="continue"/>
            <w:noWrap w:val="0"/>
            <w:vAlign w:val="center"/>
          </w:tcPr>
          <w:p w14:paraId="6DFA36BD">
            <w:pPr>
              <w:widowControl/>
              <w:spacing w:line="240" w:lineRule="auto"/>
              <w:jc w:val="center"/>
              <w:textAlignment w:val="center"/>
              <w:rPr>
                <w:rFonts w:hint="default" w:ascii="Times New Roman" w:hAnsi="Times New Roman" w:eastAsia="宋体" w:cs="Times New Roman"/>
                <w:color w:val="auto"/>
                <w:kern w:val="0"/>
                <w:sz w:val="21"/>
                <w:szCs w:val="21"/>
                <w:highlight w:val="none"/>
              </w:rPr>
            </w:pPr>
          </w:p>
        </w:tc>
        <w:tc>
          <w:tcPr>
            <w:tcW w:w="899" w:type="pct"/>
            <w:noWrap w:val="0"/>
            <w:vAlign w:val="center"/>
          </w:tcPr>
          <w:p w14:paraId="6440B2A6">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Y22</w:t>
            </w:r>
          </w:p>
        </w:tc>
        <w:tc>
          <w:tcPr>
            <w:tcW w:w="1196" w:type="pct"/>
            <w:noWrap w:val="0"/>
            <w:vAlign w:val="center"/>
          </w:tcPr>
          <w:p w14:paraId="4D30876C">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127°40'43.237"</w:t>
            </w:r>
          </w:p>
        </w:tc>
        <w:tc>
          <w:tcPr>
            <w:tcW w:w="1267" w:type="pct"/>
            <w:noWrap w:val="0"/>
            <w:vAlign w:val="center"/>
          </w:tcPr>
          <w:p w14:paraId="065A7856">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47°02'49.533"</w:t>
            </w:r>
          </w:p>
        </w:tc>
      </w:tr>
      <w:tr w14:paraId="15D5E46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895" w:type="pct"/>
            <w:vMerge w:val="continue"/>
            <w:noWrap w:val="0"/>
            <w:vAlign w:val="center"/>
          </w:tcPr>
          <w:p w14:paraId="2A7C58F5">
            <w:pPr>
              <w:adjustRightInd w:val="0"/>
              <w:snapToGrid w:val="0"/>
              <w:spacing w:line="240" w:lineRule="auto"/>
              <w:jc w:val="center"/>
              <w:rPr>
                <w:rFonts w:hint="default" w:ascii="Times New Roman" w:hAnsi="Times New Roman" w:eastAsia="宋体" w:cs="Times New Roman"/>
                <w:color w:val="auto"/>
                <w:kern w:val="0"/>
                <w:sz w:val="21"/>
                <w:szCs w:val="21"/>
                <w:highlight w:val="none"/>
              </w:rPr>
            </w:pPr>
          </w:p>
        </w:tc>
        <w:tc>
          <w:tcPr>
            <w:tcW w:w="741" w:type="pct"/>
            <w:vMerge w:val="continue"/>
            <w:noWrap w:val="0"/>
            <w:vAlign w:val="center"/>
          </w:tcPr>
          <w:p w14:paraId="089F8316">
            <w:pPr>
              <w:widowControl/>
              <w:spacing w:line="240" w:lineRule="auto"/>
              <w:jc w:val="center"/>
              <w:textAlignment w:val="center"/>
              <w:rPr>
                <w:rFonts w:hint="default" w:ascii="Times New Roman" w:hAnsi="Times New Roman" w:eastAsia="宋体" w:cs="Times New Roman"/>
                <w:color w:val="auto"/>
                <w:kern w:val="0"/>
                <w:sz w:val="21"/>
                <w:szCs w:val="21"/>
                <w:highlight w:val="none"/>
              </w:rPr>
            </w:pPr>
          </w:p>
        </w:tc>
        <w:tc>
          <w:tcPr>
            <w:tcW w:w="899" w:type="pct"/>
            <w:noWrap w:val="0"/>
            <w:vAlign w:val="center"/>
          </w:tcPr>
          <w:p w14:paraId="022E7DD3">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Y23</w:t>
            </w:r>
          </w:p>
        </w:tc>
        <w:tc>
          <w:tcPr>
            <w:tcW w:w="1196" w:type="pct"/>
            <w:noWrap w:val="0"/>
            <w:vAlign w:val="center"/>
          </w:tcPr>
          <w:p w14:paraId="488473F8">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127°40'41.840"</w:t>
            </w:r>
          </w:p>
        </w:tc>
        <w:tc>
          <w:tcPr>
            <w:tcW w:w="1267" w:type="pct"/>
            <w:noWrap w:val="0"/>
            <w:vAlign w:val="center"/>
          </w:tcPr>
          <w:p w14:paraId="0F1EB9D3">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47°02'48.585"</w:t>
            </w:r>
          </w:p>
        </w:tc>
      </w:tr>
      <w:tr w14:paraId="56D498C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895" w:type="pct"/>
            <w:vMerge w:val="continue"/>
            <w:noWrap w:val="0"/>
            <w:vAlign w:val="center"/>
          </w:tcPr>
          <w:p w14:paraId="4FAEB78D">
            <w:pPr>
              <w:adjustRightInd w:val="0"/>
              <w:snapToGrid w:val="0"/>
              <w:spacing w:line="240" w:lineRule="auto"/>
              <w:jc w:val="center"/>
              <w:rPr>
                <w:rFonts w:hint="default" w:ascii="Times New Roman" w:hAnsi="Times New Roman" w:eastAsia="宋体" w:cs="Times New Roman"/>
                <w:color w:val="auto"/>
                <w:kern w:val="0"/>
                <w:sz w:val="21"/>
                <w:szCs w:val="21"/>
                <w:highlight w:val="none"/>
              </w:rPr>
            </w:pPr>
          </w:p>
        </w:tc>
        <w:tc>
          <w:tcPr>
            <w:tcW w:w="741" w:type="pct"/>
            <w:vMerge w:val="continue"/>
            <w:noWrap w:val="0"/>
            <w:vAlign w:val="center"/>
          </w:tcPr>
          <w:p w14:paraId="7B8BFF2F">
            <w:pPr>
              <w:widowControl/>
              <w:spacing w:line="240" w:lineRule="auto"/>
              <w:jc w:val="center"/>
              <w:textAlignment w:val="center"/>
              <w:rPr>
                <w:rFonts w:hint="default" w:ascii="Times New Roman" w:hAnsi="Times New Roman" w:eastAsia="宋体" w:cs="Times New Roman"/>
                <w:color w:val="auto"/>
                <w:kern w:val="0"/>
                <w:sz w:val="21"/>
                <w:szCs w:val="21"/>
                <w:highlight w:val="none"/>
              </w:rPr>
            </w:pPr>
          </w:p>
        </w:tc>
        <w:tc>
          <w:tcPr>
            <w:tcW w:w="899" w:type="pct"/>
            <w:noWrap w:val="0"/>
            <w:vAlign w:val="center"/>
          </w:tcPr>
          <w:p w14:paraId="08B47C41">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Y24</w:t>
            </w:r>
          </w:p>
        </w:tc>
        <w:tc>
          <w:tcPr>
            <w:tcW w:w="1196" w:type="pct"/>
            <w:noWrap w:val="0"/>
            <w:vAlign w:val="center"/>
          </w:tcPr>
          <w:p w14:paraId="11607657">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127°40'40.397"</w:t>
            </w:r>
          </w:p>
        </w:tc>
        <w:tc>
          <w:tcPr>
            <w:tcW w:w="1267" w:type="pct"/>
            <w:noWrap w:val="0"/>
            <w:vAlign w:val="center"/>
          </w:tcPr>
          <w:p w14:paraId="59E99C0E">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47°02'49.501"</w:t>
            </w:r>
          </w:p>
        </w:tc>
      </w:tr>
      <w:tr w14:paraId="56A1879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895" w:type="pct"/>
            <w:vMerge w:val="continue"/>
            <w:noWrap w:val="0"/>
            <w:vAlign w:val="center"/>
          </w:tcPr>
          <w:p w14:paraId="6E70B276">
            <w:pPr>
              <w:adjustRightInd w:val="0"/>
              <w:snapToGrid w:val="0"/>
              <w:spacing w:line="240" w:lineRule="auto"/>
              <w:jc w:val="center"/>
              <w:rPr>
                <w:rFonts w:hint="default" w:ascii="Times New Roman" w:hAnsi="Times New Roman" w:eastAsia="宋体" w:cs="Times New Roman"/>
                <w:color w:val="auto"/>
                <w:kern w:val="0"/>
                <w:sz w:val="21"/>
                <w:szCs w:val="21"/>
                <w:highlight w:val="none"/>
              </w:rPr>
            </w:pPr>
          </w:p>
        </w:tc>
        <w:tc>
          <w:tcPr>
            <w:tcW w:w="741" w:type="pct"/>
            <w:vMerge w:val="restart"/>
            <w:noWrap w:val="0"/>
            <w:vAlign w:val="center"/>
          </w:tcPr>
          <w:p w14:paraId="112062CF">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val="en-US" w:eastAsia="zh-CN"/>
              </w:rPr>
              <w:t>7#取水井</w:t>
            </w:r>
          </w:p>
        </w:tc>
        <w:tc>
          <w:tcPr>
            <w:tcW w:w="899" w:type="pct"/>
            <w:noWrap w:val="0"/>
            <w:vAlign w:val="center"/>
          </w:tcPr>
          <w:p w14:paraId="17A27F59">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Y25</w:t>
            </w:r>
          </w:p>
        </w:tc>
        <w:tc>
          <w:tcPr>
            <w:tcW w:w="1196" w:type="pct"/>
            <w:noWrap w:val="0"/>
            <w:vAlign w:val="center"/>
          </w:tcPr>
          <w:p w14:paraId="56D6088D">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127°40'37.705"</w:t>
            </w:r>
          </w:p>
        </w:tc>
        <w:tc>
          <w:tcPr>
            <w:tcW w:w="1267" w:type="pct"/>
            <w:noWrap w:val="0"/>
            <w:vAlign w:val="center"/>
          </w:tcPr>
          <w:p w14:paraId="63A8FD29">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47°02'58.871"</w:t>
            </w:r>
          </w:p>
        </w:tc>
      </w:tr>
      <w:tr w14:paraId="75FA28E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895" w:type="pct"/>
            <w:vMerge w:val="continue"/>
            <w:noWrap w:val="0"/>
            <w:vAlign w:val="center"/>
          </w:tcPr>
          <w:p w14:paraId="03EEECEE">
            <w:pPr>
              <w:adjustRightInd w:val="0"/>
              <w:snapToGrid w:val="0"/>
              <w:spacing w:line="240" w:lineRule="auto"/>
              <w:jc w:val="center"/>
              <w:rPr>
                <w:rFonts w:hint="default" w:ascii="Times New Roman" w:hAnsi="Times New Roman" w:eastAsia="宋体" w:cs="Times New Roman"/>
                <w:color w:val="auto"/>
                <w:kern w:val="0"/>
                <w:sz w:val="21"/>
                <w:szCs w:val="21"/>
                <w:highlight w:val="none"/>
              </w:rPr>
            </w:pPr>
          </w:p>
        </w:tc>
        <w:tc>
          <w:tcPr>
            <w:tcW w:w="741" w:type="pct"/>
            <w:vMerge w:val="continue"/>
            <w:noWrap w:val="0"/>
            <w:vAlign w:val="center"/>
          </w:tcPr>
          <w:p w14:paraId="21E3AB2C">
            <w:pPr>
              <w:widowControl/>
              <w:spacing w:line="240" w:lineRule="auto"/>
              <w:jc w:val="center"/>
              <w:textAlignment w:val="center"/>
              <w:rPr>
                <w:rFonts w:hint="default" w:ascii="Times New Roman" w:hAnsi="Times New Roman" w:eastAsia="宋体" w:cs="Times New Roman"/>
                <w:color w:val="auto"/>
                <w:kern w:val="0"/>
                <w:sz w:val="21"/>
                <w:szCs w:val="21"/>
                <w:highlight w:val="none"/>
              </w:rPr>
            </w:pPr>
          </w:p>
        </w:tc>
        <w:tc>
          <w:tcPr>
            <w:tcW w:w="899" w:type="pct"/>
            <w:noWrap w:val="0"/>
            <w:vAlign w:val="center"/>
          </w:tcPr>
          <w:p w14:paraId="61E2C777">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Y26</w:t>
            </w:r>
          </w:p>
        </w:tc>
        <w:tc>
          <w:tcPr>
            <w:tcW w:w="1196" w:type="pct"/>
            <w:noWrap w:val="0"/>
            <w:vAlign w:val="center"/>
          </w:tcPr>
          <w:p w14:paraId="0288BF74">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127°40'39.150"</w:t>
            </w:r>
          </w:p>
        </w:tc>
        <w:tc>
          <w:tcPr>
            <w:tcW w:w="1267" w:type="pct"/>
            <w:noWrap w:val="0"/>
            <w:vAlign w:val="center"/>
          </w:tcPr>
          <w:p w14:paraId="5DB4F29C">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47°02'57.878"</w:t>
            </w:r>
          </w:p>
        </w:tc>
      </w:tr>
      <w:tr w14:paraId="166465F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895" w:type="pct"/>
            <w:vMerge w:val="continue"/>
            <w:noWrap w:val="0"/>
            <w:vAlign w:val="center"/>
          </w:tcPr>
          <w:p w14:paraId="2D177D21">
            <w:pPr>
              <w:adjustRightInd w:val="0"/>
              <w:snapToGrid w:val="0"/>
              <w:spacing w:line="240" w:lineRule="auto"/>
              <w:jc w:val="center"/>
              <w:rPr>
                <w:rFonts w:hint="default" w:ascii="Times New Roman" w:hAnsi="Times New Roman" w:eastAsia="宋体" w:cs="Times New Roman"/>
                <w:color w:val="auto"/>
                <w:kern w:val="0"/>
                <w:sz w:val="21"/>
                <w:szCs w:val="21"/>
                <w:highlight w:val="none"/>
              </w:rPr>
            </w:pPr>
          </w:p>
        </w:tc>
        <w:tc>
          <w:tcPr>
            <w:tcW w:w="741" w:type="pct"/>
            <w:vMerge w:val="continue"/>
            <w:noWrap w:val="0"/>
            <w:vAlign w:val="center"/>
          </w:tcPr>
          <w:p w14:paraId="2D996115">
            <w:pPr>
              <w:widowControl/>
              <w:spacing w:line="240" w:lineRule="auto"/>
              <w:jc w:val="center"/>
              <w:textAlignment w:val="center"/>
              <w:rPr>
                <w:rFonts w:hint="default" w:ascii="Times New Roman" w:hAnsi="Times New Roman" w:eastAsia="宋体" w:cs="Times New Roman"/>
                <w:color w:val="auto"/>
                <w:kern w:val="0"/>
                <w:sz w:val="21"/>
                <w:szCs w:val="21"/>
                <w:highlight w:val="none"/>
              </w:rPr>
            </w:pPr>
          </w:p>
        </w:tc>
        <w:tc>
          <w:tcPr>
            <w:tcW w:w="899" w:type="pct"/>
            <w:noWrap w:val="0"/>
            <w:vAlign w:val="center"/>
          </w:tcPr>
          <w:p w14:paraId="1E5D0D27">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Y27</w:t>
            </w:r>
          </w:p>
        </w:tc>
        <w:tc>
          <w:tcPr>
            <w:tcW w:w="1196" w:type="pct"/>
            <w:noWrap w:val="0"/>
            <w:vAlign w:val="center"/>
          </w:tcPr>
          <w:p w14:paraId="36418AA2">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127°40'37.753"</w:t>
            </w:r>
          </w:p>
        </w:tc>
        <w:tc>
          <w:tcPr>
            <w:tcW w:w="1267" w:type="pct"/>
            <w:noWrap w:val="0"/>
            <w:vAlign w:val="center"/>
          </w:tcPr>
          <w:p w14:paraId="2388EF90">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47°02'56.929"</w:t>
            </w:r>
          </w:p>
        </w:tc>
      </w:tr>
      <w:tr w14:paraId="6113356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895" w:type="pct"/>
            <w:vMerge w:val="continue"/>
            <w:noWrap w:val="0"/>
            <w:vAlign w:val="center"/>
          </w:tcPr>
          <w:p w14:paraId="3C90BD4F">
            <w:pPr>
              <w:adjustRightInd w:val="0"/>
              <w:snapToGrid w:val="0"/>
              <w:spacing w:line="240" w:lineRule="auto"/>
              <w:jc w:val="center"/>
              <w:rPr>
                <w:rFonts w:hint="default" w:ascii="Times New Roman" w:hAnsi="Times New Roman" w:eastAsia="宋体" w:cs="Times New Roman"/>
                <w:color w:val="auto"/>
                <w:kern w:val="0"/>
                <w:sz w:val="21"/>
                <w:szCs w:val="21"/>
                <w:highlight w:val="none"/>
              </w:rPr>
            </w:pPr>
          </w:p>
        </w:tc>
        <w:tc>
          <w:tcPr>
            <w:tcW w:w="741" w:type="pct"/>
            <w:vMerge w:val="continue"/>
            <w:noWrap w:val="0"/>
            <w:vAlign w:val="center"/>
          </w:tcPr>
          <w:p w14:paraId="43CA0617">
            <w:pPr>
              <w:widowControl/>
              <w:spacing w:line="240" w:lineRule="auto"/>
              <w:jc w:val="center"/>
              <w:textAlignment w:val="center"/>
              <w:rPr>
                <w:rFonts w:hint="default" w:ascii="Times New Roman" w:hAnsi="Times New Roman" w:eastAsia="宋体" w:cs="Times New Roman"/>
                <w:color w:val="auto"/>
                <w:kern w:val="0"/>
                <w:sz w:val="21"/>
                <w:szCs w:val="21"/>
                <w:highlight w:val="none"/>
              </w:rPr>
            </w:pPr>
          </w:p>
        </w:tc>
        <w:tc>
          <w:tcPr>
            <w:tcW w:w="899" w:type="pct"/>
            <w:noWrap w:val="0"/>
            <w:vAlign w:val="center"/>
          </w:tcPr>
          <w:p w14:paraId="596CC4F4">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Y28</w:t>
            </w:r>
          </w:p>
        </w:tc>
        <w:tc>
          <w:tcPr>
            <w:tcW w:w="1196" w:type="pct"/>
            <w:noWrap w:val="0"/>
            <w:vAlign w:val="center"/>
          </w:tcPr>
          <w:p w14:paraId="3F785870">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127°40'36.310"</w:t>
            </w:r>
          </w:p>
        </w:tc>
        <w:tc>
          <w:tcPr>
            <w:tcW w:w="1267" w:type="pct"/>
            <w:noWrap w:val="0"/>
            <w:vAlign w:val="center"/>
          </w:tcPr>
          <w:p w14:paraId="5E72B940">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47°02'57.845"</w:t>
            </w:r>
          </w:p>
        </w:tc>
      </w:tr>
      <w:tr w14:paraId="3045702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895" w:type="pct"/>
            <w:vMerge w:val="continue"/>
            <w:noWrap w:val="0"/>
            <w:vAlign w:val="center"/>
          </w:tcPr>
          <w:p w14:paraId="50C663A9">
            <w:pPr>
              <w:adjustRightInd w:val="0"/>
              <w:snapToGrid w:val="0"/>
              <w:spacing w:line="240" w:lineRule="auto"/>
              <w:jc w:val="center"/>
              <w:rPr>
                <w:rFonts w:hint="default" w:ascii="Times New Roman" w:hAnsi="Times New Roman" w:eastAsia="宋体" w:cs="Times New Roman"/>
                <w:color w:val="auto"/>
                <w:kern w:val="0"/>
                <w:sz w:val="21"/>
                <w:szCs w:val="21"/>
                <w:highlight w:val="none"/>
              </w:rPr>
            </w:pPr>
          </w:p>
        </w:tc>
        <w:tc>
          <w:tcPr>
            <w:tcW w:w="741" w:type="pct"/>
            <w:vMerge w:val="restart"/>
            <w:noWrap w:val="0"/>
            <w:vAlign w:val="center"/>
          </w:tcPr>
          <w:p w14:paraId="3C7C0F8E">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val="en-US" w:eastAsia="zh-CN"/>
              </w:rPr>
              <w:t>8#取水井</w:t>
            </w:r>
          </w:p>
        </w:tc>
        <w:tc>
          <w:tcPr>
            <w:tcW w:w="899" w:type="pct"/>
            <w:noWrap w:val="0"/>
            <w:vAlign w:val="center"/>
          </w:tcPr>
          <w:p w14:paraId="6B8002AB">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Y29</w:t>
            </w:r>
          </w:p>
        </w:tc>
        <w:tc>
          <w:tcPr>
            <w:tcW w:w="1196" w:type="pct"/>
            <w:noWrap w:val="0"/>
            <w:vAlign w:val="center"/>
          </w:tcPr>
          <w:p w14:paraId="7725DCCC">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127°40'31.916"</w:t>
            </w:r>
          </w:p>
        </w:tc>
        <w:tc>
          <w:tcPr>
            <w:tcW w:w="1267" w:type="pct"/>
            <w:noWrap w:val="0"/>
            <w:vAlign w:val="center"/>
          </w:tcPr>
          <w:p w14:paraId="1DACE402">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47°03'02.539"</w:t>
            </w:r>
          </w:p>
        </w:tc>
      </w:tr>
      <w:tr w14:paraId="5DA8F81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895" w:type="pct"/>
            <w:vMerge w:val="continue"/>
            <w:noWrap w:val="0"/>
            <w:vAlign w:val="center"/>
          </w:tcPr>
          <w:p w14:paraId="62074972">
            <w:pPr>
              <w:adjustRightInd w:val="0"/>
              <w:snapToGrid w:val="0"/>
              <w:spacing w:line="240" w:lineRule="auto"/>
              <w:jc w:val="center"/>
              <w:rPr>
                <w:rFonts w:hint="default" w:ascii="Times New Roman" w:hAnsi="Times New Roman" w:eastAsia="宋体" w:cs="Times New Roman"/>
                <w:color w:val="auto"/>
                <w:kern w:val="0"/>
                <w:sz w:val="21"/>
                <w:szCs w:val="21"/>
                <w:highlight w:val="none"/>
              </w:rPr>
            </w:pPr>
          </w:p>
        </w:tc>
        <w:tc>
          <w:tcPr>
            <w:tcW w:w="741" w:type="pct"/>
            <w:vMerge w:val="continue"/>
            <w:noWrap w:val="0"/>
            <w:vAlign w:val="center"/>
          </w:tcPr>
          <w:p w14:paraId="31ECB81D">
            <w:pPr>
              <w:widowControl/>
              <w:spacing w:line="240" w:lineRule="auto"/>
              <w:jc w:val="center"/>
              <w:textAlignment w:val="center"/>
              <w:rPr>
                <w:rFonts w:hint="default" w:ascii="Times New Roman" w:hAnsi="Times New Roman" w:eastAsia="宋体" w:cs="Times New Roman"/>
                <w:color w:val="auto"/>
                <w:kern w:val="0"/>
                <w:sz w:val="21"/>
                <w:szCs w:val="21"/>
                <w:highlight w:val="none"/>
              </w:rPr>
            </w:pPr>
          </w:p>
        </w:tc>
        <w:tc>
          <w:tcPr>
            <w:tcW w:w="899" w:type="pct"/>
            <w:noWrap w:val="0"/>
            <w:vAlign w:val="center"/>
          </w:tcPr>
          <w:p w14:paraId="75652B38">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Y30</w:t>
            </w:r>
          </w:p>
        </w:tc>
        <w:tc>
          <w:tcPr>
            <w:tcW w:w="1196" w:type="pct"/>
            <w:noWrap w:val="0"/>
            <w:vAlign w:val="center"/>
          </w:tcPr>
          <w:p w14:paraId="637996D4">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127°40'33.361"</w:t>
            </w:r>
          </w:p>
        </w:tc>
        <w:tc>
          <w:tcPr>
            <w:tcW w:w="1267" w:type="pct"/>
            <w:noWrap w:val="0"/>
            <w:vAlign w:val="center"/>
          </w:tcPr>
          <w:p w14:paraId="0AE31619">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47°03'01.545"</w:t>
            </w:r>
          </w:p>
        </w:tc>
      </w:tr>
      <w:tr w14:paraId="456216A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895" w:type="pct"/>
            <w:vMerge w:val="continue"/>
            <w:noWrap w:val="0"/>
            <w:vAlign w:val="center"/>
          </w:tcPr>
          <w:p w14:paraId="1330D345">
            <w:pPr>
              <w:adjustRightInd w:val="0"/>
              <w:snapToGrid w:val="0"/>
              <w:spacing w:line="240" w:lineRule="auto"/>
              <w:jc w:val="center"/>
              <w:rPr>
                <w:rFonts w:hint="default" w:ascii="Times New Roman" w:hAnsi="Times New Roman" w:eastAsia="宋体" w:cs="Times New Roman"/>
                <w:color w:val="auto"/>
                <w:kern w:val="0"/>
                <w:sz w:val="21"/>
                <w:szCs w:val="21"/>
                <w:highlight w:val="none"/>
              </w:rPr>
            </w:pPr>
          </w:p>
        </w:tc>
        <w:tc>
          <w:tcPr>
            <w:tcW w:w="741" w:type="pct"/>
            <w:vMerge w:val="continue"/>
            <w:noWrap w:val="0"/>
            <w:vAlign w:val="center"/>
          </w:tcPr>
          <w:p w14:paraId="7F72B5CE">
            <w:pPr>
              <w:widowControl/>
              <w:spacing w:line="240" w:lineRule="auto"/>
              <w:jc w:val="center"/>
              <w:textAlignment w:val="center"/>
              <w:rPr>
                <w:rFonts w:hint="default" w:ascii="Times New Roman" w:hAnsi="Times New Roman" w:eastAsia="宋体" w:cs="Times New Roman"/>
                <w:color w:val="auto"/>
                <w:kern w:val="0"/>
                <w:sz w:val="21"/>
                <w:szCs w:val="21"/>
                <w:highlight w:val="none"/>
              </w:rPr>
            </w:pPr>
          </w:p>
        </w:tc>
        <w:tc>
          <w:tcPr>
            <w:tcW w:w="899" w:type="pct"/>
            <w:noWrap w:val="0"/>
            <w:vAlign w:val="center"/>
          </w:tcPr>
          <w:p w14:paraId="456C5247">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Y31</w:t>
            </w:r>
          </w:p>
        </w:tc>
        <w:tc>
          <w:tcPr>
            <w:tcW w:w="1196" w:type="pct"/>
            <w:noWrap w:val="0"/>
            <w:vAlign w:val="center"/>
          </w:tcPr>
          <w:p w14:paraId="42BAD116">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127°40'31.964"</w:t>
            </w:r>
          </w:p>
        </w:tc>
        <w:tc>
          <w:tcPr>
            <w:tcW w:w="1267" w:type="pct"/>
            <w:noWrap w:val="0"/>
            <w:vAlign w:val="center"/>
          </w:tcPr>
          <w:p w14:paraId="29BE922B">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47°03'00.597"</w:t>
            </w:r>
          </w:p>
        </w:tc>
      </w:tr>
      <w:tr w14:paraId="14851FB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895" w:type="pct"/>
            <w:vMerge w:val="continue"/>
            <w:noWrap w:val="0"/>
            <w:vAlign w:val="center"/>
          </w:tcPr>
          <w:p w14:paraId="7CD4F6BC">
            <w:pPr>
              <w:adjustRightInd w:val="0"/>
              <w:snapToGrid w:val="0"/>
              <w:spacing w:line="240" w:lineRule="auto"/>
              <w:jc w:val="center"/>
              <w:rPr>
                <w:rFonts w:hint="default" w:ascii="Times New Roman" w:hAnsi="Times New Roman" w:eastAsia="宋体" w:cs="Times New Roman"/>
                <w:color w:val="auto"/>
                <w:kern w:val="0"/>
                <w:sz w:val="21"/>
                <w:szCs w:val="21"/>
                <w:highlight w:val="none"/>
              </w:rPr>
            </w:pPr>
          </w:p>
        </w:tc>
        <w:tc>
          <w:tcPr>
            <w:tcW w:w="741" w:type="pct"/>
            <w:vMerge w:val="continue"/>
            <w:noWrap w:val="0"/>
            <w:vAlign w:val="center"/>
          </w:tcPr>
          <w:p w14:paraId="5093F3C7">
            <w:pPr>
              <w:widowControl/>
              <w:spacing w:line="240" w:lineRule="auto"/>
              <w:jc w:val="center"/>
              <w:textAlignment w:val="center"/>
              <w:rPr>
                <w:rFonts w:hint="default" w:ascii="Times New Roman" w:hAnsi="Times New Roman" w:eastAsia="宋体" w:cs="Times New Roman"/>
                <w:color w:val="auto"/>
                <w:kern w:val="0"/>
                <w:sz w:val="21"/>
                <w:szCs w:val="21"/>
                <w:highlight w:val="none"/>
              </w:rPr>
            </w:pPr>
          </w:p>
        </w:tc>
        <w:tc>
          <w:tcPr>
            <w:tcW w:w="899" w:type="pct"/>
            <w:noWrap w:val="0"/>
            <w:vAlign w:val="center"/>
          </w:tcPr>
          <w:p w14:paraId="319A4296">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Y32</w:t>
            </w:r>
          </w:p>
        </w:tc>
        <w:tc>
          <w:tcPr>
            <w:tcW w:w="1196" w:type="pct"/>
            <w:noWrap w:val="0"/>
            <w:vAlign w:val="center"/>
          </w:tcPr>
          <w:p w14:paraId="254CEB67">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127°40'30.521"</w:t>
            </w:r>
          </w:p>
        </w:tc>
        <w:tc>
          <w:tcPr>
            <w:tcW w:w="1267" w:type="pct"/>
            <w:noWrap w:val="0"/>
            <w:vAlign w:val="center"/>
          </w:tcPr>
          <w:p w14:paraId="4FA12B2B">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47°03'01.513"</w:t>
            </w:r>
          </w:p>
        </w:tc>
      </w:tr>
      <w:tr w14:paraId="7EE78D1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895" w:type="pct"/>
            <w:vMerge w:val="restart"/>
            <w:noWrap w:val="0"/>
            <w:vAlign w:val="center"/>
          </w:tcPr>
          <w:p w14:paraId="14F8C9BE">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sz w:val="21"/>
                <w:szCs w:val="21"/>
                <w:highlight w:val="none"/>
                <w:lang w:eastAsia="zh-CN"/>
              </w:rPr>
              <w:t>绥化市庆安县建民乡饮用水水源地</w:t>
            </w:r>
          </w:p>
        </w:tc>
        <w:tc>
          <w:tcPr>
            <w:tcW w:w="741" w:type="pct"/>
            <w:vMerge w:val="restart"/>
            <w:noWrap w:val="0"/>
            <w:vAlign w:val="center"/>
          </w:tcPr>
          <w:p w14:paraId="1D807950">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1#取水井</w:t>
            </w:r>
          </w:p>
        </w:tc>
        <w:tc>
          <w:tcPr>
            <w:tcW w:w="899" w:type="pct"/>
            <w:noWrap w:val="0"/>
            <w:vAlign w:val="center"/>
          </w:tcPr>
          <w:p w14:paraId="5C2B3FEF">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Y1</w:t>
            </w:r>
          </w:p>
        </w:tc>
        <w:tc>
          <w:tcPr>
            <w:tcW w:w="1196" w:type="pct"/>
            <w:noWrap w:val="0"/>
            <w:vAlign w:val="center"/>
          </w:tcPr>
          <w:p w14:paraId="0D3C7D0A">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127°30'48.998"</w:t>
            </w:r>
          </w:p>
        </w:tc>
        <w:tc>
          <w:tcPr>
            <w:tcW w:w="1267" w:type="pct"/>
            <w:noWrap w:val="0"/>
            <w:vAlign w:val="center"/>
          </w:tcPr>
          <w:p w14:paraId="09D26557">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46°42'43.966"</w:t>
            </w:r>
          </w:p>
        </w:tc>
      </w:tr>
      <w:tr w14:paraId="5E87845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895" w:type="pct"/>
            <w:vMerge w:val="continue"/>
            <w:noWrap w:val="0"/>
            <w:vAlign w:val="center"/>
          </w:tcPr>
          <w:p w14:paraId="06B0ECE2">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741" w:type="pct"/>
            <w:vMerge w:val="continue"/>
            <w:noWrap w:val="0"/>
            <w:vAlign w:val="center"/>
          </w:tcPr>
          <w:p w14:paraId="70B9B18C">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899" w:type="pct"/>
            <w:noWrap w:val="0"/>
            <w:vAlign w:val="center"/>
          </w:tcPr>
          <w:p w14:paraId="4F4FF3F5">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Y2</w:t>
            </w:r>
          </w:p>
        </w:tc>
        <w:tc>
          <w:tcPr>
            <w:tcW w:w="1196" w:type="pct"/>
            <w:noWrap w:val="0"/>
            <w:vAlign w:val="center"/>
          </w:tcPr>
          <w:p w14:paraId="1425C442">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127°30'50.437"</w:t>
            </w:r>
          </w:p>
        </w:tc>
        <w:tc>
          <w:tcPr>
            <w:tcW w:w="1267" w:type="pct"/>
            <w:noWrap w:val="0"/>
            <w:vAlign w:val="center"/>
          </w:tcPr>
          <w:p w14:paraId="66108DDB">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46°42'42.974"</w:t>
            </w:r>
          </w:p>
        </w:tc>
      </w:tr>
      <w:tr w14:paraId="6BF9145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895" w:type="pct"/>
            <w:vMerge w:val="continue"/>
            <w:noWrap w:val="0"/>
            <w:vAlign w:val="center"/>
          </w:tcPr>
          <w:p w14:paraId="35090851">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741" w:type="pct"/>
            <w:vMerge w:val="continue"/>
            <w:noWrap w:val="0"/>
            <w:vAlign w:val="center"/>
          </w:tcPr>
          <w:p w14:paraId="49F18104">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899" w:type="pct"/>
            <w:noWrap w:val="0"/>
            <w:vAlign w:val="center"/>
          </w:tcPr>
          <w:p w14:paraId="5DF13237">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Y3</w:t>
            </w:r>
          </w:p>
        </w:tc>
        <w:tc>
          <w:tcPr>
            <w:tcW w:w="1196" w:type="pct"/>
            <w:noWrap w:val="0"/>
            <w:vAlign w:val="center"/>
          </w:tcPr>
          <w:p w14:paraId="76E6E616">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127°30'49.052"</w:t>
            </w:r>
          </w:p>
        </w:tc>
        <w:tc>
          <w:tcPr>
            <w:tcW w:w="1267" w:type="pct"/>
            <w:noWrap w:val="0"/>
            <w:vAlign w:val="center"/>
          </w:tcPr>
          <w:p w14:paraId="4A8A955C">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46°42'42.023"</w:t>
            </w:r>
          </w:p>
        </w:tc>
      </w:tr>
      <w:tr w14:paraId="1E21D1E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895" w:type="pct"/>
            <w:vMerge w:val="continue"/>
            <w:noWrap w:val="0"/>
            <w:vAlign w:val="center"/>
          </w:tcPr>
          <w:p w14:paraId="004A9087">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741" w:type="pct"/>
            <w:vMerge w:val="continue"/>
            <w:noWrap w:val="0"/>
            <w:vAlign w:val="center"/>
          </w:tcPr>
          <w:p w14:paraId="34897D0A">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899" w:type="pct"/>
            <w:noWrap w:val="0"/>
            <w:vAlign w:val="center"/>
          </w:tcPr>
          <w:p w14:paraId="5EB87985">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Y4</w:t>
            </w:r>
          </w:p>
        </w:tc>
        <w:tc>
          <w:tcPr>
            <w:tcW w:w="1196" w:type="pct"/>
            <w:noWrap w:val="0"/>
            <w:vAlign w:val="center"/>
          </w:tcPr>
          <w:p w14:paraId="0DF6B6BE">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127°30'47.615"</w:t>
            </w:r>
          </w:p>
        </w:tc>
        <w:tc>
          <w:tcPr>
            <w:tcW w:w="1267" w:type="pct"/>
            <w:noWrap w:val="0"/>
            <w:vAlign w:val="center"/>
          </w:tcPr>
          <w:p w14:paraId="0721ED3E">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46°42'42.937"</w:t>
            </w:r>
          </w:p>
        </w:tc>
      </w:tr>
      <w:tr w14:paraId="3791D21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895" w:type="pct"/>
            <w:vMerge w:val="continue"/>
            <w:noWrap w:val="0"/>
            <w:vAlign w:val="center"/>
          </w:tcPr>
          <w:p w14:paraId="03EBF25D">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741" w:type="pct"/>
            <w:vMerge w:val="restart"/>
            <w:noWrap w:val="0"/>
            <w:vAlign w:val="center"/>
          </w:tcPr>
          <w:p w14:paraId="32691644">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2#取水井</w:t>
            </w:r>
          </w:p>
        </w:tc>
        <w:tc>
          <w:tcPr>
            <w:tcW w:w="899" w:type="pct"/>
            <w:noWrap w:val="0"/>
            <w:vAlign w:val="center"/>
          </w:tcPr>
          <w:p w14:paraId="4E396A85">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Y5</w:t>
            </w:r>
          </w:p>
        </w:tc>
        <w:tc>
          <w:tcPr>
            <w:tcW w:w="1196" w:type="pct"/>
            <w:noWrap w:val="0"/>
            <w:vAlign w:val="center"/>
          </w:tcPr>
          <w:p w14:paraId="5F89D987">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127°30'22.681"</w:t>
            </w:r>
          </w:p>
        </w:tc>
        <w:tc>
          <w:tcPr>
            <w:tcW w:w="1267" w:type="pct"/>
            <w:noWrap w:val="0"/>
            <w:vAlign w:val="center"/>
          </w:tcPr>
          <w:p w14:paraId="728DB552">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46°42'29.264"</w:t>
            </w:r>
          </w:p>
        </w:tc>
      </w:tr>
      <w:tr w14:paraId="2220DF0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895" w:type="pct"/>
            <w:vMerge w:val="continue"/>
            <w:noWrap w:val="0"/>
            <w:vAlign w:val="center"/>
          </w:tcPr>
          <w:p w14:paraId="05D7C896">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741" w:type="pct"/>
            <w:vMerge w:val="continue"/>
            <w:noWrap w:val="0"/>
            <w:vAlign w:val="center"/>
          </w:tcPr>
          <w:p w14:paraId="5465066F">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899" w:type="pct"/>
            <w:noWrap w:val="0"/>
            <w:vAlign w:val="center"/>
          </w:tcPr>
          <w:p w14:paraId="73AFA871">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Y6</w:t>
            </w:r>
          </w:p>
        </w:tc>
        <w:tc>
          <w:tcPr>
            <w:tcW w:w="1196" w:type="pct"/>
            <w:noWrap w:val="0"/>
            <w:vAlign w:val="center"/>
          </w:tcPr>
          <w:p w14:paraId="02D49261">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127°30'24.119"</w:t>
            </w:r>
          </w:p>
        </w:tc>
        <w:tc>
          <w:tcPr>
            <w:tcW w:w="1267" w:type="pct"/>
            <w:noWrap w:val="0"/>
            <w:vAlign w:val="center"/>
          </w:tcPr>
          <w:p w14:paraId="266E1FC9">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46°42'28.272"</w:t>
            </w:r>
          </w:p>
        </w:tc>
      </w:tr>
      <w:tr w14:paraId="0BCE475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895" w:type="pct"/>
            <w:vMerge w:val="continue"/>
            <w:noWrap w:val="0"/>
            <w:vAlign w:val="center"/>
          </w:tcPr>
          <w:p w14:paraId="5502D679">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741" w:type="pct"/>
            <w:vMerge w:val="continue"/>
            <w:noWrap w:val="0"/>
            <w:vAlign w:val="center"/>
          </w:tcPr>
          <w:p w14:paraId="4425BEF8">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899" w:type="pct"/>
            <w:noWrap w:val="0"/>
            <w:vAlign w:val="center"/>
          </w:tcPr>
          <w:p w14:paraId="4D4679AD">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Y7</w:t>
            </w:r>
          </w:p>
        </w:tc>
        <w:tc>
          <w:tcPr>
            <w:tcW w:w="1196" w:type="pct"/>
            <w:noWrap w:val="0"/>
            <w:vAlign w:val="center"/>
          </w:tcPr>
          <w:p w14:paraId="0FF808ED">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127°30'22.734"</w:t>
            </w:r>
          </w:p>
        </w:tc>
        <w:tc>
          <w:tcPr>
            <w:tcW w:w="1267" w:type="pct"/>
            <w:noWrap w:val="0"/>
            <w:vAlign w:val="center"/>
          </w:tcPr>
          <w:p w14:paraId="3FB60F8E">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46°42'27.321"</w:t>
            </w:r>
          </w:p>
        </w:tc>
      </w:tr>
      <w:tr w14:paraId="45C0BE9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895" w:type="pct"/>
            <w:vMerge w:val="continue"/>
            <w:noWrap w:val="0"/>
            <w:vAlign w:val="center"/>
          </w:tcPr>
          <w:p w14:paraId="384410D8">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741" w:type="pct"/>
            <w:vMerge w:val="continue"/>
            <w:noWrap w:val="0"/>
            <w:vAlign w:val="center"/>
          </w:tcPr>
          <w:p w14:paraId="3EDB6557">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899" w:type="pct"/>
            <w:noWrap w:val="0"/>
            <w:vAlign w:val="center"/>
          </w:tcPr>
          <w:p w14:paraId="24FB08E1">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Y8</w:t>
            </w:r>
          </w:p>
        </w:tc>
        <w:tc>
          <w:tcPr>
            <w:tcW w:w="1196" w:type="pct"/>
            <w:noWrap w:val="0"/>
            <w:vAlign w:val="center"/>
          </w:tcPr>
          <w:p w14:paraId="35180671">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127°30'21.298"</w:t>
            </w:r>
          </w:p>
        </w:tc>
        <w:tc>
          <w:tcPr>
            <w:tcW w:w="1267" w:type="pct"/>
            <w:noWrap w:val="0"/>
            <w:vAlign w:val="center"/>
          </w:tcPr>
          <w:p w14:paraId="035EBD72">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46°42'28.235"</w:t>
            </w:r>
          </w:p>
        </w:tc>
      </w:tr>
      <w:tr w14:paraId="2695A70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895" w:type="pct"/>
            <w:vMerge w:val="continue"/>
            <w:noWrap w:val="0"/>
            <w:vAlign w:val="center"/>
          </w:tcPr>
          <w:p w14:paraId="76DABDE5">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741" w:type="pct"/>
            <w:vMerge w:val="restart"/>
            <w:noWrap w:val="0"/>
            <w:vAlign w:val="center"/>
          </w:tcPr>
          <w:p w14:paraId="387CD5A5">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3#取水井</w:t>
            </w:r>
          </w:p>
        </w:tc>
        <w:tc>
          <w:tcPr>
            <w:tcW w:w="899" w:type="pct"/>
            <w:noWrap w:val="0"/>
            <w:vAlign w:val="center"/>
          </w:tcPr>
          <w:p w14:paraId="7ADD71E2">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Y9</w:t>
            </w:r>
          </w:p>
        </w:tc>
        <w:tc>
          <w:tcPr>
            <w:tcW w:w="1196" w:type="pct"/>
            <w:noWrap w:val="0"/>
            <w:vAlign w:val="center"/>
          </w:tcPr>
          <w:p w14:paraId="1DB3A2DB">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127°30'32.539"</w:t>
            </w:r>
          </w:p>
        </w:tc>
        <w:tc>
          <w:tcPr>
            <w:tcW w:w="1267" w:type="pct"/>
            <w:noWrap w:val="0"/>
            <w:vAlign w:val="center"/>
          </w:tcPr>
          <w:p w14:paraId="43A17ADD">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46°42'13.282"</w:t>
            </w:r>
          </w:p>
        </w:tc>
      </w:tr>
      <w:tr w14:paraId="2EA9148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895" w:type="pct"/>
            <w:vMerge w:val="continue"/>
            <w:noWrap w:val="0"/>
            <w:vAlign w:val="center"/>
          </w:tcPr>
          <w:p w14:paraId="2792A9D7">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741" w:type="pct"/>
            <w:vMerge w:val="continue"/>
            <w:noWrap w:val="0"/>
            <w:vAlign w:val="center"/>
          </w:tcPr>
          <w:p w14:paraId="725DB289">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899" w:type="pct"/>
            <w:noWrap w:val="0"/>
            <w:vAlign w:val="center"/>
          </w:tcPr>
          <w:p w14:paraId="28E3D972">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Y10</w:t>
            </w:r>
          </w:p>
        </w:tc>
        <w:tc>
          <w:tcPr>
            <w:tcW w:w="1196" w:type="pct"/>
            <w:noWrap w:val="0"/>
            <w:vAlign w:val="center"/>
          </w:tcPr>
          <w:p w14:paraId="69B48E6F">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127°30'33.978"</w:t>
            </w:r>
          </w:p>
        </w:tc>
        <w:tc>
          <w:tcPr>
            <w:tcW w:w="1267" w:type="pct"/>
            <w:noWrap w:val="0"/>
            <w:vAlign w:val="center"/>
          </w:tcPr>
          <w:p w14:paraId="3033C622">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46°42'12.290"</w:t>
            </w:r>
          </w:p>
        </w:tc>
      </w:tr>
      <w:tr w14:paraId="6DEC364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895" w:type="pct"/>
            <w:vMerge w:val="continue"/>
            <w:noWrap w:val="0"/>
            <w:vAlign w:val="center"/>
          </w:tcPr>
          <w:p w14:paraId="372C18E3">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741" w:type="pct"/>
            <w:vMerge w:val="continue"/>
            <w:noWrap w:val="0"/>
            <w:vAlign w:val="center"/>
          </w:tcPr>
          <w:p w14:paraId="3C05A511">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899" w:type="pct"/>
            <w:noWrap w:val="0"/>
            <w:vAlign w:val="center"/>
          </w:tcPr>
          <w:p w14:paraId="1FB1DCF9">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Y11</w:t>
            </w:r>
          </w:p>
        </w:tc>
        <w:tc>
          <w:tcPr>
            <w:tcW w:w="1196" w:type="pct"/>
            <w:noWrap w:val="0"/>
            <w:vAlign w:val="center"/>
          </w:tcPr>
          <w:p w14:paraId="53FB0CF5">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127°30'32.593"</w:t>
            </w:r>
          </w:p>
        </w:tc>
        <w:tc>
          <w:tcPr>
            <w:tcW w:w="1267" w:type="pct"/>
            <w:noWrap w:val="0"/>
            <w:vAlign w:val="center"/>
          </w:tcPr>
          <w:p w14:paraId="7D17ADE1">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46°42'11.340"</w:t>
            </w:r>
          </w:p>
        </w:tc>
      </w:tr>
      <w:tr w14:paraId="1C84FB5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895" w:type="pct"/>
            <w:vMerge w:val="continue"/>
            <w:noWrap w:val="0"/>
            <w:vAlign w:val="center"/>
          </w:tcPr>
          <w:p w14:paraId="67510359">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741" w:type="pct"/>
            <w:vMerge w:val="continue"/>
            <w:noWrap w:val="0"/>
            <w:vAlign w:val="center"/>
          </w:tcPr>
          <w:p w14:paraId="287607EC">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899" w:type="pct"/>
            <w:noWrap w:val="0"/>
            <w:vAlign w:val="center"/>
          </w:tcPr>
          <w:p w14:paraId="62CAA600">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Y12</w:t>
            </w:r>
          </w:p>
        </w:tc>
        <w:tc>
          <w:tcPr>
            <w:tcW w:w="1196" w:type="pct"/>
            <w:noWrap w:val="0"/>
            <w:vAlign w:val="center"/>
          </w:tcPr>
          <w:p w14:paraId="012C70E4">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127°30'31.156"</w:t>
            </w:r>
          </w:p>
        </w:tc>
        <w:tc>
          <w:tcPr>
            <w:tcW w:w="1267" w:type="pct"/>
            <w:noWrap w:val="0"/>
            <w:vAlign w:val="center"/>
          </w:tcPr>
          <w:p w14:paraId="3E18186B">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46°42'12.254"</w:t>
            </w:r>
          </w:p>
        </w:tc>
      </w:tr>
      <w:tr w14:paraId="63A43B1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895" w:type="pct"/>
            <w:vMerge w:val="restart"/>
            <w:noWrap w:val="0"/>
            <w:vAlign w:val="center"/>
          </w:tcPr>
          <w:p w14:paraId="1281A8CB">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绥化市庆安县同乐镇饮用水水源地</w:t>
            </w:r>
          </w:p>
        </w:tc>
        <w:tc>
          <w:tcPr>
            <w:tcW w:w="741" w:type="pct"/>
            <w:vMerge w:val="restart"/>
            <w:noWrap w:val="0"/>
            <w:vAlign w:val="center"/>
          </w:tcPr>
          <w:p w14:paraId="7F08CF90">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1#取水井</w:t>
            </w:r>
          </w:p>
        </w:tc>
        <w:tc>
          <w:tcPr>
            <w:tcW w:w="899" w:type="pct"/>
            <w:noWrap w:val="0"/>
            <w:vAlign w:val="center"/>
          </w:tcPr>
          <w:p w14:paraId="06CD542E">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Y1</w:t>
            </w:r>
          </w:p>
        </w:tc>
        <w:tc>
          <w:tcPr>
            <w:tcW w:w="1196" w:type="pct"/>
            <w:noWrap w:val="0"/>
            <w:vAlign w:val="center"/>
          </w:tcPr>
          <w:p w14:paraId="77C31241">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127°29'37.123"</w:t>
            </w:r>
          </w:p>
        </w:tc>
        <w:tc>
          <w:tcPr>
            <w:tcW w:w="1267" w:type="pct"/>
            <w:noWrap w:val="0"/>
            <w:vAlign w:val="center"/>
          </w:tcPr>
          <w:p w14:paraId="485EF15E">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47°07'46.928"</w:t>
            </w:r>
          </w:p>
        </w:tc>
      </w:tr>
      <w:tr w14:paraId="150707B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895" w:type="pct"/>
            <w:vMerge w:val="continue"/>
            <w:noWrap w:val="0"/>
            <w:vAlign w:val="center"/>
          </w:tcPr>
          <w:p w14:paraId="0E366F2E">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741" w:type="pct"/>
            <w:vMerge w:val="continue"/>
            <w:noWrap w:val="0"/>
            <w:vAlign w:val="center"/>
          </w:tcPr>
          <w:p w14:paraId="38DB122C">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899" w:type="pct"/>
            <w:noWrap w:val="0"/>
            <w:vAlign w:val="center"/>
          </w:tcPr>
          <w:p w14:paraId="651DE799">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Y2</w:t>
            </w:r>
          </w:p>
        </w:tc>
        <w:tc>
          <w:tcPr>
            <w:tcW w:w="1196" w:type="pct"/>
            <w:noWrap w:val="0"/>
            <w:vAlign w:val="center"/>
          </w:tcPr>
          <w:p w14:paraId="4B5BD998">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127°29'38.574"</w:t>
            </w:r>
          </w:p>
        </w:tc>
        <w:tc>
          <w:tcPr>
            <w:tcW w:w="1267" w:type="pct"/>
            <w:noWrap w:val="0"/>
            <w:vAlign w:val="center"/>
          </w:tcPr>
          <w:p w14:paraId="792A6CEF">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47°07'45.937"</w:t>
            </w:r>
          </w:p>
        </w:tc>
      </w:tr>
      <w:tr w14:paraId="601BAAA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895" w:type="pct"/>
            <w:vMerge w:val="continue"/>
            <w:noWrap w:val="0"/>
            <w:vAlign w:val="center"/>
          </w:tcPr>
          <w:p w14:paraId="13D9429A">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741" w:type="pct"/>
            <w:vMerge w:val="continue"/>
            <w:noWrap w:val="0"/>
            <w:vAlign w:val="center"/>
          </w:tcPr>
          <w:p w14:paraId="6230DC81">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899" w:type="pct"/>
            <w:noWrap w:val="0"/>
            <w:vAlign w:val="center"/>
          </w:tcPr>
          <w:p w14:paraId="05107219">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Y3</w:t>
            </w:r>
          </w:p>
        </w:tc>
        <w:tc>
          <w:tcPr>
            <w:tcW w:w="1196" w:type="pct"/>
            <w:noWrap w:val="0"/>
            <w:vAlign w:val="center"/>
          </w:tcPr>
          <w:p w14:paraId="15295E93">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127°29'37.178"</w:t>
            </w:r>
          </w:p>
        </w:tc>
        <w:tc>
          <w:tcPr>
            <w:tcW w:w="1267" w:type="pct"/>
            <w:noWrap w:val="0"/>
            <w:vAlign w:val="center"/>
          </w:tcPr>
          <w:p w14:paraId="1BBD5FB5">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47°07'44.986"</w:t>
            </w:r>
          </w:p>
        </w:tc>
      </w:tr>
      <w:tr w14:paraId="4D78ACD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895" w:type="pct"/>
            <w:vMerge w:val="continue"/>
            <w:noWrap w:val="0"/>
            <w:vAlign w:val="center"/>
          </w:tcPr>
          <w:p w14:paraId="2CFF5DF5">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741" w:type="pct"/>
            <w:vMerge w:val="continue"/>
            <w:noWrap w:val="0"/>
            <w:vAlign w:val="center"/>
          </w:tcPr>
          <w:p w14:paraId="27977044">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899" w:type="pct"/>
            <w:noWrap w:val="0"/>
            <w:vAlign w:val="center"/>
          </w:tcPr>
          <w:p w14:paraId="63F3E785">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Y4</w:t>
            </w:r>
          </w:p>
        </w:tc>
        <w:tc>
          <w:tcPr>
            <w:tcW w:w="1196" w:type="pct"/>
            <w:noWrap w:val="0"/>
            <w:vAlign w:val="center"/>
          </w:tcPr>
          <w:p w14:paraId="397937D4">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127°29'35.730"</w:t>
            </w:r>
          </w:p>
        </w:tc>
        <w:tc>
          <w:tcPr>
            <w:tcW w:w="1267" w:type="pct"/>
            <w:noWrap w:val="0"/>
            <w:vAlign w:val="center"/>
          </w:tcPr>
          <w:p w14:paraId="45076F01">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47°07'45.899"</w:t>
            </w:r>
          </w:p>
        </w:tc>
      </w:tr>
      <w:tr w14:paraId="5B7E1F7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895" w:type="pct"/>
            <w:vMerge w:val="continue"/>
            <w:noWrap w:val="0"/>
            <w:vAlign w:val="center"/>
          </w:tcPr>
          <w:p w14:paraId="3B4BA5B0">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741" w:type="pct"/>
            <w:vMerge w:val="restart"/>
            <w:noWrap w:val="0"/>
            <w:vAlign w:val="center"/>
          </w:tcPr>
          <w:p w14:paraId="3881D898">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2#取水井</w:t>
            </w:r>
          </w:p>
        </w:tc>
        <w:tc>
          <w:tcPr>
            <w:tcW w:w="899" w:type="pct"/>
            <w:noWrap w:val="0"/>
            <w:vAlign w:val="center"/>
          </w:tcPr>
          <w:p w14:paraId="5A8EB490">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Y5</w:t>
            </w:r>
          </w:p>
        </w:tc>
        <w:tc>
          <w:tcPr>
            <w:tcW w:w="1196" w:type="pct"/>
            <w:noWrap w:val="0"/>
            <w:vAlign w:val="center"/>
          </w:tcPr>
          <w:p w14:paraId="0DC85409">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127°29'40.020"</w:t>
            </w:r>
          </w:p>
        </w:tc>
        <w:tc>
          <w:tcPr>
            <w:tcW w:w="1267" w:type="pct"/>
            <w:noWrap w:val="0"/>
            <w:vAlign w:val="center"/>
          </w:tcPr>
          <w:p w14:paraId="2B05B727">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47°07'45.394"</w:t>
            </w:r>
          </w:p>
        </w:tc>
      </w:tr>
      <w:tr w14:paraId="137FBDC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895" w:type="pct"/>
            <w:vMerge w:val="continue"/>
            <w:noWrap w:val="0"/>
            <w:vAlign w:val="center"/>
          </w:tcPr>
          <w:p w14:paraId="3895D94D">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741" w:type="pct"/>
            <w:vMerge w:val="continue"/>
            <w:noWrap w:val="0"/>
            <w:vAlign w:val="center"/>
          </w:tcPr>
          <w:p w14:paraId="330A6D80">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899" w:type="pct"/>
            <w:noWrap w:val="0"/>
            <w:vAlign w:val="center"/>
          </w:tcPr>
          <w:p w14:paraId="3EDFE520">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Y6</w:t>
            </w:r>
          </w:p>
        </w:tc>
        <w:tc>
          <w:tcPr>
            <w:tcW w:w="1196" w:type="pct"/>
            <w:noWrap w:val="0"/>
            <w:vAlign w:val="center"/>
          </w:tcPr>
          <w:p w14:paraId="241ED2A3">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127°29'41.470"</w:t>
            </w:r>
          </w:p>
        </w:tc>
        <w:tc>
          <w:tcPr>
            <w:tcW w:w="1267" w:type="pct"/>
            <w:noWrap w:val="0"/>
            <w:vAlign w:val="center"/>
          </w:tcPr>
          <w:p w14:paraId="2939D025">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47°07'44.403"</w:t>
            </w:r>
          </w:p>
        </w:tc>
      </w:tr>
      <w:tr w14:paraId="0AF811D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895" w:type="pct"/>
            <w:vMerge w:val="continue"/>
            <w:noWrap w:val="0"/>
            <w:vAlign w:val="center"/>
          </w:tcPr>
          <w:p w14:paraId="1241A817">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741" w:type="pct"/>
            <w:vMerge w:val="continue"/>
            <w:noWrap w:val="0"/>
            <w:vAlign w:val="center"/>
          </w:tcPr>
          <w:p w14:paraId="01AF2401">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899" w:type="pct"/>
            <w:noWrap w:val="0"/>
            <w:vAlign w:val="center"/>
          </w:tcPr>
          <w:p w14:paraId="30431C7E">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Y7</w:t>
            </w:r>
          </w:p>
        </w:tc>
        <w:tc>
          <w:tcPr>
            <w:tcW w:w="1196" w:type="pct"/>
            <w:noWrap w:val="0"/>
            <w:vAlign w:val="center"/>
          </w:tcPr>
          <w:p w14:paraId="31706AEA">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127°29'40.075"</w:t>
            </w:r>
          </w:p>
        </w:tc>
        <w:tc>
          <w:tcPr>
            <w:tcW w:w="1267" w:type="pct"/>
            <w:noWrap w:val="0"/>
            <w:vAlign w:val="center"/>
          </w:tcPr>
          <w:p w14:paraId="00EC8792">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47°07'43.452"</w:t>
            </w:r>
          </w:p>
        </w:tc>
      </w:tr>
      <w:tr w14:paraId="23FFFC7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895" w:type="pct"/>
            <w:vMerge w:val="continue"/>
            <w:noWrap w:val="0"/>
            <w:vAlign w:val="center"/>
          </w:tcPr>
          <w:p w14:paraId="43323571">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741" w:type="pct"/>
            <w:vMerge w:val="continue"/>
            <w:noWrap w:val="0"/>
            <w:vAlign w:val="center"/>
          </w:tcPr>
          <w:p w14:paraId="7519B425">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899" w:type="pct"/>
            <w:noWrap w:val="0"/>
            <w:vAlign w:val="center"/>
          </w:tcPr>
          <w:p w14:paraId="11352BB2">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Y8</w:t>
            </w:r>
          </w:p>
        </w:tc>
        <w:tc>
          <w:tcPr>
            <w:tcW w:w="1196" w:type="pct"/>
            <w:noWrap w:val="0"/>
            <w:vAlign w:val="center"/>
          </w:tcPr>
          <w:p w14:paraId="074F9042">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127°29'38.627"</w:t>
            </w:r>
          </w:p>
        </w:tc>
        <w:tc>
          <w:tcPr>
            <w:tcW w:w="1267" w:type="pct"/>
            <w:noWrap w:val="0"/>
            <w:vAlign w:val="center"/>
          </w:tcPr>
          <w:p w14:paraId="7F22B5C3">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47°07'44.365"</w:t>
            </w:r>
          </w:p>
        </w:tc>
      </w:tr>
      <w:tr w14:paraId="1C7347E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895" w:type="pct"/>
            <w:vMerge w:val="continue"/>
            <w:noWrap w:val="0"/>
            <w:vAlign w:val="center"/>
          </w:tcPr>
          <w:p w14:paraId="77E1DE09">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741" w:type="pct"/>
            <w:vMerge w:val="restart"/>
            <w:noWrap w:val="0"/>
            <w:vAlign w:val="center"/>
          </w:tcPr>
          <w:p w14:paraId="357D8930">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3#取水井</w:t>
            </w:r>
          </w:p>
        </w:tc>
        <w:tc>
          <w:tcPr>
            <w:tcW w:w="899" w:type="pct"/>
            <w:noWrap w:val="0"/>
            <w:vAlign w:val="center"/>
          </w:tcPr>
          <w:p w14:paraId="63CAF7DC">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Y9</w:t>
            </w:r>
          </w:p>
        </w:tc>
        <w:tc>
          <w:tcPr>
            <w:tcW w:w="1196" w:type="pct"/>
            <w:noWrap w:val="0"/>
            <w:vAlign w:val="center"/>
          </w:tcPr>
          <w:p w14:paraId="0B0C77A2">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127°29'42.700"</w:t>
            </w:r>
          </w:p>
        </w:tc>
        <w:tc>
          <w:tcPr>
            <w:tcW w:w="1267" w:type="pct"/>
            <w:noWrap w:val="0"/>
            <w:vAlign w:val="center"/>
          </w:tcPr>
          <w:p w14:paraId="06EA3F4F">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47°07'34.942"</w:t>
            </w:r>
          </w:p>
        </w:tc>
      </w:tr>
      <w:tr w14:paraId="0A0FA62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895" w:type="pct"/>
            <w:vMerge w:val="continue"/>
            <w:noWrap w:val="0"/>
            <w:vAlign w:val="center"/>
          </w:tcPr>
          <w:p w14:paraId="03FA030A">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741" w:type="pct"/>
            <w:vMerge w:val="continue"/>
            <w:noWrap w:val="0"/>
            <w:vAlign w:val="center"/>
          </w:tcPr>
          <w:p w14:paraId="3B807A8C">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899" w:type="pct"/>
            <w:noWrap w:val="0"/>
            <w:vAlign w:val="center"/>
          </w:tcPr>
          <w:p w14:paraId="39EC8D84">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Y10</w:t>
            </w:r>
          </w:p>
        </w:tc>
        <w:tc>
          <w:tcPr>
            <w:tcW w:w="1196" w:type="pct"/>
            <w:noWrap w:val="0"/>
            <w:vAlign w:val="center"/>
          </w:tcPr>
          <w:p w14:paraId="177F5B23">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127°29'44.150"</w:t>
            </w:r>
          </w:p>
        </w:tc>
        <w:tc>
          <w:tcPr>
            <w:tcW w:w="1267" w:type="pct"/>
            <w:noWrap w:val="0"/>
            <w:vAlign w:val="center"/>
          </w:tcPr>
          <w:p w14:paraId="749B0761">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47°07'33.950"</w:t>
            </w:r>
          </w:p>
        </w:tc>
      </w:tr>
      <w:tr w14:paraId="0C746E5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895" w:type="pct"/>
            <w:vMerge w:val="continue"/>
            <w:noWrap w:val="0"/>
            <w:vAlign w:val="center"/>
          </w:tcPr>
          <w:p w14:paraId="3FA3B204">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741" w:type="pct"/>
            <w:vMerge w:val="continue"/>
            <w:noWrap w:val="0"/>
            <w:vAlign w:val="center"/>
          </w:tcPr>
          <w:p w14:paraId="6D5EBA72">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899" w:type="pct"/>
            <w:noWrap w:val="0"/>
            <w:vAlign w:val="center"/>
          </w:tcPr>
          <w:p w14:paraId="74B08033">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Y11</w:t>
            </w:r>
          </w:p>
        </w:tc>
        <w:tc>
          <w:tcPr>
            <w:tcW w:w="1196" w:type="pct"/>
            <w:noWrap w:val="0"/>
            <w:vAlign w:val="center"/>
          </w:tcPr>
          <w:p w14:paraId="64011FF8">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127°29'42.755"</w:t>
            </w:r>
          </w:p>
        </w:tc>
        <w:tc>
          <w:tcPr>
            <w:tcW w:w="1267" w:type="pct"/>
            <w:noWrap w:val="0"/>
            <w:vAlign w:val="center"/>
          </w:tcPr>
          <w:p w14:paraId="4CA3DA47">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47°07'33.000"</w:t>
            </w:r>
          </w:p>
        </w:tc>
      </w:tr>
      <w:tr w14:paraId="13CD6B2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895" w:type="pct"/>
            <w:vMerge w:val="continue"/>
            <w:noWrap w:val="0"/>
            <w:vAlign w:val="center"/>
          </w:tcPr>
          <w:p w14:paraId="69FD94CA">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741" w:type="pct"/>
            <w:vMerge w:val="continue"/>
            <w:noWrap w:val="0"/>
            <w:vAlign w:val="center"/>
          </w:tcPr>
          <w:p w14:paraId="6D1C4FDB">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899" w:type="pct"/>
            <w:noWrap w:val="0"/>
            <w:vAlign w:val="center"/>
          </w:tcPr>
          <w:p w14:paraId="0E8CF665">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Y12</w:t>
            </w:r>
          </w:p>
        </w:tc>
        <w:tc>
          <w:tcPr>
            <w:tcW w:w="1196" w:type="pct"/>
            <w:noWrap w:val="0"/>
            <w:vAlign w:val="center"/>
          </w:tcPr>
          <w:p w14:paraId="7894964A">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127°29'41.307"</w:t>
            </w:r>
          </w:p>
        </w:tc>
        <w:tc>
          <w:tcPr>
            <w:tcW w:w="1267" w:type="pct"/>
            <w:noWrap w:val="0"/>
            <w:vAlign w:val="center"/>
          </w:tcPr>
          <w:p w14:paraId="08637C45">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47°07'33.913"</w:t>
            </w:r>
          </w:p>
        </w:tc>
      </w:tr>
      <w:tr w14:paraId="41772A6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895" w:type="pct"/>
            <w:vMerge w:val="restart"/>
            <w:noWrap w:val="0"/>
            <w:vAlign w:val="center"/>
          </w:tcPr>
          <w:p w14:paraId="3F8057BE">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sz w:val="21"/>
                <w:szCs w:val="21"/>
                <w:highlight w:val="none"/>
                <w:lang w:eastAsia="zh-CN"/>
              </w:rPr>
              <w:t>绥化市庆安县柳河镇饮用水水源地</w:t>
            </w:r>
          </w:p>
        </w:tc>
        <w:tc>
          <w:tcPr>
            <w:tcW w:w="741" w:type="pct"/>
            <w:vMerge w:val="restart"/>
            <w:noWrap w:val="0"/>
            <w:vAlign w:val="center"/>
          </w:tcPr>
          <w:p w14:paraId="255A1C5A">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1#取水井</w:t>
            </w:r>
          </w:p>
        </w:tc>
        <w:tc>
          <w:tcPr>
            <w:tcW w:w="899" w:type="pct"/>
            <w:noWrap w:val="0"/>
            <w:vAlign w:val="center"/>
          </w:tcPr>
          <w:p w14:paraId="00860181">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Y1</w:t>
            </w:r>
          </w:p>
        </w:tc>
        <w:tc>
          <w:tcPr>
            <w:tcW w:w="1196" w:type="pct"/>
            <w:noWrap w:val="0"/>
            <w:vAlign w:val="center"/>
          </w:tcPr>
          <w:p w14:paraId="5C54E10A">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127°41'56.967"</w:t>
            </w:r>
          </w:p>
        </w:tc>
        <w:tc>
          <w:tcPr>
            <w:tcW w:w="1267" w:type="pct"/>
            <w:noWrap w:val="0"/>
            <w:vAlign w:val="center"/>
          </w:tcPr>
          <w:p w14:paraId="7E874E3C">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46°43'14.561"</w:t>
            </w:r>
          </w:p>
        </w:tc>
      </w:tr>
      <w:tr w14:paraId="68C9F84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895" w:type="pct"/>
            <w:vMerge w:val="continue"/>
            <w:noWrap w:val="0"/>
            <w:vAlign w:val="center"/>
          </w:tcPr>
          <w:p w14:paraId="10C8AF24">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741" w:type="pct"/>
            <w:vMerge w:val="continue"/>
            <w:noWrap w:val="0"/>
            <w:vAlign w:val="center"/>
          </w:tcPr>
          <w:p w14:paraId="4DA51F67">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899" w:type="pct"/>
            <w:noWrap w:val="0"/>
            <w:vAlign w:val="center"/>
          </w:tcPr>
          <w:p w14:paraId="3F3DC598">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Y2</w:t>
            </w:r>
          </w:p>
        </w:tc>
        <w:tc>
          <w:tcPr>
            <w:tcW w:w="1196" w:type="pct"/>
            <w:noWrap w:val="0"/>
            <w:vAlign w:val="center"/>
          </w:tcPr>
          <w:p w14:paraId="7848E361">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127°41'58.402"</w:t>
            </w:r>
          </w:p>
        </w:tc>
        <w:tc>
          <w:tcPr>
            <w:tcW w:w="1267" w:type="pct"/>
            <w:noWrap w:val="0"/>
            <w:vAlign w:val="center"/>
          </w:tcPr>
          <w:p w14:paraId="38EC3D49">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46°43'13.567"</w:t>
            </w:r>
          </w:p>
        </w:tc>
      </w:tr>
      <w:tr w14:paraId="669547B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895" w:type="pct"/>
            <w:vMerge w:val="continue"/>
            <w:noWrap w:val="0"/>
            <w:vAlign w:val="center"/>
          </w:tcPr>
          <w:p w14:paraId="6C0F7840">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741" w:type="pct"/>
            <w:vMerge w:val="continue"/>
            <w:noWrap w:val="0"/>
            <w:vAlign w:val="center"/>
          </w:tcPr>
          <w:p w14:paraId="3831212C">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899" w:type="pct"/>
            <w:noWrap w:val="0"/>
            <w:vAlign w:val="center"/>
          </w:tcPr>
          <w:p w14:paraId="40F72F46">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Y3</w:t>
            </w:r>
          </w:p>
        </w:tc>
        <w:tc>
          <w:tcPr>
            <w:tcW w:w="1196" w:type="pct"/>
            <w:noWrap w:val="0"/>
            <w:vAlign w:val="center"/>
          </w:tcPr>
          <w:p w14:paraId="211F6220">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127°41'57.013"</w:t>
            </w:r>
          </w:p>
        </w:tc>
        <w:tc>
          <w:tcPr>
            <w:tcW w:w="1267" w:type="pct"/>
            <w:noWrap w:val="0"/>
            <w:vAlign w:val="center"/>
          </w:tcPr>
          <w:p w14:paraId="5D35FABD">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46°43'12.619"</w:t>
            </w:r>
          </w:p>
        </w:tc>
      </w:tr>
      <w:tr w14:paraId="0D5DAC3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895" w:type="pct"/>
            <w:vMerge w:val="continue"/>
            <w:noWrap w:val="0"/>
            <w:vAlign w:val="center"/>
          </w:tcPr>
          <w:p w14:paraId="01DAE542">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741" w:type="pct"/>
            <w:vMerge w:val="continue"/>
            <w:noWrap w:val="0"/>
            <w:vAlign w:val="center"/>
          </w:tcPr>
          <w:p w14:paraId="0D6C2F3A">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899" w:type="pct"/>
            <w:noWrap w:val="0"/>
            <w:vAlign w:val="center"/>
          </w:tcPr>
          <w:p w14:paraId="23EE9AD0">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Y4</w:t>
            </w:r>
          </w:p>
        </w:tc>
        <w:tc>
          <w:tcPr>
            <w:tcW w:w="1196" w:type="pct"/>
            <w:noWrap w:val="0"/>
            <w:vAlign w:val="center"/>
          </w:tcPr>
          <w:p w14:paraId="2A8F1AE5">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127°41'55.580"</w:t>
            </w:r>
          </w:p>
        </w:tc>
        <w:tc>
          <w:tcPr>
            <w:tcW w:w="1267" w:type="pct"/>
            <w:noWrap w:val="0"/>
            <w:vAlign w:val="center"/>
          </w:tcPr>
          <w:p w14:paraId="517C6179">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46°43'13.535"</w:t>
            </w:r>
          </w:p>
        </w:tc>
      </w:tr>
      <w:tr w14:paraId="3D74707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895" w:type="pct"/>
            <w:vMerge w:val="continue"/>
            <w:noWrap w:val="0"/>
            <w:vAlign w:val="center"/>
          </w:tcPr>
          <w:p w14:paraId="46D7FC0C">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741" w:type="pct"/>
            <w:vMerge w:val="restart"/>
            <w:noWrap w:val="0"/>
            <w:vAlign w:val="center"/>
          </w:tcPr>
          <w:p w14:paraId="7008EA0C">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2#取水井</w:t>
            </w:r>
          </w:p>
        </w:tc>
        <w:tc>
          <w:tcPr>
            <w:tcW w:w="899" w:type="pct"/>
            <w:noWrap w:val="0"/>
            <w:vAlign w:val="center"/>
          </w:tcPr>
          <w:p w14:paraId="6A5AD392">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Y5</w:t>
            </w:r>
          </w:p>
        </w:tc>
        <w:tc>
          <w:tcPr>
            <w:tcW w:w="1196" w:type="pct"/>
            <w:noWrap w:val="0"/>
            <w:vAlign w:val="center"/>
          </w:tcPr>
          <w:p w14:paraId="20BA1D91">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127°41'52.392"</w:t>
            </w:r>
          </w:p>
        </w:tc>
        <w:tc>
          <w:tcPr>
            <w:tcW w:w="1267" w:type="pct"/>
            <w:noWrap w:val="0"/>
            <w:vAlign w:val="center"/>
          </w:tcPr>
          <w:p w14:paraId="2B42F0A1">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46°43'20.684"</w:t>
            </w:r>
          </w:p>
        </w:tc>
      </w:tr>
      <w:tr w14:paraId="3E46622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895" w:type="pct"/>
            <w:vMerge w:val="continue"/>
            <w:noWrap w:val="0"/>
            <w:vAlign w:val="center"/>
          </w:tcPr>
          <w:p w14:paraId="708B4D74">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741" w:type="pct"/>
            <w:vMerge w:val="continue"/>
            <w:noWrap w:val="0"/>
            <w:vAlign w:val="center"/>
          </w:tcPr>
          <w:p w14:paraId="5695E4B8">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899" w:type="pct"/>
            <w:noWrap w:val="0"/>
            <w:vAlign w:val="center"/>
          </w:tcPr>
          <w:p w14:paraId="2ABE41F1">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Y6</w:t>
            </w:r>
          </w:p>
        </w:tc>
        <w:tc>
          <w:tcPr>
            <w:tcW w:w="1196" w:type="pct"/>
            <w:noWrap w:val="0"/>
            <w:vAlign w:val="center"/>
          </w:tcPr>
          <w:p w14:paraId="31AC5758">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127°41'53.827"</w:t>
            </w:r>
          </w:p>
        </w:tc>
        <w:tc>
          <w:tcPr>
            <w:tcW w:w="1267" w:type="pct"/>
            <w:noWrap w:val="0"/>
            <w:vAlign w:val="center"/>
          </w:tcPr>
          <w:p w14:paraId="1A351C36">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46°43'19.690"</w:t>
            </w:r>
          </w:p>
        </w:tc>
      </w:tr>
      <w:tr w14:paraId="3F1AA3D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895" w:type="pct"/>
            <w:vMerge w:val="continue"/>
            <w:noWrap w:val="0"/>
            <w:vAlign w:val="center"/>
          </w:tcPr>
          <w:p w14:paraId="21CDB369">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741" w:type="pct"/>
            <w:vMerge w:val="continue"/>
            <w:noWrap w:val="0"/>
            <w:vAlign w:val="center"/>
          </w:tcPr>
          <w:p w14:paraId="123FED7A">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899" w:type="pct"/>
            <w:noWrap w:val="0"/>
            <w:vAlign w:val="center"/>
          </w:tcPr>
          <w:p w14:paraId="3E22FEF9">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Y7</w:t>
            </w:r>
          </w:p>
        </w:tc>
        <w:tc>
          <w:tcPr>
            <w:tcW w:w="1196" w:type="pct"/>
            <w:noWrap w:val="0"/>
            <w:vAlign w:val="center"/>
          </w:tcPr>
          <w:p w14:paraId="4C4CD456">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127°41'52.438"</w:t>
            </w:r>
          </w:p>
        </w:tc>
        <w:tc>
          <w:tcPr>
            <w:tcW w:w="1267" w:type="pct"/>
            <w:noWrap w:val="0"/>
            <w:vAlign w:val="center"/>
          </w:tcPr>
          <w:p w14:paraId="03A1B498">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46°43'18.742"</w:t>
            </w:r>
          </w:p>
        </w:tc>
      </w:tr>
      <w:tr w14:paraId="0D67E9E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895" w:type="pct"/>
            <w:vMerge w:val="continue"/>
            <w:noWrap w:val="0"/>
            <w:vAlign w:val="center"/>
          </w:tcPr>
          <w:p w14:paraId="0CB5924D">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741" w:type="pct"/>
            <w:vMerge w:val="continue"/>
            <w:noWrap w:val="0"/>
            <w:vAlign w:val="center"/>
          </w:tcPr>
          <w:p w14:paraId="09299AF6">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899" w:type="pct"/>
            <w:noWrap w:val="0"/>
            <w:vAlign w:val="center"/>
          </w:tcPr>
          <w:p w14:paraId="64238CE0">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Y8</w:t>
            </w:r>
          </w:p>
        </w:tc>
        <w:tc>
          <w:tcPr>
            <w:tcW w:w="1196" w:type="pct"/>
            <w:noWrap w:val="0"/>
            <w:vAlign w:val="center"/>
          </w:tcPr>
          <w:p w14:paraId="5EBE3B5A">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127°41'51.005"</w:t>
            </w:r>
          </w:p>
        </w:tc>
        <w:tc>
          <w:tcPr>
            <w:tcW w:w="1267" w:type="pct"/>
            <w:noWrap w:val="0"/>
            <w:vAlign w:val="center"/>
          </w:tcPr>
          <w:p w14:paraId="1AC0E8AF">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46°43'19.658"</w:t>
            </w:r>
          </w:p>
        </w:tc>
      </w:tr>
      <w:tr w14:paraId="0AB7B72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895" w:type="pct"/>
            <w:vMerge w:val="continue"/>
            <w:noWrap w:val="0"/>
            <w:vAlign w:val="center"/>
          </w:tcPr>
          <w:p w14:paraId="5A029661">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741" w:type="pct"/>
            <w:vMerge w:val="restart"/>
            <w:noWrap w:val="0"/>
            <w:vAlign w:val="center"/>
          </w:tcPr>
          <w:p w14:paraId="3F2311A5">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3#取水井</w:t>
            </w:r>
          </w:p>
        </w:tc>
        <w:tc>
          <w:tcPr>
            <w:tcW w:w="899" w:type="pct"/>
            <w:noWrap w:val="0"/>
            <w:vAlign w:val="center"/>
          </w:tcPr>
          <w:p w14:paraId="5B400E2E">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Y9</w:t>
            </w:r>
          </w:p>
        </w:tc>
        <w:tc>
          <w:tcPr>
            <w:tcW w:w="1196" w:type="pct"/>
            <w:noWrap w:val="0"/>
            <w:vAlign w:val="center"/>
          </w:tcPr>
          <w:p w14:paraId="12A2DD8A">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127°42'08.776"</w:t>
            </w:r>
          </w:p>
        </w:tc>
        <w:tc>
          <w:tcPr>
            <w:tcW w:w="1267" w:type="pct"/>
            <w:noWrap w:val="0"/>
            <w:vAlign w:val="center"/>
          </w:tcPr>
          <w:p w14:paraId="61D08EBB">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46°43'20.919"</w:t>
            </w:r>
          </w:p>
        </w:tc>
      </w:tr>
      <w:tr w14:paraId="5B2E75A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895" w:type="pct"/>
            <w:vMerge w:val="continue"/>
            <w:noWrap w:val="0"/>
            <w:vAlign w:val="center"/>
          </w:tcPr>
          <w:p w14:paraId="50127762">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741" w:type="pct"/>
            <w:vMerge w:val="continue"/>
            <w:noWrap w:val="0"/>
            <w:vAlign w:val="center"/>
          </w:tcPr>
          <w:p w14:paraId="0A07779A">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899" w:type="pct"/>
            <w:noWrap w:val="0"/>
            <w:vAlign w:val="center"/>
          </w:tcPr>
          <w:p w14:paraId="1DCD79C1">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Y10</w:t>
            </w:r>
          </w:p>
        </w:tc>
        <w:tc>
          <w:tcPr>
            <w:tcW w:w="1196" w:type="pct"/>
            <w:noWrap w:val="0"/>
            <w:vAlign w:val="center"/>
          </w:tcPr>
          <w:p w14:paraId="05ECECEF">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127°42'10.211"</w:t>
            </w:r>
          </w:p>
        </w:tc>
        <w:tc>
          <w:tcPr>
            <w:tcW w:w="1267" w:type="pct"/>
            <w:noWrap w:val="0"/>
            <w:vAlign w:val="center"/>
          </w:tcPr>
          <w:p w14:paraId="4C315AF1">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46°43'19.925"</w:t>
            </w:r>
          </w:p>
        </w:tc>
      </w:tr>
      <w:tr w14:paraId="15DD900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895" w:type="pct"/>
            <w:vMerge w:val="continue"/>
            <w:noWrap w:val="0"/>
            <w:vAlign w:val="center"/>
          </w:tcPr>
          <w:p w14:paraId="60B43C23">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741" w:type="pct"/>
            <w:vMerge w:val="continue"/>
            <w:noWrap w:val="0"/>
            <w:vAlign w:val="center"/>
          </w:tcPr>
          <w:p w14:paraId="3D9BFB3E">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899" w:type="pct"/>
            <w:noWrap w:val="0"/>
            <w:vAlign w:val="center"/>
          </w:tcPr>
          <w:p w14:paraId="0E9EE011">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Y11</w:t>
            </w:r>
          </w:p>
        </w:tc>
        <w:tc>
          <w:tcPr>
            <w:tcW w:w="1196" w:type="pct"/>
            <w:noWrap w:val="0"/>
            <w:vAlign w:val="center"/>
          </w:tcPr>
          <w:p w14:paraId="1DF21B59">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127°42'08.822"</w:t>
            </w:r>
          </w:p>
        </w:tc>
        <w:tc>
          <w:tcPr>
            <w:tcW w:w="1267" w:type="pct"/>
            <w:noWrap w:val="0"/>
            <w:vAlign w:val="center"/>
          </w:tcPr>
          <w:p w14:paraId="3F9B49DD">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46°43'18.977"</w:t>
            </w:r>
          </w:p>
        </w:tc>
      </w:tr>
      <w:tr w14:paraId="3054F40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895" w:type="pct"/>
            <w:vMerge w:val="continue"/>
            <w:noWrap w:val="0"/>
            <w:vAlign w:val="center"/>
          </w:tcPr>
          <w:p w14:paraId="5E5D8A8A">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741" w:type="pct"/>
            <w:vMerge w:val="continue"/>
            <w:noWrap w:val="0"/>
            <w:vAlign w:val="center"/>
          </w:tcPr>
          <w:p w14:paraId="6C66793C">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899" w:type="pct"/>
            <w:noWrap w:val="0"/>
            <w:vAlign w:val="center"/>
          </w:tcPr>
          <w:p w14:paraId="47AA86B9">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Y12</w:t>
            </w:r>
          </w:p>
        </w:tc>
        <w:tc>
          <w:tcPr>
            <w:tcW w:w="1196" w:type="pct"/>
            <w:noWrap w:val="0"/>
            <w:vAlign w:val="center"/>
          </w:tcPr>
          <w:p w14:paraId="57F63CBF">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127°42'07.389"</w:t>
            </w:r>
          </w:p>
        </w:tc>
        <w:tc>
          <w:tcPr>
            <w:tcW w:w="1267" w:type="pct"/>
            <w:noWrap w:val="0"/>
            <w:vAlign w:val="center"/>
          </w:tcPr>
          <w:p w14:paraId="2009AFFF">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46°43'19.893"</w:t>
            </w:r>
          </w:p>
        </w:tc>
      </w:tr>
      <w:tr w14:paraId="65486C3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895" w:type="pct"/>
            <w:vMerge w:val="continue"/>
            <w:noWrap w:val="0"/>
            <w:vAlign w:val="center"/>
          </w:tcPr>
          <w:p w14:paraId="77422C09">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741" w:type="pct"/>
            <w:vMerge w:val="restart"/>
            <w:noWrap w:val="0"/>
            <w:vAlign w:val="center"/>
          </w:tcPr>
          <w:p w14:paraId="0A393092">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4#取水井</w:t>
            </w:r>
          </w:p>
        </w:tc>
        <w:tc>
          <w:tcPr>
            <w:tcW w:w="899" w:type="pct"/>
            <w:noWrap w:val="0"/>
            <w:vAlign w:val="center"/>
          </w:tcPr>
          <w:p w14:paraId="69637C51">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Y13</w:t>
            </w:r>
          </w:p>
        </w:tc>
        <w:tc>
          <w:tcPr>
            <w:tcW w:w="1196" w:type="pct"/>
            <w:noWrap w:val="0"/>
            <w:vAlign w:val="center"/>
          </w:tcPr>
          <w:p w14:paraId="52DC3FC1">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127°42'09.669"</w:t>
            </w:r>
          </w:p>
        </w:tc>
        <w:tc>
          <w:tcPr>
            <w:tcW w:w="1267" w:type="pct"/>
            <w:noWrap w:val="0"/>
            <w:vAlign w:val="center"/>
          </w:tcPr>
          <w:p w14:paraId="50EEFD3F">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46°43'18.516"</w:t>
            </w:r>
          </w:p>
        </w:tc>
      </w:tr>
      <w:tr w14:paraId="5CEBCD6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895" w:type="pct"/>
            <w:vMerge w:val="continue"/>
            <w:noWrap w:val="0"/>
            <w:vAlign w:val="center"/>
          </w:tcPr>
          <w:p w14:paraId="5D189EB4">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741" w:type="pct"/>
            <w:vMerge w:val="continue"/>
            <w:noWrap w:val="0"/>
            <w:vAlign w:val="center"/>
          </w:tcPr>
          <w:p w14:paraId="2ACB6790">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899" w:type="pct"/>
            <w:noWrap w:val="0"/>
            <w:vAlign w:val="center"/>
          </w:tcPr>
          <w:p w14:paraId="4A48D7A5">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Y14</w:t>
            </w:r>
          </w:p>
        </w:tc>
        <w:tc>
          <w:tcPr>
            <w:tcW w:w="1196" w:type="pct"/>
            <w:noWrap w:val="0"/>
            <w:vAlign w:val="center"/>
          </w:tcPr>
          <w:p w14:paraId="5777A7E5">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127°42'11.104"</w:t>
            </w:r>
          </w:p>
        </w:tc>
        <w:tc>
          <w:tcPr>
            <w:tcW w:w="1267" w:type="pct"/>
            <w:noWrap w:val="0"/>
            <w:vAlign w:val="center"/>
          </w:tcPr>
          <w:p w14:paraId="6C86E2A8">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46°43'17.522"</w:t>
            </w:r>
          </w:p>
        </w:tc>
      </w:tr>
      <w:tr w14:paraId="3914C97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895" w:type="pct"/>
            <w:vMerge w:val="continue"/>
            <w:noWrap w:val="0"/>
            <w:vAlign w:val="center"/>
          </w:tcPr>
          <w:p w14:paraId="05D9DCD2">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741" w:type="pct"/>
            <w:vMerge w:val="continue"/>
            <w:noWrap w:val="0"/>
            <w:vAlign w:val="center"/>
          </w:tcPr>
          <w:p w14:paraId="18102EEC">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899" w:type="pct"/>
            <w:noWrap w:val="0"/>
            <w:vAlign w:val="center"/>
          </w:tcPr>
          <w:p w14:paraId="58617BB1">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Y15</w:t>
            </w:r>
          </w:p>
        </w:tc>
        <w:tc>
          <w:tcPr>
            <w:tcW w:w="1196" w:type="pct"/>
            <w:noWrap w:val="0"/>
            <w:vAlign w:val="center"/>
          </w:tcPr>
          <w:p w14:paraId="6B790EFE">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127°42'09.716"</w:t>
            </w:r>
          </w:p>
        </w:tc>
        <w:tc>
          <w:tcPr>
            <w:tcW w:w="1267" w:type="pct"/>
            <w:noWrap w:val="0"/>
            <w:vAlign w:val="center"/>
          </w:tcPr>
          <w:p w14:paraId="1E43DB26">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46°43'16.574"</w:t>
            </w:r>
          </w:p>
        </w:tc>
      </w:tr>
      <w:tr w14:paraId="7E3C00B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895" w:type="pct"/>
            <w:vMerge w:val="continue"/>
            <w:noWrap w:val="0"/>
            <w:vAlign w:val="center"/>
          </w:tcPr>
          <w:p w14:paraId="76EA960F">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741" w:type="pct"/>
            <w:vMerge w:val="continue"/>
            <w:noWrap w:val="0"/>
            <w:vAlign w:val="center"/>
          </w:tcPr>
          <w:p w14:paraId="5DE2E9DE">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899" w:type="pct"/>
            <w:noWrap w:val="0"/>
            <w:vAlign w:val="center"/>
          </w:tcPr>
          <w:p w14:paraId="05075455">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Y16</w:t>
            </w:r>
          </w:p>
        </w:tc>
        <w:tc>
          <w:tcPr>
            <w:tcW w:w="1196" w:type="pct"/>
            <w:noWrap w:val="0"/>
            <w:vAlign w:val="center"/>
          </w:tcPr>
          <w:p w14:paraId="2F5EDEA5">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127°42'08.282"</w:t>
            </w:r>
          </w:p>
        </w:tc>
        <w:tc>
          <w:tcPr>
            <w:tcW w:w="1267" w:type="pct"/>
            <w:noWrap w:val="0"/>
            <w:vAlign w:val="center"/>
          </w:tcPr>
          <w:p w14:paraId="5EA15FBD">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46°43'17.490"</w:t>
            </w:r>
          </w:p>
        </w:tc>
      </w:tr>
      <w:tr w14:paraId="55392BD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895" w:type="pct"/>
            <w:vMerge w:val="continue"/>
            <w:noWrap w:val="0"/>
            <w:vAlign w:val="center"/>
          </w:tcPr>
          <w:p w14:paraId="7E1E76C1">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741" w:type="pct"/>
            <w:vMerge w:val="restart"/>
            <w:noWrap w:val="0"/>
            <w:vAlign w:val="center"/>
          </w:tcPr>
          <w:p w14:paraId="3398AC2D">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5#取水井</w:t>
            </w:r>
          </w:p>
        </w:tc>
        <w:tc>
          <w:tcPr>
            <w:tcW w:w="899" w:type="pct"/>
            <w:noWrap w:val="0"/>
            <w:vAlign w:val="center"/>
          </w:tcPr>
          <w:p w14:paraId="29F203F9">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Y17</w:t>
            </w:r>
          </w:p>
        </w:tc>
        <w:tc>
          <w:tcPr>
            <w:tcW w:w="1196" w:type="pct"/>
            <w:noWrap w:val="0"/>
            <w:vAlign w:val="center"/>
          </w:tcPr>
          <w:p w14:paraId="14F3DC54">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127°41'45.157"</w:t>
            </w:r>
          </w:p>
        </w:tc>
        <w:tc>
          <w:tcPr>
            <w:tcW w:w="1267" w:type="pct"/>
            <w:noWrap w:val="0"/>
            <w:vAlign w:val="center"/>
          </w:tcPr>
          <w:p w14:paraId="12D000C5">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46°43'04.410"</w:t>
            </w:r>
          </w:p>
        </w:tc>
      </w:tr>
      <w:tr w14:paraId="3D346FB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895" w:type="pct"/>
            <w:vMerge w:val="continue"/>
            <w:noWrap w:val="0"/>
            <w:vAlign w:val="center"/>
          </w:tcPr>
          <w:p w14:paraId="0D0130A9">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741" w:type="pct"/>
            <w:vMerge w:val="continue"/>
            <w:noWrap w:val="0"/>
            <w:vAlign w:val="center"/>
          </w:tcPr>
          <w:p w14:paraId="22FCE8F8">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899" w:type="pct"/>
            <w:noWrap w:val="0"/>
            <w:vAlign w:val="center"/>
          </w:tcPr>
          <w:p w14:paraId="66C0883F">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Y18</w:t>
            </w:r>
          </w:p>
        </w:tc>
        <w:tc>
          <w:tcPr>
            <w:tcW w:w="1196" w:type="pct"/>
            <w:noWrap w:val="0"/>
            <w:vAlign w:val="center"/>
          </w:tcPr>
          <w:p w14:paraId="2BDCF26D">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127°41'46.593"</w:t>
            </w:r>
          </w:p>
        </w:tc>
        <w:tc>
          <w:tcPr>
            <w:tcW w:w="1267" w:type="pct"/>
            <w:noWrap w:val="0"/>
            <w:vAlign w:val="center"/>
          </w:tcPr>
          <w:p w14:paraId="4E865619">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46°43'03.415"</w:t>
            </w:r>
          </w:p>
        </w:tc>
      </w:tr>
      <w:tr w14:paraId="3D01B08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895" w:type="pct"/>
            <w:vMerge w:val="continue"/>
            <w:noWrap w:val="0"/>
            <w:vAlign w:val="center"/>
          </w:tcPr>
          <w:p w14:paraId="5C5FDA22">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741" w:type="pct"/>
            <w:vMerge w:val="continue"/>
            <w:noWrap w:val="0"/>
            <w:vAlign w:val="center"/>
          </w:tcPr>
          <w:p w14:paraId="502DD86F">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899" w:type="pct"/>
            <w:noWrap w:val="0"/>
            <w:vAlign w:val="center"/>
          </w:tcPr>
          <w:p w14:paraId="400A663C">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Y19</w:t>
            </w:r>
          </w:p>
        </w:tc>
        <w:tc>
          <w:tcPr>
            <w:tcW w:w="1196" w:type="pct"/>
            <w:noWrap w:val="0"/>
            <w:vAlign w:val="center"/>
          </w:tcPr>
          <w:p w14:paraId="7ADD6E10">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127°41'45.204"</w:t>
            </w:r>
          </w:p>
        </w:tc>
        <w:tc>
          <w:tcPr>
            <w:tcW w:w="1267" w:type="pct"/>
            <w:noWrap w:val="0"/>
            <w:vAlign w:val="center"/>
          </w:tcPr>
          <w:p w14:paraId="57064B40">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46°43'02.467"</w:t>
            </w:r>
          </w:p>
        </w:tc>
      </w:tr>
      <w:tr w14:paraId="629F44A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895" w:type="pct"/>
            <w:vMerge w:val="continue"/>
            <w:noWrap w:val="0"/>
            <w:vAlign w:val="center"/>
          </w:tcPr>
          <w:p w14:paraId="5EFBEA50">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741" w:type="pct"/>
            <w:vMerge w:val="continue"/>
            <w:noWrap w:val="0"/>
            <w:vAlign w:val="center"/>
          </w:tcPr>
          <w:p w14:paraId="286F2467">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899" w:type="pct"/>
            <w:noWrap w:val="0"/>
            <w:vAlign w:val="center"/>
          </w:tcPr>
          <w:p w14:paraId="19E02291">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Y20</w:t>
            </w:r>
          </w:p>
        </w:tc>
        <w:tc>
          <w:tcPr>
            <w:tcW w:w="1196" w:type="pct"/>
            <w:noWrap w:val="0"/>
            <w:vAlign w:val="center"/>
          </w:tcPr>
          <w:p w14:paraId="6D3DE10A">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127°41'43.771"</w:t>
            </w:r>
          </w:p>
        </w:tc>
        <w:tc>
          <w:tcPr>
            <w:tcW w:w="1267" w:type="pct"/>
            <w:noWrap w:val="0"/>
            <w:vAlign w:val="center"/>
          </w:tcPr>
          <w:p w14:paraId="2ACD8465">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46°43'03.383"</w:t>
            </w:r>
          </w:p>
        </w:tc>
      </w:tr>
      <w:tr w14:paraId="2E5C72C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895" w:type="pct"/>
            <w:vMerge w:val="restart"/>
            <w:noWrap w:val="0"/>
            <w:vAlign w:val="center"/>
          </w:tcPr>
          <w:p w14:paraId="3CA65E50">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sz w:val="21"/>
                <w:szCs w:val="21"/>
                <w:highlight w:val="none"/>
                <w:lang w:eastAsia="zh-CN"/>
              </w:rPr>
              <w:t>绥化市庆安县丰收乡饮用水水源地</w:t>
            </w:r>
          </w:p>
        </w:tc>
        <w:tc>
          <w:tcPr>
            <w:tcW w:w="741" w:type="pct"/>
            <w:vMerge w:val="restart"/>
            <w:noWrap w:val="0"/>
            <w:vAlign w:val="center"/>
          </w:tcPr>
          <w:p w14:paraId="2F334B4C">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1#取水井</w:t>
            </w:r>
          </w:p>
        </w:tc>
        <w:tc>
          <w:tcPr>
            <w:tcW w:w="899" w:type="pct"/>
            <w:noWrap w:val="0"/>
            <w:vAlign w:val="center"/>
          </w:tcPr>
          <w:p w14:paraId="3101A187">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Y1</w:t>
            </w:r>
          </w:p>
        </w:tc>
        <w:tc>
          <w:tcPr>
            <w:tcW w:w="1196" w:type="pct"/>
            <w:noWrap w:val="0"/>
            <w:vAlign w:val="center"/>
          </w:tcPr>
          <w:p w14:paraId="105AE191">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127°43'18.135"</w:t>
            </w:r>
          </w:p>
        </w:tc>
        <w:tc>
          <w:tcPr>
            <w:tcW w:w="1267" w:type="pct"/>
            <w:noWrap w:val="0"/>
            <w:vAlign w:val="center"/>
          </w:tcPr>
          <w:p w14:paraId="1513C559">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46°51'51.461"</w:t>
            </w:r>
          </w:p>
        </w:tc>
      </w:tr>
      <w:tr w14:paraId="57E50A7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895" w:type="pct"/>
            <w:vMerge w:val="continue"/>
            <w:noWrap w:val="0"/>
            <w:vAlign w:val="center"/>
          </w:tcPr>
          <w:p w14:paraId="4F280AF6">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741" w:type="pct"/>
            <w:vMerge w:val="continue"/>
            <w:noWrap w:val="0"/>
            <w:vAlign w:val="center"/>
          </w:tcPr>
          <w:p w14:paraId="72D0B9A9">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899" w:type="pct"/>
            <w:noWrap w:val="0"/>
            <w:vAlign w:val="center"/>
          </w:tcPr>
          <w:p w14:paraId="46D165D0">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Y2</w:t>
            </w:r>
          </w:p>
        </w:tc>
        <w:tc>
          <w:tcPr>
            <w:tcW w:w="1196" w:type="pct"/>
            <w:noWrap w:val="0"/>
            <w:vAlign w:val="center"/>
          </w:tcPr>
          <w:p w14:paraId="4A5DD0F7">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127°43'19.574"</w:t>
            </w:r>
          </w:p>
        </w:tc>
        <w:tc>
          <w:tcPr>
            <w:tcW w:w="1267" w:type="pct"/>
            <w:noWrap w:val="0"/>
            <w:vAlign w:val="center"/>
          </w:tcPr>
          <w:p w14:paraId="092C739A">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46°51'50.466"</w:t>
            </w:r>
          </w:p>
        </w:tc>
      </w:tr>
      <w:tr w14:paraId="690A112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895" w:type="pct"/>
            <w:vMerge w:val="continue"/>
            <w:noWrap w:val="0"/>
            <w:vAlign w:val="center"/>
          </w:tcPr>
          <w:p w14:paraId="1E0C59B6">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741" w:type="pct"/>
            <w:vMerge w:val="continue"/>
            <w:noWrap w:val="0"/>
            <w:vAlign w:val="center"/>
          </w:tcPr>
          <w:p w14:paraId="175722E7">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899" w:type="pct"/>
            <w:noWrap w:val="0"/>
            <w:vAlign w:val="center"/>
          </w:tcPr>
          <w:p w14:paraId="732C5558">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Y3</w:t>
            </w:r>
          </w:p>
        </w:tc>
        <w:tc>
          <w:tcPr>
            <w:tcW w:w="1196" w:type="pct"/>
            <w:noWrap w:val="0"/>
            <w:vAlign w:val="center"/>
          </w:tcPr>
          <w:p w14:paraId="0C46EBA5">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127°43'18.181"</w:t>
            </w:r>
          </w:p>
        </w:tc>
        <w:tc>
          <w:tcPr>
            <w:tcW w:w="1267" w:type="pct"/>
            <w:noWrap w:val="0"/>
            <w:vAlign w:val="center"/>
          </w:tcPr>
          <w:p w14:paraId="365EBAEC">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46°51'49.519"</w:t>
            </w:r>
          </w:p>
        </w:tc>
      </w:tr>
      <w:tr w14:paraId="030119C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26" w:hRule="atLeast"/>
        </w:trPr>
        <w:tc>
          <w:tcPr>
            <w:tcW w:w="895" w:type="pct"/>
            <w:vMerge w:val="continue"/>
            <w:noWrap w:val="0"/>
            <w:vAlign w:val="center"/>
          </w:tcPr>
          <w:p w14:paraId="7C2E5126">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741" w:type="pct"/>
            <w:vMerge w:val="continue"/>
            <w:noWrap w:val="0"/>
            <w:vAlign w:val="center"/>
          </w:tcPr>
          <w:p w14:paraId="2A2F68C6">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899" w:type="pct"/>
            <w:noWrap w:val="0"/>
            <w:vAlign w:val="center"/>
          </w:tcPr>
          <w:p w14:paraId="111B6188">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Y4</w:t>
            </w:r>
          </w:p>
        </w:tc>
        <w:tc>
          <w:tcPr>
            <w:tcW w:w="1196" w:type="pct"/>
            <w:noWrap w:val="0"/>
            <w:vAlign w:val="center"/>
          </w:tcPr>
          <w:p w14:paraId="6DF9EFC0">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127°43'16.744"</w:t>
            </w:r>
          </w:p>
        </w:tc>
        <w:tc>
          <w:tcPr>
            <w:tcW w:w="1267" w:type="pct"/>
            <w:noWrap w:val="0"/>
            <w:vAlign w:val="center"/>
          </w:tcPr>
          <w:p w14:paraId="659C6913">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46°51'50.435"</w:t>
            </w:r>
          </w:p>
        </w:tc>
      </w:tr>
      <w:tr w14:paraId="65452E8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895" w:type="pct"/>
            <w:vMerge w:val="continue"/>
            <w:noWrap w:val="0"/>
            <w:vAlign w:val="center"/>
          </w:tcPr>
          <w:p w14:paraId="5B3C59B8">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741" w:type="pct"/>
            <w:vMerge w:val="restart"/>
            <w:noWrap w:val="0"/>
            <w:vAlign w:val="center"/>
          </w:tcPr>
          <w:p w14:paraId="0F134F4E">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2#取水井</w:t>
            </w:r>
          </w:p>
        </w:tc>
        <w:tc>
          <w:tcPr>
            <w:tcW w:w="899" w:type="pct"/>
            <w:noWrap w:val="0"/>
            <w:vAlign w:val="center"/>
          </w:tcPr>
          <w:p w14:paraId="7128C6CC">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Y5</w:t>
            </w:r>
          </w:p>
        </w:tc>
        <w:tc>
          <w:tcPr>
            <w:tcW w:w="1196" w:type="pct"/>
            <w:noWrap w:val="0"/>
            <w:vAlign w:val="center"/>
          </w:tcPr>
          <w:p w14:paraId="37A6CF14">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127°43'09.966"</w:t>
            </w:r>
          </w:p>
        </w:tc>
        <w:tc>
          <w:tcPr>
            <w:tcW w:w="1267" w:type="pct"/>
            <w:noWrap w:val="0"/>
            <w:vAlign w:val="center"/>
          </w:tcPr>
          <w:p w14:paraId="2B1B176A">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46°51'49.451"</w:t>
            </w:r>
          </w:p>
        </w:tc>
      </w:tr>
      <w:tr w14:paraId="054E476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895" w:type="pct"/>
            <w:vMerge w:val="continue"/>
            <w:noWrap w:val="0"/>
            <w:vAlign w:val="center"/>
          </w:tcPr>
          <w:p w14:paraId="32D5F7F2">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741" w:type="pct"/>
            <w:vMerge w:val="continue"/>
            <w:noWrap w:val="0"/>
            <w:vAlign w:val="center"/>
          </w:tcPr>
          <w:p w14:paraId="67F8A131">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899" w:type="pct"/>
            <w:noWrap w:val="0"/>
            <w:vAlign w:val="center"/>
          </w:tcPr>
          <w:p w14:paraId="25BF6902">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Y6</w:t>
            </w:r>
          </w:p>
        </w:tc>
        <w:tc>
          <w:tcPr>
            <w:tcW w:w="1196" w:type="pct"/>
            <w:noWrap w:val="0"/>
            <w:vAlign w:val="center"/>
          </w:tcPr>
          <w:p w14:paraId="403F8BA6">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127°43'11.405"</w:t>
            </w:r>
          </w:p>
        </w:tc>
        <w:tc>
          <w:tcPr>
            <w:tcW w:w="1267" w:type="pct"/>
            <w:noWrap w:val="0"/>
            <w:vAlign w:val="center"/>
          </w:tcPr>
          <w:p w14:paraId="4B6E84F9">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46°51'48.456"</w:t>
            </w:r>
          </w:p>
        </w:tc>
      </w:tr>
      <w:tr w14:paraId="5A08FB9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895" w:type="pct"/>
            <w:vMerge w:val="continue"/>
            <w:noWrap w:val="0"/>
            <w:vAlign w:val="center"/>
          </w:tcPr>
          <w:p w14:paraId="6B901ABF">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741" w:type="pct"/>
            <w:vMerge w:val="continue"/>
            <w:noWrap w:val="0"/>
            <w:vAlign w:val="center"/>
          </w:tcPr>
          <w:p w14:paraId="2B71F306">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899" w:type="pct"/>
            <w:noWrap w:val="0"/>
            <w:vAlign w:val="center"/>
          </w:tcPr>
          <w:p w14:paraId="090FDC79">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Y7</w:t>
            </w:r>
          </w:p>
        </w:tc>
        <w:tc>
          <w:tcPr>
            <w:tcW w:w="1196" w:type="pct"/>
            <w:noWrap w:val="0"/>
            <w:vAlign w:val="center"/>
          </w:tcPr>
          <w:p w14:paraId="05C778B9">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127°43'10.012"</w:t>
            </w:r>
          </w:p>
        </w:tc>
        <w:tc>
          <w:tcPr>
            <w:tcW w:w="1267" w:type="pct"/>
            <w:noWrap w:val="0"/>
            <w:vAlign w:val="center"/>
          </w:tcPr>
          <w:p w14:paraId="5B0A4F8C">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46°51'47.508"</w:t>
            </w:r>
          </w:p>
        </w:tc>
      </w:tr>
      <w:tr w14:paraId="17C41A3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895" w:type="pct"/>
            <w:vMerge w:val="continue"/>
            <w:noWrap w:val="0"/>
            <w:vAlign w:val="center"/>
          </w:tcPr>
          <w:p w14:paraId="1C3C2A39">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741" w:type="pct"/>
            <w:vMerge w:val="continue"/>
            <w:noWrap w:val="0"/>
            <w:vAlign w:val="center"/>
          </w:tcPr>
          <w:p w14:paraId="43706040">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899" w:type="pct"/>
            <w:noWrap w:val="0"/>
            <w:vAlign w:val="center"/>
          </w:tcPr>
          <w:p w14:paraId="152A5ED3">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Y8</w:t>
            </w:r>
          </w:p>
        </w:tc>
        <w:tc>
          <w:tcPr>
            <w:tcW w:w="1196" w:type="pct"/>
            <w:noWrap w:val="0"/>
            <w:vAlign w:val="center"/>
          </w:tcPr>
          <w:p w14:paraId="7A97F89B">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127°43'08.575"</w:t>
            </w:r>
          </w:p>
        </w:tc>
        <w:tc>
          <w:tcPr>
            <w:tcW w:w="1267" w:type="pct"/>
            <w:noWrap w:val="0"/>
            <w:vAlign w:val="center"/>
          </w:tcPr>
          <w:p w14:paraId="19F86BCD">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46°51'48.425"</w:t>
            </w:r>
          </w:p>
        </w:tc>
      </w:tr>
      <w:tr w14:paraId="422D48A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895" w:type="pct"/>
            <w:vMerge w:val="continue"/>
            <w:noWrap w:val="0"/>
            <w:vAlign w:val="center"/>
          </w:tcPr>
          <w:p w14:paraId="3BB3F6C1">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741" w:type="pct"/>
            <w:vMerge w:val="restart"/>
            <w:noWrap w:val="0"/>
            <w:vAlign w:val="center"/>
          </w:tcPr>
          <w:p w14:paraId="3AE576E3">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3#取水井</w:t>
            </w:r>
          </w:p>
        </w:tc>
        <w:tc>
          <w:tcPr>
            <w:tcW w:w="899" w:type="pct"/>
            <w:noWrap w:val="0"/>
            <w:vAlign w:val="center"/>
          </w:tcPr>
          <w:p w14:paraId="1BFB40F1">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Y9</w:t>
            </w:r>
          </w:p>
        </w:tc>
        <w:tc>
          <w:tcPr>
            <w:tcW w:w="1196" w:type="pct"/>
            <w:noWrap w:val="0"/>
            <w:vAlign w:val="center"/>
          </w:tcPr>
          <w:p w14:paraId="670384E2">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127°43'02.695"</w:t>
            </w:r>
          </w:p>
        </w:tc>
        <w:tc>
          <w:tcPr>
            <w:tcW w:w="1267" w:type="pct"/>
            <w:noWrap w:val="0"/>
            <w:vAlign w:val="center"/>
          </w:tcPr>
          <w:p w14:paraId="1169D9E4">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46°51'48.038"</w:t>
            </w:r>
          </w:p>
        </w:tc>
      </w:tr>
      <w:tr w14:paraId="6FA47A3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895" w:type="pct"/>
            <w:vMerge w:val="continue"/>
            <w:noWrap w:val="0"/>
            <w:vAlign w:val="center"/>
          </w:tcPr>
          <w:p w14:paraId="12E46119">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741" w:type="pct"/>
            <w:vMerge w:val="continue"/>
            <w:noWrap w:val="0"/>
            <w:vAlign w:val="center"/>
          </w:tcPr>
          <w:p w14:paraId="1022219C">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899" w:type="pct"/>
            <w:noWrap w:val="0"/>
            <w:vAlign w:val="center"/>
          </w:tcPr>
          <w:p w14:paraId="3DA7C2EC">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Y10</w:t>
            </w:r>
          </w:p>
        </w:tc>
        <w:tc>
          <w:tcPr>
            <w:tcW w:w="1196" w:type="pct"/>
            <w:noWrap w:val="0"/>
            <w:vAlign w:val="center"/>
          </w:tcPr>
          <w:p w14:paraId="10A72296">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127°43'04.134"</w:t>
            </w:r>
          </w:p>
        </w:tc>
        <w:tc>
          <w:tcPr>
            <w:tcW w:w="1267" w:type="pct"/>
            <w:noWrap w:val="0"/>
            <w:vAlign w:val="center"/>
          </w:tcPr>
          <w:p w14:paraId="6D3F6CE8">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46°51'47.043"</w:t>
            </w:r>
          </w:p>
        </w:tc>
      </w:tr>
      <w:tr w14:paraId="445500F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895" w:type="pct"/>
            <w:vMerge w:val="continue"/>
            <w:noWrap w:val="0"/>
            <w:vAlign w:val="center"/>
          </w:tcPr>
          <w:p w14:paraId="735A6364">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741" w:type="pct"/>
            <w:vMerge w:val="continue"/>
            <w:noWrap w:val="0"/>
            <w:vAlign w:val="center"/>
          </w:tcPr>
          <w:p w14:paraId="52A3974A">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899" w:type="pct"/>
            <w:noWrap w:val="0"/>
            <w:vAlign w:val="center"/>
          </w:tcPr>
          <w:p w14:paraId="5C99C86C">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Y11</w:t>
            </w:r>
          </w:p>
        </w:tc>
        <w:tc>
          <w:tcPr>
            <w:tcW w:w="1196" w:type="pct"/>
            <w:noWrap w:val="0"/>
            <w:vAlign w:val="center"/>
          </w:tcPr>
          <w:p w14:paraId="5480B0CE">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127°43'02.741"</w:t>
            </w:r>
          </w:p>
        </w:tc>
        <w:tc>
          <w:tcPr>
            <w:tcW w:w="1267" w:type="pct"/>
            <w:noWrap w:val="0"/>
            <w:vAlign w:val="center"/>
          </w:tcPr>
          <w:p w14:paraId="57A1587F">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46°51'46.095"</w:t>
            </w:r>
          </w:p>
        </w:tc>
      </w:tr>
      <w:tr w14:paraId="3A6748E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895" w:type="pct"/>
            <w:vMerge w:val="continue"/>
            <w:noWrap w:val="0"/>
            <w:vAlign w:val="center"/>
          </w:tcPr>
          <w:p w14:paraId="398DB216">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741" w:type="pct"/>
            <w:vMerge w:val="continue"/>
            <w:noWrap w:val="0"/>
            <w:vAlign w:val="center"/>
          </w:tcPr>
          <w:p w14:paraId="4A4D8747">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899" w:type="pct"/>
            <w:noWrap w:val="0"/>
            <w:vAlign w:val="center"/>
          </w:tcPr>
          <w:p w14:paraId="0A3B55A0">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Y12</w:t>
            </w:r>
          </w:p>
        </w:tc>
        <w:tc>
          <w:tcPr>
            <w:tcW w:w="1196" w:type="pct"/>
            <w:noWrap w:val="0"/>
            <w:vAlign w:val="center"/>
          </w:tcPr>
          <w:p w14:paraId="4F33D1DF">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127°43'01.304"</w:t>
            </w:r>
          </w:p>
        </w:tc>
        <w:tc>
          <w:tcPr>
            <w:tcW w:w="1267" w:type="pct"/>
            <w:noWrap w:val="0"/>
            <w:vAlign w:val="center"/>
          </w:tcPr>
          <w:p w14:paraId="0C5E1174">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46°51'47.012"</w:t>
            </w:r>
          </w:p>
        </w:tc>
      </w:tr>
      <w:tr w14:paraId="7568800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895" w:type="pct"/>
            <w:vMerge w:val="restart"/>
            <w:noWrap w:val="0"/>
            <w:vAlign w:val="center"/>
          </w:tcPr>
          <w:p w14:paraId="5F650C81">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sz w:val="21"/>
                <w:szCs w:val="21"/>
                <w:highlight w:val="none"/>
                <w:lang w:eastAsia="zh-CN"/>
              </w:rPr>
              <w:t>绥化市庆安县平安镇饮用水水源地</w:t>
            </w:r>
          </w:p>
        </w:tc>
        <w:tc>
          <w:tcPr>
            <w:tcW w:w="741" w:type="pct"/>
            <w:vMerge w:val="restart"/>
            <w:noWrap w:val="0"/>
            <w:vAlign w:val="center"/>
          </w:tcPr>
          <w:p w14:paraId="4EF98268">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1#取水井</w:t>
            </w:r>
          </w:p>
        </w:tc>
        <w:tc>
          <w:tcPr>
            <w:tcW w:w="899" w:type="pct"/>
            <w:noWrap w:val="0"/>
            <w:vAlign w:val="center"/>
          </w:tcPr>
          <w:p w14:paraId="05EBAAA5">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Y1</w:t>
            </w:r>
          </w:p>
        </w:tc>
        <w:tc>
          <w:tcPr>
            <w:tcW w:w="1196" w:type="pct"/>
            <w:noWrap w:val="0"/>
            <w:vAlign w:val="center"/>
          </w:tcPr>
          <w:p w14:paraId="0614F5B7">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127°39'08.445"</w:t>
            </w:r>
          </w:p>
        </w:tc>
        <w:tc>
          <w:tcPr>
            <w:tcW w:w="1267" w:type="pct"/>
            <w:noWrap w:val="0"/>
            <w:vAlign w:val="center"/>
          </w:tcPr>
          <w:p w14:paraId="063ADFC2">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46°56'29.103"</w:t>
            </w:r>
          </w:p>
        </w:tc>
      </w:tr>
      <w:tr w14:paraId="377348C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895" w:type="pct"/>
            <w:vMerge w:val="continue"/>
            <w:noWrap w:val="0"/>
            <w:vAlign w:val="center"/>
          </w:tcPr>
          <w:p w14:paraId="05DA8B2D">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741" w:type="pct"/>
            <w:vMerge w:val="continue"/>
            <w:noWrap w:val="0"/>
            <w:vAlign w:val="center"/>
          </w:tcPr>
          <w:p w14:paraId="487FB7A5">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899" w:type="pct"/>
            <w:noWrap w:val="0"/>
            <w:vAlign w:val="center"/>
          </w:tcPr>
          <w:p w14:paraId="001EB400">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Y2</w:t>
            </w:r>
          </w:p>
        </w:tc>
        <w:tc>
          <w:tcPr>
            <w:tcW w:w="1196" w:type="pct"/>
            <w:noWrap w:val="0"/>
            <w:vAlign w:val="center"/>
          </w:tcPr>
          <w:p w14:paraId="01DA2002">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127°39'09.887"</w:t>
            </w:r>
          </w:p>
        </w:tc>
        <w:tc>
          <w:tcPr>
            <w:tcW w:w="1267" w:type="pct"/>
            <w:noWrap w:val="0"/>
            <w:vAlign w:val="center"/>
          </w:tcPr>
          <w:p w14:paraId="26EF007C">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46°56'28.110"</w:t>
            </w:r>
          </w:p>
        </w:tc>
      </w:tr>
      <w:tr w14:paraId="63DE0E7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895" w:type="pct"/>
            <w:vMerge w:val="continue"/>
            <w:noWrap w:val="0"/>
            <w:vAlign w:val="center"/>
          </w:tcPr>
          <w:p w14:paraId="6E3933CC">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741" w:type="pct"/>
            <w:vMerge w:val="continue"/>
            <w:noWrap w:val="0"/>
            <w:vAlign w:val="center"/>
          </w:tcPr>
          <w:p w14:paraId="6E9213EE">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899" w:type="pct"/>
            <w:noWrap w:val="0"/>
            <w:vAlign w:val="center"/>
          </w:tcPr>
          <w:p w14:paraId="35CD5E1F">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Y3</w:t>
            </w:r>
          </w:p>
        </w:tc>
        <w:tc>
          <w:tcPr>
            <w:tcW w:w="1196" w:type="pct"/>
            <w:noWrap w:val="0"/>
            <w:vAlign w:val="center"/>
          </w:tcPr>
          <w:p w14:paraId="3F68415C">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127°39'08.494"</w:t>
            </w:r>
          </w:p>
        </w:tc>
        <w:tc>
          <w:tcPr>
            <w:tcW w:w="1267" w:type="pct"/>
            <w:noWrap w:val="0"/>
            <w:vAlign w:val="center"/>
          </w:tcPr>
          <w:p w14:paraId="2E6B9B86">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46°56'27.161"</w:t>
            </w:r>
          </w:p>
        </w:tc>
      </w:tr>
      <w:tr w14:paraId="2213324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895" w:type="pct"/>
            <w:vMerge w:val="continue"/>
            <w:noWrap w:val="0"/>
            <w:vAlign w:val="center"/>
          </w:tcPr>
          <w:p w14:paraId="2A58A9E1">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741" w:type="pct"/>
            <w:vMerge w:val="continue"/>
            <w:noWrap w:val="0"/>
            <w:vAlign w:val="center"/>
          </w:tcPr>
          <w:p w14:paraId="7A55E3A9">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899" w:type="pct"/>
            <w:noWrap w:val="0"/>
            <w:vAlign w:val="center"/>
          </w:tcPr>
          <w:p w14:paraId="710B61FC">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Y4</w:t>
            </w:r>
          </w:p>
        </w:tc>
        <w:tc>
          <w:tcPr>
            <w:tcW w:w="1196" w:type="pct"/>
            <w:noWrap w:val="0"/>
            <w:vAlign w:val="center"/>
          </w:tcPr>
          <w:p w14:paraId="47574101">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127°39'07.053"</w:t>
            </w:r>
          </w:p>
        </w:tc>
        <w:tc>
          <w:tcPr>
            <w:tcW w:w="1267" w:type="pct"/>
            <w:noWrap w:val="0"/>
            <w:vAlign w:val="center"/>
          </w:tcPr>
          <w:p w14:paraId="581D32C9">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46°56'28.076"</w:t>
            </w:r>
          </w:p>
        </w:tc>
      </w:tr>
      <w:tr w14:paraId="1C5C41B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895" w:type="pct"/>
            <w:vMerge w:val="continue"/>
            <w:noWrap w:val="0"/>
            <w:vAlign w:val="center"/>
          </w:tcPr>
          <w:p w14:paraId="2ACAA8F5">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741" w:type="pct"/>
            <w:vMerge w:val="restart"/>
            <w:noWrap w:val="0"/>
            <w:vAlign w:val="center"/>
          </w:tcPr>
          <w:p w14:paraId="659588BF">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2#取水井</w:t>
            </w:r>
          </w:p>
        </w:tc>
        <w:tc>
          <w:tcPr>
            <w:tcW w:w="899" w:type="pct"/>
            <w:noWrap w:val="0"/>
            <w:vAlign w:val="center"/>
          </w:tcPr>
          <w:p w14:paraId="5A9BE5F4">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Y5</w:t>
            </w:r>
          </w:p>
        </w:tc>
        <w:tc>
          <w:tcPr>
            <w:tcW w:w="1196" w:type="pct"/>
            <w:noWrap w:val="0"/>
            <w:vAlign w:val="center"/>
          </w:tcPr>
          <w:p w14:paraId="61384664">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127°39'06.437"</w:t>
            </w:r>
          </w:p>
        </w:tc>
        <w:tc>
          <w:tcPr>
            <w:tcW w:w="1267" w:type="pct"/>
            <w:noWrap w:val="0"/>
            <w:vAlign w:val="center"/>
          </w:tcPr>
          <w:p w14:paraId="67EAFE98">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46°56'23.259"</w:t>
            </w:r>
          </w:p>
        </w:tc>
      </w:tr>
      <w:tr w14:paraId="79A5212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895" w:type="pct"/>
            <w:vMerge w:val="continue"/>
            <w:noWrap w:val="0"/>
            <w:vAlign w:val="center"/>
          </w:tcPr>
          <w:p w14:paraId="1025B2F0">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741" w:type="pct"/>
            <w:vMerge w:val="continue"/>
            <w:noWrap w:val="0"/>
            <w:vAlign w:val="center"/>
          </w:tcPr>
          <w:p w14:paraId="47A0BF3B">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899" w:type="pct"/>
            <w:noWrap w:val="0"/>
            <w:vAlign w:val="center"/>
          </w:tcPr>
          <w:p w14:paraId="0256C60D">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Y6</w:t>
            </w:r>
          </w:p>
        </w:tc>
        <w:tc>
          <w:tcPr>
            <w:tcW w:w="1196" w:type="pct"/>
            <w:noWrap w:val="0"/>
            <w:vAlign w:val="center"/>
          </w:tcPr>
          <w:p w14:paraId="792C4E10">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127°39'07.879"</w:t>
            </w:r>
          </w:p>
        </w:tc>
        <w:tc>
          <w:tcPr>
            <w:tcW w:w="1267" w:type="pct"/>
            <w:noWrap w:val="0"/>
            <w:vAlign w:val="center"/>
          </w:tcPr>
          <w:p w14:paraId="7D289B4D">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46°56'22.265"</w:t>
            </w:r>
          </w:p>
        </w:tc>
      </w:tr>
      <w:tr w14:paraId="71D5E33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895" w:type="pct"/>
            <w:vMerge w:val="continue"/>
            <w:noWrap w:val="0"/>
            <w:vAlign w:val="center"/>
          </w:tcPr>
          <w:p w14:paraId="2912A28F">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741" w:type="pct"/>
            <w:vMerge w:val="continue"/>
            <w:noWrap w:val="0"/>
            <w:vAlign w:val="center"/>
          </w:tcPr>
          <w:p w14:paraId="5807966A">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899" w:type="pct"/>
            <w:noWrap w:val="0"/>
            <w:vAlign w:val="center"/>
          </w:tcPr>
          <w:p w14:paraId="151C9E06">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Y7</w:t>
            </w:r>
          </w:p>
        </w:tc>
        <w:tc>
          <w:tcPr>
            <w:tcW w:w="1196" w:type="pct"/>
            <w:noWrap w:val="0"/>
            <w:vAlign w:val="center"/>
          </w:tcPr>
          <w:p w14:paraId="59196182">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127°39'06.485"</w:t>
            </w:r>
          </w:p>
        </w:tc>
        <w:tc>
          <w:tcPr>
            <w:tcW w:w="1267" w:type="pct"/>
            <w:noWrap w:val="0"/>
            <w:vAlign w:val="center"/>
          </w:tcPr>
          <w:p w14:paraId="030A3E5D">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46°56'21.317"</w:t>
            </w:r>
          </w:p>
        </w:tc>
      </w:tr>
      <w:tr w14:paraId="7589CA0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895" w:type="pct"/>
            <w:vMerge w:val="continue"/>
            <w:noWrap w:val="0"/>
            <w:vAlign w:val="center"/>
          </w:tcPr>
          <w:p w14:paraId="2DF7D0D2">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741" w:type="pct"/>
            <w:vMerge w:val="continue"/>
            <w:noWrap w:val="0"/>
            <w:vAlign w:val="center"/>
          </w:tcPr>
          <w:p w14:paraId="36EFBF1E">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899" w:type="pct"/>
            <w:noWrap w:val="0"/>
            <w:vAlign w:val="center"/>
          </w:tcPr>
          <w:p w14:paraId="79A10EA4">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Y8</w:t>
            </w:r>
          </w:p>
        </w:tc>
        <w:tc>
          <w:tcPr>
            <w:tcW w:w="1196" w:type="pct"/>
            <w:noWrap w:val="0"/>
            <w:vAlign w:val="center"/>
          </w:tcPr>
          <w:p w14:paraId="62438753">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127°39'05.045"</w:t>
            </w:r>
          </w:p>
        </w:tc>
        <w:tc>
          <w:tcPr>
            <w:tcW w:w="1267" w:type="pct"/>
            <w:noWrap w:val="0"/>
            <w:vAlign w:val="center"/>
          </w:tcPr>
          <w:p w14:paraId="7E333F4F">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46°56'22.232"</w:t>
            </w:r>
          </w:p>
        </w:tc>
      </w:tr>
    </w:tbl>
    <w:p w14:paraId="4B1588C3">
      <w:pPr>
        <w:pStyle w:val="4"/>
        <w:rPr>
          <w:rFonts w:hint="eastAsia"/>
          <w:color w:val="auto"/>
          <w:highlight w:val="none"/>
          <w:lang w:val="en-US" w:eastAsia="zh-CN"/>
        </w:rPr>
      </w:pPr>
      <w:r>
        <w:rPr>
          <w:rFonts w:hint="eastAsia"/>
          <w:color w:val="auto"/>
          <w:highlight w:val="none"/>
          <w:lang w:val="en-US" w:eastAsia="zh-CN"/>
        </w:rPr>
        <w:t>3</w:t>
      </w:r>
      <w:r>
        <w:rPr>
          <w:rFonts w:hint="default"/>
          <w:color w:val="auto"/>
          <w:highlight w:val="none"/>
          <w:lang w:val="en-US" w:eastAsia="zh-CN"/>
        </w:rPr>
        <w:t>.</w:t>
      </w:r>
      <w:r>
        <w:rPr>
          <w:rFonts w:hint="eastAsia"/>
          <w:color w:val="auto"/>
          <w:highlight w:val="none"/>
          <w:lang w:val="en-US" w:eastAsia="zh-CN"/>
        </w:rPr>
        <w:t>3.2</w:t>
      </w:r>
      <w:r>
        <w:rPr>
          <w:rFonts w:hint="default"/>
          <w:color w:val="auto"/>
          <w:highlight w:val="none"/>
          <w:lang w:val="en-US" w:eastAsia="zh-CN"/>
        </w:rPr>
        <w:t xml:space="preserve"> </w:t>
      </w:r>
      <w:r>
        <w:rPr>
          <w:rFonts w:hint="eastAsia"/>
          <w:color w:val="auto"/>
          <w:highlight w:val="none"/>
          <w:lang w:val="en-US" w:eastAsia="zh-CN"/>
        </w:rPr>
        <w:t>村屯级水源地</w:t>
      </w:r>
    </w:p>
    <w:p w14:paraId="430159B9">
      <w:pPr>
        <w:spacing w:line="360" w:lineRule="auto"/>
        <w:ind w:firstLine="472" w:firstLineChars="200"/>
        <w:rPr>
          <w:rFonts w:hint="eastAsia" w:cs="Times New Roman"/>
          <w:color w:val="auto"/>
          <w:sz w:val="24"/>
          <w:szCs w:val="24"/>
          <w:highlight w:val="none"/>
          <w:lang w:val="en-US" w:eastAsia="zh-CN"/>
        </w:rPr>
      </w:pPr>
      <w:r>
        <w:rPr>
          <w:rFonts w:hint="eastAsia"/>
          <w:color w:val="auto"/>
          <w:kern w:val="0"/>
          <w:sz w:val="24"/>
          <w:szCs w:val="24"/>
          <w:highlight w:val="none"/>
          <w:lang w:val="en-US" w:eastAsia="zh-CN"/>
        </w:rPr>
        <w:t>村屯级1</w:t>
      </w:r>
      <w:r>
        <w:rPr>
          <w:rFonts w:hint="eastAsia"/>
          <w:color w:val="auto"/>
          <w:kern w:val="0"/>
          <w:sz w:val="24"/>
          <w:szCs w:val="24"/>
          <w:highlight w:val="none"/>
          <w:lang w:eastAsia="zh-CN"/>
        </w:rPr>
        <w:t>个</w:t>
      </w:r>
      <w:r>
        <w:rPr>
          <w:rFonts w:hint="eastAsia"/>
          <w:color w:val="auto"/>
          <w:kern w:val="0"/>
          <w:sz w:val="24"/>
          <w:szCs w:val="24"/>
          <w:highlight w:val="none"/>
        </w:rPr>
        <w:t>饮用水水源保护区的拐点坐标见表3-</w:t>
      </w:r>
      <w:r>
        <w:rPr>
          <w:rFonts w:hint="eastAsia"/>
          <w:color w:val="auto"/>
          <w:kern w:val="0"/>
          <w:sz w:val="24"/>
          <w:szCs w:val="24"/>
          <w:highlight w:val="none"/>
          <w:lang w:val="en-US" w:eastAsia="zh-CN"/>
        </w:rPr>
        <w:t>4</w:t>
      </w:r>
      <w:r>
        <w:rPr>
          <w:rFonts w:hint="eastAsia"/>
          <w:color w:val="auto"/>
          <w:kern w:val="0"/>
          <w:sz w:val="24"/>
          <w:szCs w:val="24"/>
          <w:highlight w:val="none"/>
        </w:rPr>
        <w:t>。</w:t>
      </w:r>
    </w:p>
    <w:p w14:paraId="2D7BE5CD">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ascii="Times New Roman" w:hAnsi="Times New Roman" w:eastAsia="黑体" w:cs="Times New Roman"/>
          <w:color w:val="auto"/>
          <w:sz w:val="24"/>
          <w:szCs w:val="24"/>
          <w:highlight w:val="none"/>
        </w:rPr>
      </w:pPr>
      <w:bookmarkStart w:id="86" w:name="_Toc21060"/>
      <w:r>
        <w:rPr>
          <w:rFonts w:ascii="Times New Roman" w:hAnsi="Times New Roman" w:eastAsia="黑体" w:cs="Times New Roman"/>
          <w:color w:val="auto"/>
          <w:sz w:val="24"/>
          <w:szCs w:val="24"/>
          <w:highlight w:val="none"/>
        </w:rPr>
        <w:t>表3-</w:t>
      </w:r>
      <w:r>
        <w:rPr>
          <w:rFonts w:hint="eastAsia" w:eastAsia="黑体" w:cs="Times New Roman"/>
          <w:color w:val="auto"/>
          <w:sz w:val="24"/>
          <w:szCs w:val="24"/>
          <w:highlight w:val="none"/>
          <w:lang w:val="en-US" w:eastAsia="zh-CN"/>
        </w:rPr>
        <w:t>4</w:t>
      </w:r>
      <w:r>
        <w:rPr>
          <w:rFonts w:ascii="Times New Roman" w:hAnsi="Times New Roman" w:eastAsia="黑体" w:cs="Times New Roman"/>
          <w:color w:val="auto"/>
          <w:sz w:val="24"/>
          <w:szCs w:val="24"/>
          <w:highlight w:val="none"/>
        </w:rPr>
        <w:t xml:space="preserve"> </w:t>
      </w:r>
      <w:r>
        <w:rPr>
          <w:rFonts w:hint="eastAsia" w:eastAsia="黑体" w:cs="Times New Roman"/>
          <w:color w:val="auto"/>
          <w:sz w:val="24"/>
          <w:szCs w:val="24"/>
          <w:highlight w:val="none"/>
          <w:lang w:eastAsia="zh-CN"/>
        </w:rPr>
        <w:t>村屯级</w:t>
      </w:r>
      <w:r>
        <w:rPr>
          <w:rFonts w:ascii="Times New Roman" w:hAnsi="Times New Roman" w:eastAsia="黑体" w:cs="Times New Roman"/>
          <w:color w:val="auto"/>
          <w:sz w:val="24"/>
          <w:szCs w:val="24"/>
          <w:highlight w:val="none"/>
        </w:rPr>
        <w:t>水源保护区拐点坐标</w:t>
      </w:r>
    </w:p>
    <w:tbl>
      <w:tblPr>
        <w:tblStyle w:val="21"/>
        <w:tblW w:w="4996"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1641"/>
        <w:gridCol w:w="1359"/>
        <w:gridCol w:w="1649"/>
        <w:gridCol w:w="2313"/>
        <w:gridCol w:w="2204"/>
      </w:tblGrid>
      <w:tr w14:paraId="3F2B7CC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1641" w:type="dxa"/>
            <w:vMerge w:val="restart"/>
            <w:noWrap w:val="0"/>
            <w:vAlign w:val="center"/>
          </w:tcPr>
          <w:p w14:paraId="44B9FB1F">
            <w:pPr>
              <w:widowControl/>
              <w:snapToGrid w:val="0"/>
              <w:spacing w:line="240" w:lineRule="auto"/>
              <w:ind w:firstLine="0" w:firstLine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kern w:val="0"/>
                <w:sz w:val="21"/>
                <w:szCs w:val="21"/>
                <w:highlight w:val="none"/>
                <w:lang w:val="en-US" w:eastAsia="zh-CN"/>
              </w:rPr>
              <w:t>水源地名称</w:t>
            </w:r>
          </w:p>
        </w:tc>
        <w:tc>
          <w:tcPr>
            <w:tcW w:w="1359" w:type="dxa"/>
            <w:vMerge w:val="restart"/>
            <w:noWrap w:val="0"/>
            <w:vAlign w:val="center"/>
          </w:tcPr>
          <w:p w14:paraId="50534C8F">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水井名称</w:t>
            </w:r>
          </w:p>
        </w:tc>
        <w:tc>
          <w:tcPr>
            <w:tcW w:w="1649" w:type="dxa"/>
            <w:vMerge w:val="restart"/>
            <w:noWrap w:val="0"/>
            <w:vAlign w:val="center"/>
          </w:tcPr>
          <w:p w14:paraId="42195C2B">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一级保护区</w:t>
            </w:r>
            <w:r>
              <w:rPr>
                <w:rFonts w:hint="default" w:ascii="Times New Roman" w:hAnsi="Times New Roman" w:eastAsia="宋体" w:cs="Times New Roman"/>
                <w:color w:val="auto"/>
                <w:kern w:val="0"/>
                <w:sz w:val="21"/>
                <w:szCs w:val="21"/>
                <w:highlight w:val="none"/>
                <w:lang w:val="en-US" w:eastAsia="en-US"/>
              </w:rPr>
              <w:t>拐点</w:t>
            </w:r>
            <w:r>
              <w:rPr>
                <w:rFonts w:hint="default" w:ascii="Times New Roman" w:hAnsi="Times New Roman" w:eastAsia="宋体" w:cs="Times New Roman"/>
                <w:color w:val="auto"/>
                <w:kern w:val="0"/>
                <w:sz w:val="21"/>
                <w:szCs w:val="21"/>
                <w:highlight w:val="none"/>
                <w:lang w:val="en-US" w:eastAsia="zh-CN"/>
              </w:rPr>
              <w:t>序号</w:t>
            </w:r>
          </w:p>
        </w:tc>
        <w:tc>
          <w:tcPr>
            <w:tcW w:w="4517" w:type="dxa"/>
            <w:gridSpan w:val="2"/>
            <w:noWrap w:val="0"/>
            <w:vAlign w:val="center"/>
          </w:tcPr>
          <w:p w14:paraId="0042E138">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一级保护区拐点坐标（2000坐标系）</w:t>
            </w:r>
          </w:p>
        </w:tc>
      </w:tr>
      <w:tr w14:paraId="44474DA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1641" w:type="dxa"/>
            <w:vMerge w:val="continue"/>
            <w:noWrap w:val="0"/>
            <w:vAlign w:val="center"/>
          </w:tcPr>
          <w:p w14:paraId="516DE2EF">
            <w:pPr>
              <w:widowControl/>
              <w:snapToGrid w:val="0"/>
              <w:spacing w:line="240" w:lineRule="auto"/>
              <w:ind w:firstLine="0" w:firstLineChars="0"/>
              <w:jc w:val="center"/>
              <w:rPr>
                <w:rFonts w:hint="default" w:ascii="Times New Roman" w:hAnsi="Times New Roman" w:eastAsia="宋体" w:cs="Times New Roman"/>
                <w:color w:val="auto"/>
                <w:sz w:val="21"/>
                <w:szCs w:val="21"/>
                <w:highlight w:val="none"/>
                <w:lang w:eastAsia="zh-CN"/>
              </w:rPr>
            </w:pPr>
          </w:p>
        </w:tc>
        <w:tc>
          <w:tcPr>
            <w:tcW w:w="1359" w:type="dxa"/>
            <w:vMerge w:val="continue"/>
            <w:noWrap w:val="0"/>
            <w:vAlign w:val="center"/>
          </w:tcPr>
          <w:p w14:paraId="7D69C5B9">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1649" w:type="dxa"/>
            <w:vMerge w:val="continue"/>
            <w:noWrap w:val="0"/>
            <w:vAlign w:val="center"/>
          </w:tcPr>
          <w:p w14:paraId="2DCBA2AB">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2313" w:type="dxa"/>
            <w:noWrap w:val="0"/>
            <w:vAlign w:val="center"/>
          </w:tcPr>
          <w:p w14:paraId="3A94C0AE">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东经E</w:t>
            </w:r>
          </w:p>
        </w:tc>
        <w:tc>
          <w:tcPr>
            <w:tcW w:w="2204" w:type="dxa"/>
            <w:noWrap w:val="0"/>
            <w:vAlign w:val="center"/>
          </w:tcPr>
          <w:p w14:paraId="5687017C">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北纬N</w:t>
            </w:r>
          </w:p>
        </w:tc>
      </w:tr>
      <w:tr w14:paraId="736D047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895" w:type="pct"/>
            <w:vMerge w:val="restart"/>
            <w:noWrap w:val="0"/>
            <w:vAlign w:val="center"/>
          </w:tcPr>
          <w:p w14:paraId="5D614AAE">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sz w:val="21"/>
                <w:szCs w:val="21"/>
                <w:highlight w:val="none"/>
                <w:lang w:eastAsia="zh-CN"/>
              </w:rPr>
              <w:t>绥化市庆安县柳河镇新强村饮用水水源地</w:t>
            </w:r>
          </w:p>
        </w:tc>
        <w:tc>
          <w:tcPr>
            <w:tcW w:w="741" w:type="pct"/>
            <w:vMerge w:val="restart"/>
            <w:noWrap w:val="0"/>
            <w:vAlign w:val="center"/>
          </w:tcPr>
          <w:p w14:paraId="4F4244E1">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1#取水井</w:t>
            </w:r>
          </w:p>
        </w:tc>
        <w:tc>
          <w:tcPr>
            <w:tcW w:w="899" w:type="pct"/>
            <w:noWrap w:val="0"/>
            <w:vAlign w:val="center"/>
          </w:tcPr>
          <w:p w14:paraId="29014552">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Y1</w:t>
            </w:r>
          </w:p>
        </w:tc>
        <w:tc>
          <w:tcPr>
            <w:tcW w:w="1261" w:type="pct"/>
            <w:noWrap w:val="0"/>
            <w:vAlign w:val="center"/>
          </w:tcPr>
          <w:p w14:paraId="01F485CA">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127°36'20.001"</w:t>
            </w:r>
          </w:p>
        </w:tc>
        <w:tc>
          <w:tcPr>
            <w:tcW w:w="1202" w:type="pct"/>
            <w:noWrap w:val="0"/>
            <w:vAlign w:val="center"/>
          </w:tcPr>
          <w:p w14:paraId="5B4E2066">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46°44'00.391"</w:t>
            </w:r>
          </w:p>
        </w:tc>
      </w:tr>
      <w:tr w14:paraId="75A0D66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895" w:type="pct"/>
            <w:vMerge w:val="continue"/>
            <w:noWrap w:val="0"/>
            <w:vAlign w:val="center"/>
          </w:tcPr>
          <w:p w14:paraId="6A942DAB">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741" w:type="pct"/>
            <w:vMerge w:val="continue"/>
            <w:noWrap w:val="0"/>
            <w:vAlign w:val="center"/>
          </w:tcPr>
          <w:p w14:paraId="6AE90F3F">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899" w:type="pct"/>
            <w:noWrap w:val="0"/>
            <w:vAlign w:val="center"/>
          </w:tcPr>
          <w:p w14:paraId="2BDE6B7F">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Y2</w:t>
            </w:r>
          </w:p>
        </w:tc>
        <w:tc>
          <w:tcPr>
            <w:tcW w:w="1261" w:type="pct"/>
            <w:noWrap w:val="0"/>
            <w:vAlign w:val="center"/>
          </w:tcPr>
          <w:p w14:paraId="1AB985AD">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127°36'21.439"</w:t>
            </w:r>
          </w:p>
        </w:tc>
        <w:tc>
          <w:tcPr>
            <w:tcW w:w="1202" w:type="pct"/>
            <w:noWrap w:val="0"/>
            <w:vAlign w:val="center"/>
          </w:tcPr>
          <w:p w14:paraId="6EC5BA35">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46°43'59.398"</w:t>
            </w:r>
          </w:p>
        </w:tc>
      </w:tr>
      <w:tr w14:paraId="3E03824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895" w:type="pct"/>
            <w:vMerge w:val="continue"/>
            <w:noWrap w:val="0"/>
            <w:vAlign w:val="center"/>
          </w:tcPr>
          <w:p w14:paraId="0ECEAD24">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741" w:type="pct"/>
            <w:vMerge w:val="continue"/>
            <w:noWrap w:val="0"/>
            <w:vAlign w:val="center"/>
          </w:tcPr>
          <w:p w14:paraId="7E94DD5F">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899" w:type="pct"/>
            <w:noWrap w:val="0"/>
            <w:vAlign w:val="center"/>
          </w:tcPr>
          <w:p w14:paraId="6BAF85F3">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Y3</w:t>
            </w:r>
          </w:p>
        </w:tc>
        <w:tc>
          <w:tcPr>
            <w:tcW w:w="1261" w:type="pct"/>
            <w:noWrap w:val="0"/>
            <w:vAlign w:val="center"/>
          </w:tcPr>
          <w:p w14:paraId="61003C2D">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127°36'20.051"</w:t>
            </w:r>
          </w:p>
        </w:tc>
        <w:tc>
          <w:tcPr>
            <w:tcW w:w="1202" w:type="pct"/>
            <w:noWrap w:val="0"/>
            <w:vAlign w:val="center"/>
          </w:tcPr>
          <w:p w14:paraId="5F23B25C">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46°43'58.448"</w:t>
            </w:r>
          </w:p>
        </w:tc>
      </w:tr>
      <w:tr w14:paraId="5B85425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895" w:type="pct"/>
            <w:vMerge w:val="continue"/>
            <w:noWrap w:val="0"/>
            <w:vAlign w:val="center"/>
          </w:tcPr>
          <w:p w14:paraId="765A4C15">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741" w:type="pct"/>
            <w:vMerge w:val="continue"/>
            <w:noWrap w:val="0"/>
            <w:vAlign w:val="center"/>
          </w:tcPr>
          <w:p w14:paraId="03356B32">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899" w:type="pct"/>
            <w:noWrap w:val="0"/>
            <w:vAlign w:val="center"/>
          </w:tcPr>
          <w:p w14:paraId="72FC3ACA">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Y4</w:t>
            </w:r>
          </w:p>
        </w:tc>
        <w:tc>
          <w:tcPr>
            <w:tcW w:w="1261" w:type="pct"/>
            <w:noWrap w:val="0"/>
            <w:vAlign w:val="center"/>
          </w:tcPr>
          <w:p w14:paraId="6E730312">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127°36'18.616"</w:t>
            </w:r>
          </w:p>
        </w:tc>
        <w:tc>
          <w:tcPr>
            <w:tcW w:w="1202" w:type="pct"/>
            <w:noWrap w:val="0"/>
            <w:vAlign w:val="center"/>
          </w:tcPr>
          <w:p w14:paraId="374F4CFF">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46°43'59.363"</w:t>
            </w:r>
          </w:p>
        </w:tc>
      </w:tr>
      <w:tr w14:paraId="29F6635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895" w:type="pct"/>
            <w:vMerge w:val="continue"/>
            <w:noWrap w:val="0"/>
            <w:vAlign w:val="center"/>
          </w:tcPr>
          <w:p w14:paraId="0A4F27EF">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741" w:type="pct"/>
            <w:vMerge w:val="restart"/>
            <w:noWrap w:val="0"/>
            <w:vAlign w:val="center"/>
          </w:tcPr>
          <w:p w14:paraId="532B43A0">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2#取水井</w:t>
            </w:r>
          </w:p>
        </w:tc>
        <w:tc>
          <w:tcPr>
            <w:tcW w:w="899" w:type="pct"/>
            <w:noWrap w:val="0"/>
            <w:vAlign w:val="center"/>
          </w:tcPr>
          <w:p w14:paraId="7697690C">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Y5</w:t>
            </w:r>
          </w:p>
        </w:tc>
        <w:tc>
          <w:tcPr>
            <w:tcW w:w="1261" w:type="pct"/>
            <w:noWrap w:val="0"/>
            <w:vAlign w:val="center"/>
          </w:tcPr>
          <w:p w14:paraId="42E1184C">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127°35'41.623"</w:t>
            </w:r>
          </w:p>
        </w:tc>
        <w:tc>
          <w:tcPr>
            <w:tcW w:w="1202" w:type="pct"/>
            <w:noWrap w:val="0"/>
            <w:vAlign w:val="center"/>
          </w:tcPr>
          <w:p w14:paraId="7FBA1122">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46°43'52.680"</w:t>
            </w:r>
          </w:p>
        </w:tc>
      </w:tr>
      <w:tr w14:paraId="34118C1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895" w:type="pct"/>
            <w:vMerge w:val="continue"/>
            <w:noWrap w:val="0"/>
            <w:vAlign w:val="center"/>
          </w:tcPr>
          <w:p w14:paraId="0B04E571">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741" w:type="pct"/>
            <w:vMerge w:val="continue"/>
            <w:noWrap w:val="0"/>
            <w:vAlign w:val="center"/>
          </w:tcPr>
          <w:p w14:paraId="794CA9F0">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899" w:type="pct"/>
            <w:noWrap w:val="0"/>
            <w:vAlign w:val="center"/>
          </w:tcPr>
          <w:p w14:paraId="379C26CB">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Y6</w:t>
            </w:r>
          </w:p>
        </w:tc>
        <w:tc>
          <w:tcPr>
            <w:tcW w:w="1261" w:type="pct"/>
            <w:noWrap w:val="0"/>
            <w:vAlign w:val="center"/>
          </w:tcPr>
          <w:p w14:paraId="102A0B6A">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127°35'43.061"</w:t>
            </w:r>
          </w:p>
        </w:tc>
        <w:tc>
          <w:tcPr>
            <w:tcW w:w="1202" w:type="pct"/>
            <w:noWrap w:val="0"/>
            <w:vAlign w:val="center"/>
          </w:tcPr>
          <w:p w14:paraId="4ACF9EBB">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46°43'51.687"</w:t>
            </w:r>
          </w:p>
        </w:tc>
      </w:tr>
      <w:tr w14:paraId="7295769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895" w:type="pct"/>
            <w:vMerge w:val="continue"/>
            <w:noWrap w:val="0"/>
            <w:vAlign w:val="center"/>
          </w:tcPr>
          <w:p w14:paraId="55D47AFC">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741" w:type="pct"/>
            <w:vMerge w:val="continue"/>
            <w:noWrap w:val="0"/>
            <w:vAlign w:val="center"/>
          </w:tcPr>
          <w:p w14:paraId="10B94E03">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899" w:type="pct"/>
            <w:noWrap w:val="0"/>
            <w:vAlign w:val="center"/>
          </w:tcPr>
          <w:p w14:paraId="1709EDD1">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Y7</w:t>
            </w:r>
          </w:p>
        </w:tc>
        <w:tc>
          <w:tcPr>
            <w:tcW w:w="1261" w:type="pct"/>
            <w:noWrap w:val="0"/>
            <w:vAlign w:val="center"/>
          </w:tcPr>
          <w:p w14:paraId="5BB41A4D">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127°35'41.674"</w:t>
            </w:r>
          </w:p>
        </w:tc>
        <w:tc>
          <w:tcPr>
            <w:tcW w:w="1202" w:type="pct"/>
            <w:noWrap w:val="0"/>
            <w:vAlign w:val="center"/>
          </w:tcPr>
          <w:p w14:paraId="32D338E9">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46°43'50.738"</w:t>
            </w:r>
          </w:p>
        </w:tc>
      </w:tr>
      <w:tr w14:paraId="55CC330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895" w:type="pct"/>
            <w:vMerge w:val="continue"/>
            <w:noWrap w:val="0"/>
            <w:vAlign w:val="center"/>
          </w:tcPr>
          <w:p w14:paraId="6F695AB8">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741" w:type="pct"/>
            <w:vMerge w:val="continue"/>
            <w:noWrap w:val="0"/>
            <w:vAlign w:val="center"/>
          </w:tcPr>
          <w:p w14:paraId="5291BA4F">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899" w:type="pct"/>
            <w:noWrap w:val="0"/>
            <w:vAlign w:val="center"/>
          </w:tcPr>
          <w:p w14:paraId="378397E0">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Y8</w:t>
            </w:r>
          </w:p>
        </w:tc>
        <w:tc>
          <w:tcPr>
            <w:tcW w:w="1261" w:type="pct"/>
            <w:noWrap w:val="0"/>
            <w:vAlign w:val="center"/>
          </w:tcPr>
          <w:p w14:paraId="79ADEE64">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127°35'40.238"</w:t>
            </w:r>
          </w:p>
        </w:tc>
        <w:tc>
          <w:tcPr>
            <w:tcW w:w="1202" w:type="pct"/>
            <w:noWrap w:val="0"/>
            <w:vAlign w:val="center"/>
          </w:tcPr>
          <w:p w14:paraId="45C6E604">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46°43'51.653"</w:t>
            </w:r>
          </w:p>
        </w:tc>
      </w:tr>
      <w:tr w14:paraId="7C9C441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895" w:type="pct"/>
            <w:vMerge w:val="continue"/>
            <w:noWrap w:val="0"/>
            <w:vAlign w:val="center"/>
          </w:tcPr>
          <w:p w14:paraId="43CBBC22">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741" w:type="pct"/>
            <w:vMerge w:val="restart"/>
            <w:noWrap w:val="0"/>
            <w:vAlign w:val="center"/>
          </w:tcPr>
          <w:p w14:paraId="13B90A09">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3#取水井</w:t>
            </w:r>
          </w:p>
        </w:tc>
        <w:tc>
          <w:tcPr>
            <w:tcW w:w="899" w:type="pct"/>
            <w:noWrap w:val="0"/>
            <w:vAlign w:val="center"/>
          </w:tcPr>
          <w:p w14:paraId="1CF54FFD">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Y9</w:t>
            </w:r>
          </w:p>
        </w:tc>
        <w:tc>
          <w:tcPr>
            <w:tcW w:w="1261" w:type="pct"/>
            <w:noWrap w:val="0"/>
            <w:vAlign w:val="center"/>
          </w:tcPr>
          <w:p w14:paraId="0CFD13F8">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127°35'41.073"</w:t>
            </w:r>
          </w:p>
        </w:tc>
        <w:tc>
          <w:tcPr>
            <w:tcW w:w="1202" w:type="pct"/>
            <w:noWrap w:val="0"/>
            <w:vAlign w:val="center"/>
          </w:tcPr>
          <w:p w14:paraId="6B8D4C31">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46°43'49.044"</w:t>
            </w:r>
          </w:p>
        </w:tc>
      </w:tr>
      <w:tr w14:paraId="7E33C59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895" w:type="pct"/>
            <w:vMerge w:val="continue"/>
            <w:noWrap w:val="0"/>
            <w:vAlign w:val="center"/>
          </w:tcPr>
          <w:p w14:paraId="41067809">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741" w:type="pct"/>
            <w:vMerge w:val="continue"/>
            <w:noWrap w:val="0"/>
            <w:vAlign w:val="center"/>
          </w:tcPr>
          <w:p w14:paraId="4229AF4C">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899" w:type="pct"/>
            <w:noWrap w:val="0"/>
            <w:vAlign w:val="center"/>
          </w:tcPr>
          <w:p w14:paraId="5D77B01D">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Y10</w:t>
            </w:r>
          </w:p>
        </w:tc>
        <w:tc>
          <w:tcPr>
            <w:tcW w:w="1261" w:type="pct"/>
            <w:noWrap w:val="0"/>
            <w:vAlign w:val="center"/>
          </w:tcPr>
          <w:p w14:paraId="5F844AA3">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127°35'42.510"</w:t>
            </w:r>
          </w:p>
        </w:tc>
        <w:tc>
          <w:tcPr>
            <w:tcW w:w="1202" w:type="pct"/>
            <w:noWrap w:val="0"/>
            <w:vAlign w:val="center"/>
          </w:tcPr>
          <w:p w14:paraId="0C8A9037">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46°43'48.051"</w:t>
            </w:r>
          </w:p>
        </w:tc>
      </w:tr>
      <w:tr w14:paraId="1172054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895" w:type="pct"/>
            <w:vMerge w:val="continue"/>
            <w:noWrap w:val="0"/>
            <w:vAlign w:val="center"/>
          </w:tcPr>
          <w:p w14:paraId="193F675A">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741" w:type="pct"/>
            <w:vMerge w:val="continue"/>
            <w:noWrap w:val="0"/>
            <w:vAlign w:val="center"/>
          </w:tcPr>
          <w:p w14:paraId="074B776D">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899" w:type="pct"/>
            <w:noWrap w:val="0"/>
            <w:vAlign w:val="center"/>
          </w:tcPr>
          <w:p w14:paraId="03B6F955">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Y11</w:t>
            </w:r>
          </w:p>
        </w:tc>
        <w:tc>
          <w:tcPr>
            <w:tcW w:w="1261" w:type="pct"/>
            <w:noWrap w:val="0"/>
            <w:vAlign w:val="center"/>
          </w:tcPr>
          <w:p w14:paraId="5CA8606B">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127°35'41.123"</w:t>
            </w:r>
          </w:p>
        </w:tc>
        <w:tc>
          <w:tcPr>
            <w:tcW w:w="1202" w:type="pct"/>
            <w:noWrap w:val="0"/>
            <w:vAlign w:val="center"/>
          </w:tcPr>
          <w:p w14:paraId="0E8ABB36">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46°43'47.101"</w:t>
            </w:r>
          </w:p>
        </w:tc>
      </w:tr>
      <w:tr w14:paraId="1A5BC1F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895" w:type="pct"/>
            <w:vMerge w:val="continue"/>
            <w:noWrap w:val="0"/>
            <w:vAlign w:val="center"/>
          </w:tcPr>
          <w:p w14:paraId="3BF5B159">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741" w:type="pct"/>
            <w:vMerge w:val="continue"/>
            <w:noWrap w:val="0"/>
            <w:vAlign w:val="center"/>
          </w:tcPr>
          <w:p w14:paraId="7BB15D6B">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899" w:type="pct"/>
            <w:noWrap w:val="0"/>
            <w:vAlign w:val="center"/>
          </w:tcPr>
          <w:p w14:paraId="37F748EA">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Y12</w:t>
            </w:r>
          </w:p>
        </w:tc>
        <w:tc>
          <w:tcPr>
            <w:tcW w:w="1261" w:type="pct"/>
            <w:noWrap w:val="0"/>
            <w:vAlign w:val="center"/>
          </w:tcPr>
          <w:p w14:paraId="04F22A2B">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127°35'39.688"</w:t>
            </w:r>
          </w:p>
        </w:tc>
        <w:tc>
          <w:tcPr>
            <w:tcW w:w="1202" w:type="pct"/>
            <w:noWrap w:val="0"/>
            <w:vAlign w:val="center"/>
          </w:tcPr>
          <w:p w14:paraId="473ECDC1">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46°43'48.016"</w:t>
            </w:r>
          </w:p>
        </w:tc>
      </w:tr>
      <w:tr w14:paraId="612DE73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895" w:type="pct"/>
            <w:vMerge w:val="continue"/>
            <w:noWrap w:val="0"/>
            <w:vAlign w:val="center"/>
          </w:tcPr>
          <w:p w14:paraId="63126F9B">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741" w:type="pct"/>
            <w:vMerge w:val="restart"/>
            <w:noWrap w:val="0"/>
            <w:vAlign w:val="center"/>
          </w:tcPr>
          <w:p w14:paraId="21BD6A08">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4#取水井</w:t>
            </w:r>
          </w:p>
        </w:tc>
        <w:tc>
          <w:tcPr>
            <w:tcW w:w="899" w:type="pct"/>
            <w:noWrap w:val="0"/>
            <w:vAlign w:val="center"/>
          </w:tcPr>
          <w:p w14:paraId="4EBDB172">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Y13</w:t>
            </w:r>
          </w:p>
        </w:tc>
        <w:tc>
          <w:tcPr>
            <w:tcW w:w="1261" w:type="pct"/>
            <w:noWrap w:val="0"/>
            <w:vAlign w:val="center"/>
          </w:tcPr>
          <w:p w14:paraId="77D347EE">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127°35'38.159"</w:t>
            </w:r>
          </w:p>
        </w:tc>
        <w:tc>
          <w:tcPr>
            <w:tcW w:w="1202" w:type="pct"/>
            <w:noWrap w:val="0"/>
            <w:vAlign w:val="center"/>
          </w:tcPr>
          <w:p w14:paraId="7E14F9E2">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46°43'50.182"</w:t>
            </w:r>
          </w:p>
        </w:tc>
      </w:tr>
      <w:tr w14:paraId="5A24B61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895" w:type="pct"/>
            <w:vMerge w:val="continue"/>
            <w:noWrap w:val="0"/>
            <w:vAlign w:val="center"/>
          </w:tcPr>
          <w:p w14:paraId="61D2C0C7">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741" w:type="pct"/>
            <w:vMerge w:val="continue"/>
            <w:noWrap w:val="0"/>
            <w:vAlign w:val="center"/>
          </w:tcPr>
          <w:p w14:paraId="28C1DC4B">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899" w:type="pct"/>
            <w:noWrap w:val="0"/>
            <w:vAlign w:val="center"/>
          </w:tcPr>
          <w:p w14:paraId="521EA13F">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Y14</w:t>
            </w:r>
          </w:p>
        </w:tc>
        <w:tc>
          <w:tcPr>
            <w:tcW w:w="1261" w:type="pct"/>
            <w:noWrap w:val="0"/>
            <w:vAlign w:val="center"/>
          </w:tcPr>
          <w:p w14:paraId="66D8D8DE">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127°35'39.596"</w:t>
            </w:r>
          </w:p>
        </w:tc>
        <w:tc>
          <w:tcPr>
            <w:tcW w:w="1202" w:type="pct"/>
            <w:noWrap w:val="0"/>
            <w:vAlign w:val="center"/>
          </w:tcPr>
          <w:p w14:paraId="0CAEF64F">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46°43'49.189"</w:t>
            </w:r>
          </w:p>
        </w:tc>
      </w:tr>
      <w:tr w14:paraId="465B7F5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895" w:type="pct"/>
            <w:vMerge w:val="continue"/>
            <w:noWrap w:val="0"/>
            <w:vAlign w:val="center"/>
          </w:tcPr>
          <w:p w14:paraId="7F17E4C5">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741" w:type="pct"/>
            <w:vMerge w:val="continue"/>
            <w:noWrap w:val="0"/>
            <w:vAlign w:val="center"/>
          </w:tcPr>
          <w:p w14:paraId="4968C78B">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899" w:type="pct"/>
            <w:noWrap w:val="0"/>
            <w:vAlign w:val="center"/>
          </w:tcPr>
          <w:p w14:paraId="1F101BC6">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Y15</w:t>
            </w:r>
          </w:p>
        </w:tc>
        <w:tc>
          <w:tcPr>
            <w:tcW w:w="1261" w:type="pct"/>
            <w:noWrap w:val="0"/>
            <w:vAlign w:val="center"/>
          </w:tcPr>
          <w:p w14:paraId="6DF28116">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127°35'38.209"</w:t>
            </w:r>
          </w:p>
        </w:tc>
        <w:tc>
          <w:tcPr>
            <w:tcW w:w="1202" w:type="pct"/>
            <w:noWrap w:val="0"/>
            <w:vAlign w:val="center"/>
          </w:tcPr>
          <w:p w14:paraId="23C64537">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46°43'48.240"</w:t>
            </w:r>
          </w:p>
        </w:tc>
      </w:tr>
      <w:tr w14:paraId="375C68D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895" w:type="pct"/>
            <w:vMerge w:val="continue"/>
            <w:noWrap w:val="0"/>
            <w:vAlign w:val="center"/>
          </w:tcPr>
          <w:p w14:paraId="5CAFFB87">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741" w:type="pct"/>
            <w:vMerge w:val="continue"/>
            <w:noWrap w:val="0"/>
            <w:vAlign w:val="center"/>
          </w:tcPr>
          <w:p w14:paraId="077505A4">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899" w:type="pct"/>
            <w:noWrap w:val="0"/>
            <w:vAlign w:val="center"/>
          </w:tcPr>
          <w:p w14:paraId="71DF0A8B">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Y16</w:t>
            </w:r>
          </w:p>
        </w:tc>
        <w:tc>
          <w:tcPr>
            <w:tcW w:w="1261" w:type="pct"/>
            <w:noWrap w:val="0"/>
            <w:vAlign w:val="center"/>
          </w:tcPr>
          <w:p w14:paraId="3845D2B5">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127°35'36.774"</w:t>
            </w:r>
          </w:p>
        </w:tc>
        <w:tc>
          <w:tcPr>
            <w:tcW w:w="1202" w:type="pct"/>
            <w:noWrap w:val="0"/>
            <w:vAlign w:val="center"/>
          </w:tcPr>
          <w:p w14:paraId="07A60051">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46°43'49.155"</w:t>
            </w:r>
          </w:p>
        </w:tc>
      </w:tr>
      <w:tr w14:paraId="7D7E18F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895" w:type="pct"/>
            <w:vMerge w:val="continue"/>
            <w:noWrap w:val="0"/>
            <w:vAlign w:val="center"/>
          </w:tcPr>
          <w:p w14:paraId="2071A14A">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741" w:type="pct"/>
            <w:vMerge w:val="restart"/>
            <w:noWrap w:val="0"/>
            <w:vAlign w:val="center"/>
          </w:tcPr>
          <w:p w14:paraId="57EC0919">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5#取水井</w:t>
            </w:r>
          </w:p>
        </w:tc>
        <w:tc>
          <w:tcPr>
            <w:tcW w:w="899" w:type="pct"/>
            <w:noWrap w:val="0"/>
            <w:vAlign w:val="center"/>
          </w:tcPr>
          <w:p w14:paraId="15A50493">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Y17</w:t>
            </w:r>
          </w:p>
        </w:tc>
        <w:tc>
          <w:tcPr>
            <w:tcW w:w="1261" w:type="pct"/>
            <w:noWrap w:val="0"/>
            <w:vAlign w:val="center"/>
          </w:tcPr>
          <w:p w14:paraId="3165DE2C">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127°35'34.109"</w:t>
            </w:r>
          </w:p>
        </w:tc>
        <w:tc>
          <w:tcPr>
            <w:tcW w:w="1202" w:type="pct"/>
            <w:noWrap w:val="0"/>
            <w:vAlign w:val="center"/>
          </w:tcPr>
          <w:p w14:paraId="357504CA">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46°43'50.126"</w:t>
            </w:r>
          </w:p>
        </w:tc>
      </w:tr>
      <w:tr w14:paraId="53B7A54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895" w:type="pct"/>
            <w:vMerge w:val="continue"/>
            <w:noWrap w:val="0"/>
            <w:vAlign w:val="center"/>
          </w:tcPr>
          <w:p w14:paraId="4CBF021F">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741" w:type="pct"/>
            <w:vMerge w:val="continue"/>
            <w:noWrap w:val="0"/>
            <w:vAlign w:val="center"/>
          </w:tcPr>
          <w:p w14:paraId="71DE930E">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899" w:type="pct"/>
            <w:noWrap w:val="0"/>
            <w:vAlign w:val="center"/>
          </w:tcPr>
          <w:p w14:paraId="0AE381BC">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Y18</w:t>
            </w:r>
          </w:p>
        </w:tc>
        <w:tc>
          <w:tcPr>
            <w:tcW w:w="1261" w:type="pct"/>
            <w:noWrap w:val="0"/>
            <w:vAlign w:val="center"/>
          </w:tcPr>
          <w:p w14:paraId="5F1E3BA7">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127°35'35.546"</w:t>
            </w:r>
          </w:p>
        </w:tc>
        <w:tc>
          <w:tcPr>
            <w:tcW w:w="1202" w:type="pct"/>
            <w:noWrap w:val="0"/>
            <w:vAlign w:val="center"/>
          </w:tcPr>
          <w:p w14:paraId="07D6BE96">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46°43'49.133"</w:t>
            </w:r>
          </w:p>
        </w:tc>
      </w:tr>
      <w:tr w14:paraId="46A7FB4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895" w:type="pct"/>
            <w:vMerge w:val="continue"/>
            <w:noWrap w:val="0"/>
            <w:vAlign w:val="center"/>
          </w:tcPr>
          <w:p w14:paraId="6FD90600">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741" w:type="pct"/>
            <w:vMerge w:val="continue"/>
            <w:noWrap w:val="0"/>
            <w:vAlign w:val="center"/>
          </w:tcPr>
          <w:p w14:paraId="19C2B16C">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899" w:type="pct"/>
            <w:noWrap w:val="0"/>
            <w:vAlign w:val="center"/>
          </w:tcPr>
          <w:p w14:paraId="12CF0CA3">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Y19</w:t>
            </w:r>
          </w:p>
        </w:tc>
        <w:tc>
          <w:tcPr>
            <w:tcW w:w="1261" w:type="pct"/>
            <w:noWrap w:val="0"/>
            <w:vAlign w:val="center"/>
          </w:tcPr>
          <w:p w14:paraId="6EECEE94">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127°35'34.159"</w:t>
            </w:r>
          </w:p>
        </w:tc>
        <w:tc>
          <w:tcPr>
            <w:tcW w:w="1202" w:type="pct"/>
            <w:noWrap w:val="0"/>
            <w:vAlign w:val="center"/>
          </w:tcPr>
          <w:p w14:paraId="7DC1636D">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46°43'48.184"</w:t>
            </w:r>
          </w:p>
        </w:tc>
      </w:tr>
      <w:tr w14:paraId="5B11D47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895" w:type="pct"/>
            <w:vMerge w:val="continue"/>
            <w:noWrap w:val="0"/>
            <w:vAlign w:val="center"/>
          </w:tcPr>
          <w:p w14:paraId="251E12F2">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741" w:type="pct"/>
            <w:vMerge w:val="continue"/>
            <w:noWrap w:val="0"/>
            <w:vAlign w:val="center"/>
          </w:tcPr>
          <w:p w14:paraId="0EDD6D81">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899" w:type="pct"/>
            <w:noWrap w:val="0"/>
            <w:vAlign w:val="center"/>
          </w:tcPr>
          <w:p w14:paraId="4FFF9971">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Y20</w:t>
            </w:r>
          </w:p>
        </w:tc>
        <w:tc>
          <w:tcPr>
            <w:tcW w:w="1261" w:type="pct"/>
            <w:noWrap w:val="0"/>
            <w:vAlign w:val="center"/>
          </w:tcPr>
          <w:p w14:paraId="0C001024">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127°35'32.724"</w:t>
            </w:r>
          </w:p>
        </w:tc>
        <w:tc>
          <w:tcPr>
            <w:tcW w:w="1202" w:type="pct"/>
            <w:noWrap w:val="0"/>
            <w:vAlign w:val="center"/>
          </w:tcPr>
          <w:p w14:paraId="679DB7E8">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46°43'49.099"</w:t>
            </w:r>
          </w:p>
        </w:tc>
      </w:tr>
    </w:tbl>
    <w:p w14:paraId="0644164D">
      <w:pPr>
        <w:pStyle w:val="3"/>
        <w:rPr>
          <w:color w:val="auto"/>
          <w:highlight w:val="none"/>
          <w:lang w:val="en-US"/>
        </w:rPr>
      </w:pPr>
      <w:bookmarkStart w:id="87" w:name="_Toc18491"/>
      <w:r>
        <w:rPr>
          <w:color w:val="auto"/>
          <w:highlight w:val="none"/>
          <w:lang w:val="en-US"/>
        </w:rPr>
        <w:t>3.4保护区定界技术说明</w:t>
      </w:r>
      <w:bookmarkEnd w:id="86"/>
      <w:bookmarkEnd w:id="87"/>
    </w:p>
    <w:p w14:paraId="247056F7">
      <w:pPr>
        <w:pStyle w:val="4"/>
        <w:rPr>
          <w:color w:val="auto"/>
          <w:highlight w:val="none"/>
        </w:rPr>
      </w:pPr>
      <w:r>
        <w:rPr>
          <w:color w:val="auto"/>
          <w:highlight w:val="none"/>
        </w:rPr>
        <w:t>3.4.1定界原则</w:t>
      </w:r>
    </w:p>
    <w:p w14:paraId="1826BCA3">
      <w:pPr>
        <w:ind w:firstLine="480"/>
        <w:rPr>
          <w:color w:val="auto"/>
          <w:highlight w:val="none"/>
        </w:rPr>
      </w:pPr>
      <w:r>
        <w:rPr>
          <w:color w:val="auto"/>
          <w:highlight w:val="none"/>
        </w:rPr>
        <w:t>（1）应符合国家和地方相关技术规范，特别是符合《饮用水水源保护区划分技术规范（HJ338-2018）》的要求。</w:t>
      </w:r>
    </w:p>
    <w:p w14:paraId="6B602CA3">
      <w:pPr>
        <w:ind w:firstLine="480"/>
        <w:rPr>
          <w:color w:val="auto"/>
          <w:highlight w:val="none"/>
        </w:rPr>
      </w:pPr>
      <w:r>
        <w:rPr>
          <w:color w:val="auto"/>
          <w:highlight w:val="none"/>
        </w:rPr>
        <w:t>（2）定界以高精度工作底图为基础，根据当地实际情况综合考虑保护区性质、土地利用状况、交通情况，兼顾可能存在的环境风险因素，在合理的范围内做出适度</w:t>
      </w:r>
      <w:r>
        <w:rPr>
          <w:rFonts w:hint="eastAsia"/>
          <w:color w:val="auto"/>
          <w:highlight w:val="none"/>
          <w:lang w:eastAsia="zh-CN"/>
        </w:rPr>
        <w:t>划分</w:t>
      </w:r>
      <w:r>
        <w:rPr>
          <w:color w:val="auto"/>
          <w:highlight w:val="none"/>
        </w:rPr>
        <w:t>。</w:t>
      </w:r>
    </w:p>
    <w:p w14:paraId="24227EF8">
      <w:pPr>
        <w:ind w:firstLine="480"/>
        <w:rPr>
          <w:color w:val="auto"/>
          <w:highlight w:val="none"/>
        </w:rPr>
      </w:pPr>
      <w:r>
        <w:rPr>
          <w:color w:val="auto"/>
          <w:highlight w:val="none"/>
        </w:rPr>
        <w:t>（3）定界工作应结合实地调查核实，对有关界点根据实际情况进行勘误校正，合理布局。</w:t>
      </w:r>
    </w:p>
    <w:p w14:paraId="6C3588EB">
      <w:pPr>
        <w:pStyle w:val="4"/>
        <w:rPr>
          <w:color w:val="auto"/>
          <w:highlight w:val="none"/>
        </w:rPr>
      </w:pPr>
      <w:r>
        <w:rPr>
          <w:color w:val="auto"/>
          <w:highlight w:val="none"/>
        </w:rPr>
        <w:t>3.4.2定界技术</w:t>
      </w:r>
    </w:p>
    <w:p w14:paraId="37DBA26D">
      <w:pPr>
        <w:ind w:firstLine="480"/>
        <w:rPr>
          <w:color w:val="auto"/>
          <w:highlight w:val="none"/>
        </w:rPr>
      </w:pPr>
      <w:r>
        <w:rPr>
          <w:color w:val="auto"/>
          <w:highlight w:val="none"/>
        </w:rPr>
        <w:t>本次工作以1:5万地形图为底图，采用CGCS2000投影坐标系统进行水源地划分。</w:t>
      </w:r>
    </w:p>
    <w:p w14:paraId="3FFCD37B">
      <w:pPr>
        <w:ind w:firstLine="480"/>
        <w:rPr>
          <w:color w:val="auto"/>
          <w:highlight w:val="none"/>
        </w:rPr>
      </w:pPr>
      <w:r>
        <w:rPr>
          <w:color w:val="auto"/>
          <w:highlight w:val="none"/>
        </w:rPr>
        <w:t>流域边界：采用ArcGIS软件中空间分析模块中的水文分析工具绘制流域边界初步成果，经人工反复</w:t>
      </w:r>
      <w:r>
        <w:rPr>
          <w:rFonts w:hint="eastAsia"/>
          <w:color w:val="auto"/>
          <w:highlight w:val="none"/>
          <w:lang w:eastAsia="zh-CN"/>
        </w:rPr>
        <w:t>划分</w:t>
      </w:r>
      <w:r>
        <w:rPr>
          <w:color w:val="auto"/>
          <w:highlight w:val="none"/>
        </w:rPr>
        <w:t>制作流域边界的最终成果；</w:t>
      </w:r>
    </w:p>
    <w:p w14:paraId="4923797D">
      <w:pPr>
        <w:ind w:firstLine="480"/>
        <w:rPr>
          <w:color w:val="auto"/>
          <w:highlight w:val="none"/>
        </w:rPr>
      </w:pPr>
      <w:r>
        <w:rPr>
          <w:color w:val="auto"/>
          <w:highlight w:val="none"/>
        </w:rPr>
        <w:t>保护区划分：主要应用ArcGIS中的缓冲，空间编辑等工具进行水源地保护区边界划分；</w:t>
      </w:r>
    </w:p>
    <w:p w14:paraId="7CBFF8A9">
      <w:pPr>
        <w:ind w:firstLine="480"/>
        <w:rPr>
          <w:color w:val="auto"/>
          <w:highlight w:val="none"/>
        </w:rPr>
      </w:pPr>
      <w:r>
        <w:rPr>
          <w:color w:val="auto"/>
          <w:highlight w:val="none"/>
        </w:rPr>
        <w:t>土地利用统计：采用ArcGIS软件空间分析统计工具计算流域不同土地利用类型面积及各类保护区耕地面积。</w:t>
      </w:r>
    </w:p>
    <w:p w14:paraId="1630C30F">
      <w:pPr>
        <w:pStyle w:val="4"/>
        <w:rPr>
          <w:color w:val="auto"/>
          <w:highlight w:val="none"/>
        </w:rPr>
      </w:pPr>
      <w:r>
        <w:rPr>
          <w:color w:val="auto"/>
          <w:highlight w:val="none"/>
        </w:rPr>
        <w:t>3.4.3定界说明</w:t>
      </w:r>
    </w:p>
    <w:p w14:paraId="75F37636">
      <w:pPr>
        <w:ind w:firstLine="480"/>
        <w:rPr>
          <w:color w:val="auto"/>
          <w:highlight w:val="none"/>
        </w:rPr>
      </w:pPr>
      <w:r>
        <w:rPr>
          <w:color w:val="auto"/>
          <w:highlight w:val="none"/>
        </w:rPr>
        <w:t>一级保护区范围相对较小，但对饮用水的保护作用最直接、最关键。一级保护区是实施环境保护管理措施最严格的区域，其精确定界须严格按照技术规范的要求定界，并与相关规划界线、实地自然地理条件、设施变化相协调。一级保护区的延伸长度和纵深宽度均与文本表述一致。</w:t>
      </w:r>
    </w:p>
    <w:p w14:paraId="13BE4591">
      <w:pPr>
        <w:ind w:firstLine="480"/>
        <w:rPr>
          <w:color w:val="auto"/>
          <w:highlight w:val="none"/>
        </w:rPr>
      </w:pPr>
      <w:r>
        <w:rPr>
          <w:color w:val="auto"/>
          <w:highlight w:val="none"/>
        </w:rPr>
        <w:t>界线穿越农田、园地、池塘、鱼塘的，在保护区宽度符合规范要求的基础上，根据土地权属情况，参考土地利用现状和规划，界点连线总体走向与此处对应的水陆分界线走向相符，必要时为方便操作可在合适和合理的</w:t>
      </w:r>
      <w:r>
        <w:rPr>
          <w:rFonts w:hint="eastAsia"/>
          <w:color w:val="auto"/>
          <w:highlight w:val="none"/>
        </w:rPr>
        <w:t>道路或灌渠</w:t>
      </w:r>
      <w:r>
        <w:rPr>
          <w:color w:val="auto"/>
          <w:highlight w:val="none"/>
        </w:rPr>
        <w:t>上确定界点。</w:t>
      </w:r>
    </w:p>
    <w:p w14:paraId="0C6B9233">
      <w:pPr>
        <w:ind w:firstLine="480"/>
        <w:rPr>
          <w:color w:val="auto"/>
          <w:highlight w:val="none"/>
        </w:rPr>
      </w:pPr>
      <w:r>
        <w:rPr>
          <w:color w:val="auto"/>
          <w:highlight w:val="none"/>
        </w:rPr>
        <w:t>界线穿越在建或规划项目的，为便于操作和管理，不对经济社会活动造成过多干扰，精确定界应在确保保护区宽度符合规范要求的基础上，</w:t>
      </w:r>
    </w:p>
    <w:p w14:paraId="226D91CC">
      <w:pPr>
        <w:ind w:firstLine="480"/>
        <w:rPr>
          <w:color w:val="auto"/>
          <w:highlight w:val="none"/>
        </w:rPr>
      </w:pPr>
      <w:r>
        <w:rPr>
          <w:color w:val="auto"/>
          <w:highlight w:val="none"/>
        </w:rPr>
        <w:t>根据土地利用规划和项目用地性质，界点沿项目用地范围边界划定。对无污染或污染较小的项目可适当沿保护区纵深方向收缩，不纳入保护区；对存在污染隐患项目应沿保护区纵深方向伸展纳入，为将来必要时清理提供依据。</w:t>
      </w:r>
    </w:p>
    <w:p w14:paraId="6494DF79">
      <w:pPr>
        <w:ind w:firstLine="480"/>
        <w:rPr>
          <w:color w:val="auto"/>
          <w:highlight w:val="none"/>
        </w:rPr>
      </w:pPr>
      <w:r>
        <w:rPr>
          <w:color w:val="auto"/>
          <w:highlight w:val="none"/>
        </w:rPr>
        <w:t>整合外业调绘信息与内业数据分析处理，进一步修改完善数据质量，建立对应的专题图层数据库，丰富数据库内容，形成以ArcGIS的shp格式保存的饮用水源保护区边界点、线、面矢量图层。</w:t>
      </w:r>
    </w:p>
    <w:p w14:paraId="0DA32D64">
      <w:pPr>
        <w:pStyle w:val="3"/>
        <w:rPr>
          <w:color w:val="auto"/>
          <w:highlight w:val="none"/>
          <w:lang w:val="en-US"/>
        </w:rPr>
      </w:pPr>
      <w:bookmarkStart w:id="88" w:name="_Toc4888"/>
      <w:bookmarkStart w:id="89" w:name="_Toc26059"/>
      <w:bookmarkStart w:id="90" w:name="_Toc199491490"/>
      <w:bookmarkStart w:id="91" w:name="_Toc27838"/>
      <w:r>
        <w:rPr>
          <w:color w:val="auto"/>
          <w:highlight w:val="none"/>
          <w:lang w:val="en-US"/>
        </w:rPr>
        <w:t>3.5调整前后保护区范围比较</w:t>
      </w:r>
      <w:bookmarkEnd w:id="88"/>
    </w:p>
    <w:p w14:paraId="0238955F">
      <w:pPr>
        <w:keepNext w:val="0"/>
        <w:keepLines w:val="0"/>
        <w:pageBreakBefore w:val="0"/>
        <w:widowControl w:val="0"/>
        <w:kinsoku/>
        <w:wordWrap/>
        <w:overflowPunct/>
        <w:topLinePunct w:val="0"/>
        <w:bidi w:val="0"/>
        <w:snapToGrid/>
        <w:spacing w:line="360" w:lineRule="auto"/>
        <w:ind w:firstLine="472" w:firstLineChars="200"/>
        <w:jc w:val="both"/>
        <w:textAlignment w:val="auto"/>
        <w:rPr>
          <w:rFonts w:hint="eastAsia" w:ascii="Times New Roman" w:cs="Times New Roman"/>
          <w:color w:val="auto"/>
          <w:sz w:val="24"/>
          <w:szCs w:val="24"/>
          <w:highlight w:val="none"/>
          <w:lang w:eastAsia="zh-CN"/>
        </w:rPr>
      </w:pPr>
      <w:r>
        <w:rPr>
          <w:rFonts w:ascii="Times New Roman" w:cs="Times New Roman"/>
          <w:color w:val="auto"/>
          <w:sz w:val="24"/>
          <w:szCs w:val="24"/>
          <w:highlight w:val="none"/>
        </w:rPr>
        <w:t>20</w:t>
      </w:r>
      <w:r>
        <w:rPr>
          <w:rFonts w:hint="eastAsia" w:ascii="Times New Roman" w:cs="Times New Roman"/>
          <w:color w:val="auto"/>
          <w:sz w:val="24"/>
          <w:szCs w:val="24"/>
          <w:highlight w:val="none"/>
          <w:lang w:val="en-US" w:eastAsia="zh-CN"/>
        </w:rPr>
        <w:t>13</w:t>
      </w:r>
      <w:r>
        <w:rPr>
          <w:rFonts w:ascii="Times New Roman" w:cs="Times New Roman"/>
          <w:color w:val="auto"/>
          <w:sz w:val="24"/>
          <w:szCs w:val="24"/>
          <w:highlight w:val="none"/>
        </w:rPr>
        <w:t>年</w:t>
      </w:r>
      <w:r>
        <w:rPr>
          <w:rFonts w:hint="eastAsia" w:ascii="Times New Roman" w:cs="Times New Roman"/>
          <w:color w:val="auto"/>
          <w:sz w:val="24"/>
          <w:szCs w:val="24"/>
          <w:highlight w:val="none"/>
          <w:lang w:val="en-US" w:eastAsia="zh-CN"/>
        </w:rPr>
        <w:t>11</w:t>
      </w:r>
      <w:r>
        <w:rPr>
          <w:rFonts w:ascii="Times New Roman" w:cs="Times New Roman"/>
          <w:color w:val="auto"/>
          <w:sz w:val="24"/>
          <w:szCs w:val="24"/>
          <w:highlight w:val="none"/>
        </w:rPr>
        <w:t>月</w:t>
      </w:r>
      <w:r>
        <w:rPr>
          <w:rFonts w:hint="eastAsia" w:ascii="Times New Roman" w:cs="Times New Roman"/>
          <w:color w:val="auto"/>
          <w:sz w:val="24"/>
          <w:szCs w:val="24"/>
          <w:highlight w:val="none"/>
          <w:lang w:val="en-US" w:eastAsia="zh-CN"/>
        </w:rPr>
        <w:t>1</w:t>
      </w:r>
      <w:r>
        <w:rPr>
          <w:rFonts w:ascii="Times New Roman" w:cs="Times New Roman"/>
          <w:color w:val="auto"/>
          <w:sz w:val="24"/>
          <w:szCs w:val="24"/>
          <w:highlight w:val="none"/>
        </w:rPr>
        <w:t>日，黑龙江省人民政府以</w:t>
      </w:r>
      <w:r>
        <w:rPr>
          <w:rFonts w:hint="eastAsia" w:ascii="Times New Roman" w:cs="Times New Roman"/>
          <w:color w:val="auto"/>
          <w:sz w:val="24"/>
          <w:szCs w:val="24"/>
          <w:highlight w:val="none"/>
        </w:rPr>
        <w:t>“</w:t>
      </w:r>
      <w:r>
        <w:rPr>
          <w:rFonts w:ascii="Times New Roman" w:cs="Times New Roman"/>
          <w:color w:val="auto"/>
          <w:sz w:val="24"/>
          <w:szCs w:val="24"/>
          <w:highlight w:val="none"/>
        </w:rPr>
        <w:t>黑政函</w:t>
      </w:r>
      <w:r>
        <w:rPr>
          <w:rFonts w:hint="eastAsia" w:hAnsi="宋体"/>
          <w:color w:val="auto"/>
          <w:sz w:val="24"/>
          <w:szCs w:val="24"/>
          <w:highlight w:val="none"/>
        </w:rPr>
        <w:t>〔</w:t>
      </w:r>
      <w:r>
        <w:rPr>
          <w:rFonts w:ascii="Times New Roman" w:cs="Times New Roman"/>
          <w:color w:val="auto"/>
          <w:sz w:val="24"/>
          <w:szCs w:val="24"/>
          <w:highlight w:val="none"/>
        </w:rPr>
        <w:t>201</w:t>
      </w:r>
      <w:r>
        <w:rPr>
          <w:rFonts w:hint="eastAsia" w:ascii="Times New Roman" w:cs="Times New Roman"/>
          <w:color w:val="auto"/>
          <w:sz w:val="24"/>
          <w:szCs w:val="24"/>
          <w:highlight w:val="none"/>
          <w:lang w:val="en-US" w:eastAsia="zh-CN"/>
        </w:rPr>
        <w:t>3</w:t>
      </w:r>
      <w:r>
        <w:rPr>
          <w:rFonts w:hint="eastAsia" w:hAnsi="宋体"/>
          <w:color w:val="auto"/>
          <w:sz w:val="24"/>
          <w:szCs w:val="24"/>
          <w:highlight w:val="none"/>
        </w:rPr>
        <w:t>〕</w:t>
      </w:r>
      <w:r>
        <w:rPr>
          <w:rFonts w:hint="eastAsia" w:ascii="Times New Roman" w:cs="Times New Roman"/>
          <w:color w:val="auto"/>
          <w:sz w:val="24"/>
          <w:szCs w:val="24"/>
          <w:highlight w:val="none"/>
          <w:lang w:val="en-US" w:eastAsia="zh-CN"/>
        </w:rPr>
        <w:t>113</w:t>
      </w:r>
      <w:r>
        <w:rPr>
          <w:rFonts w:hint="eastAsia" w:ascii="Times New Roman" w:cs="Times New Roman"/>
          <w:color w:val="auto"/>
          <w:sz w:val="24"/>
          <w:szCs w:val="24"/>
          <w:highlight w:val="none"/>
        </w:rPr>
        <w:t>号”</w:t>
      </w:r>
      <w:r>
        <w:rPr>
          <w:rFonts w:ascii="Times New Roman" w:cs="Times New Roman"/>
          <w:color w:val="auto"/>
          <w:sz w:val="24"/>
          <w:szCs w:val="24"/>
          <w:highlight w:val="none"/>
        </w:rPr>
        <w:t>对</w:t>
      </w:r>
      <w:r>
        <w:rPr>
          <w:rFonts w:hint="eastAsia" w:ascii="Times New Roman" w:cs="Times New Roman"/>
          <w:color w:val="auto"/>
          <w:sz w:val="24"/>
          <w:szCs w:val="24"/>
          <w:highlight w:val="none"/>
          <w:lang w:eastAsia="zh-CN"/>
        </w:rPr>
        <w:t>庆安县同乐乡、新胜乡新清村、庆安镇西姜家</w:t>
      </w:r>
      <w:r>
        <w:rPr>
          <w:rFonts w:hint="eastAsia" w:ascii="Times New Roman" w:cs="Times New Roman"/>
          <w:color w:val="auto"/>
          <w:sz w:val="24"/>
          <w:szCs w:val="24"/>
          <w:highlight w:val="none"/>
        </w:rPr>
        <w:t>集中式饮用水</w:t>
      </w:r>
      <w:r>
        <w:rPr>
          <w:rFonts w:ascii="Times New Roman" w:cs="Times New Roman"/>
          <w:color w:val="auto"/>
          <w:sz w:val="24"/>
          <w:szCs w:val="24"/>
          <w:highlight w:val="none"/>
        </w:rPr>
        <w:t>水源</w:t>
      </w:r>
      <w:r>
        <w:rPr>
          <w:rFonts w:hint="eastAsia" w:cs="Times New Roman"/>
          <w:color w:val="auto"/>
          <w:sz w:val="24"/>
          <w:szCs w:val="24"/>
          <w:highlight w:val="none"/>
          <w:lang w:val="en-US" w:eastAsia="zh-CN"/>
        </w:rPr>
        <w:t>（</w:t>
      </w:r>
      <w:r>
        <w:rPr>
          <w:rFonts w:hint="eastAsia" w:hAnsi="宋体"/>
          <w:color w:val="auto"/>
          <w:szCs w:val="28"/>
          <w:highlight w:val="none"/>
        </w:rPr>
        <w:t>共</w:t>
      </w:r>
      <w:r>
        <w:rPr>
          <w:rFonts w:hint="eastAsia" w:hAnsi="宋体"/>
          <w:color w:val="auto"/>
          <w:szCs w:val="28"/>
          <w:highlight w:val="none"/>
          <w:lang w:val="en-US" w:eastAsia="zh-CN"/>
        </w:rPr>
        <w:t>3</w:t>
      </w:r>
      <w:r>
        <w:rPr>
          <w:rFonts w:hint="eastAsia" w:hAnsi="宋体"/>
          <w:color w:val="auto"/>
          <w:szCs w:val="28"/>
          <w:highlight w:val="none"/>
          <w:lang w:eastAsia="zh-CN"/>
        </w:rPr>
        <w:t>眼井</w:t>
      </w:r>
      <w:r>
        <w:rPr>
          <w:rFonts w:hint="eastAsia" w:cs="Times New Roman"/>
          <w:color w:val="auto"/>
          <w:sz w:val="24"/>
          <w:szCs w:val="24"/>
          <w:highlight w:val="none"/>
          <w:lang w:val="en-US" w:eastAsia="zh-CN"/>
        </w:rPr>
        <w:t>）</w:t>
      </w:r>
      <w:r>
        <w:rPr>
          <w:rFonts w:ascii="Times New Roman" w:cs="Times New Roman"/>
          <w:color w:val="auto"/>
          <w:sz w:val="24"/>
          <w:szCs w:val="24"/>
          <w:highlight w:val="none"/>
        </w:rPr>
        <w:t>保护区范围进行了批复</w:t>
      </w:r>
      <w:r>
        <w:rPr>
          <w:rFonts w:hint="eastAsia" w:ascii="Times New Roman" w:cs="Times New Roman"/>
          <w:color w:val="auto"/>
          <w:sz w:val="24"/>
          <w:szCs w:val="24"/>
          <w:highlight w:val="none"/>
          <w:lang w:eastAsia="zh-CN"/>
        </w:rPr>
        <w:t>。</w:t>
      </w:r>
      <w:r>
        <w:rPr>
          <w:rFonts w:ascii="Times New Roman" w:cs="Times New Roman"/>
          <w:color w:val="auto"/>
          <w:sz w:val="24"/>
          <w:szCs w:val="24"/>
          <w:highlight w:val="none"/>
        </w:rPr>
        <w:t>20</w:t>
      </w:r>
      <w:r>
        <w:rPr>
          <w:rFonts w:hint="eastAsia" w:ascii="Times New Roman" w:cs="Times New Roman"/>
          <w:color w:val="auto"/>
          <w:sz w:val="24"/>
          <w:szCs w:val="24"/>
          <w:highlight w:val="none"/>
          <w:lang w:val="en-US" w:eastAsia="zh-CN"/>
        </w:rPr>
        <w:t>1</w:t>
      </w:r>
      <w:r>
        <w:rPr>
          <w:rFonts w:hint="eastAsia" w:cs="Times New Roman"/>
          <w:color w:val="auto"/>
          <w:sz w:val="24"/>
          <w:szCs w:val="24"/>
          <w:highlight w:val="none"/>
          <w:lang w:val="en-US" w:eastAsia="zh-CN"/>
        </w:rPr>
        <w:t>7</w:t>
      </w:r>
      <w:r>
        <w:rPr>
          <w:rFonts w:ascii="Times New Roman" w:cs="Times New Roman"/>
          <w:color w:val="auto"/>
          <w:sz w:val="24"/>
          <w:szCs w:val="24"/>
          <w:highlight w:val="none"/>
        </w:rPr>
        <w:t>年</w:t>
      </w:r>
      <w:r>
        <w:rPr>
          <w:rFonts w:hint="eastAsia" w:cs="Times New Roman"/>
          <w:color w:val="auto"/>
          <w:sz w:val="24"/>
          <w:szCs w:val="24"/>
          <w:highlight w:val="none"/>
          <w:lang w:val="en-US" w:eastAsia="zh-CN"/>
        </w:rPr>
        <w:t>12</w:t>
      </w:r>
      <w:r>
        <w:rPr>
          <w:rFonts w:ascii="Times New Roman" w:cs="Times New Roman"/>
          <w:color w:val="auto"/>
          <w:sz w:val="24"/>
          <w:szCs w:val="24"/>
          <w:highlight w:val="none"/>
        </w:rPr>
        <w:t>月</w:t>
      </w:r>
      <w:r>
        <w:rPr>
          <w:rFonts w:hint="eastAsia" w:cs="Times New Roman"/>
          <w:color w:val="auto"/>
          <w:sz w:val="24"/>
          <w:szCs w:val="24"/>
          <w:highlight w:val="none"/>
          <w:lang w:val="en-US" w:eastAsia="zh-CN"/>
        </w:rPr>
        <w:t>21</w:t>
      </w:r>
      <w:r>
        <w:rPr>
          <w:rFonts w:ascii="Times New Roman" w:cs="Times New Roman"/>
          <w:color w:val="auto"/>
          <w:sz w:val="24"/>
          <w:szCs w:val="24"/>
          <w:highlight w:val="none"/>
        </w:rPr>
        <w:t>日，黑龙江省人民政府以</w:t>
      </w:r>
      <w:r>
        <w:rPr>
          <w:rFonts w:hint="eastAsia" w:ascii="Times New Roman" w:cs="Times New Roman"/>
          <w:color w:val="auto"/>
          <w:sz w:val="24"/>
          <w:szCs w:val="24"/>
          <w:highlight w:val="none"/>
        </w:rPr>
        <w:t>“</w:t>
      </w:r>
      <w:r>
        <w:rPr>
          <w:rFonts w:ascii="Times New Roman" w:cs="Times New Roman"/>
          <w:color w:val="auto"/>
          <w:sz w:val="24"/>
          <w:szCs w:val="24"/>
          <w:highlight w:val="none"/>
        </w:rPr>
        <w:t>黑政函</w:t>
      </w:r>
      <w:r>
        <w:rPr>
          <w:rFonts w:hint="eastAsia" w:hAnsi="宋体"/>
          <w:color w:val="auto"/>
          <w:sz w:val="24"/>
          <w:szCs w:val="24"/>
          <w:highlight w:val="none"/>
        </w:rPr>
        <w:t>〔</w:t>
      </w:r>
      <w:r>
        <w:rPr>
          <w:rFonts w:ascii="Times New Roman" w:cs="Times New Roman"/>
          <w:color w:val="auto"/>
          <w:sz w:val="24"/>
          <w:szCs w:val="24"/>
          <w:highlight w:val="none"/>
        </w:rPr>
        <w:t>20</w:t>
      </w:r>
      <w:r>
        <w:rPr>
          <w:rFonts w:hint="eastAsia" w:cs="Times New Roman"/>
          <w:color w:val="auto"/>
          <w:sz w:val="24"/>
          <w:szCs w:val="24"/>
          <w:highlight w:val="none"/>
          <w:lang w:val="en-US" w:eastAsia="zh-CN"/>
        </w:rPr>
        <w:t>17</w:t>
      </w:r>
      <w:r>
        <w:rPr>
          <w:rFonts w:hint="eastAsia" w:hAnsi="宋体"/>
          <w:color w:val="auto"/>
          <w:sz w:val="24"/>
          <w:szCs w:val="24"/>
          <w:highlight w:val="none"/>
        </w:rPr>
        <w:t>〕</w:t>
      </w:r>
      <w:r>
        <w:rPr>
          <w:rFonts w:hint="eastAsia" w:ascii="Times New Roman" w:cs="Times New Roman"/>
          <w:color w:val="auto"/>
          <w:sz w:val="24"/>
          <w:szCs w:val="24"/>
          <w:highlight w:val="none"/>
          <w:lang w:val="en-US" w:eastAsia="zh-CN"/>
        </w:rPr>
        <w:t>1</w:t>
      </w:r>
      <w:r>
        <w:rPr>
          <w:rFonts w:hint="eastAsia" w:cs="Times New Roman"/>
          <w:color w:val="auto"/>
          <w:sz w:val="24"/>
          <w:szCs w:val="24"/>
          <w:highlight w:val="none"/>
          <w:lang w:val="en-US" w:eastAsia="zh-CN"/>
        </w:rPr>
        <w:t>18</w:t>
      </w:r>
      <w:r>
        <w:rPr>
          <w:rFonts w:hint="eastAsia" w:ascii="Times New Roman" w:cs="Times New Roman"/>
          <w:color w:val="auto"/>
          <w:sz w:val="24"/>
          <w:szCs w:val="24"/>
          <w:highlight w:val="none"/>
        </w:rPr>
        <w:t>号”</w:t>
      </w:r>
      <w:r>
        <w:rPr>
          <w:rFonts w:ascii="Times New Roman" w:cs="Times New Roman"/>
          <w:color w:val="auto"/>
          <w:sz w:val="24"/>
          <w:szCs w:val="24"/>
          <w:highlight w:val="none"/>
        </w:rPr>
        <w:t>对</w:t>
      </w:r>
      <w:r>
        <w:rPr>
          <w:rFonts w:hint="eastAsia" w:hAnsi="宋体"/>
          <w:color w:val="auto"/>
          <w:szCs w:val="28"/>
          <w:highlight w:val="none"/>
          <w:lang w:val="en-US" w:eastAsia="zh-CN"/>
        </w:rPr>
        <w:t>庆安</w:t>
      </w:r>
      <w:r>
        <w:rPr>
          <w:rFonts w:hint="eastAsia" w:hAnsi="宋体"/>
          <w:color w:val="auto"/>
          <w:szCs w:val="28"/>
          <w:highlight w:val="none"/>
        </w:rPr>
        <w:t>县</w:t>
      </w:r>
      <w:r>
        <w:rPr>
          <w:rFonts w:hint="eastAsia" w:hAnsi="宋体"/>
          <w:color w:val="auto"/>
          <w:szCs w:val="28"/>
          <w:highlight w:val="none"/>
          <w:lang w:val="en-US" w:eastAsia="zh-CN"/>
        </w:rPr>
        <w:t>14个乡镇</w:t>
      </w:r>
      <w:r>
        <w:rPr>
          <w:rFonts w:hint="eastAsia" w:hAnsi="宋体"/>
          <w:color w:val="auto"/>
          <w:szCs w:val="28"/>
          <w:highlight w:val="none"/>
        </w:rPr>
        <w:t>的</w:t>
      </w:r>
      <w:r>
        <w:rPr>
          <w:rFonts w:hint="eastAsia" w:hAnsi="宋体"/>
          <w:color w:val="auto"/>
          <w:szCs w:val="28"/>
          <w:highlight w:val="none"/>
          <w:lang w:val="en-US" w:eastAsia="zh-CN"/>
        </w:rPr>
        <w:t>50</w:t>
      </w:r>
      <w:r>
        <w:rPr>
          <w:rFonts w:hint="eastAsia" w:hAnsi="宋体"/>
          <w:color w:val="auto"/>
          <w:szCs w:val="28"/>
          <w:highlight w:val="none"/>
        </w:rPr>
        <w:t>个农村集中式饮用水水源（共</w:t>
      </w:r>
      <w:r>
        <w:rPr>
          <w:rFonts w:hint="eastAsia" w:hAnsi="宋体"/>
          <w:color w:val="auto"/>
          <w:szCs w:val="28"/>
          <w:highlight w:val="none"/>
          <w:lang w:val="en-US" w:eastAsia="zh-CN"/>
        </w:rPr>
        <w:t>52</w:t>
      </w:r>
      <w:r>
        <w:rPr>
          <w:rFonts w:hint="eastAsia" w:hAnsi="宋体"/>
          <w:color w:val="auto"/>
          <w:szCs w:val="28"/>
          <w:highlight w:val="none"/>
          <w:lang w:eastAsia="zh-CN"/>
        </w:rPr>
        <w:t>眼井</w:t>
      </w:r>
      <w:r>
        <w:rPr>
          <w:rFonts w:hint="eastAsia" w:hAnsi="宋体"/>
          <w:color w:val="auto"/>
          <w:szCs w:val="28"/>
          <w:highlight w:val="none"/>
        </w:rPr>
        <w:t>）</w:t>
      </w:r>
      <w:r>
        <w:rPr>
          <w:rFonts w:ascii="Times New Roman" w:cs="Times New Roman"/>
          <w:color w:val="auto"/>
          <w:sz w:val="24"/>
          <w:szCs w:val="24"/>
          <w:highlight w:val="none"/>
        </w:rPr>
        <w:t>保护区范围进行了批复</w:t>
      </w:r>
      <w:r>
        <w:rPr>
          <w:rFonts w:hint="eastAsia" w:ascii="Times New Roman" w:cs="Times New Roman"/>
          <w:color w:val="auto"/>
          <w:sz w:val="24"/>
          <w:szCs w:val="24"/>
          <w:highlight w:val="none"/>
          <w:lang w:eastAsia="zh-CN"/>
        </w:rPr>
        <w:t>。</w:t>
      </w:r>
      <w:r>
        <w:rPr>
          <w:rFonts w:ascii="Times New Roman" w:cs="Times New Roman"/>
          <w:color w:val="auto"/>
          <w:sz w:val="24"/>
          <w:szCs w:val="24"/>
          <w:highlight w:val="none"/>
        </w:rPr>
        <w:t>20</w:t>
      </w:r>
      <w:r>
        <w:rPr>
          <w:rFonts w:hint="eastAsia" w:ascii="Times New Roman" w:cs="Times New Roman"/>
          <w:color w:val="auto"/>
          <w:sz w:val="24"/>
          <w:szCs w:val="24"/>
          <w:highlight w:val="none"/>
          <w:lang w:val="en-US" w:eastAsia="zh-CN"/>
        </w:rPr>
        <w:t>1</w:t>
      </w:r>
      <w:r>
        <w:rPr>
          <w:rFonts w:hint="eastAsia" w:cs="Times New Roman"/>
          <w:color w:val="auto"/>
          <w:sz w:val="24"/>
          <w:szCs w:val="24"/>
          <w:highlight w:val="none"/>
          <w:lang w:val="en-US" w:eastAsia="zh-CN"/>
        </w:rPr>
        <w:t>8</w:t>
      </w:r>
      <w:r>
        <w:rPr>
          <w:rFonts w:ascii="Times New Roman" w:cs="Times New Roman"/>
          <w:color w:val="auto"/>
          <w:sz w:val="24"/>
          <w:szCs w:val="24"/>
          <w:highlight w:val="none"/>
        </w:rPr>
        <w:t>年</w:t>
      </w:r>
      <w:r>
        <w:rPr>
          <w:rFonts w:hint="eastAsia" w:cs="Times New Roman"/>
          <w:color w:val="auto"/>
          <w:sz w:val="24"/>
          <w:szCs w:val="24"/>
          <w:highlight w:val="none"/>
          <w:lang w:val="en-US" w:eastAsia="zh-CN"/>
        </w:rPr>
        <w:t>3</w:t>
      </w:r>
      <w:r>
        <w:rPr>
          <w:rFonts w:ascii="Times New Roman" w:cs="Times New Roman"/>
          <w:color w:val="auto"/>
          <w:sz w:val="24"/>
          <w:szCs w:val="24"/>
          <w:highlight w:val="none"/>
        </w:rPr>
        <w:t>月</w:t>
      </w:r>
      <w:r>
        <w:rPr>
          <w:rFonts w:hint="eastAsia" w:cs="Times New Roman"/>
          <w:color w:val="auto"/>
          <w:sz w:val="24"/>
          <w:szCs w:val="24"/>
          <w:highlight w:val="none"/>
          <w:lang w:val="en-US" w:eastAsia="zh-CN"/>
        </w:rPr>
        <w:t>17</w:t>
      </w:r>
      <w:r>
        <w:rPr>
          <w:rFonts w:ascii="Times New Roman" w:cs="Times New Roman"/>
          <w:color w:val="auto"/>
          <w:sz w:val="24"/>
          <w:szCs w:val="24"/>
          <w:highlight w:val="none"/>
        </w:rPr>
        <w:t>日，黑龙江省人民政府以</w:t>
      </w:r>
      <w:r>
        <w:rPr>
          <w:rFonts w:hint="eastAsia" w:ascii="Times New Roman" w:cs="Times New Roman"/>
          <w:color w:val="auto"/>
          <w:sz w:val="24"/>
          <w:szCs w:val="24"/>
          <w:highlight w:val="none"/>
        </w:rPr>
        <w:t>“</w:t>
      </w:r>
      <w:r>
        <w:rPr>
          <w:rFonts w:ascii="Times New Roman" w:cs="Times New Roman"/>
          <w:color w:val="auto"/>
          <w:sz w:val="24"/>
          <w:szCs w:val="24"/>
          <w:highlight w:val="none"/>
        </w:rPr>
        <w:t>黑政函</w:t>
      </w:r>
      <w:r>
        <w:rPr>
          <w:rFonts w:hint="eastAsia" w:hAnsi="宋体"/>
          <w:color w:val="auto"/>
          <w:sz w:val="24"/>
          <w:szCs w:val="24"/>
          <w:highlight w:val="none"/>
        </w:rPr>
        <w:t>〔</w:t>
      </w:r>
      <w:r>
        <w:rPr>
          <w:rFonts w:ascii="Times New Roman" w:cs="Times New Roman"/>
          <w:color w:val="auto"/>
          <w:sz w:val="24"/>
          <w:szCs w:val="24"/>
          <w:highlight w:val="none"/>
        </w:rPr>
        <w:t>20</w:t>
      </w:r>
      <w:r>
        <w:rPr>
          <w:rFonts w:hint="eastAsia" w:cs="Times New Roman"/>
          <w:color w:val="auto"/>
          <w:sz w:val="24"/>
          <w:szCs w:val="24"/>
          <w:highlight w:val="none"/>
          <w:lang w:val="en-US" w:eastAsia="zh-CN"/>
        </w:rPr>
        <w:t>18</w:t>
      </w:r>
      <w:r>
        <w:rPr>
          <w:rFonts w:hint="eastAsia" w:hAnsi="宋体"/>
          <w:color w:val="auto"/>
          <w:sz w:val="24"/>
          <w:szCs w:val="24"/>
          <w:highlight w:val="none"/>
        </w:rPr>
        <w:t>〕</w:t>
      </w:r>
      <w:r>
        <w:rPr>
          <w:rFonts w:hint="eastAsia" w:cs="Times New Roman"/>
          <w:color w:val="auto"/>
          <w:sz w:val="24"/>
          <w:szCs w:val="24"/>
          <w:highlight w:val="none"/>
          <w:lang w:val="en-US" w:eastAsia="zh-CN"/>
        </w:rPr>
        <w:t>21</w:t>
      </w:r>
      <w:r>
        <w:rPr>
          <w:rFonts w:hint="eastAsia" w:ascii="Times New Roman" w:cs="Times New Roman"/>
          <w:color w:val="auto"/>
          <w:sz w:val="24"/>
          <w:szCs w:val="24"/>
          <w:highlight w:val="none"/>
        </w:rPr>
        <w:t>号”</w:t>
      </w:r>
      <w:r>
        <w:rPr>
          <w:rFonts w:ascii="Times New Roman" w:cs="Times New Roman"/>
          <w:color w:val="auto"/>
          <w:sz w:val="24"/>
          <w:szCs w:val="24"/>
          <w:highlight w:val="none"/>
        </w:rPr>
        <w:t>对</w:t>
      </w:r>
      <w:r>
        <w:rPr>
          <w:rFonts w:hint="eastAsia" w:hAnsi="宋体"/>
          <w:color w:val="auto"/>
          <w:szCs w:val="28"/>
          <w:highlight w:val="none"/>
          <w:lang w:val="en-US" w:eastAsia="zh-CN"/>
        </w:rPr>
        <w:t>庆安</w:t>
      </w:r>
      <w:r>
        <w:rPr>
          <w:rFonts w:hint="eastAsia" w:hAnsi="宋体"/>
          <w:color w:val="auto"/>
          <w:szCs w:val="28"/>
          <w:highlight w:val="none"/>
        </w:rPr>
        <w:t>县</w:t>
      </w:r>
      <w:r>
        <w:rPr>
          <w:rFonts w:hint="eastAsia" w:hAnsi="宋体"/>
          <w:color w:val="auto"/>
          <w:szCs w:val="28"/>
          <w:highlight w:val="none"/>
          <w:lang w:val="en-US" w:eastAsia="zh-CN"/>
        </w:rPr>
        <w:t>3个乡镇</w:t>
      </w:r>
      <w:r>
        <w:rPr>
          <w:rFonts w:hint="eastAsia" w:hAnsi="宋体"/>
          <w:color w:val="auto"/>
          <w:szCs w:val="28"/>
          <w:highlight w:val="none"/>
        </w:rPr>
        <w:t>的</w:t>
      </w:r>
      <w:r>
        <w:rPr>
          <w:rFonts w:hint="eastAsia" w:hAnsi="宋体"/>
          <w:color w:val="auto"/>
          <w:szCs w:val="28"/>
          <w:highlight w:val="none"/>
          <w:lang w:val="en-US" w:eastAsia="zh-CN"/>
        </w:rPr>
        <w:t>4</w:t>
      </w:r>
      <w:r>
        <w:rPr>
          <w:rFonts w:hint="eastAsia" w:hAnsi="宋体"/>
          <w:color w:val="auto"/>
          <w:szCs w:val="28"/>
          <w:highlight w:val="none"/>
        </w:rPr>
        <w:t>个农村集中式饮用水水源（共</w:t>
      </w:r>
      <w:r>
        <w:rPr>
          <w:rFonts w:hint="eastAsia" w:hAnsi="宋体"/>
          <w:color w:val="auto"/>
          <w:szCs w:val="28"/>
          <w:highlight w:val="none"/>
          <w:lang w:val="en-US" w:eastAsia="zh-CN"/>
        </w:rPr>
        <w:t>5</w:t>
      </w:r>
      <w:r>
        <w:rPr>
          <w:rFonts w:hint="eastAsia" w:hAnsi="宋体"/>
          <w:color w:val="auto"/>
          <w:szCs w:val="28"/>
          <w:highlight w:val="none"/>
          <w:lang w:eastAsia="zh-CN"/>
        </w:rPr>
        <w:t>眼井</w:t>
      </w:r>
      <w:r>
        <w:rPr>
          <w:rFonts w:hint="eastAsia" w:hAnsi="宋体"/>
          <w:color w:val="auto"/>
          <w:szCs w:val="28"/>
          <w:highlight w:val="none"/>
        </w:rPr>
        <w:t>）保护区</w:t>
      </w:r>
      <w:r>
        <w:rPr>
          <w:rFonts w:ascii="Times New Roman" w:cs="Times New Roman"/>
          <w:color w:val="auto"/>
          <w:sz w:val="24"/>
          <w:szCs w:val="24"/>
          <w:highlight w:val="none"/>
        </w:rPr>
        <w:t>范围进行了批复</w:t>
      </w:r>
      <w:r>
        <w:rPr>
          <w:rFonts w:hint="eastAsia" w:ascii="Times New Roman" w:cs="Times New Roman"/>
          <w:color w:val="auto"/>
          <w:sz w:val="24"/>
          <w:szCs w:val="24"/>
          <w:highlight w:val="none"/>
          <w:lang w:eastAsia="zh-CN"/>
        </w:rPr>
        <w:t>。</w:t>
      </w:r>
      <w:r>
        <w:rPr>
          <w:rFonts w:ascii="Times New Roman" w:cs="Times New Roman"/>
          <w:color w:val="auto"/>
          <w:sz w:val="24"/>
          <w:szCs w:val="24"/>
          <w:highlight w:val="none"/>
        </w:rPr>
        <w:t>20</w:t>
      </w:r>
      <w:r>
        <w:rPr>
          <w:rFonts w:hint="eastAsia" w:ascii="Times New Roman" w:cs="Times New Roman"/>
          <w:color w:val="auto"/>
          <w:sz w:val="24"/>
          <w:szCs w:val="24"/>
          <w:highlight w:val="none"/>
          <w:lang w:val="en-US" w:eastAsia="zh-CN"/>
        </w:rPr>
        <w:t>1</w:t>
      </w:r>
      <w:r>
        <w:rPr>
          <w:rFonts w:hint="eastAsia" w:cs="Times New Roman"/>
          <w:color w:val="auto"/>
          <w:sz w:val="24"/>
          <w:szCs w:val="24"/>
          <w:highlight w:val="none"/>
          <w:lang w:val="en-US" w:eastAsia="zh-CN"/>
        </w:rPr>
        <w:t>9</w:t>
      </w:r>
      <w:r>
        <w:rPr>
          <w:rFonts w:ascii="Times New Roman" w:cs="Times New Roman"/>
          <w:color w:val="auto"/>
          <w:sz w:val="24"/>
          <w:szCs w:val="24"/>
          <w:highlight w:val="none"/>
        </w:rPr>
        <w:t>年</w:t>
      </w:r>
      <w:r>
        <w:rPr>
          <w:rFonts w:hint="eastAsia" w:cs="Times New Roman"/>
          <w:color w:val="auto"/>
          <w:sz w:val="24"/>
          <w:szCs w:val="24"/>
          <w:highlight w:val="none"/>
          <w:lang w:val="en-US" w:eastAsia="zh-CN"/>
        </w:rPr>
        <w:t>12</w:t>
      </w:r>
      <w:r>
        <w:rPr>
          <w:rFonts w:ascii="Times New Roman" w:cs="Times New Roman"/>
          <w:color w:val="auto"/>
          <w:sz w:val="24"/>
          <w:szCs w:val="24"/>
          <w:highlight w:val="none"/>
        </w:rPr>
        <w:t>月</w:t>
      </w:r>
      <w:r>
        <w:rPr>
          <w:rFonts w:hint="eastAsia" w:cs="Times New Roman"/>
          <w:color w:val="auto"/>
          <w:sz w:val="24"/>
          <w:szCs w:val="24"/>
          <w:highlight w:val="none"/>
          <w:lang w:val="en-US" w:eastAsia="zh-CN"/>
        </w:rPr>
        <w:t>26</w:t>
      </w:r>
      <w:r>
        <w:rPr>
          <w:rFonts w:ascii="Times New Roman" w:cs="Times New Roman"/>
          <w:color w:val="auto"/>
          <w:sz w:val="24"/>
          <w:szCs w:val="24"/>
          <w:highlight w:val="none"/>
        </w:rPr>
        <w:t>日，黑龙江省人民政府以</w:t>
      </w:r>
      <w:r>
        <w:rPr>
          <w:rFonts w:hint="eastAsia" w:ascii="Times New Roman" w:cs="Times New Roman"/>
          <w:color w:val="auto"/>
          <w:sz w:val="24"/>
          <w:szCs w:val="24"/>
          <w:highlight w:val="none"/>
        </w:rPr>
        <w:t>“</w:t>
      </w:r>
      <w:r>
        <w:rPr>
          <w:rFonts w:ascii="Times New Roman" w:cs="Times New Roman"/>
          <w:color w:val="auto"/>
          <w:sz w:val="24"/>
          <w:szCs w:val="24"/>
          <w:highlight w:val="none"/>
        </w:rPr>
        <w:t>黑政函</w:t>
      </w:r>
      <w:r>
        <w:rPr>
          <w:rFonts w:hint="eastAsia" w:hAnsi="宋体"/>
          <w:color w:val="auto"/>
          <w:sz w:val="24"/>
          <w:szCs w:val="24"/>
          <w:highlight w:val="none"/>
        </w:rPr>
        <w:t>〔</w:t>
      </w:r>
      <w:r>
        <w:rPr>
          <w:rFonts w:ascii="Times New Roman" w:cs="Times New Roman"/>
          <w:color w:val="auto"/>
          <w:sz w:val="24"/>
          <w:szCs w:val="24"/>
          <w:highlight w:val="none"/>
        </w:rPr>
        <w:t>20</w:t>
      </w:r>
      <w:r>
        <w:rPr>
          <w:rFonts w:hint="eastAsia" w:cs="Times New Roman"/>
          <w:color w:val="auto"/>
          <w:sz w:val="24"/>
          <w:szCs w:val="24"/>
          <w:highlight w:val="none"/>
          <w:lang w:val="en-US" w:eastAsia="zh-CN"/>
        </w:rPr>
        <w:t>19</w:t>
      </w:r>
      <w:r>
        <w:rPr>
          <w:rFonts w:hint="eastAsia" w:hAnsi="宋体"/>
          <w:color w:val="auto"/>
          <w:sz w:val="24"/>
          <w:szCs w:val="24"/>
          <w:highlight w:val="none"/>
        </w:rPr>
        <w:t>〕</w:t>
      </w:r>
      <w:r>
        <w:rPr>
          <w:rFonts w:hint="eastAsia" w:hAnsi="宋体"/>
          <w:color w:val="auto"/>
          <w:sz w:val="24"/>
          <w:szCs w:val="24"/>
          <w:highlight w:val="none"/>
          <w:lang w:val="en-US" w:eastAsia="zh-CN"/>
        </w:rPr>
        <w:t>118</w:t>
      </w:r>
      <w:r>
        <w:rPr>
          <w:rFonts w:hint="eastAsia" w:ascii="Times New Roman" w:cs="Times New Roman"/>
          <w:color w:val="auto"/>
          <w:sz w:val="24"/>
          <w:szCs w:val="24"/>
          <w:highlight w:val="none"/>
        </w:rPr>
        <w:t>号”</w:t>
      </w:r>
      <w:r>
        <w:rPr>
          <w:rFonts w:ascii="Times New Roman" w:cs="Times New Roman"/>
          <w:color w:val="auto"/>
          <w:sz w:val="24"/>
          <w:szCs w:val="24"/>
          <w:highlight w:val="none"/>
        </w:rPr>
        <w:t>对</w:t>
      </w:r>
      <w:r>
        <w:rPr>
          <w:rFonts w:hint="eastAsia" w:hAnsi="宋体"/>
          <w:color w:val="auto"/>
          <w:szCs w:val="28"/>
          <w:highlight w:val="none"/>
          <w:lang w:val="en-US" w:eastAsia="zh-CN"/>
        </w:rPr>
        <w:t>庆安</w:t>
      </w:r>
      <w:r>
        <w:rPr>
          <w:rFonts w:hint="eastAsia" w:hAnsi="宋体"/>
          <w:color w:val="auto"/>
          <w:szCs w:val="28"/>
          <w:highlight w:val="none"/>
        </w:rPr>
        <w:t>县</w:t>
      </w:r>
      <w:r>
        <w:rPr>
          <w:rFonts w:hint="eastAsia"/>
          <w:color w:val="auto"/>
          <w:highlight w:val="none"/>
        </w:rPr>
        <w:t>民乐镇等9个饮用水水源</w:t>
      </w:r>
      <w:r>
        <w:rPr>
          <w:rFonts w:hint="eastAsia" w:hAnsi="宋体"/>
          <w:color w:val="auto"/>
          <w:szCs w:val="28"/>
          <w:highlight w:val="none"/>
        </w:rPr>
        <w:t>（共</w:t>
      </w:r>
      <w:r>
        <w:rPr>
          <w:rFonts w:hint="eastAsia" w:hAnsi="宋体"/>
          <w:color w:val="auto"/>
          <w:szCs w:val="28"/>
          <w:highlight w:val="none"/>
          <w:lang w:val="en-US" w:eastAsia="zh-CN"/>
        </w:rPr>
        <w:t>11</w:t>
      </w:r>
      <w:r>
        <w:rPr>
          <w:rFonts w:ascii="Times New Roman" w:cs="Times New Roman"/>
          <w:color w:val="auto"/>
          <w:sz w:val="24"/>
          <w:szCs w:val="24"/>
          <w:highlight w:val="none"/>
        </w:rPr>
        <w:t>眼</w:t>
      </w:r>
      <w:r>
        <w:rPr>
          <w:rFonts w:hint="eastAsia" w:hAnsi="宋体"/>
          <w:color w:val="auto"/>
          <w:szCs w:val="28"/>
          <w:highlight w:val="none"/>
        </w:rPr>
        <w:t>井）保护区</w:t>
      </w:r>
      <w:r>
        <w:rPr>
          <w:rFonts w:ascii="Times New Roman" w:cs="Times New Roman"/>
          <w:color w:val="auto"/>
          <w:sz w:val="24"/>
          <w:szCs w:val="24"/>
          <w:highlight w:val="none"/>
        </w:rPr>
        <w:t>范围进行了批复</w:t>
      </w:r>
      <w:r>
        <w:rPr>
          <w:rFonts w:hint="eastAsia" w:ascii="Times New Roman" w:cs="Times New Roman"/>
          <w:color w:val="auto"/>
          <w:sz w:val="24"/>
          <w:szCs w:val="24"/>
          <w:highlight w:val="none"/>
          <w:lang w:eastAsia="zh-CN"/>
        </w:rPr>
        <w:t>。</w:t>
      </w:r>
      <w:r>
        <w:rPr>
          <w:rFonts w:ascii="Times New Roman" w:cs="Times New Roman"/>
          <w:color w:val="auto"/>
          <w:sz w:val="24"/>
          <w:szCs w:val="24"/>
          <w:highlight w:val="none"/>
        </w:rPr>
        <w:t>20</w:t>
      </w:r>
      <w:r>
        <w:rPr>
          <w:rFonts w:hint="eastAsia" w:cs="Times New Roman"/>
          <w:color w:val="auto"/>
          <w:sz w:val="24"/>
          <w:szCs w:val="24"/>
          <w:highlight w:val="none"/>
          <w:lang w:val="en-US" w:eastAsia="zh-CN"/>
        </w:rPr>
        <w:t>21</w:t>
      </w:r>
      <w:r>
        <w:rPr>
          <w:rFonts w:ascii="Times New Roman" w:cs="Times New Roman"/>
          <w:color w:val="auto"/>
          <w:sz w:val="24"/>
          <w:szCs w:val="24"/>
          <w:highlight w:val="none"/>
        </w:rPr>
        <w:t>年</w:t>
      </w:r>
      <w:r>
        <w:rPr>
          <w:rFonts w:hint="eastAsia" w:cs="Times New Roman"/>
          <w:color w:val="auto"/>
          <w:sz w:val="24"/>
          <w:szCs w:val="24"/>
          <w:highlight w:val="none"/>
          <w:lang w:val="en-US" w:eastAsia="zh-CN"/>
        </w:rPr>
        <w:t>7</w:t>
      </w:r>
      <w:r>
        <w:rPr>
          <w:rFonts w:ascii="Times New Roman" w:cs="Times New Roman"/>
          <w:color w:val="auto"/>
          <w:sz w:val="24"/>
          <w:szCs w:val="24"/>
          <w:highlight w:val="none"/>
        </w:rPr>
        <w:t>月</w:t>
      </w:r>
      <w:r>
        <w:rPr>
          <w:rFonts w:hint="eastAsia" w:cs="Times New Roman"/>
          <w:color w:val="auto"/>
          <w:sz w:val="24"/>
          <w:szCs w:val="24"/>
          <w:highlight w:val="none"/>
          <w:lang w:val="en-US" w:eastAsia="zh-CN"/>
        </w:rPr>
        <w:t>9</w:t>
      </w:r>
      <w:r>
        <w:rPr>
          <w:rFonts w:ascii="Times New Roman" w:cs="Times New Roman"/>
          <w:color w:val="auto"/>
          <w:sz w:val="24"/>
          <w:szCs w:val="24"/>
          <w:highlight w:val="none"/>
        </w:rPr>
        <w:t>日，黑龙江省人民政府以</w:t>
      </w:r>
      <w:r>
        <w:rPr>
          <w:rFonts w:hint="eastAsia" w:ascii="Times New Roman" w:cs="Times New Roman"/>
          <w:color w:val="auto"/>
          <w:sz w:val="24"/>
          <w:szCs w:val="24"/>
          <w:highlight w:val="none"/>
        </w:rPr>
        <w:t>“</w:t>
      </w:r>
      <w:r>
        <w:rPr>
          <w:rFonts w:ascii="Times New Roman" w:cs="Times New Roman"/>
          <w:color w:val="auto"/>
          <w:sz w:val="24"/>
          <w:szCs w:val="24"/>
          <w:highlight w:val="none"/>
        </w:rPr>
        <w:t>黑政函</w:t>
      </w:r>
      <w:r>
        <w:rPr>
          <w:rFonts w:hint="eastAsia" w:hAnsi="宋体"/>
          <w:color w:val="auto"/>
          <w:sz w:val="24"/>
          <w:szCs w:val="24"/>
          <w:highlight w:val="none"/>
        </w:rPr>
        <w:t>〔</w:t>
      </w:r>
      <w:r>
        <w:rPr>
          <w:rFonts w:ascii="Times New Roman" w:cs="Times New Roman"/>
          <w:color w:val="auto"/>
          <w:sz w:val="24"/>
          <w:szCs w:val="24"/>
          <w:highlight w:val="none"/>
        </w:rPr>
        <w:t>20</w:t>
      </w:r>
      <w:r>
        <w:rPr>
          <w:rFonts w:hint="eastAsia" w:cs="Times New Roman"/>
          <w:color w:val="auto"/>
          <w:sz w:val="24"/>
          <w:szCs w:val="24"/>
          <w:highlight w:val="none"/>
          <w:lang w:val="en-US" w:eastAsia="zh-CN"/>
        </w:rPr>
        <w:t>21</w:t>
      </w:r>
      <w:r>
        <w:rPr>
          <w:rFonts w:hint="eastAsia" w:hAnsi="宋体"/>
          <w:color w:val="auto"/>
          <w:sz w:val="24"/>
          <w:szCs w:val="24"/>
          <w:highlight w:val="none"/>
        </w:rPr>
        <w:t>〕</w:t>
      </w:r>
      <w:r>
        <w:rPr>
          <w:rFonts w:hint="eastAsia" w:cs="Times New Roman"/>
          <w:color w:val="auto"/>
          <w:sz w:val="24"/>
          <w:szCs w:val="24"/>
          <w:highlight w:val="none"/>
          <w:lang w:val="en-US" w:eastAsia="zh-CN"/>
        </w:rPr>
        <w:t>51</w:t>
      </w:r>
      <w:r>
        <w:rPr>
          <w:rFonts w:hint="eastAsia" w:ascii="Times New Roman" w:cs="Times New Roman"/>
          <w:color w:val="auto"/>
          <w:sz w:val="24"/>
          <w:szCs w:val="24"/>
          <w:highlight w:val="none"/>
        </w:rPr>
        <w:t>号”</w:t>
      </w:r>
      <w:r>
        <w:rPr>
          <w:rFonts w:ascii="Times New Roman" w:cs="Times New Roman"/>
          <w:color w:val="auto"/>
          <w:sz w:val="24"/>
          <w:szCs w:val="24"/>
          <w:highlight w:val="none"/>
        </w:rPr>
        <w:t>对庆安县勤劳镇3#、4#井及丰收乡丰泰村饮用水水源</w:t>
      </w:r>
      <w:r>
        <w:rPr>
          <w:rFonts w:hint="eastAsia" w:cs="Times New Roman"/>
          <w:color w:val="auto"/>
          <w:sz w:val="24"/>
          <w:szCs w:val="24"/>
          <w:highlight w:val="none"/>
          <w:lang w:val="en-US" w:eastAsia="zh-CN"/>
        </w:rPr>
        <w:t>（</w:t>
      </w:r>
      <w:r>
        <w:rPr>
          <w:rFonts w:hint="eastAsia" w:hAnsi="宋体"/>
          <w:color w:val="auto"/>
          <w:szCs w:val="28"/>
          <w:highlight w:val="none"/>
        </w:rPr>
        <w:t>共</w:t>
      </w:r>
      <w:r>
        <w:rPr>
          <w:rFonts w:hint="eastAsia" w:hAnsi="宋体"/>
          <w:color w:val="auto"/>
          <w:szCs w:val="28"/>
          <w:highlight w:val="none"/>
          <w:lang w:val="en-US" w:eastAsia="zh-CN"/>
        </w:rPr>
        <w:t>3</w:t>
      </w:r>
      <w:r>
        <w:rPr>
          <w:rFonts w:hint="eastAsia" w:hAnsi="宋体"/>
          <w:color w:val="auto"/>
          <w:szCs w:val="28"/>
          <w:highlight w:val="none"/>
          <w:lang w:eastAsia="zh-CN"/>
        </w:rPr>
        <w:t>眼井</w:t>
      </w:r>
      <w:r>
        <w:rPr>
          <w:rFonts w:hint="eastAsia" w:cs="Times New Roman"/>
          <w:color w:val="auto"/>
          <w:sz w:val="24"/>
          <w:szCs w:val="24"/>
          <w:highlight w:val="none"/>
          <w:lang w:val="en-US" w:eastAsia="zh-CN"/>
        </w:rPr>
        <w:t>）</w:t>
      </w:r>
      <w:r>
        <w:rPr>
          <w:rFonts w:ascii="Times New Roman" w:cs="Times New Roman"/>
          <w:color w:val="auto"/>
          <w:sz w:val="24"/>
          <w:szCs w:val="24"/>
          <w:highlight w:val="none"/>
        </w:rPr>
        <w:t>保护区范围进行了批复</w:t>
      </w:r>
      <w:r>
        <w:rPr>
          <w:rFonts w:hint="eastAsia" w:ascii="Times New Roman" w:cs="Times New Roman"/>
          <w:color w:val="auto"/>
          <w:sz w:val="24"/>
          <w:szCs w:val="24"/>
          <w:highlight w:val="none"/>
          <w:lang w:eastAsia="zh-CN"/>
        </w:rPr>
        <w:t>。</w:t>
      </w:r>
      <w:r>
        <w:rPr>
          <w:rFonts w:ascii="Times New Roman" w:cs="Times New Roman"/>
          <w:color w:val="auto"/>
          <w:sz w:val="24"/>
          <w:szCs w:val="24"/>
          <w:highlight w:val="none"/>
        </w:rPr>
        <w:t>20</w:t>
      </w:r>
      <w:r>
        <w:rPr>
          <w:rFonts w:hint="eastAsia" w:cs="Times New Roman"/>
          <w:color w:val="auto"/>
          <w:sz w:val="24"/>
          <w:szCs w:val="24"/>
          <w:highlight w:val="none"/>
          <w:lang w:val="en-US" w:eastAsia="zh-CN"/>
        </w:rPr>
        <w:t>21</w:t>
      </w:r>
      <w:r>
        <w:rPr>
          <w:rFonts w:ascii="Times New Roman" w:cs="Times New Roman"/>
          <w:color w:val="auto"/>
          <w:sz w:val="24"/>
          <w:szCs w:val="24"/>
          <w:highlight w:val="none"/>
        </w:rPr>
        <w:t>年</w:t>
      </w:r>
      <w:r>
        <w:rPr>
          <w:rFonts w:hint="eastAsia" w:cs="Times New Roman"/>
          <w:color w:val="auto"/>
          <w:sz w:val="24"/>
          <w:szCs w:val="24"/>
          <w:highlight w:val="none"/>
          <w:lang w:val="en-US" w:eastAsia="zh-CN"/>
        </w:rPr>
        <w:t>11</w:t>
      </w:r>
      <w:r>
        <w:rPr>
          <w:rFonts w:ascii="Times New Roman" w:cs="Times New Roman"/>
          <w:color w:val="auto"/>
          <w:sz w:val="24"/>
          <w:szCs w:val="24"/>
          <w:highlight w:val="none"/>
        </w:rPr>
        <w:t>月</w:t>
      </w:r>
      <w:r>
        <w:rPr>
          <w:rFonts w:hint="eastAsia" w:cs="Times New Roman"/>
          <w:color w:val="auto"/>
          <w:sz w:val="24"/>
          <w:szCs w:val="24"/>
          <w:highlight w:val="none"/>
          <w:lang w:val="en-US" w:eastAsia="zh-CN"/>
        </w:rPr>
        <w:t>5</w:t>
      </w:r>
      <w:r>
        <w:rPr>
          <w:rFonts w:ascii="Times New Roman" w:cs="Times New Roman"/>
          <w:color w:val="auto"/>
          <w:sz w:val="24"/>
          <w:szCs w:val="24"/>
          <w:highlight w:val="none"/>
        </w:rPr>
        <w:t>日，黑龙江省人民政府以</w:t>
      </w:r>
      <w:r>
        <w:rPr>
          <w:rFonts w:hint="eastAsia" w:ascii="Times New Roman" w:cs="Times New Roman"/>
          <w:color w:val="auto"/>
          <w:sz w:val="24"/>
          <w:szCs w:val="24"/>
          <w:highlight w:val="none"/>
        </w:rPr>
        <w:t>“</w:t>
      </w:r>
      <w:r>
        <w:rPr>
          <w:rFonts w:ascii="Times New Roman" w:cs="Times New Roman"/>
          <w:color w:val="auto"/>
          <w:sz w:val="24"/>
          <w:szCs w:val="24"/>
          <w:highlight w:val="none"/>
        </w:rPr>
        <w:t>黑政函</w:t>
      </w:r>
      <w:r>
        <w:rPr>
          <w:rFonts w:hint="eastAsia" w:hAnsi="宋体"/>
          <w:color w:val="auto"/>
          <w:sz w:val="24"/>
          <w:szCs w:val="24"/>
          <w:highlight w:val="none"/>
        </w:rPr>
        <w:t>〔</w:t>
      </w:r>
      <w:r>
        <w:rPr>
          <w:rFonts w:ascii="Times New Roman" w:cs="Times New Roman"/>
          <w:color w:val="auto"/>
          <w:sz w:val="24"/>
          <w:szCs w:val="24"/>
          <w:highlight w:val="none"/>
        </w:rPr>
        <w:t>20</w:t>
      </w:r>
      <w:r>
        <w:rPr>
          <w:rFonts w:hint="eastAsia" w:cs="Times New Roman"/>
          <w:color w:val="auto"/>
          <w:sz w:val="24"/>
          <w:szCs w:val="24"/>
          <w:highlight w:val="none"/>
          <w:lang w:val="en-US" w:eastAsia="zh-CN"/>
        </w:rPr>
        <w:t>21</w:t>
      </w:r>
      <w:r>
        <w:rPr>
          <w:rFonts w:hint="eastAsia" w:hAnsi="宋体"/>
          <w:color w:val="auto"/>
          <w:sz w:val="24"/>
          <w:szCs w:val="24"/>
          <w:highlight w:val="none"/>
        </w:rPr>
        <w:t>〕</w:t>
      </w:r>
      <w:r>
        <w:rPr>
          <w:rFonts w:hint="eastAsia" w:cs="Times New Roman"/>
          <w:color w:val="auto"/>
          <w:sz w:val="24"/>
          <w:szCs w:val="24"/>
          <w:highlight w:val="none"/>
          <w:lang w:val="en-US" w:eastAsia="zh-CN"/>
        </w:rPr>
        <w:t>97</w:t>
      </w:r>
      <w:r>
        <w:rPr>
          <w:rFonts w:hint="eastAsia" w:ascii="Times New Roman" w:cs="Times New Roman"/>
          <w:color w:val="auto"/>
          <w:sz w:val="24"/>
          <w:szCs w:val="24"/>
          <w:highlight w:val="none"/>
        </w:rPr>
        <w:t>号”</w:t>
      </w:r>
      <w:r>
        <w:rPr>
          <w:rFonts w:ascii="Times New Roman" w:cs="Times New Roman"/>
          <w:color w:val="auto"/>
          <w:sz w:val="24"/>
          <w:szCs w:val="24"/>
          <w:highlight w:val="none"/>
        </w:rPr>
        <w:t>对</w:t>
      </w:r>
      <w:r>
        <w:rPr>
          <w:rFonts w:hint="eastAsia" w:ascii="Times New Roman" w:cs="Times New Roman"/>
          <w:color w:val="auto"/>
          <w:sz w:val="24"/>
          <w:szCs w:val="24"/>
          <w:highlight w:val="none"/>
        </w:rPr>
        <w:t>庆安县柳河镇、大罗镇2#井及久胜镇久旺村2#井</w:t>
      </w:r>
      <w:r>
        <w:rPr>
          <w:rFonts w:ascii="Times New Roman" w:cs="Times New Roman"/>
          <w:color w:val="auto"/>
          <w:sz w:val="24"/>
          <w:szCs w:val="24"/>
          <w:highlight w:val="none"/>
        </w:rPr>
        <w:t>饮用水水源</w:t>
      </w:r>
      <w:r>
        <w:rPr>
          <w:rFonts w:hint="eastAsia" w:cs="Times New Roman"/>
          <w:color w:val="auto"/>
          <w:sz w:val="24"/>
          <w:szCs w:val="24"/>
          <w:highlight w:val="none"/>
          <w:lang w:val="en-US" w:eastAsia="zh-CN"/>
        </w:rPr>
        <w:t>（</w:t>
      </w:r>
      <w:r>
        <w:rPr>
          <w:rFonts w:hint="eastAsia" w:hAnsi="宋体"/>
          <w:color w:val="auto"/>
          <w:szCs w:val="28"/>
          <w:highlight w:val="none"/>
        </w:rPr>
        <w:t>共</w:t>
      </w:r>
      <w:r>
        <w:rPr>
          <w:rFonts w:hint="eastAsia" w:hAnsi="宋体"/>
          <w:color w:val="auto"/>
          <w:szCs w:val="28"/>
          <w:highlight w:val="none"/>
          <w:lang w:val="en-US" w:eastAsia="zh-CN"/>
        </w:rPr>
        <w:t>3</w:t>
      </w:r>
      <w:r>
        <w:rPr>
          <w:rFonts w:hint="eastAsia" w:hAnsi="宋体"/>
          <w:color w:val="auto"/>
          <w:szCs w:val="28"/>
          <w:highlight w:val="none"/>
          <w:lang w:eastAsia="zh-CN"/>
        </w:rPr>
        <w:t>眼井</w:t>
      </w:r>
      <w:r>
        <w:rPr>
          <w:rFonts w:hint="eastAsia" w:cs="Times New Roman"/>
          <w:color w:val="auto"/>
          <w:sz w:val="24"/>
          <w:szCs w:val="24"/>
          <w:highlight w:val="none"/>
          <w:lang w:val="en-US" w:eastAsia="zh-CN"/>
        </w:rPr>
        <w:t>）</w:t>
      </w:r>
      <w:r>
        <w:rPr>
          <w:rFonts w:ascii="Times New Roman" w:cs="Times New Roman"/>
          <w:color w:val="auto"/>
          <w:sz w:val="24"/>
          <w:szCs w:val="24"/>
          <w:highlight w:val="none"/>
        </w:rPr>
        <w:t>保护区范围进行了批复</w:t>
      </w:r>
      <w:r>
        <w:rPr>
          <w:rFonts w:hint="eastAsia" w:ascii="Times New Roman" w:cs="Times New Roman"/>
          <w:color w:val="auto"/>
          <w:sz w:val="24"/>
          <w:szCs w:val="24"/>
          <w:highlight w:val="none"/>
          <w:lang w:eastAsia="zh-CN"/>
        </w:rPr>
        <w:t>。</w:t>
      </w:r>
    </w:p>
    <w:p w14:paraId="31340A93">
      <w:pPr>
        <w:keepNext w:val="0"/>
        <w:keepLines w:val="0"/>
        <w:pageBreakBefore w:val="0"/>
        <w:widowControl w:val="0"/>
        <w:kinsoku/>
        <w:wordWrap/>
        <w:overflowPunct/>
        <w:topLinePunct w:val="0"/>
        <w:autoSpaceDE/>
        <w:autoSpaceDN/>
        <w:bidi w:val="0"/>
        <w:adjustRightInd/>
        <w:snapToGrid/>
        <w:spacing w:line="360" w:lineRule="auto"/>
        <w:ind w:firstLine="472" w:firstLineChars="200"/>
        <w:jc w:val="both"/>
        <w:textAlignment w:val="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本次</w:t>
      </w:r>
      <w:r>
        <w:rPr>
          <w:rFonts w:hint="eastAsia" w:cs="Times New Roman"/>
          <w:color w:val="auto"/>
          <w:highlight w:val="none"/>
          <w:lang w:val="en-US" w:eastAsia="zh-CN"/>
        </w:rPr>
        <w:t>调整</w:t>
      </w:r>
      <w:r>
        <w:rPr>
          <w:rFonts w:hint="eastAsia" w:ascii="Times New Roman" w:hAnsi="Times New Roman" w:eastAsia="宋体" w:cs="Times New Roman"/>
          <w:color w:val="auto"/>
          <w:highlight w:val="none"/>
          <w:lang w:val="en-US" w:eastAsia="zh-CN"/>
        </w:rPr>
        <w:t>被</w:t>
      </w:r>
      <w:r>
        <w:rPr>
          <w:rFonts w:hint="eastAsia" w:ascii="Times New Roman" w:hAnsi="Times New Roman" w:eastAsia="宋体" w:cs="Times New Roman"/>
          <w:color w:val="auto"/>
          <w:highlight w:val="none"/>
          <w:lang w:eastAsia="zh-CN"/>
        </w:rPr>
        <w:t>替代的</w:t>
      </w:r>
      <w:r>
        <w:rPr>
          <w:rFonts w:hint="eastAsia" w:ascii="Times New Roman" w:hAnsi="Times New Roman" w:eastAsia="宋体" w:cs="Times New Roman"/>
          <w:color w:val="auto"/>
          <w:highlight w:val="none"/>
        </w:rPr>
        <w:t>已批复水源地</w:t>
      </w:r>
      <w:r>
        <w:rPr>
          <w:rFonts w:hint="eastAsia" w:ascii="Times New Roman" w:hAnsi="Times New Roman" w:eastAsia="宋体" w:cs="Times New Roman"/>
          <w:color w:val="auto"/>
          <w:highlight w:val="none"/>
          <w:lang w:eastAsia="zh-CN"/>
        </w:rPr>
        <w:t>现状情况见表</w:t>
      </w:r>
      <w:r>
        <w:rPr>
          <w:rFonts w:hint="eastAsia" w:ascii="Times New Roman" w:hAnsi="Times New Roman" w:eastAsia="宋体" w:cs="Times New Roman"/>
          <w:color w:val="auto"/>
          <w:highlight w:val="none"/>
          <w:lang w:val="en-US" w:eastAsia="zh-CN"/>
        </w:rPr>
        <w:t>2-2，</w:t>
      </w:r>
      <w:r>
        <w:rPr>
          <w:color w:val="auto"/>
          <w:sz w:val="24"/>
          <w:szCs w:val="24"/>
          <w:highlight w:val="none"/>
        </w:rPr>
        <w:t>调整前后基本情况对比见表</w:t>
      </w:r>
      <w:r>
        <w:rPr>
          <w:rFonts w:hint="eastAsia"/>
          <w:color w:val="auto"/>
          <w:sz w:val="24"/>
          <w:szCs w:val="24"/>
          <w:highlight w:val="none"/>
          <w:lang w:val="en-US" w:eastAsia="zh-CN"/>
        </w:rPr>
        <w:t>3-5至表3-11</w:t>
      </w:r>
      <w:r>
        <w:rPr>
          <w:rFonts w:hint="eastAsia"/>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饮用水</w:t>
      </w:r>
      <w:r>
        <w:rPr>
          <w:rFonts w:hint="eastAsia" w:ascii="Times New Roman" w:hAnsi="Times New Roman" w:eastAsia="宋体" w:cs="Times New Roman"/>
          <w:color w:val="auto"/>
          <w:sz w:val="24"/>
          <w:szCs w:val="24"/>
          <w:highlight w:val="none"/>
          <w:lang w:val="zh-CN"/>
        </w:rPr>
        <w:t>水源</w:t>
      </w:r>
      <w:r>
        <w:rPr>
          <w:rFonts w:hint="eastAsia" w:ascii="Times New Roman" w:hAnsi="Times New Roman" w:eastAsia="宋体" w:cs="Times New Roman"/>
          <w:color w:val="auto"/>
          <w:sz w:val="24"/>
          <w:szCs w:val="24"/>
          <w:highlight w:val="none"/>
          <w:lang w:val="en-US" w:eastAsia="zh-CN"/>
        </w:rPr>
        <w:t>保护区划分</w:t>
      </w:r>
      <w:r>
        <w:rPr>
          <w:rFonts w:hint="eastAsia" w:ascii="Times New Roman" w:hAnsi="Times New Roman" w:eastAsia="宋体" w:cs="Times New Roman"/>
          <w:color w:val="auto"/>
          <w:sz w:val="24"/>
          <w:szCs w:val="24"/>
          <w:highlight w:val="none"/>
          <w:lang w:val="zh-CN"/>
        </w:rPr>
        <w:t>前后对比图</w:t>
      </w:r>
      <w:r>
        <w:rPr>
          <w:rFonts w:hint="eastAsia" w:cs="Times New Roman"/>
          <w:color w:val="auto"/>
          <w:sz w:val="24"/>
          <w:szCs w:val="24"/>
          <w:highlight w:val="none"/>
          <w:lang w:val="zh-CN"/>
        </w:rPr>
        <w:t>见图</w:t>
      </w:r>
      <w:r>
        <w:rPr>
          <w:rFonts w:hint="eastAsia" w:cs="Times New Roman"/>
          <w:color w:val="auto"/>
          <w:sz w:val="24"/>
          <w:szCs w:val="24"/>
          <w:highlight w:val="none"/>
          <w:lang w:val="en-US" w:eastAsia="zh-CN"/>
        </w:rPr>
        <w:t>3-8至图3-14。</w:t>
      </w:r>
    </w:p>
    <w:p w14:paraId="1C831609">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center"/>
        <w:textAlignment w:val="auto"/>
        <w:rPr>
          <w:rFonts w:hint="eastAsia" w:ascii="Times New Roman" w:hAnsi="Times New Roman" w:eastAsia="黑体" w:cs="Times New Roman"/>
          <w:color w:val="auto"/>
          <w:sz w:val="24"/>
          <w:szCs w:val="24"/>
          <w:highlight w:val="none"/>
          <w:lang w:eastAsia="zh-CN"/>
        </w:rPr>
      </w:pPr>
    </w:p>
    <w:p w14:paraId="4A70513E">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center"/>
        <w:textAlignment w:val="auto"/>
        <w:rPr>
          <w:rFonts w:hint="eastAsia" w:ascii="Times New Roman" w:hAnsi="Times New Roman" w:eastAsia="黑体" w:cs="Times New Roman"/>
          <w:color w:val="auto"/>
          <w:sz w:val="24"/>
          <w:szCs w:val="24"/>
          <w:highlight w:val="none"/>
          <w:lang w:eastAsia="zh-CN"/>
        </w:rPr>
        <w:sectPr>
          <w:pgSz w:w="11905" w:h="16838"/>
          <w:pgMar w:top="1474" w:right="1474" w:bottom="1474" w:left="1474" w:header="964" w:footer="992" w:gutter="0"/>
          <w:pgBorders>
            <w:top w:val="none" w:sz="0" w:space="0"/>
            <w:left w:val="none" w:sz="0" w:space="0"/>
            <w:bottom w:val="none" w:sz="0" w:space="0"/>
            <w:right w:val="none" w:sz="0" w:space="0"/>
          </w:pgBorders>
          <w:pgNumType w:fmt="decimal"/>
          <w:cols w:space="720" w:num="1"/>
          <w:docGrid w:type="linesAndChars" w:linePitch="347" w:charSpace="-1024"/>
        </w:sectPr>
      </w:pPr>
    </w:p>
    <w:p w14:paraId="36309C30">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center"/>
        <w:textAlignment w:val="auto"/>
        <w:rPr>
          <w:rFonts w:hint="eastAsia" w:ascii="Times New Roman" w:hAnsi="Times New Roman" w:eastAsia="黑体" w:cs="Times New Roman"/>
          <w:color w:val="auto"/>
          <w:sz w:val="24"/>
          <w:szCs w:val="24"/>
          <w:highlight w:val="none"/>
          <w:lang w:eastAsia="zh-CN"/>
        </w:rPr>
      </w:pPr>
      <w:r>
        <w:rPr>
          <w:rFonts w:hint="eastAsia" w:ascii="Times New Roman" w:hAnsi="Times New Roman" w:eastAsia="黑体" w:cs="Times New Roman"/>
          <w:color w:val="auto"/>
          <w:sz w:val="24"/>
          <w:szCs w:val="24"/>
          <w:highlight w:val="none"/>
          <w:lang w:eastAsia="zh-CN"/>
        </w:rPr>
        <w:t>表</w:t>
      </w:r>
      <w:r>
        <w:rPr>
          <w:rFonts w:hint="eastAsia" w:ascii="Times New Roman" w:hAnsi="Times New Roman" w:eastAsia="黑体" w:cs="Times New Roman"/>
          <w:color w:val="auto"/>
          <w:sz w:val="24"/>
          <w:szCs w:val="24"/>
          <w:highlight w:val="none"/>
          <w:lang w:val="en-US" w:eastAsia="zh-CN"/>
        </w:rPr>
        <w:t>3-</w:t>
      </w:r>
      <w:r>
        <w:rPr>
          <w:rFonts w:hint="eastAsia" w:eastAsia="黑体" w:cs="Times New Roman"/>
          <w:color w:val="auto"/>
          <w:sz w:val="24"/>
          <w:szCs w:val="24"/>
          <w:highlight w:val="none"/>
          <w:lang w:val="en-US" w:eastAsia="zh-CN"/>
        </w:rPr>
        <w:t>5</w:t>
      </w:r>
      <w:r>
        <w:rPr>
          <w:rFonts w:hint="eastAsia" w:ascii="Times New Roman" w:hAnsi="Times New Roman" w:eastAsia="黑体" w:cs="Times New Roman"/>
          <w:color w:val="auto"/>
          <w:sz w:val="24"/>
          <w:szCs w:val="24"/>
          <w:highlight w:val="none"/>
          <w:lang w:val="en-US" w:eastAsia="zh-CN"/>
        </w:rPr>
        <w:t xml:space="preserve">  </w:t>
      </w:r>
      <w:r>
        <w:rPr>
          <w:rFonts w:hint="eastAsia" w:eastAsia="黑体" w:cs="Times New Roman"/>
          <w:color w:val="auto"/>
          <w:sz w:val="24"/>
          <w:szCs w:val="24"/>
          <w:highlight w:val="none"/>
          <w:lang w:val="en-US" w:eastAsia="zh-CN"/>
        </w:rPr>
        <w:t>发展乡</w:t>
      </w:r>
      <w:r>
        <w:rPr>
          <w:rFonts w:ascii="Times New Roman" w:hAnsi="Times New Roman" w:eastAsia="黑体" w:cs="Times New Roman"/>
          <w:color w:val="auto"/>
          <w:sz w:val="24"/>
          <w:szCs w:val="24"/>
          <w:highlight w:val="none"/>
        </w:rPr>
        <w:t>水源地调整前后对比</w:t>
      </w:r>
      <w:r>
        <w:rPr>
          <w:rFonts w:hint="eastAsia" w:ascii="Times New Roman" w:hAnsi="Times New Roman" w:eastAsia="黑体" w:cs="Times New Roman"/>
          <w:color w:val="auto"/>
          <w:sz w:val="24"/>
          <w:szCs w:val="24"/>
          <w:highlight w:val="none"/>
          <w:lang w:eastAsia="zh-CN"/>
        </w:rPr>
        <w:t>一览表</w:t>
      </w:r>
    </w:p>
    <w:tbl>
      <w:tblPr>
        <w:tblStyle w:val="22"/>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06"/>
        <w:gridCol w:w="1464"/>
        <w:gridCol w:w="1845"/>
        <w:gridCol w:w="1620"/>
        <w:gridCol w:w="1080"/>
        <w:gridCol w:w="870"/>
        <w:gridCol w:w="1860"/>
        <w:gridCol w:w="2085"/>
        <w:gridCol w:w="1968"/>
      </w:tblGrid>
      <w:tr w14:paraId="060D6C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3" w:type="pct"/>
            <w:vMerge w:val="restart"/>
            <w:tcBorders>
              <w:tl2br w:val="nil"/>
              <w:tr2bl w:val="nil"/>
            </w:tcBorders>
            <w:vAlign w:val="center"/>
          </w:tcPr>
          <w:p w14:paraId="724C3E9F">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eastAsia="zh-CN" w:bidi="ar"/>
              </w:rPr>
            </w:pPr>
            <w:r>
              <w:rPr>
                <w:rFonts w:hint="eastAsia" w:ascii="Times New Roman" w:hAnsi="Times New Roman" w:eastAsia="宋体" w:cs="Times New Roman"/>
                <w:color w:val="auto"/>
                <w:kern w:val="0"/>
                <w:sz w:val="21"/>
                <w:szCs w:val="21"/>
                <w:highlight w:val="none"/>
                <w:lang w:eastAsia="zh-CN" w:bidi="ar"/>
              </w:rPr>
              <w:t>项目</w:t>
            </w:r>
          </w:p>
        </w:tc>
        <w:tc>
          <w:tcPr>
            <w:tcW w:w="1748" w:type="pct"/>
            <w:gridSpan w:val="3"/>
            <w:tcBorders>
              <w:tl2br w:val="nil"/>
              <w:tr2bl w:val="nil"/>
            </w:tcBorders>
            <w:vAlign w:val="center"/>
          </w:tcPr>
          <w:p w14:paraId="37548A44">
            <w:pPr>
              <w:widowControl/>
              <w:spacing w:line="240" w:lineRule="auto"/>
              <w:ind w:firstLine="0" w:firstLineChars="0"/>
              <w:jc w:val="center"/>
              <w:textAlignment w:val="center"/>
              <w:rPr>
                <w:rFonts w:hint="eastAsia" w:cs="Times New Roman"/>
                <w:color w:val="auto"/>
                <w:kern w:val="0"/>
                <w:sz w:val="21"/>
                <w:szCs w:val="21"/>
                <w:highlight w:val="none"/>
                <w:lang w:eastAsia="zh-CN" w:bidi="ar"/>
              </w:rPr>
            </w:pPr>
            <w:r>
              <w:rPr>
                <w:rFonts w:hint="eastAsia" w:cs="Times New Roman"/>
                <w:color w:val="auto"/>
                <w:kern w:val="0"/>
                <w:sz w:val="21"/>
                <w:szCs w:val="21"/>
                <w:highlight w:val="none"/>
                <w:lang w:eastAsia="zh-CN" w:bidi="ar"/>
              </w:rPr>
              <w:t>调整前</w:t>
            </w:r>
          </w:p>
        </w:tc>
        <w:tc>
          <w:tcPr>
            <w:tcW w:w="2090" w:type="pct"/>
            <w:gridSpan w:val="4"/>
            <w:tcBorders>
              <w:tl2br w:val="nil"/>
              <w:tr2bl w:val="nil"/>
            </w:tcBorders>
            <w:vAlign w:val="center"/>
          </w:tcPr>
          <w:p w14:paraId="45DC4AB5">
            <w:pPr>
              <w:widowControl/>
              <w:spacing w:line="240" w:lineRule="auto"/>
              <w:ind w:firstLine="0" w:firstLineChars="0"/>
              <w:jc w:val="center"/>
              <w:textAlignment w:val="center"/>
              <w:rPr>
                <w:rFonts w:hint="eastAsia" w:cs="Times New Roman"/>
                <w:color w:val="auto"/>
                <w:kern w:val="0"/>
                <w:sz w:val="21"/>
                <w:szCs w:val="21"/>
                <w:highlight w:val="none"/>
                <w:lang w:eastAsia="zh-CN" w:bidi="ar"/>
              </w:rPr>
            </w:pPr>
            <w:r>
              <w:rPr>
                <w:rFonts w:hint="eastAsia" w:cs="Times New Roman"/>
                <w:color w:val="auto"/>
                <w:kern w:val="0"/>
                <w:sz w:val="21"/>
                <w:szCs w:val="21"/>
                <w:highlight w:val="none"/>
                <w:lang w:eastAsia="zh-CN" w:bidi="ar"/>
              </w:rPr>
              <w:t>调整后</w:t>
            </w:r>
          </w:p>
        </w:tc>
        <w:tc>
          <w:tcPr>
            <w:tcW w:w="697" w:type="pct"/>
            <w:vMerge w:val="restart"/>
            <w:tcBorders>
              <w:tl2br w:val="nil"/>
              <w:tr2bl w:val="nil"/>
            </w:tcBorders>
            <w:vAlign w:val="center"/>
          </w:tcPr>
          <w:p w14:paraId="1027099A">
            <w:pPr>
              <w:widowControl/>
              <w:spacing w:line="240" w:lineRule="auto"/>
              <w:ind w:firstLine="0" w:firstLineChars="0"/>
              <w:jc w:val="center"/>
              <w:textAlignment w:val="center"/>
              <w:rPr>
                <w:rFonts w:hint="eastAsia" w:eastAsia="宋体" w:cs="Times New Roman"/>
                <w:color w:val="auto"/>
                <w:kern w:val="0"/>
                <w:sz w:val="21"/>
                <w:szCs w:val="21"/>
                <w:highlight w:val="none"/>
                <w:lang w:eastAsia="zh-CN" w:bidi="ar"/>
              </w:rPr>
            </w:pPr>
            <w:r>
              <w:rPr>
                <w:rFonts w:hint="eastAsia"/>
                <w:color w:val="auto"/>
                <w:highlight w:val="none"/>
                <w:lang w:eastAsia="zh-CN"/>
              </w:rPr>
              <w:t>备注</w:t>
            </w:r>
          </w:p>
        </w:tc>
      </w:tr>
      <w:tr w14:paraId="327C7F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3" w:type="pct"/>
            <w:vMerge w:val="continue"/>
            <w:tcBorders>
              <w:tl2br w:val="nil"/>
              <w:tr2bl w:val="nil"/>
            </w:tcBorders>
            <w:vAlign w:val="center"/>
          </w:tcPr>
          <w:p w14:paraId="52C042CA">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eastAsia="zh-CN" w:bidi="ar"/>
              </w:rPr>
            </w:pPr>
          </w:p>
        </w:tc>
        <w:tc>
          <w:tcPr>
            <w:tcW w:w="519" w:type="pct"/>
            <w:vMerge w:val="restart"/>
            <w:tcBorders>
              <w:tl2br w:val="nil"/>
              <w:tr2bl w:val="nil"/>
            </w:tcBorders>
            <w:vAlign w:val="center"/>
          </w:tcPr>
          <w:p w14:paraId="1F152384">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eastAsia="zh-CN" w:bidi="ar"/>
              </w:rPr>
            </w:pPr>
            <w:r>
              <w:rPr>
                <w:rFonts w:hint="eastAsia" w:ascii="Times New Roman" w:hAnsi="Times New Roman" w:eastAsia="宋体" w:cs="Times New Roman"/>
                <w:color w:val="auto"/>
                <w:kern w:val="0"/>
                <w:sz w:val="21"/>
                <w:szCs w:val="21"/>
                <w:highlight w:val="none"/>
                <w:lang w:eastAsia="zh-CN" w:bidi="ar"/>
              </w:rPr>
              <w:t>调整前水源地</w:t>
            </w:r>
          </w:p>
        </w:tc>
        <w:tc>
          <w:tcPr>
            <w:tcW w:w="1228" w:type="pct"/>
            <w:gridSpan w:val="2"/>
            <w:tcBorders>
              <w:tl2br w:val="nil"/>
              <w:tr2bl w:val="nil"/>
            </w:tcBorders>
            <w:vAlign w:val="center"/>
          </w:tcPr>
          <w:p w14:paraId="71C5C829">
            <w:pPr>
              <w:widowControl/>
              <w:snapToGrid w:val="0"/>
              <w:spacing w:line="240" w:lineRule="auto"/>
              <w:ind w:firstLine="0" w:firstLineChars="0"/>
              <w:jc w:val="center"/>
              <w:rPr>
                <w:rFonts w:hint="eastAsia"/>
                <w:color w:val="auto"/>
                <w:kern w:val="0"/>
                <w:sz w:val="21"/>
                <w:szCs w:val="21"/>
                <w:highlight w:val="none"/>
                <w:lang w:eastAsia="en-US"/>
              </w:rPr>
            </w:pPr>
            <w:r>
              <w:rPr>
                <w:rFonts w:hint="eastAsia"/>
                <w:color w:val="auto"/>
                <w:kern w:val="0"/>
                <w:sz w:val="21"/>
                <w:szCs w:val="21"/>
                <w:highlight w:val="none"/>
                <w:lang w:eastAsia="en-US"/>
              </w:rPr>
              <w:t>坐标</w:t>
            </w:r>
          </w:p>
        </w:tc>
        <w:tc>
          <w:tcPr>
            <w:tcW w:w="383" w:type="pct"/>
            <w:vMerge w:val="restart"/>
            <w:tcBorders>
              <w:tl2br w:val="nil"/>
              <w:tr2bl w:val="nil"/>
            </w:tcBorders>
            <w:vAlign w:val="center"/>
          </w:tcPr>
          <w:p w14:paraId="7C27E0B0">
            <w:pPr>
              <w:widowControl/>
              <w:spacing w:line="240" w:lineRule="auto"/>
              <w:ind w:firstLine="0" w:firstLineChars="0"/>
              <w:jc w:val="center"/>
              <w:textAlignment w:val="center"/>
              <w:rPr>
                <w:rFonts w:hint="eastAsia" w:cs="Times New Roman"/>
                <w:color w:val="auto"/>
                <w:kern w:val="0"/>
                <w:sz w:val="21"/>
                <w:szCs w:val="21"/>
                <w:highlight w:val="none"/>
                <w:lang w:eastAsia="zh-CN" w:bidi="ar"/>
              </w:rPr>
            </w:pPr>
            <w:r>
              <w:rPr>
                <w:rFonts w:hint="eastAsia" w:ascii="Times New Roman" w:hAnsi="Times New Roman" w:eastAsia="宋体" w:cs="Times New Roman"/>
                <w:color w:val="auto"/>
                <w:kern w:val="0"/>
                <w:sz w:val="21"/>
                <w:szCs w:val="21"/>
                <w:highlight w:val="none"/>
                <w:lang w:eastAsia="zh-CN" w:bidi="ar"/>
              </w:rPr>
              <w:t>调整后水源地</w:t>
            </w:r>
          </w:p>
        </w:tc>
        <w:tc>
          <w:tcPr>
            <w:tcW w:w="308" w:type="pct"/>
            <w:vMerge w:val="restart"/>
            <w:tcBorders>
              <w:tl2br w:val="nil"/>
              <w:tr2bl w:val="nil"/>
            </w:tcBorders>
            <w:vAlign w:val="center"/>
          </w:tcPr>
          <w:p w14:paraId="69331A51">
            <w:pPr>
              <w:widowControl/>
              <w:spacing w:line="240" w:lineRule="auto"/>
              <w:ind w:firstLine="0" w:firstLineChars="0"/>
              <w:jc w:val="center"/>
              <w:textAlignment w:val="center"/>
              <w:rPr>
                <w:rFonts w:hint="eastAsia" w:cs="Times New Roman"/>
                <w:color w:val="auto"/>
                <w:kern w:val="0"/>
                <w:sz w:val="21"/>
                <w:szCs w:val="21"/>
                <w:highlight w:val="none"/>
                <w:lang w:eastAsia="zh-CN" w:bidi="ar"/>
              </w:rPr>
            </w:pPr>
            <w:r>
              <w:rPr>
                <w:rFonts w:hint="eastAsia" w:cs="Times New Roman"/>
                <w:color w:val="auto"/>
                <w:kern w:val="0"/>
                <w:sz w:val="21"/>
                <w:szCs w:val="21"/>
                <w:highlight w:val="none"/>
                <w:lang w:eastAsia="zh-CN" w:bidi="ar"/>
              </w:rPr>
              <w:t>编号</w:t>
            </w:r>
          </w:p>
        </w:tc>
        <w:tc>
          <w:tcPr>
            <w:tcW w:w="1399" w:type="pct"/>
            <w:gridSpan w:val="2"/>
            <w:tcBorders>
              <w:tl2br w:val="nil"/>
              <w:tr2bl w:val="nil"/>
            </w:tcBorders>
            <w:vAlign w:val="center"/>
          </w:tcPr>
          <w:p w14:paraId="66119B15">
            <w:pPr>
              <w:widowControl/>
              <w:spacing w:line="240" w:lineRule="auto"/>
              <w:ind w:firstLine="0" w:firstLineChars="0"/>
              <w:jc w:val="center"/>
              <w:textAlignment w:val="center"/>
              <w:rPr>
                <w:rFonts w:hint="eastAsia" w:cs="Times New Roman"/>
                <w:color w:val="auto"/>
                <w:kern w:val="0"/>
                <w:sz w:val="21"/>
                <w:szCs w:val="21"/>
                <w:highlight w:val="none"/>
                <w:lang w:eastAsia="zh-CN" w:bidi="ar"/>
              </w:rPr>
            </w:pPr>
            <w:r>
              <w:rPr>
                <w:rFonts w:hint="eastAsia" w:cs="Times New Roman"/>
                <w:color w:val="auto"/>
                <w:kern w:val="0"/>
                <w:sz w:val="21"/>
                <w:szCs w:val="21"/>
                <w:highlight w:val="none"/>
                <w:lang w:eastAsia="zh-CN" w:bidi="ar"/>
              </w:rPr>
              <w:t>坐标</w:t>
            </w:r>
          </w:p>
        </w:tc>
        <w:tc>
          <w:tcPr>
            <w:tcW w:w="697" w:type="pct"/>
            <w:vMerge w:val="continue"/>
            <w:tcBorders>
              <w:tl2br w:val="nil"/>
              <w:tr2bl w:val="nil"/>
            </w:tcBorders>
            <w:vAlign w:val="center"/>
          </w:tcPr>
          <w:p w14:paraId="551B5786">
            <w:pPr>
              <w:widowControl/>
              <w:spacing w:line="240" w:lineRule="auto"/>
              <w:ind w:firstLine="0" w:firstLineChars="0"/>
              <w:jc w:val="center"/>
              <w:textAlignment w:val="center"/>
              <w:rPr>
                <w:rFonts w:hint="eastAsia" w:cs="Times New Roman"/>
                <w:color w:val="auto"/>
                <w:kern w:val="0"/>
                <w:sz w:val="21"/>
                <w:szCs w:val="21"/>
                <w:highlight w:val="none"/>
                <w:lang w:eastAsia="zh-CN" w:bidi="ar"/>
              </w:rPr>
            </w:pPr>
          </w:p>
        </w:tc>
      </w:tr>
      <w:tr w14:paraId="5810FB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9" w:hRule="atLeast"/>
        </w:trPr>
        <w:tc>
          <w:tcPr>
            <w:tcW w:w="463" w:type="pct"/>
            <w:vMerge w:val="continue"/>
            <w:tcBorders>
              <w:tl2br w:val="nil"/>
              <w:tr2bl w:val="nil"/>
            </w:tcBorders>
            <w:vAlign w:val="center"/>
          </w:tcPr>
          <w:p w14:paraId="6C41D3A1">
            <w:pPr>
              <w:widowControl/>
              <w:snapToGrid w:val="0"/>
              <w:spacing w:line="240" w:lineRule="auto"/>
              <w:ind w:firstLine="0" w:firstLineChars="0"/>
              <w:jc w:val="center"/>
              <w:rPr>
                <w:color w:val="auto"/>
                <w:sz w:val="21"/>
                <w:szCs w:val="21"/>
                <w:highlight w:val="none"/>
              </w:rPr>
            </w:pPr>
          </w:p>
        </w:tc>
        <w:tc>
          <w:tcPr>
            <w:tcW w:w="519" w:type="pct"/>
            <w:vMerge w:val="continue"/>
            <w:tcBorders>
              <w:tl2br w:val="nil"/>
              <w:tr2bl w:val="nil"/>
            </w:tcBorders>
            <w:vAlign w:val="center"/>
          </w:tcPr>
          <w:p w14:paraId="12EDF247">
            <w:pPr>
              <w:widowControl/>
              <w:snapToGrid w:val="0"/>
              <w:spacing w:line="240" w:lineRule="auto"/>
              <w:ind w:firstLine="0" w:firstLineChars="0"/>
              <w:jc w:val="center"/>
              <w:rPr>
                <w:color w:val="auto"/>
                <w:sz w:val="21"/>
                <w:szCs w:val="21"/>
                <w:highlight w:val="none"/>
              </w:rPr>
            </w:pPr>
          </w:p>
        </w:tc>
        <w:tc>
          <w:tcPr>
            <w:tcW w:w="654" w:type="pct"/>
            <w:tcBorders>
              <w:tl2br w:val="nil"/>
              <w:tr2bl w:val="nil"/>
            </w:tcBorders>
            <w:vAlign w:val="center"/>
          </w:tcPr>
          <w:p w14:paraId="7D8B862B">
            <w:pPr>
              <w:widowControl/>
              <w:snapToGrid w:val="0"/>
              <w:spacing w:line="240" w:lineRule="auto"/>
              <w:ind w:firstLine="0" w:firstLineChars="0"/>
              <w:jc w:val="center"/>
              <w:rPr>
                <w:color w:val="auto"/>
                <w:sz w:val="21"/>
                <w:szCs w:val="21"/>
                <w:highlight w:val="none"/>
              </w:rPr>
            </w:pPr>
            <w:r>
              <w:rPr>
                <w:rFonts w:hint="eastAsia"/>
                <w:color w:val="auto"/>
                <w:kern w:val="0"/>
                <w:sz w:val="21"/>
                <w:szCs w:val="21"/>
                <w:highlight w:val="none"/>
                <w:lang w:eastAsia="zh-CN"/>
              </w:rPr>
              <w:t>经度</w:t>
            </w:r>
          </w:p>
        </w:tc>
        <w:tc>
          <w:tcPr>
            <w:tcW w:w="574" w:type="pct"/>
            <w:tcBorders>
              <w:tl2br w:val="nil"/>
              <w:tr2bl w:val="nil"/>
            </w:tcBorders>
            <w:vAlign w:val="center"/>
          </w:tcPr>
          <w:p w14:paraId="435C9CBA">
            <w:pPr>
              <w:widowControl/>
              <w:snapToGrid w:val="0"/>
              <w:spacing w:line="240" w:lineRule="auto"/>
              <w:ind w:firstLine="0" w:firstLineChars="0"/>
              <w:jc w:val="center"/>
              <w:rPr>
                <w:color w:val="auto"/>
                <w:sz w:val="21"/>
                <w:szCs w:val="21"/>
                <w:highlight w:val="none"/>
              </w:rPr>
            </w:pPr>
            <w:r>
              <w:rPr>
                <w:rFonts w:hint="eastAsia"/>
                <w:color w:val="auto"/>
                <w:kern w:val="0"/>
                <w:sz w:val="21"/>
                <w:szCs w:val="21"/>
                <w:highlight w:val="none"/>
                <w:lang w:eastAsia="zh-CN"/>
              </w:rPr>
              <w:t>纬度</w:t>
            </w:r>
          </w:p>
        </w:tc>
        <w:tc>
          <w:tcPr>
            <w:tcW w:w="383" w:type="pct"/>
            <w:vMerge w:val="continue"/>
            <w:tcBorders>
              <w:tl2br w:val="nil"/>
              <w:tr2bl w:val="nil"/>
            </w:tcBorders>
            <w:vAlign w:val="center"/>
          </w:tcPr>
          <w:p w14:paraId="4043C9A0">
            <w:pPr>
              <w:widowControl/>
              <w:snapToGrid w:val="0"/>
              <w:spacing w:line="240" w:lineRule="auto"/>
              <w:ind w:firstLine="0" w:firstLineChars="0"/>
              <w:jc w:val="center"/>
              <w:rPr>
                <w:color w:val="auto"/>
                <w:sz w:val="21"/>
                <w:szCs w:val="21"/>
                <w:highlight w:val="none"/>
              </w:rPr>
            </w:pPr>
          </w:p>
        </w:tc>
        <w:tc>
          <w:tcPr>
            <w:tcW w:w="308" w:type="pct"/>
            <w:vMerge w:val="continue"/>
            <w:tcBorders>
              <w:tl2br w:val="nil"/>
              <w:tr2bl w:val="nil"/>
            </w:tcBorders>
            <w:vAlign w:val="center"/>
          </w:tcPr>
          <w:p w14:paraId="16013253">
            <w:pPr>
              <w:widowControl/>
              <w:snapToGrid w:val="0"/>
              <w:spacing w:line="240" w:lineRule="auto"/>
              <w:ind w:firstLine="0" w:firstLineChars="0"/>
              <w:jc w:val="center"/>
              <w:rPr>
                <w:color w:val="auto"/>
                <w:sz w:val="21"/>
                <w:szCs w:val="21"/>
                <w:highlight w:val="none"/>
              </w:rPr>
            </w:pPr>
          </w:p>
        </w:tc>
        <w:tc>
          <w:tcPr>
            <w:tcW w:w="659" w:type="pct"/>
            <w:tcBorders>
              <w:tl2br w:val="nil"/>
              <w:tr2bl w:val="nil"/>
            </w:tcBorders>
            <w:vAlign w:val="center"/>
          </w:tcPr>
          <w:p w14:paraId="40693A02">
            <w:pPr>
              <w:widowControl/>
              <w:snapToGrid w:val="0"/>
              <w:spacing w:line="240" w:lineRule="auto"/>
              <w:ind w:firstLine="0" w:firstLineChars="0"/>
              <w:jc w:val="center"/>
              <w:rPr>
                <w:rFonts w:hint="eastAsia" w:eastAsia="宋体"/>
                <w:color w:val="auto"/>
                <w:sz w:val="21"/>
                <w:szCs w:val="21"/>
                <w:highlight w:val="none"/>
                <w:lang w:eastAsia="zh-CN"/>
              </w:rPr>
            </w:pPr>
            <w:r>
              <w:rPr>
                <w:rFonts w:hint="eastAsia"/>
                <w:color w:val="auto"/>
                <w:sz w:val="21"/>
                <w:szCs w:val="21"/>
                <w:highlight w:val="none"/>
                <w:lang w:eastAsia="zh-CN"/>
              </w:rPr>
              <w:t>经度</w:t>
            </w:r>
          </w:p>
        </w:tc>
        <w:tc>
          <w:tcPr>
            <w:tcW w:w="739" w:type="pct"/>
            <w:tcBorders>
              <w:tl2br w:val="nil"/>
              <w:tr2bl w:val="nil"/>
            </w:tcBorders>
            <w:vAlign w:val="center"/>
          </w:tcPr>
          <w:p w14:paraId="52044283">
            <w:pPr>
              <w:widowControl/>
              <w:snapToGrid w:val="0"/>
              <w:spacing w:line="240" w:lineRule="auto"/>
              <w:ind w:firstLine="0" w:firstLineChars="0"/>
              <w:jc w:val="center"/>
              <w:rPr>
                <w:rFonts w:hint="eastAsia" w:eastAsia="宋体"/>
                <w:color w:val="auto"/>
                <w:sz w:val="21"/>
                <w:szCs w:val="21"/>
                <w:highlight w:val="none"/>
                <w:lang w:eastAsia="zh-CN"/>
              </w:rPr>
            </w:pPr>
            <w:r>
              <w:rPr>
                <w:rFonts w:hint="eastAsia"/>
                <w:color w:val="auto"/>
                <w:sz w:val="21"/>
                <w:szCs w:val="21"/>
                <w:highlight w:val="none"/>
                <w:lang w:eastAsia="zh-CN"/>
              </w:rPr>
              <w:t>纬度</w:t>
            </w:r>
          </w:p>
        </w:tc>
        <w:tc>
          <w:tcPr>
            <w:tcW w:w="697" w:type="pct"/>
            <w:vMerge w:val="continue"/>
            <w:tcBorders>
              <w:tl2br w:val="nil"/>
              <w:tr2bl w:val="nil"/>
            </w:tcBorders>
            <w:vAlign w:val="center"/>
          </w:tcPr>
          <w:p w14:paraId="318B6DBD">
            <w:pPr>
              <w:widowControl/>
              <w:snapToGrid w:val="0"/>
              <w:spacing w:line="240" w:lineRule="auto"/>
              <w:ind w:firstLine="0" w:firstLineChars="0"/>
              <w:jc w:val="center"/>
              <w:rPr>
                <w:rFonts w:hint="eastAsia"/>
                <w:color w:val="auto"/>
                <w:sz w:val="21"/>
                <w:szCs w:val="21"/>
                <w:highlight w:val="none"/>
                <w:lang w:eastAsia="zh-CN"/>
              </w:rPr>
            </w:pPr>
          </w:p>
        </w:tc>
      </w:tr>
      <w:tr w14:paraId="4D15A5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3" w:type="pct"/>
            <w:vMerge w:val="restart"/>
            <w:tcBorders>
              <w:tl2br w:val="nil"/>
              <w:tr2bl w:val="nil"/>
            </w:tcBorders>
            <w:vAlign w:val="center"/>
          </w:tcPr>
          <w:p w14:paraId="4A0D82C7">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cs="Times New Roman"/>
                <w:bCs/>
                <w:color w:val="auto"/>
                <w:sz w:val="21"/>
                <w:szCs w:val="21"/>
                <w:highlight w:val="none"/>
                <w:lang w:eastAsia="zh-CN"/>
              </w:rPr>
              <w:t>编号及坐标</w:t>
            </w:r>
          </w:p>
        </w:tc>
        <w:tc>
          <w:tcPr>
            <w:tcW w:w="519" w:type="pct"/>
            <w:tcBorders>
              <w:tl2br w:val="nil"/>
              <w:tr2bl w:val="nil"/>
            </w:tcBorders>
            <w:vAlign w:val="center"/>
          </w:tcPr>
          <w:p w14:paraId="270591C5">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发展乡饮用水水源地</w:t>
            </w:r>
          </w:p>
        </w:tc>
        <w:tc>
          <w:tcPr>
            <w:tcW w:w="654" w:type="pct"/>
            <w:tcBorders>
              <w:tl2br w:val="nil"/>
              <w:tr2bl w:val="nil"/>
            </w:tcBorders>
            <w:vAlign w:val="center"/>
          </w:tcPr>
          <w:p w14:paraId="3440F7C9">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127°37'59.4000"</w:t>
            </w:r>
          </w:p>
        </w:tc>
        <w:tc>
          <w:tcPr>
            <w:tcW w:w="574" w:type="pct"/>
            <w:tcBorders>
              <w:tl2br w:val="nil"/>
              <w:tr2bl w:val="nil"/>
            </w:tcBorders>
            <w:vAlign w:val="center"/>
          </w:tcPr>
          <w:p w14:paraId="4D954C30">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47°04'58.8700"</w:t>
            </w:r>
          </w:p>
        </w:tc>
        <w:tc>
          <w:tcPr>
            <w:tcW w:w="383" w:type="pct"/>
            <w:vMerge w:val="restart"/>
            <w:tcBorders>
              <w:tl2br w:val="nil"/>
              <w:tr2bl w:val="nil"/>
            </w:tcBorders>
            <w:vAlign w:val="center"/>
          </w:tcPr>
          <w:p w14:paraId="6DE7BA1C">
            <w:pPr>
              <w:widowControl/>
              <w:spacing w:line="240" w:lineRule="auto"/>
              <w:ind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bidi="ar"/>
              </w:rPr>
              <w:t>庆安县发展乡饮用水水源地</w:t>
            </w:r>
          </w:p>
        </w:tc>
        <w:tc>
          <w:tcPr>
            <w:tcW w:w="308" w:type="pct"/>
            <w:tcBorders>
              <w:tl2br w:val="nil"/>
              <w:tr2bl w:val="nil"/>
            </w:tcBorders>
            <w:vAlign w:val="center"/>
          </w:tcPr>
          <w:p w14:paraId="0DBD3629">
            <w:pPr>
              <w:widowControl/>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kern w:val="0"/>
                <w:sz w:val="21"/>
                <w:szCs w:val="21"/>
                <w:highlight w:val="none"/>
                <w:lang w:val="en-US" w:eastAsia="zh-CN"/>
              </w:rPr>
              <w:t>1#</w:t>
            </w:r>
          </w:p>
        </w:tc>
        <w:tc>
          <w:tcPr>
            <w:tcW w:w="659" w:type="pct"/>
            <w:tcBorders>
              <w:tl2br w:val="nil"/>
              <w:tr2bl w:val="nil"/>
            </w:tcBorders>
            <w:vAlign w:val="center"/>
          </w:tcPr>
          <w:p w14:paraId="34C615D0">
            <w:pPr>
              <w:widowControl/>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127°40'45.8207"</w:t>
            </w:r>
          </w:p>
        </w:tc>
        <w:tc>
          <w:tcPr>
            <w:tcW w:w="739" w:type="pct"/>
            <w:tcBorders>
              <w:tl2br w:val="nil"/>
              <w:tr2bl w:val="nil"/>
            </w:tcBorders>
            <w:vAlign w:val="center"/>
          </w:tcPr>
          <w:p w14:paraId="39C132CD">
            <w:pPr>
              <w:widowControl/>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47°03'03.0287"</w:t>
            </w:r>
          </w:p>
        </w:tc>
        <w:tc>
          <w:tcPr>
            <w:tcW w:w="697" w:type="pct"/>
            <w:vMerge w:val="restart"/>
            <w:tcBorders>
              <w:tl2br w:val="nil"/>
              <w:tr2bl w:val="nil"/>
            </w:tcBorders>
            <w:vAlign w:val="center"/>
          </w:tcPr>
          <w:p w14:paraId="1A73D377">
            <w:pPr>
              <w:widowControl/>
              <w:snapToGrid w:val="0"/>
              <w:spacing w:line="240" w:lineRule="auto"/>
              <w:ind w:firstLine="0" w:firstLineChars="0"/>
              <w:jc w:val="both"/>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本次调整的</w:t>
            </w:r>
            <w:r>
              <w:rPr>
                <w:rFonts w:hint="eastAsia" w:ascii="Times New Roman" w:hAnsi="Times New Roman" w:eastAsia="宋体" w:cs="Times New Roman"/>
                <w:color w:val="auto"/>
                <w:kern w:val="0"/>
                <w:sz w:val="21"/>
                <w:szCs w:val="21"/>
                <w:highlight w:val="none"/>
                <w:lang w:val="en-US" w:eastAsia="zh-CN" w:bidi="ar"/>
              </w:rPr>
              <w:t>庆安县发展乡饮用水水源地</w:t>
            </w:r>
            <w:r>
              <w:rPr>
                <w:rFonts w:hint="eastAsia" w:cs="Times New Roman"/>
                <w:color w:val="auto"/>
                <w:kern w:val="0"/>
                <w:sz w:val="21"/>
                <w:szCs w:val="21"/>
                <w:highlight w:val="none"/>
                <w:lang w:val="en-US" w:eastAsia="zh-CN" w:bidi="ar"/>
              </w:rPr>
              <w:t>替代发展乡饮用水水源地、发展乡发富村前山饮用水水源地、发展乡发明村王生饮用水水源地、发展乡发祥村饮用水水源地、发展乡发源村饮用水水源地、发展乡发祥村夏家屯饮用水水源地。</w:t>
            </w:r>
          </w:p>
          <w:p w14:paraId="7966FFEC">
            <w:pPr>
              <w:widowControl/>
              <w:snapToGrid w:val="0"/>
              <w:spacing w:line="240" w:lineRule="auto"/>
              <w:ind w:firstLine="0" w:firstLineChars="0"/>
              <w:jc w:val="both"/>
              <w:rPr>
                <w:rFonts w:hint="eastAsia"/>
                <w:color w:val="auto"/>
                <w:sz w:val="21"/>
                <w:szCs w:val="21"/>
                <w:highlight w:val="none"/>
                <w:lang w:val="en-US" w:eastAsia="zh-CN"/>
              </w:rPr>
            </w:pPr>
            <w:r>
              <w:rPr>
                <w:rFonts w:hint="eastAsia" w:cs="Times New Roman"/>
                <w:color w:val="auto"/>
                <w:sz w:val="21"/>
                <w:szCs w:val="21"/>
                <w:highlight w:val="none"/>
                <w:lang w:val="en-US" w:eastAsia="zh-CN"/>
              </w:rPr>
              <w:t>本次调整后</w:t>
            </w:r>
            <w:r>
              <w:rPr>
                <w:rFonts w:hint="default" w:ascii="Times New Roman" w:hAnsi="Times New Roman" w:eastAsia="宋体" w:cs="Times New Roman"/>
                <w:color w:val="auto"/>
                <w:sz w:val="21"/>
                <w:szCs w:val="21"/>
                <w:highlight w:val="none"/>
                <w:lang w:val="en-US" w:eastAsia="zh-CN"/>
              </w:rPr>
              <w:t>通过多水源联网、管网互联互通、规模化集中供水，供水保障率、供水稳定性、水质达标率进一步提升，有效解决了原分散式水源地规模小、易污染、运维难度大等问题，群众饮水安全更有保障</w:t>
            </w:r>
            <w:r>
              <w:rPr>
                <w:rFonts w:hint="eastAsia" w:cs="Times New Roman"/>
                <w:color w:val="auto"/>
                <w:sz w:val="21"/>
                <w:szCs w:val="21"/>
                <w:highlight w:val="none"/>
                <w:lang w:val="en-US" w:eastAsia="zh-CN"/>
              </w:rPr>
              <w:t>。</w:t>
            </w:r>
          </w:p>
        </w:tc>
      </w:tr>
      <w:tr w14:paraId="600AF1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3" w:type="pct"/>
            <w:vMerge w:val="continue"/>
            <w:tcBorders>
              <w:tl2br w:val="nil"/>
              <w:tr2bl w:val="nil"/>
            </w:tcBorders>
            <w:vAlign w:val="center"/>
          </w:tcPr>
          <w:p w14:paraId="7E7FEDED">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p>
        </w:tc>
        <w:tc>
          <w:tcPr>
            <w:tcW w:w="519" w:type="pct"/>
            <w:tcBorders>
              <w:tl2br w:val="nil"/>
              <w:tr2bl w:val="nil"/>
            </w:tcBorders>
            <w:vAlign w:val="center"/>
          </w:tcPr>
          <w:p w14:paraId="356CCD2C">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w:t>
            </w:r>
          </w:p>
        </w:tc>
        <w:tc>
          <w:tcPr>
            <w:tcW w:w="654" w:type="pct"/>
            <w:tcBorders>
              <w:tl2br w:val="nil"/>
              <w:tr2bl w:val="nil"/>
            </w:tcBorders>
            <w:vAlign w:val="center"/>
          </w:tcPr>
          <w:p w14:paraId="012A0DA9">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bidi="ar"/>
              </w:rPr>
              <w:t>/</w:t>
            </w:r>
          </w:p>
        </w:tc>
        <w:tc>
          <w:tcPr>
            <w:tcW w:w="574" w:type="pct"/>
            <w:tcBorders>
              <w:tl2br w:val="nil"/>
              <w:tr2bl w:val="nil"/>
            </w:tcBorders>
            <w:vAlign w:val="center"/>
          </w:tcPr>
          <w:p w14:paraId="12425024">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bidi="ar"/>
              </w:rPr>
              <w:t>/</w:t>
            </w:r>
          </w:p>
        </w:tc>
        <w:tc>
          <w:tcPr>
            <w:tcW w:w="383" w:type="pct"/>
            <w:vMerge w:val="continue"/>
            <w:tcBorders>
              <w:tl2br w:val="nil"/>
              <w:tr2bl w:val="nil"/>
            </w:tcBorders>
            <w:vAlign w:val="center"/>
          </w:tcPr>
          <w:p w14:paraId="400AE01B">
            <w:pPr>
              <w:widowControl/>
              <w:spacing w:line="240" w:lineRule="auto"/>
              <w:ind w:firstLine="0" w:firstLineChars="0"/>
              <w:jc w:val="center"/>
              <w:textAlignment w:val="center"/>
              <w:rPr>
                <w:rFonts w:hint="default" w:ascii="Times New Roman" w:hAnsi="Times New Roman" w:eastAsia="宋体" w:cs="Times New Roman"/>
                <w:color w:val="auto"/>
                <w:sz w:val="21"/>
                <w:szCs w:val="21"/>
                <w:highlight w:val="none"/>
                <w:lang w:val="en-US" w:eastAsia="zh-CN"/>
              </w:rPr>
            </w:pPr>
          </w:p>
        </w:tc>
        <w:tc>
          <w:tcPr>
            <w:tcW w:w="308" w:type="pct"/>
            <w:tcBorders>
              <w:tl2br w:val="nil"/>
              <w:tr2bl w:val="nil"/>
            </w:tcBorders>
            <w:vAlign w:val="center"/>
          </w:tcPr>
          <w:p w14:paraId="2199F193">
            <w:pPr>
              <w:widowControl/>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kern w:val="0"/>
                <w:sz w:val="21"/>
                <w:szCs w:val="21"/>
                <w:highlight w:val="none"/>
                <w:lang w:val="en-US" w:eastAsia="zh-CN"/>
              </w:rPr>
              <w:t>2#</w:t>
            </w:r>
          </w:p>
        </w:tc>
        <w:tc>
          <w:tcPr>
            <w:tcW w:w="659" w:type="pct"/>
            <w:tcBorders>
              <w:tl2br w:val="nil"/>
              <w:tr2bl w:val="nil"/>
            </w:tcBorders>
            <w:vAlign w:val="center"/>
          </w:tcPr>
          <w:p w14:paraId="1DF8204B">
            <w:pPr>
              <w:widowControl/>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127°40'54.7042"</w:t>
            </w:r>
          </w:p>
        </w:tc>
        <w:tc>
          <w:tcPr>
            <w:tcW w:w="739" w:type="pct"/>
            <w:tcBorders>
              <w:tl2br w:val="nil"/>
              <w:tr2bl w:val="nil"/>
            </w:tcBorders>
            <w:vAlign w:val="center"/>
          </w:tcPr>
          <w:p w14:paraId="6FC17169">
            <w:pPr>
              <w:widowControl/>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47°03'01.6011"</w:t>
            </w:r>
          </w:p>
        </w:tc>
        <w:tc>
          <w:tcPr>
            <w:tcW w:w="697" w:type="pct"/>
            <w:vMerge w:val="continue"/>
            <w:tcBorders>
              <w:tl2br w:val="nil"/>
              <w:tr2bl w:val="nil"/>
            </w:tcBorders>
            <w:vAlign w:val="center"/>
          </w:tcPr>
          <w:p w14:paraId="63125CE5">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r>
      <w:tr w14:paraId="4CCA41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3" w:type="pct"/>
            <w:vMerge w:val="continue"/>
            <w:tcBorders>
              <w:tl2br w:val="nil"/>
              <w:tr2bl w:val="nil"/>
            </w:tcBorders>
            <w:vAlign w:val="center"/>
          </w:tcPr>
          <w:p w14:paraId="542CFAF7">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p>
        </w:tc>
        <w:tc>
          <w:tcPr>
            <w:tcW w:w="519" w:type="pct"/>
            <w:tcBorders>
              <w:tl2br w:val="nil"/>
              <w:tr2bl w:val="nil"/>
            </w:tcBorders>
            <w:vAlign w:val="center"/>
          </w:tcPr>
          <w:p w14:paraId="77BCB531">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w:t>
            </w:r>
          </w:p>
        </w:tc>
        <w:tc>
          <w:tcPr>
            <w:tcW w:w="654" w:type="pct"/>
            <w:tcBorders>
              <w:tl2br w:val="nil"/>
              <w:tr2bl w:val="nil"/>
            </w:tcBorders>
            <w:vAlign w:val="center"/>
          </w:tcPr>
          <w:p w14:paraId="7A2AE9DE">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bidi="ar"/>
              </w:rPr>
              <w:t>/</w:t>
            </w:r>
          </w:p>
        </w:tc>
        <w:tc>
          <w:tcPr>
            <w:tcW w:w="574" w:type="pct"/>
            <w:tcBorders>
              <w:tl2br w:val="nil"/>
              <w:tr2bl w:val="nil"/>
            </w:tcBorders>
            <w:vAlign w:val="center"/>
          </w:tcPr>
          <w:p w14:paraId="564B1DF6">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bidi="ar"/>
              </w:rPr>
              <w:t>/</w:t>
            </w:r>
          </w:p>
        </w:tc>
        <w:tc>
          <w:tcPr>
            <w:tcW w:w="383" w:type="pct"/>
            <w:vMerge w:val="continue"/>
            <w:tcBorders>
              <w:tl2br w:val="nil"/>
              <w:tr2bl w:val="nil"/>
            </w:tcBorders>
            <w:vAlign w:val="center"/>
          </w:tcPr>
          <w:p w14:paraId="05C8FEC6">
            <w:pPr>
              <w:widowControl/>
              <w:spacing w:line="240" w:lineRule="auto"/>
              <w:ind w:firstLine="0" w:firstLineChars="0"/>
              <w:jc w:val="center"/>
              <w:textAlignment w:val="center"/>
              <w:rPr>
                <w:rFonts w:hint="default" w:ascii="Times New Roman" w:hAnsi="Times New Roman" w:eastAsia="宋体" w:cs="Times New Roman"/>
                <w:color w:val="auto"/>
                <w:sz w:val="21"/>
                <w:szCs w:val="21"/>
                <w:highlight w:val="none"/>
                <w:lang w:val="en-US" w:eastAsia="zh-CN"/>
              </w:rPr>
            </w:pPr>
          </w:p>
        </w:tc>
        <w:tc>
          <w:tcPr>
            <w:tcW w:w="308" w:type="pct"/>
            <w:tcBorders>
              <w:tl2br w:val="nil"/>
              <w:tr2bl w:val="nil"/>
            </w:tcBorders>
            <w:vAlign w:val="center"/>
          </w:tcPr>
          <w:p w14:paraId="45E03DD3">
            <w:pPr>
              <w:widowControl/>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kern w:val="0"/>
                <w:sz w:val="21"/>
                <w:szCs w:val="21"/>
                <w:highlight w:val="none"/>
                <w:lang w:val="en-US" w:eastAsia="zh-CN"/>
              </w:rPr>
              <w:t>3#</w:t>
            </w:r>
          </w:p>
        </w:tc>
        <w:tc>
          <w:tcPr>
            <w:tcW w:w="659" w:type="pct"/>
            <w:tcBorders>
              <w:tl2br w:val="nil"/>
              <w:tr2bl w:val="nil"/>
            </w:tcBorders>
            <w:vAlign w:val="center"/>
          </w:tcPr>
          <w:p w14:paraId="4C910910">
            <w:pPr>
              <w:widowControl/>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127°41'00.8453"</w:t>
            </w:r>
          </w:p>
        </w:tc>
        <w:tc>
          <w:tcPr>
            <w:tcW w:w="739" w:type="pct"/>
            <w:tcBorders>
              <w:tl2br w:val="nil"/>
              <w:tr2bl w:val="nil"/>
            </w:tcBorders>
            <w:vAlign w:val="center"/>
          </w:tcPr>
          <w:p w14:paraId="70E501BF">
            <w:pPr>
              <w:widowControl/>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47°02'57.9036"</w:t>
            </w:r>
          </w:p>
        </w:tc>
        <w:tc>
          <w:tcPr>
            <w:tcW w:w="697" w:type="pct"/>
            <w:vMerge w:val="continue"/>
            <w:tcBorders>
              <w:tl2br w:val="nil"/>
              <w:tr2bl w:val="nil"/>
            </w:tcBorders>
            <w:vAlign w:val="center"/>
          </w:tcPr>
          <w:p w14:paraId="04939ABA">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r>
      <w:tr w14:paraId="3687BE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3" w:type="pct"/>
            <w:vMerge w:val="continue"/>
            <w:tcBorders>
              <w:tl2br w:val="nil"/>
              <w:tr2bl w:val="nil"/>
            </w:tcBorders>
            <w:vAlign w:val="center"/>
          </w:tcPr>
          <w:p w14:paraId="5BC2EFD0">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p>
        </w:tc>
        <w:tc>
          <w:tcPr>
            <w:tcW w:w="519" w:type="pct"/>
            <w:tcBorders>
              <w:tl2br w:val="nil"/>
              <w:tr2bl w:val="nil"/>
            </w:tcBorders>
            <w:vAlign w:val="center"/>
          </w:tcPr>
          <w:p w14:paraId="1993B79B">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w:t>
            </w:r>
          </w:p>
        </w:tc>
        <w:tc>
          <w:tcPr>
            <w:tcW w:w="654" w:type="pct"/>
            <w:tcBorders>
              <w:tl2br w:val="nil"/>
              <w:tr2bl w:val="nil"/>
            </w:tcBorders>
            <w:vAlign w:val="center"/>
          </w:tcPr>
          <w:p w14:paraId="26FDA08E">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bidi="ar"/>
              </w:rPr>
              <w:t>/</w:t>
            </w:r>
          </w:p>
        </w:tc>
        <w:tc>
          <w:tcPr>
            <w:tcW w:w="574" w:type="pct"/>
            <w:tcBorders>
              <w:tl2br w:val="nil"/>
              <w:tr2bl w:val="nil"/>
            </w:tcBorders>
            <w:vAlign w:val="center"/>
          </w:tcPr>
          <w:p w14:paraId="7A280E8F">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bidi="ar"/>
              </w:rPr>
              <w:t>/</w:t>
            </w:r>
          </w:p>
        </w:tc>
        <w:tc>
          <w:tcPr>
            <w:tcW w:w="383" w:type="pct"/>
            <w:vMerge w:val="continue"/>
            <w:tcBorders>
              <w:tl2br w:val="nil"/>
              <w:tr2bl w:val="nil"/>
            </w:tcBorders>
            <w:vAlign w:val="center"/>
          </w:tcPr>
          <w:p w14:paraId="01063762">
            <w:pPr>
              <w:widowControl/>
              <w:spacing w:line="240" w:lineRule="auto"/>
              <w:ind w:firstLine="0" w:firstLineChars="0"/>
              <w:jc w:val="center"/>
              <w:textAlignment w:val="center"/>
              <w:rPr>
                <w:rFonts w:hint="default" w:ascii="Times New Roman" w:hAnsi="Times New Roman" w:eastAsia="宋体" w:cs="Times New Roman"/>
                <w:color w:val="auto"/>
                <w:sz w:val="21"/>
                <w:szCs w:val="21"/>
                <w:highlight w:val="none"/>
                <w:lang w:val="en-US" w:eastAsia="zh-CN"/>
              </w:rPr>
            </w:pPr>
          </w:p>
        </w:tc>
        <w:tc>
          <w:tcPr>
            <w:tcW w:w="308" w:type="pct"/>
            <w:tcBorders>
              <w:tl2br w:val="nil"/>
              <w:tr2bl w:val="nil"/>
            </w:tcBorders>
            <w:vAlign w:val="center"/>
          </w:tcPr>
          <w:p w14:paraId="7CE97E86">
            <w:pPr>
              <w:widowControl/>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kern w:val="0"/>
                <w:sz w:val="21"/>
                <w:szCs w:val="21"/>
                <w:highlight w:val="none"/>
                <w:lang w:val="en-US" w:eastAsia="zh-CN"/>
              </w:rPr>
              <w:t>4#</w:t>
            </w:r>
          </w:p>
        </w:tc>
        <w:tc>
          <w:tcPr>
            <w:tcW w:w="659" w:type="pct"/>
            <w:tcBorders>
              <w:tl2br w:val="nil"/>
              <w:tr2bl w:val="nil"/>
            </w:tcBorders>
            <w:vAlign w:val="center"/>
          </w:tcPr>
          <w:p w14:paraId="5E28E397">
            <w:pPr>
              <w:widowControl/>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127°40'56.3505"</w:t>
            </w:r>
          </w:p>
        </w:tc>
        <w:tc>
          <w:tcPr>
            <w:tcW w:w="739" w:type="pct"/>
            <w:tcBorders>
              <w:tl2br w:val="nil"/>
              <w:tr2bl w:val="nil"/>
            </w:tcBorders>
            <w:vAlign w:val="center"/>
          </w:tcPr>
          <w:p w14:paraId="2ED9CB00">
            <w:pPr>
              <w:widowControl/>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47°02'49.5148"</w:t>
            </w:r>
          </w:p>
        </w:tc>
        <w:tc>
          <w:tcPr>
            <w:tcW w:w="697" w:type="pct"/>
            <w:vMerge w:val="continue"/>
            <w:tcBorders>
              <w:tl2br w:val="nil"/>
              <w:tr2bl w:val="nil"/>
            </w:tcBorders>
            <w:vAlign w:val="center"/>
          </w:tcPr>
          <w:p w14:paraId="5A3E1292">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r>
      <w:tr w14:paraId="69335D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3" w:type="pct"/>
            <w:vMerge w:val="continue"/>
            <w:tcBorders>
              <w:tl2br w:val="nil"/>
              <w:tr2bl w:val="nil"/>
            </w:tcBorders>
            <w:vAlign w:val="center"/>
          </w:tcPr>
          <w:p w14:paraId="3E2EDEFB">
            <w:pPr>
              <w:jc w:val="center"/>
              <w:rPr>
                <w:rFonts w:hint="eastAsia" w:ascii="仿宋" w:hAnsi="仿宋" w:eastAsia="仿宋" w:cs="仿宋"/>
                <w:color w:val="auto"/>
                <w:sz w:val="21"/>
                <w:szCs w:val="21"/>
                <w:highlight w:val="none"/>
                <w:vertAlign w:val="baseline"/>
                <w:lang w:val="en-US" w:eastAsia="zh-CN"/>
              </w:rPr>
            </w:pPr>
          </w:p>
        </w:tc>
        <w:tc>
          <w:tcPr>
            <w:tcW w:w="519" w:type="pct"/>
            <w:tcBorders>
              <w:tl2br w:val="nil"/>
              <w:tr2bl w:val="nil"/>
            </w:tcBorders>
            <w:vAlign w:val="center"/>
          </w:tcPr>
          <w:p w14:paraId="0007C576">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w:t>
            </w:r>
          </w:p>
        </w:tc>
        <w:tc>
          <w:tcPr>
            <w:tcW w:w="654" w:type="pct"/>
            <w:tcBorders>
              <w:tl2br w:val="nil"/>
              <w:tr2bl w:val="nil"/>
            </w:tcBorders>
            <w:vAlign w:val="center"/>
          </w:tcPr>
          <w:p w14:paraId="4E41BD75">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bidi="ar"/>
              </w:rPr>
              <w:t>/</w:t>
            </w:r>
          </w:p>
        </w:tc>
        <w:tc>
          <w:tcPr>
            <w:tcW w:w="574" w:type="pct"/>
            <w:tcBorders>
              <w:tl2br w:val="nil"/>
              <w:tr2bl w:val="nil"/>
            </w:tcBorders>
            <w:vAlign w:val="center"/>
          </w:tcPr>
          <w:p w14:paraId="1861AD61">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bidi="ar"/>
              </w:rPr>
              <w:t>/</w:t>
            </w:r>
          </w:p>
        </w:tc>
        <w:tc>
          <w:tcPr>
            <w:tcW w:w="383" w:type="pct"/>
            <w:vMerge w:val="continue"/>
            <w:tcBorders>
              <w:tl2br w:val="nil"/>
              <w:tr2bl w:val="nil"/>
            </w:tcBorders>
            <w:vAlign w:val="center"/>
          </w:tcPr>
          <w:p w14:paraId="2FBD7B2A">
            <w:pPr>
              <w:widowControl/>
              <w:spacing w:line="240" w:lineRule="auto"/>
              <w:ind w:firstLine="0" w:firstLineChars="0"/>
              <w:jc w:val="center"/>
              <w:textAlignment w:val="center"/>
              <w:rPr>
                <w:rFonts w:hint="default" w:ascii="Times New Roman" w:hAnsi="Times New Roman" w:eastAsia="宋体" w:cs="Times New Roman"/>
                <w:color w:val="auto"/>
                <w:sz w:val="21"/>
                <w:szCs w:val="21"/>
                <w:highlight w:val="none"/>
                <w:lang w:val="en-US" w:eastAsia="zh-CN"/>
              </w:rPr>
            </w:pPr>
          </w:p>
        </w:tc>
        <w:tc>
          <w:tcPr>
            <w:tcW w:w="308" w:type="pct"/>
            <w:tcBorders>
              <w:tl2br w:val="nil"/>
              <w:tr2bl w:val="nil"/>
            </w:tcBorders>
            <w:vAlign w:val="center"/>
          </w:tcPr>
          <w:p w14:paraId="552DEB79">
            <w:pPr>
              <w:widowControl/>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kern w:val="0"/>
                <w:sz w:val="21"/>
                <w:szCs w:val="21"/>
                <w:highlight w:val="none"/>
                <w:lang w:val="en-US" w:eastAsia="zh-CN"/>
              </w:rPr>
              <w:t>5#</w:t>
            </w:r>
          </w:p>
        </w:tc>
        <w:tc>
          <w:tcPr>
            <w:tcW w:w="659" w:type="pct"/>
            <w:tcBorders>
              <w:tl2br w:val="nil"/>
              <w:tr2bl w:val="nil"/>
            </w:tcBorders>
            <w:vAlign w:val="center"/>
          </w:tcPr>
          <w:p w14:paraId="6E60E61F">
            <w:pPr>
              <w:widowControl/>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127°40'53.4247"</w:t>
            </w:r>
          </w:p>
        </w:tc>
        <w:tc>
          <w:tcPr>
            <w:tcW w:w="739" w:type="pct"/>
            <w:tcBorders>
              <w:tl2br w:val="nil"/>
              <w:tr2bl w:val="nil"/>
            </w:tcBorders>
            <w:vAlign w:val="center"/>
          </w:tcPr>
          <w:p w14:paraId="0E6779F2">
            <w:pPr>
              <w:widowControl/>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47°02'47.9588"</w:t>
            </w:r>
          </w:p>
        </w:tc>
        <w:tc>
          <w:tcPr>
            <w:tcW w:w="697" w:type="pct"/>
            <w:vMerge w:val="continue"/>
            <w:tcBorders>
              <w:tl2br w:val="nil"/>
              <w:tr2bl w:val="nil"/>
            </w:tcBorders>
            <w:vAlign w:val="center"/>
          </w:tcPr>
          <w:p w14:paraId="2822001E">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r>
      <w:tr w14:paraId="7CB1D6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3" w:type="pct"/>
            <w:vMerge w:val="continue"/>
            <w:tcBorders>
              <w:tl2br w:val="nil"/>
              <w:tr2bl w:val="nil"/>
            </w:tcBorders>
            <w:vAlign w:val="center"/>
          </w:tcPr>
          <w:p w14:paraId="06A4C081">
            <w:pPr>
              <w:jc w:val="center"/>
              <w:rPr>
                <w:rFonts w:hint="eastAsia" w:ascii="仿宋" w:hAnsi="仿宋" w:eastAsia="仿宋" w:cs="仿宋"/>
                <w:color w:val="auto"/>
                <w:sz w:val="21"/>
                <w:szCs w:val="21"/>
                <w:highlight w:val="none"/>
                <w:vertAlign w:val="baseline"/>
                <w:lang w:val="en-US" w:eastAsia="zh-CN"/>
              </w:rPr>
            </w:pPr>
          </w:p>
        </w:tc>
        <w:tc>
          <w:tcPr>
            <w:tcW w:w="519" w:type="pct"/>
            <w:tcBorders>
              <w:tl2br w:val="nil"/>
              <w:tr2bl w:val="nil"/>
            </w:tcBorders>
            <w:vAlign w:val="center"/>
          </w:tcPr>
          <w:p w14:paraId="5069721A">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w:t>
            </w:r>
          </w:p>
        </w:tc>
        <w:tc>
          <w:tcPr>
            <w:tcW w:w="654" w:type="pct"/>
            <w:tcBorders>
              <w:tl2br w:val="nil"/>
              <w:tr2bl w:val="nil"/>
            </w:tcBorders>
            <w:vAlign w:val="center"/>
          </w:tcPr>
          <w:p w14:paraId="48547B6F">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bidi="ar"/>
              </w:rPr>
              <w:t>/</w:t>
            </w:r>
          </w:p>
        </w:tc>
        <w:tc>
          <w:tcPr>
            <w:tcW w:w="574" w:type="pct"/>
            <w:tcBorders>
              <w:tl2br w:val="nil"/>
              <w:tr2bl w:val="nil"/>
            </w:tcBorders>
            <w:vAlign w:val="center"/>
          </w:tcPr>
          <w:p w14:paraId="3D0C71BF">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bidi="ar"/>
              </w:rPr>
              <w:t>/</w:t>
            </w:r>
          </w:p>
        </w:tc>
        <w:tc>
          <w:tcPr>
            <w:tcW w:w="383" w:type="pct"/>
            <w:vMerge w:val="continue"/>
            <w:tcBorders>
              <w:tl2br w:val="nil"/>
              <w:tr2bl w:val="nil"/>
            </w:tcBorders>
            <w:vAlign w:val="center"/>
          </w:tcPr>
          <w:p w14:paraId="61BA5953">
            <w:pPr>
              <w:widowControl/>
              <w:spacing w:line="240" w:lineRule="auto"/>
              <w:ind w:firstLine="0" w:firstLineChars="0"/>
              <w:jc w:val="center"/>
              <w:textAlignment w:val="center"/>
              <w:rPr>
                <w:rFonts w:hint="default" w:ascii="Times New Roman" w:hAnsi="Times New Roman" w:eastAsia="宋体" w:cs="Times New Roman"/>
                <w:color w:val="auto"/>
                <w:sz w:val="21"/>
                <w:szCs w:val="21"/>
                <w:highlight w:val="none"/>
                <w:lang w:val="en-US" w:eastAsia="zh-CN"/>
              </w:rPr>
            </w:pPr>
          </w:p>
        </w:tc>
        <w:tc>
          <w:tcPr>
            <w:tcW w:w="308" w:type="pct"/>
            <w:tcBorders>
              <w:tl2br w:val="nil"/>
              <w:tr2bl w:val="nil"/>
            </w:tcBorders>
            <w:vAlign w:val="center"/>
          </w:tcPr>
          <w:p w14:paraId="2C1FEB8C">
            <w:pPr>
              <w:widowControl/>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kern w:val="0"/>
                <w:sz w:val="21"/>
                <w:szCs w:val="21"/>
                <w:highlight w:val="none"/>
                <w:lang w:val="en-US" w:eastAsia="zh-CN"/>
              </w:rPr>
              <w:t>6#</w:t>
            </w:r>
          </w:p>
        </w:tc>
        <w:tc>
          <w:tcPr>
            <w:tcW w:w="659" w:type="pct"/>
            <w:tcBorders>
              <w:tl2br w:val="nil"/>
              <w:tr2bl w:val="nil"/>
            </w:tcBorders>
            <w:vAlign w:val="center"/>
          </w:tcPr>
          <w:p w14:paraId="7A930AA7">
            <w:pPr>
              <w:widowControl/>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127°40'41.8160"</w:t>
            </w:r>
          </w:p>
        </w:tc>
        <w:tc>
          <w:tcPr>
            <w:tcW w:w="739" w:type="pct"/>
            <w:tcBorders>
              <w:tl2br w:val="nil"/>
              <w:tr2bl w:val="nil"/>
            </w:tcBorders>
            <w:vAlign w:val="center"/>
          </w:tcPr>
          <w:p w14:paraId="15F4E138">
            <w:pPr>
              <w:widowControl/>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47°02'49.5560"</w:t>
            </w:r>
          </w:p>
        </w:tc>
        <w:tc>
          <w:tcPr>
            <w:tcW w:w="697" w:type="pct"/>
            <w:vMerge w:val="continue"/>
            <w:tcBorders>
              <w:tl2br w:val="nil"/>
              <w:tr2bl w:val="nil"/>
            </w:tcBorders>
            <w:vAlign w:val="center"/>
          </w:tcPr>
          <w:p w14:paraId="15247897">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r>
      <w:tr w14:paraId="5804F3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3" w:type="pct"/>
            <w:vMerge w:val="continue"/>
            <w:tcBorders>
              <w:tl2br w:val="nil"/>
              <w:tr2bl w:val="nil"/>
            </w:tcBorders>
            <w:vAlign w:val="center"/>
          </w:tcPr>
          <w:p w14:paraId="174CB1F9">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p>
        </w:tc>
        <w:tc>
          <w:tcPr>
            <w:tcW w:w="519" w:type="pct"/>
            <w:tcBorders>
              <w:tl2br w:val="nil"/>
              <w:tr2bl w:val="nil"/>
            </w:tcBorders>
            <w:vAlign w:val="center"/>
          </w:tcPr>
          <w:p w14:paraId="21DBBDFA">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w:t>
            </w:r>
          </w:p>
        </w:tc>
        <w:tc>
          <w:tcPr>
            <w:tcW w:w="654" w:type="pct"/>
            <w:tcBorders>
              <w:tl2br w:val="nil"/>
              <w:tr2bl w:val="nil"/>
            </w:tcBorders>
            <w:vAlign w:val="center"/>
          </w:tcPr>
          <w:p w14:paraId="65A477A0">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w:t>
            </w:r>
          </w:p>
        </w:tc>
        <w:tc>
          <w:tcPr>
            <w:tcW w:w="574" w:type="pct"/>
            <w:tcBorders>
              <w:tl2br w:val="nil"/>
              <w:tr2bl w:val="nil"/>
            </w:tcBorders>
            <w:vAlign w:val="center"/>
          </w:tcPr>
          <w:p w14:paraId="31ABEB83">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w:t>
            </w:r>
          </w:p>
        </w:tc>
        <w:tc>
          <w:tcPr>
            <w:tcW w:w="383" w:type="pct"/>
            <w:vMerge w:val="continue"/>
            <w:tcBorders>
              <w:tl2br w:val="nil"/>
              <w:tr2bl w:val="nil"/>
            </w:tcBorders>
            <w:vAlign w:val="center"/>
          </w:tcPr>
          <w:p w14:paraId="5C4310D1">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p>
        </w:tc>
        <w:tc>
          <w:tcPr>
            <w:tcW w:w="308" w:type="pct"/>
            <w:tcBorders>
              <w:tl2br w:val="nil"/>
              <w:tr2bl w:val="nil"/>
            </w:tcBorders>
            <w:vAlign w:val="center"/>
          </w:tcPr>
          <w:p w14:paraId="24BD85DD">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rPr>
              <w:t>7#</w:t>
            </w:r>
          </w:p>
        </w:tc>
        <w:tc>
          <w:tcPr>
            <w:tcW w:w="659" w:type="pct"/>
            <w:tcBorders>
              <w:tl2br w:val="nil"/>
              <w:tr2bl w:val="nil"/>
            </w:tcBorders>
            <w:vAlign w:val="center"/>
          </w:tcPr>
          <w:p w14:paraId="6A080E69">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rPr>
              <w:t>127°40'37.7290"</w:t>
            </w:r>
          </w:p>
        </w:tc>
        <w:tc>
          <w:tcPr>
            <w:tcW w:w="739" w:type="pct"/>
            <w:tcBorders>
              <w:tl2br w:val="nil"/>
              <w:tr2bl w:val="nil"/>
            </w:tcBorders>
            <w:vAlign w:val="center"/>
          </w:tcPr>
          <w:p w14:paraId="310F33F3">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rPr>
              <w:t>47°02'57.9003"</w:t>
            </w:r>
          </w:p>
        </w:tc>
        <w:tc>
          <w:tcPr>
            <w:tcW w:w="697" w:type="pct"/>
            <w:vMerge w:val="continue"/>
            <w:tcBorders>
              <w:tl2br w:val="nil"/>
              <w:tr2bl w:val="nil"/>
            </w:tcBorders>
            <w:vAlign w:val="center"/>
          </w:tcPr>
          <w:p w14:paraId="3D550494">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r>
      <w:tr w14:paraId="0E05897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3" w:type="pct"/>
            <w:vMerge w:val="continue"/>
            <w:tcBorders>
              <w:tl2br w:val="nil"/>
              <w:tr2bl w:val="nil"/>
            </w:tcBorders>
            <w:vAlign w:val="center"/>
          </w:tcPr>
          <w:p w14:paraId="1379C5A9">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p>
        </w:tc>
        <w:tc>
          <w:tcPr>
            <w:tcW w:w="519" w:type="pct"/>
            <w:tcBorders>
              <w:tl2br w:val="nil"/>
              <w:tr2bl w:val="nil"/>
            </w:tcBorders>
            <w:vAlign w:val="center"/>
          </w:tcPr>
          <w:p w14:paraId="3E5998F0">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w:t>
            </w:r>
          </w:p>
        </w:tc>
        <w:tc>
          <w:tcPr>
            <w:tcW w:w="654" w:type="pct"/>
            <w:tcBorders>
              <w:tl2br w:val="nil"/>
              <w:tr2bl w:val="nil"/>
            </w:tcBorders>
            <w:vAlign w:val="center"/>
          </w:tcPr>
          <w:p w14:paraId="0CF36DF6">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w:t>
            </w:r>
          </w:p>
        </w:tc>
        <w:tc>
          <w:tcPr>
            <w:tcW w:w="574" w:type="pct"/>
            <w:tcBorders>
              <w:tl2br w:val="nil"/>
              <w:tr2bl w:val="nil"/>
            </w:tcBorders>
            <w:vAlign w:val="center"/>
          </w:tcPr>
          <w:p w14:paraId="48F09944">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w:t>
            </w:r>
          </w:p>
        </w:tc>
        <w:tc>
          <w:tcPr>
            <w:tcW w:w="383" w:type="pct"/>
            <w:vMerge w:val="continue"/>
            <w:tcBorders>
              <w:tl2br w:val="nil"/>
              <w:tr2bl w:val="nil"/>
            </w:tcBorders>
            <w:vAlign w:val="center"/>
          </w:tcPr>
          <w:p w14:paraId="1F4804F4">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p>
        </w:tc>
        <w:tc>
          <w:tcPr>
            <w:tcW w:w="308" w:type="pct"/>
            <w:tcBorders>
              <w:tl2br w:val="nil"/>
              <w:tr2bl w:val="nil"/>
            </w:tcBorders>
            <w:vAlign w:val="center"/>
          </w:tcPr>
          <w:p w14:paraId="7FE7EA4D">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rPr>
              <w:t>8#</w:t>
            </w:r>
          </w:p>
        </w:tc>
        <w:tc>
          <w:tcPr>
            <w:tcW w:w="659" w:type="pct"/>
            <w:tcBorders>
              <w:tl2br w:val="nil"/>
              <w:tr2bl w:val="nil"/>
            </w:tcBorders>
            <w:vAlign w:val="center"/>
          </w:tcPr>
          <w:p w14:paraId="4FE3CAC1">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rPr>
              <w:t>127°40'31.9402"</w:t>
            </w:r>
          </w:p>
        </w:tc>
        <w:tc>
          <w:tcPr>
            <w:tcW w:w="739" w:type="pct"/>
            <w:tcBorders>
              <w:tl2br w:val="nil"/>
              <w:tr2bl w:val="nil"/>
            </w:tcBorders>
            <w:vAlign w:val="center"/>
          </w:tcPr>
          <w:p w14:paraId="6C24DDE5">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rPr>
              <w:t>47°03'01.5682"</w:t>
            </w:r>
          </w:p>
        </w:tc>
        <w:tc>
          <w:tcPr>
            <w:tcW w:w="697" w:type="pct"/>
            <w:vMerge w:val="continue"/>
            <w:tcBorders>
              <w:tl2br w:val="nil"/>
              <w:tr2bl w:val="nil"/>
            </w:tcBorders>
            <w:vAlign w:val="center"/>
          </w:tcPr>
          <w:p w14:paraId="26431699">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r>
      <w:tr w14:paraId="6D55F4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3" w:type="pct"/>
            <w:tcBorders>
              <w:tl2br w:val="nil"/>
              <w:tr2bl w:val="nil"/>
            </w:tcBorders>
            <w:vAlign w:val="center"/>
          </w:tcPr>
          <w:p w14:paraId="76D3E1D5">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水井数量</w:t>
            </w:r>
          </w:p>
        </w:tc>
        <w:tc>
          <w:tcPr>
            <w:tcW w:w="1748" w:type="pct"/>
            <w:gridSpan w:val="3"/>
            <w:tcBorders>
              <w:tl2br w:val="nil"/>
              <w:tr2bl w:val="nil"/>
            </w:tcBorders>
            <w:vAlign w:val="center"/>
          </w:tcPr>
          <w:p w14:paraId="529DEA8D">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1</w:t>
            </w:r>
            <w:r>
              <w:rPr>
                <w:rFonts w:hint="eastAsia" w:ascii="Times New Roman" w:hAnsi="Times New Roman" w:eastAsia="宋体" w:cs="Times New Roman"/>
                <w:color w:val="auto"/>
                <w:kern w:val="0"/>
                <w:sz w:val="21"/>
                <w:szCs w:val="21"/>
                <w:highlight w:val="none"/>
                <w:lang w:val="en-US" w:eastAsia="zh-CN" w:bidi="ar"/>
              </w:rPr>
              <w:t>眼</w:t>
            </w:r>
          </w:p>
        </w:tc>
        <w:tc>
          <w:tcPr>
            <w:tcW w:w="2090" w:type="pct"/>
            <w:gridSpan w:val="4"/>
            <w:tcBorders>
              <w:tl2br w:val="nil"/>
              <w:tr2bl w:val="nil"/>
            </w:tcBorders>
            <w:vAlign w:val="center"/>
          </w:tcPr>
          <w:p w14:paraId="27229FE9">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8眼</w:t>
            </w:r>
          </w:p>
        </w:tc>
        <w:tc>
          <w:tcPr>
            <w:tcW w:w="697" w:type="pct"/>
            <w:vMerge w:val="continue"/>
            <w:tcBorders>
              <w:tl2br w:val="nil"/>
              <w:tr2bl w:val="nil"/>
            </w:tcBorders>
            <w:vAlign w:val="center"/>
          </w:tcPr>
          <w:p w14:paraId="31FEAA93">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p>
        </w:tc>
      </w:tr>
      <w:tr w14:paraId="1E9564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3" w:type="pct"/>
            <w:tcBorders>
              <w:tl2br w:val="nil"/>
              <w:tr2bl w:val="nil"/>
            </w:tcBorders>
            <w:vAlign w:val="center"/>
          </w:tcPr>
          <w:p w14:paraId="5E15A22A">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服务范围</w:t>
            </w:r>
          </w:p>
        </w:tc>
        <w:tc>
          <w:tcPr>
            <w:tcW w:w="1748" w:type="pct"/>
            <w:gridSpan w:val="3"/>
            <w:tcBorders>
              <w:tl2br w:val="nil"/>
              <w:tr2bl w:val="nil"/>
            </w:tcBorders>
            <w:vAlign w:val="center"/>
          </w:tcPr>
          <w:p w14:paraId="028D16B1">
            <w:pPr>
              <w:widowControl/>
              <w:snapToGrid w:val="0"/>
              <w:spacing w:line="240" w:lineRule="auto"/>
              <w:ind w:firstLine="0" w:firstLineChars="0"/>
              <w:jc w:val="both"/>
              <w:rPr>
                <w:rFonts w:hint="eastAsia"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rPr>
              <w:t>发富村孟家、郭家、张井辉、台家、徐大犁；发展村七道岗、六道岗、腰八道岗、东高家、岳家屯、张木匠、老局所、西八道岗、庙屯、小马场；东农业队、畜牧局奶牛场</w:t>
            </w:r>
          </w:p>
        </w:tc>
        <w:tc>
          <w:tcPr>
            <w:tcW w:w="2090" w:type="pct"/>
            <w:gridSpan w:val="4"/>
            <w:tcBorders>
              <w:tl2br w:val="nil"/>
              <w:tr2bl w:val="nil"/>
            </w:tcBorders>
            <w:vAlign w:val="center"/>
          </w:tcPr>
          <w:p w14:paraId="5CF25580">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color w:val="auto"/>
                <w:spacing w:val="-3"/>
                <w:sz w:val="21"/>
                <w:szCs w:val="21"/>
                <w:highlight w:val="none"/>
              </w:rPr>
              <w:t>发展乡内发富村、发展村、发祥村、发明村、发源村</w:t>
            </w:r>
            <w:r>
              <w:rPr>
                <w:rFonts w:hint="eastAsia"/>
                <w:color w:val="auto"/>
                <w:spacing w:val="-3"/>
                <w:sz w:val="21"/>
                <w:szCs w:val="21"/>
                <w:highlight w:val="none"/>
                <w:lang w:eastAsia="zh-CN"/>
              </w:rPr>
              <w:t>、</w:t>
            </w:r>
            <w:r>
              <w:rPr>
                <w:rFonts w:hint="eastAsia"/>
                <w:color w:val="auto"/>
                <w:spacing w:val="-3"/>
                <w:sz w:val="21"/>
                <w:szCs w:val="21"/>
                <w:highlight w:val="none"/>
              </w:rPr>
              <w:t>东农业队，共计</w:t>
            </w:r>
            <w:r>
              <w:rPr>
                <w:rFonts w:hint="eastAsia"/>
                <w:color w:val="auto"/>
                <w:spacing w:val="-3"/>
                <w:sz w:val="21"/>
                <w:szCs w:val="21"/>
                <w:highlight w:val="none"/>
                <w:lang w:val="en-US" w:eastAsia="zh-CN"/>
              </w:rPr>
              <w:t>5</w:t>
            </w:r>
            <w:r>
              <w:rPr>
                <w:rFonts w:hint="eastAsia"/>
                <w:color w:val="auto"/>
                <w:spacing w:val="-3"/>
                <w:sz w:val="21"/>
                <w:szCs w:val="21"/>
                <w:highlight w:val="none"/>
              </w:rPr>
              <w:t>个行政村4</w:t>
            </w:r>
            <w:r>
              <w:rPr>
                <w:rFonts w:hint="eastAsia"/>
                <w:color w:val="auto"/>
                <w:spacing w:val="-3"/>
                <w:sz w:val="21"/>
                <w:szCs w:val="21"/>
                <w:highlight w:val="none"/>
                <w:lang w:val="en-US" w:eastAsia="zh-CN"/>
              </w:rPr>
              <w:t>7</w:t>
            </w:r>
            <w:r>
              <w:rPr>
                <w:rFonts w:hint="eastAsia"/>
                <w:color w:val="auto"/>
                <w:spacing w:val="-3"/>
                <w:sz w:val="21"/>
                <w:szCs w:val="21"/>
                <w:highlight w:val="none"/>
              </w:rPr>
              <w:t>个自然屯、1个奶牛场及1个农业队</w:t>
            </w:r>
          </w:p>
        </w:tc>
        <w:tc>
          <w:tcPr>
            <w:tcW w:w="697" w:type="pct"/>
            <w:vMerge w:val="continue"/>
            <w:tcBorders>
              <w:tl2br w:val="nil"/>
              <w:tr2bl w:val="nil"/>
            </w:tcBorders>
            <w:vAlign w:val="center"/>
          </w:tcPr>
          <w:p w14:paraId="308CFAFA">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p>
        </w:tc>
      </w:tr>
      <w:tr w14:paraId="36E8AF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3" w:type="pct"/>
            <w:tcBorders>
              <w:tl2br w:val="nil"/>
              <w:tr2bl w:val="nil"/>
            </w:tcBorders>
            <w:vAlign w:val="center"/>
          </w:tcPr>
          <w:p w14:paraId="567B292D">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服务人口</w:t>
            </w:r>
          </w:p>
        </w:tc>
        <w:tc>
          <w:tcPr>
            <w:tcW w:w="1748" w:type="pct"/>
            <w:gridSpan w:val="3"/>
            <w:tcBorders>
              <w:tl2br w:val="nil"/>
              <w:tr2bl w:val="nil"/>
            </w:tcBorders>
            <w:vAlign w:val="center"/>
          </w:tcPr>
          <w:p w14:paraId="78FA778E">
            <w:pPr>
              <w:widowControl/>
              <w:spacing w:line="240" w:lineRule="auto"/>
              <w:ind w:firstLine="0" w:firstLineChars="0"/>
              <w:jc w:val="center"/>
              <w:textAlignment w:val="center"/>
              <w:rPr>
                <w:rFonts w:hint="eastAsia" w:cs="Times New Roman"/>
                <w:color w:val="auto"/>
                <w:kern w:val="0"/>
                <w:sz w:val="21"/>
                <w:szCs w:val="21"/>
                <w:highlight w:val="none"/>
                <w:lang w:val="en-US" w:eastAsia="zh-CN" w:bidi="ar"/>
              </w:rPr>
            </w:pPr>
            <w:r>
              <w:rPr>
                <w:rFonts w:ascii="宋体" w:hAnsi="宋体"/>
                <w:color w:val="auto"/>
                <w:kern w:val="0"/>
                <w:sz w:val="21"/>
                <w:szCs w:val="21"/>
                <w:highlight w:val="none"/>
              </w:rPr>
              <w:t>服务人口</w:t>
            </w:r>
            <w:r>
              <w:rPr>
                <w:rFonts w:hint="default" w:ascii="Times New Roman" w:hAnsi="Times New Roman" w:cs="Times New Roman"/>
                <w:color w:val="auto"/>
                <w:kern w:val="0"/>
                <w:sz w:val="21"/>
                <w:szCs w:val="21"/>
                <w:highlight w:val="none"/>
                <w:lang w:val="en-US" w:eastAsia="zh-CN"/>
              </w:rPr>
              <w:t>6969</w:t>
            </w:r>
            <w:r>
              <w:rPr>
                <w:rFonts w:ascii="宋体" w:hAnsi="宋体"/>
                <w:color w:val="auto"/>
                <w:kern w:val="0"/>
                <w:sz w:val="21"/>
                <w:szCs w:val="21"/>
                <w:highlight w:val="none"/>
              </w:rPr>
              <w:t>人</w:t>
            </w:r>
          </w:p>
        </w:tc>
        <w:tc>
          <w:tcPr>
            <w:tcW w:w="2090" w:type="pct"/>
            <w:gridSpan w:val="4"/>
            <w:tcBorders>
              <w:tl2br w:val="nil"/>
              <w:tr2bl w:val="nil"/>
            </w:tcBorders>
            <w:vAlign w:val="center"/>
          </w:tcPr>
          <w:p w14:paraId="2AC92A7B">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color w:val="auto"/>
                <w:sz w:val="21"/>
                <w:szCs w:val="21"/>
                <w:highlight w:val="none"/>
              </w:rPr>
              <w:t>服务人口</w:t>
            </w:r>
            <w:r>
              <w:rPr>
                <w:rFonts w:hint="default" w:ascii="Times New Roman" w:hAnsi="Times New Roman" w:eastAsia="宋体" w:cs="Times New Roman"/>
                <w:color w:val="auto"/>
                <w:kern w:val="0"/>
                <w:sz w:val="21"/>
                <w:szCs w:val="21"/>
                <w:highlight w:val="none"/>
                <w:lang w:val="en-US" w:eastAsia="zh-CN" w:bidi="ar"/>
              </w:rPr>
              <w:t>9865</w:t>
            </w:r>
            <w:r>
              <w:rPr>
                <w:rFonts w:hint="eastAsia"/>
                <w:color w:val="auto"/>
                <w:sz w:val="21"/>
                <w:szCs w:val="21"/>
                <w:highlight w:val="none"/>
              </w:rPr>
              <w:t>人</w:t>
            </w:r>
          </w:p>
        </w:tc>
        <w:tc>
          <w:tcPr>
            <w:tcW w:w="697" w:type="pct"/>
            <w:vMerge w:val="continue"/>
            <w:tcBorders>
              <w:tl2br w:val="nil"/>
              <w:tr2bl w:val="nil"/>
            </w:tcBorders>
            <w:vAlign w:val="center"/>
          </w:tcPr>
          <w:p w14:paraId="4C958875">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p>
        </w:tc>
      </w:tr>
      <w:tr w14:paraId="01BA2E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3" w:type="pct"/>
            <w:tcBorders>
              <w:tl2br w:val="nil"/>
              <w:tr2bl w:val="nil"/>
            </w:tcBorders>
            <w:shd w:val="clear" w:color="auto" w:fill="auto"/>
            <w:vAlign w:val="center"/>
          </w:tcPr>
          <w:p w14:paraId="309FC777">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埋藏条件</w:t>
            </w:r>
          </w:p>
        </w:tc>
        <w:tc>
          <w:tcPr>
            <w:tcW w:w="1748" w:type="pct"/>
            <w:gridSpan w:val="3"/>
            <w:tcBorders>
              <w:tl2br w:val="nil"/>
              <w:tr2bl w:val="nil"/>
            </w:tcBorders>
            <w:vAlign w:val="center"/>
          </w:tcPr>
          <w:p w14:paraId="5E7333AB">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承压水</w:t>
            </w:r>
          </w:p>
        </w:tc>
        <w:tc>
          <w:tcPr>
            <w:tcW w:w="2090" w:type="pct"/>
            <w:gridSpan w:val="4"/>
            <w:tcBorders>
              <w:tl2br w:val="nil"/>
              <w:tr2bl w:val="nil"/>
            </w:tcBorders>
            <w:vAlign w:val="center"/>
          </w:tcPr>
          <w:p w14:paraId="116B60B4">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bidi="ar"/>
              </w:rPr>
              <w:t>承压水</w:t>
            </w:r>
          </w:p>
        </w:tc>
        <w:tc>
          <w:tcPr>
            <w:tcW w:w="697" w:type="pct"/>
            <w:vMerge w:val="continue"/>
            <w:tcBorders>
              <w:tl2br w:val="nil"/>
              <w:tr2bl w:val="nil"/>
            </w:tcBorders>
            <w:vAlign w:val="center"/>
          </w:tcPr>
          <w:p w14:paraId="0ACFD296">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
              </w:rPr>
            </w:pPr>
          </w:p>
        </w:tc>
      </w:tr>
      <w:tr w14:paraId="0555F4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3" w:type="pct"/>
            <w:tcBorders>
              <w:tl2br w:val="nil"/>
              <w:tr2bl w:val="nil"/>
            </w:tcBorders>
            <w:shd w:val="clear" w:color="auto" w:fill="auto"/>
            <w:vAlign w:val="center"/>
          </w:tcPr>
          <w:p w14:paraId="61D3E795">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color w:val="auto"/>
                <w:kern w:val="0"/>
                <w:sz w:val="21"/>
                <w:szCs w:val="21"/>
                <w:highlight w:val="none"/>
              </w:rPr>
              <w:t>保护区半径</w:t>
            </w:r>
          </w:p>
        </w:tc>
        <w:tc>
          <w:tcPr>
            <w:tcW w:w="1748" w:type="pct"/>
            <w:gridSpan w:val="3"/>
            <w:tcBorders>
              <w:tl2br w:val="nil"/>
              <w:tr2bl w:val="nil"/>
            </w:tcBorders>
            <w:vAlign w:val="center"/>
          </w:tcPr>
          <w:p w14:paraId="67307401">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color w:val="auto"/>
                <w:kern w:val="0"/>
                <w:sz w:val="21"/>
                <w:szCs w:val="21"/>
                <w:highlight w:val="none"/>
                <w:lang w:val="en-US" w:eastAsia="zh-CN"/>
              </w:rPr>
              <w:t>30</w:t>
            </w:r>
            <w:r>
              <w:rPr>
                <w:color w:val="auto"/>
                <w:kern w:val="0"/>
                <w:sz w:val="21"/>
                <w:szCs w:val="21"/>
                <w:highlight w:val="none"/>
              </w:rPr>
              <w:t>米</w:t>
            </w:r>
          </w:p>
        </w:tc>
        <w:tc>
          <w:tcPr>
            <w:tcW w:w="2090" w:type="pct"/>
            <w:gridSpan w:val="4"/>
            <w:tcBorders>
              <w:tl2br w:val="nil"/>
              <w:tr2bl w:val="nil"/>
            </w:tcBorders>
            <w:vAlign w:val="center"/>
          </w:tcPr>
          <w:p w14:paraId="1A4DB060">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color w:val="auto"/>
                <w:kern w:val="0"/>
                <w:sz w:val="21"/>
                <w:szCs w:val="21"/>
                <w:highlight w:val="none"/>
                <w:lang w:val="en-US" w:eastAsia="zh-CN"/>
              </w:rPr>
              <w:t>30</w:t>
            </w:r>
            <w:r>
              <w:rPr>
                <w:color w:val="auto"/>
                <w:kern w:val="0"/>
                <w:sz w:val="21"/>
                <w:szCs w:val="21"/>
                <w:highlight w:val="none"/>
              </w:rPr>
              <w:t>米</w:t>
            </w:r>
          </w:p>
        </w:tc>
        <w:tc>
          <w:tcPr>
            <w:tcW w:w="697" w:type="pct"/>
            <w:vMerge w:val="continue"/>
            <w:tcBorders>
              <w:tl2br w:val="nil"/>
              <w:tr2bl w:val="nil"/>
            </w:tcBorders>
            <w:vAlign w:val="center"/>
          </w:tcPr>
          <w:p w14:paraId="1682E9C3">
            <w:pPr>
              <w:widowControl/>
              <w:snapToGrid w:val="0"/>
              <w:spacing w:line="240" w:lineRule="auto"/>
              <w:ind w:firstLine="0" w:firstLineChars="0"/>
              <w:jc w:val="center"/>
              <w:rPr>
                <w:rFonts w:hint="eastAsia"/>
                <w:color w:val="auto"/>
                <w:kern w:val="0"/>
                <w:sz w:val="21"/>
                <w:szCs w:val="21"/>
                <w:highlight w:val="none"/>
                <w:lang w:val="en-US" w:eastAsia="zh-CN"/>
              </w:rPr>
            </w:pPr>
          </w:p>
        </w:tc>
      </w:tr>
      <w:tr w14:paraId="596499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3" w:type="pct"/>
            <w:tcBorders>
              <w:tl2br w:val="nil"/>
              <w:tr2bl w:val="nil"/>
            </w:tcBorders>
            <w:shd w:val="clear" w:color="auto" w:fill="auto"/>
            <w:vAlign w:val="center"/>
          </w:tcPr>
          <w:p w14:paraId="762EAD2E">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color w:val="auto"/>
                <w:kern w:val="0"/>
                <w:sz w:val="21"/>
                <w:szCs w:val="21"/>
                <w:highlight w:val="none"/>
              </w:rPr>
              <w:t>一级保护区面积（平</w:t>
            </w:r>
            <w:r>
              <w:rPr>
                <w:rFonts w:hint="eastAsia"/>
                <w:color w:val="auto"/>
                <w:kern w:val="0"/>
                <w:sz w:val="21"/>
                <w:szCs w:val="21"/>
                <w:highlight w:val="none"/>
              </w:rPr>
              <w:t>方米</w:t>
            </w:r>
            <w:r>
              <w:rPr>
                <w:rFonts w:hint="eastAsia"/>
                <w:color w:val="auto"/>
                <w:kern w:val="0"/>
                <w:sz w:val="21"/>
                <w:szCs w:val="21"/>
                <w:highlight w:val="none"/>
                <w:lang w:eastAsia="zh-CN"/>
              </w:rPr>
              <w:t>）</w:t>
            </w:r>
          </w:p>
        </w:tc>
        <w:tc>
          <w:tcPr>
            <w:tcW w:w="1748" w:type="pct"/>
            <w:gridSpan w:val="3"/>
            <w:tcBorders>
              <w:tl2br w:val="nil"/>
              <w:tr2bl w:val="nil"/>
            </w:tcBorders>
            <w:vAlign w:val="center"/>
          </w:tcPr>
          <w:p w14:paraId="320F1772">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2826</w:t>
            </w:r>
          </w:p>
        </w:tc>
        <w:tc>
          <w:tcPr>
            <w:tcW w:w="2090" w:type="pct"/>
            <w:gridSpan w:val="4"/>
            <w:tcBorders>
              <w:tl2br w:val="nil"/>
              <w:tr2bl w:val="nil"/>
            </w:tcBorders>
            <w:vAlign w:val="center"/>
          </w:tcPr>
          <w:p w14:paraId="248B47B2">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color w:val="auto"/>
                <w:sz w:val="21"/>
                <w:szCs w:val="21"/>
                <w:highlight w:val="none"/>
                <w:lang w:val="en-US" w:eastAsia="zh-CN"/>
              </w:rPr>
              <w:t>22608</w:t>
            </w:r>
          </w:p>
        </w:tc>
        <w:tc>
          <w:tcPr>
            <w:tcW w:w="697" w:type="pct"/>
            <w:vMerge w:val="continue"/>
            <w:tcBorders>
              <w:tl2br w:val="nil"/>
              <w:tr2bl w:val="nil"/>
            </w:tcBorders>
            <w:vAlign w:val="center"/>
          </w:tcPr>
          <w:p w14:paraId="05DFFB1E">
            <w:pPr>
              <w:widowControl/>
              <w:snapToGrid w:val="0"/>
              <w:spacing w:line="240" w:lineRule="auto"/>
              <w:ind w:firstLine="0" w:firstLineChars="0"/>
              <w:jc w:val="center"/>
              <w:rPr>
                <w:rFonts w:hint="eastAsia"/>
                <w:color w:val="auto"/>
                <w:sz w:val="21"/>
                <w:szCs w:val="21"/>
                <w:highlight w:val="none"/>
                <w:lang w:val="en-US" w:eastAsia="zh-CN"/>
              </w:rPr>
            </w:pPr>
          </w:p>
        </w:tc>
      </w:tr>
      <w:tr w14:paraId="411FA8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3" w:type="pct"/>
            <w:tcBorders>
              <w:tl2br w:val="nil"/>
              <w:tr2bl w:val="nil"/>
            </w:tcBorders>
            <w:shd w:val="clear" w:color="auto" w:fill="auto"/>
            <w:vAlign w:val="center"/>
          </w:tcPr>
          <w:p w14:paraId="18C047C0">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color w:val="auto"/>
                <w:kern w:val="0"/>
                <w:sz w:val="21"/>
                <w:szCs w:val="21"/>
                <w:highlight w:val="none"/>
              </w:rPr>
              <w:t>二级保护区</w:t>
            </w:r>
            <w:r>
              <w:rPr>
                <w:rFonts w:hint="eastAsia"/>
                <w:color w:val="auto"/>
                <w:kern w:val="0"/>
                <w:sz w:val="21"/>
                <w:szCs w:val="21"/>
                <w:highlight w:val="none"/>
                <w:lang w:eastAsia="zh-CN"/>
              </w:rPr>
              <w:t>、</w:t>
            </w:r>
            <w:r>
              <w:rPr>
                <w:color w:val="auto"/>
                <w:kern w:val="0"/>
                <w:sz w:val="21"/>
                <w:szCs w:val="21"/>
                <w:highlight w:val="none"/>
              </w:rPr>
              <w:t>准保护区面积（平方</w:t>
            </w:r>
            <w:r>
              <w:rPr>
                <w:rFonts w:hint="eastAsia"/>
                <w:color w:val="auto"/>
                <w:kern w:val="0"/>
                <w:sz w:val="21"/>
                <w:szCs w:val="21"/>
                <w:highlight w:val="none"/>
              </w:rPr>
              <w:t>米</w:t>
            </w:r>
            <w:r>
              <w:rPr>
                <w:color w:val="auto"/>
                <w:kern w:val="0"/>
                <w:sz w:val="21"/>
                <w:szCs w:val="21"/>
                <w:highlight w:val="none"/>
              </w:rPr>
              <w:t>）</w:t>
            </w:r>
          </w:p>
        </w:tc>
        <w:tc>
          <w:tcPr>
            <w:tcW w:w="1748" w:type="pct"/>
            <w:gridSpan w:val="3"/>
            <w:tcBorders>
              <w:tl2br w:val="nil"/>
              <w:tr2bl w:val="nil"/>
            </w:tcBorders>
            <w:vAlign w:val="center"/>
          </w:tcPr>
          <w:p w14:paraId="00DA09B7">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无</w:t>
            </w:r>
          </w:p>
        </w:tc>
        <w:tc>
          <w:tcPr>
            <w:tcW w:w="2090" w:type="pct"/>
            <w:gridSpan w:val="4"/>
            <w:tcBorders>
              <w:tl2br w:val="nil"/>
              <w:tr2bl w:val="nil"/>
            </w:tcBorders>
            <w:vAlign w:val="center"/>
          </w:tcPr>
          <w:p w14:paraId="0887F6FE">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bidi="ar"/>
              </w:rPr>
              <w:t>无</w:t>
            </w:r>
          </w:p>
        </w:tc>
        <w:tc>
          <w:tcPr>
            <w:tcW w:w="697" w:type="pct"/>
            <w:vMerge w:val="continue"/>
            <w:tcBorders>
              <w:tl2br w:val="nil"/>
              <w:tr2bl w:val="nil"/>
            </w:tcBorders>
            <w:vAlign w:val="center"/>
          </w:tcPr>
          <w:p w14:paraId="6B0BBB92">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
              </w:rPr>
            </w:pPr>
          </w:p>
        </w:tc>
      </w:tr>
      <w:tr w14:paraId="21A78E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3" w:type="pct"/>
            <w:tcBorders>
              <w:tl2br w:val="nil"/>
              <w:tr2bl w:val="nil"/>
            </w:tcBorders>
            <w:shd w:val="clear" w:color="auto" w:fill="auto"/>
            <w:vAlign w:val="center"/>
          </w:tcPr>
          <w:p w14:paraId="5DB60CB3">
            <w:pPr>
              <w:widowControl/>
              <w:spacing w:line="240" w:lineRule="auto"/>
              <w:ind w:firstLine="0" w:firstLineChars="0"/>
              <w:jc w:val="center"/>
              <w:textAlignment w:val="center"/>
              <w:rPr>
                <w:color w:val="auto"/>
                <w:kern w:val="0"/>
                <w:sz w:val="21"/>
                <w:szCs w:val="21"/>
                <w:highlight w:val="none"/>
              </w:rPr>
            </w:pPr>
            <w:r>
              <w:rPr>
                <w:rFonts w:hint="eastAsia" w:ascii="Times New Roman" w:cs="Times New Roman"/>
                <w:color w:val="auto"/>
                <w:sz w:val="21"/>
                <w:szCs w:val="21"/>
                <w:highlight w:val="none"/>
              </w:rPr>
              <w:t>调整后保护区增减面积</w:t>
            </w:r>
            <w:r>
              <w:rPr>
                <w:color w:val="auto"/>
                <w:kern w:val="0"/>
                <w:sz w:val="21"/>
                <w:szCs w:val="21"/>
                <w:highlight w:val="none"/>
              </w:rPr>
              <w:t>（平方</w:t>
            </w:r>
            <w:r>
              <w:rPr>
                <w:rFonts w:hint="eastAsia"/>
                <w:color w:val="auto"/>
                <w:kern w:val="0"/>
                <w:sz w:val="21"/>
                <w:szCs w:val="21"/>
                <w:highlight w:val="none"/>
              </w:rPr>
              <w:t>米</w:t>
            </w:r>
            <w:r>
              <w:rPr>
                <w:color w:val="auto"/>
                <w:kern w:val="0"/>
                <w:sz w:val="21"/>
                <w:szCs w:val="21"/>
                <w:highlight w:val="none"/>
              </w:rPr>
              <w:t>）</w:t>
            </w:r>
          </w:p>
        </w:tc>
        <w:tc>
          <w:tcPr>
            <w:tcW w:w="3838" w:type="pct"/>
            <w:gridSpan w:val="7"/>
            <w:tcBorders>
              <w:tl2br w:val="nil"/>
              <w:tr2bl w:val="nil"/>
            </w:tcBorders>
            <w:vAlign w:val="center"/>
          </w:tcPr>
          <w:p w14:paraId="02C67A25">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w:t>
            </w:r>
            <w:r>
              <w:rPr>
                <w:rFonts w:hint="eastAsia" w:cs="Times New Roman"/>
                <w:color w:val="auto"/>
                <w:kern w:val="0"/>
                <w:sz w:val="21"/>
                <w:szCs w:val="21"/>
                <w:highlight w:val="none"/>
                <w:lang w:val="en-US" w:eastAsia="zh-CN" w:bidi="ar"/>
              </w:rPr>
              <w:t>19782</w:t>
            </w:r>
          </w:p>
        </w:tc>
        <w:tc>
          <w:tcPr>
            <w:tcW w:w="697" w:type="pct"/>
            <w:vMerge w:val="continue"/>
            <w:tcBorders>
              <w:tl2br w:val="nil"/>
              <w:tr2bl w:val="nil"/>
            </w:tcBorders>
            <w:vAlign w:val="center"/>
          </w:tcPr>
          <w:p w14:paraId="4E80FD22">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
              </w:rPr>
            </w:pPr>
          </w:p>
        </w:tc>
      </w:tr>
    </w:tbl>
    <w:p w14:paraId="13B133DD">
      <w:pPr>
        <w:pStyle w:val="13"/>
        <w:spacing w:line="360" w:lineRule="auto"/>
        <w:ind w:left="0" w:leftChars="0" w:firstLine="0" w:firstLineChars="0"/>
        <w:jc w:val="center"/>
        <w:rPr>
          <w:rFonts w:hint="eastAsia" w:ascii="Times New Roman" w:hAnsi="Times New Roman" w:eastAsia="宋体" w:cs="Times New Roman"/>
          <w:color w:val="auto"/>
          <w:sz w:val="24"/>
          <w:szCs w:val="24"/>
          <w:highlight w:val="none"/>
          <w:lang w:val="zh-CN" w:eastAsia="zh-CN"/>
        </w:rPr>
      </w:pPr>
      <w:r>
        <w:rPr>
          <w:rFonts w:hint="eastAsia" w:ascii="Times New Roman" w:hAnsi="Times New Roman" w:eastAsia="宋体" w:cs="Times New Roman"/>
          <w:color w:val="auto"/>
          <w:sz w:val="24"/>
          <w:szCs w:val="24"/>
          <w:highlight w:val="none"/>
          <w:lang w:val="zh-CN" w:eastAsia="zh-CN"/>
        </w:rPr>
        <w:drawing>
          <wp:inline distT="0" distB="0" distL="114300" distR="114300">
            <wp:extent cx="7320915" cy="5175885"/>
            <wp:effectExtent l="0" t="0" r="13335" b="5715"/>
            <wp:docPr id="43" name="图片 43" descr="水源地调整对比_发展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水源地调整对比_发展乡"/>
                    <pic:cNvPicPr>
                      <a:picLocks noChangeAspect="1"/>
                    </pic:cNvPicPr>
                  </pic:nvPicPr>
                  <pic:blipFill>
                    <a:blip r:embed="rId91"/>
                    <a:stretch>
                      <a:fillRect/>
                    </a:stretch>
                  </pic:blipFill>
                  <pic:spPr>
                    <a:xfrm>
                      <a:off x="0" y="0"/>
                      <a:ext cx="7320915" cy="5175885"/>
                    </a:xfrm>
                    <a:prstGeom prst="rect">
                      <a:avLst/>
                    </a:prstGeom>
                  </pic:spPr>
                </pic:pic>
              </a:graphicData>
            </a:graphic>
          </wp:inline>
        </w:drawing>
      </w:r>
    </w:p>
    <w:p w14:paraId="6319439B">
      <w:pPr>
        <w:pStyle w:val="13"/>
        <w:spacing w:line="360" w:lineRule="auto"/>
        <w:ind w:left="0" w:leftChars="0" w:firstLine="0" w:firstLineChars="0"/>
        <w:jc w:val="center"/>
        <w:rPr>
          <w:rFonts w:hint="eastAsia" w:ascii="Times New Roman" w:hAnsi="Times New Roman" w:eastAsia="黑体" w:cs="Times New Roman"/>
          <w:color w:val="auto"/>
          <w:sz w:val="24"/>
          <w:szCs w:val="24"/>
          <w:highlight w:val="none"/>
          <w:lang w:val="zh-CN" w:eastAsia="zh-CN"/>
        </w:rPr>
      </w:pPr>
      <w:r>
        <w:rPr>
          <w:rFonts w:hint="eastAsia" w:ascii="Times New Roman" w:hAnsi="Times New Roman" w:eastAsia="黑体" w:cs="Times New Roman"/>
          <w:color w:val="auto"/>
          <w:sz w:val="24"/>
          <w:szCs w:val="24"/>
          <w:highlight w:val="none"/>
          <w:lang w:val="zh-CN" w:eastAsia="zh-CN"/>
        </w:rPr>
        <w:t>图</w:t>
      </w:r>
      <w:r>
        <w:rPr>
          <w:rFonts w:hint="eastAsia" w:ascii="Times New Roman" w:hAnsi="Times New Roman" w:eastAsia="黑体" w:cs="Times New Roman"/>
          <w:color w:val="auto"/>
          <w:sz w:val="24"/>
          <w:szCs w:val="24"/>
          <w:highlight w:val="none"/>
          <w:lang w:val="en-US" w:eastAsia="zh-CN"/>
        </w:rPr>
        <w:t xml:space="preserve">3-8  </w:t>
      </w:r>
      <w:r>
        <w:rPr>
          <w:rFonts w:hint="eastAsia" w:ascii="Times New Roman" w:hAnsi="Times New Roman" w:eastAsia="黑体" w:cs="Times New Roman"/>
          <w:color w:val="auto"/>
          <w:sz w:val="24"/>
          <w:szCs w:val="24"/>
          <w:highlight w:val="none"/>
          <w:lang w:val="zh-CN" w:eastAsia="zh-CN"/>
        </w:rPr>
        <w:t>绥化市庆安县发展乡饮用水水源</w:t>
      </w:r>
      <w:r>
        <w:rPr>
          <w:rFonts w:hint="eastAsia" w:ascii="Times New Roman" w:hAnsi="Times New Roman" w:eastAsia="黑体" w:cs="Times New Roman"/>
          <w:color w:val="auto"/>
          <w:sz w:val="24"/>
          <w:szCs w:val="24"/>
          <w:highlight w:val="none"/>
          <w:lang w:val="en-US" w:eastAsia="zh-CN"/>
        </w:rPr>
        <w:t>保护区划分</w:t>
      </w:r>
      <w:r>
        <w:rPr>
          <w:rFonts w:hint="eastAsia" w:ascii="Times New Roman" w:hAnsi="Times New Roman" w:eastAsia="黑体" w:cs="Times New Roman"/>
          <w:color w:val="auto"/>
          <w:sz w:val="24"/>
          <w:szCs w:val="24"/>
          <w:highlight w:val="none"/>
          <w:lang w:val="zh-CN" w:eastAsia="zh-CN"/>
        </w:rPr>
        <w:t>前后对比图</w:t>
      </w:r>
    </w:p>
    <w:bookmarkEnd w:id="89"/>
    <w:bookmarkEnd w:id="90"/>
    <w:bookmarkEnd w:id="91"/>
    <w:p w14:paraId="7665DBB9">
      <w:pPr>
        <w:bidi w:val="0"/>
        <w:ind w:left="0" w:leftChars="0" w:firstLine="0" w:firstLineChars="0"/>
        <w:jc w:val="center"/>
        <w:rPr>
          <w:color w:val="auto"/>
          <w:highlight w:val="none"/>
          <w:lang w:val="en-US"/>
        </w:rPr>
      </w:pPr>
      <w:r>
        <w:rPr>
          <w:rFonts w:hint="eastAsia" w:ascii="Times New Roman" w:hAnsi="Times New Roman" w:eastAsia="黑体" w:cs="Times New Roman"/>
          <w:color w:val="auto"/>
          <w:sz w:val="24"/>
          <w:szCs w:val="24"/>
          <w:highlight w:val="none"/>
          <w:lang w:eastAsia="zh-CN"/>
        </w:rPr>
        <w:t>表</w:t>
      </w:r>
      <w:r>
        <w:rPr>
          <w:rFonts w:hint="eastAsia" w:ascii="Times New Roman" w:hAnsi="Times New Roman" w:eastAsia="黑体" w:cs="Times New Roman"/>
          <w:color w:val="auto"/>
          <w:sz w:val="24"/>
          <w:szCs w:val="24"/>
          <w:highlight w:val="none"/>
          <w:lang w:val="en-US" w:eastAsia="zh-CN"/>
        </w:rPr>
        <w:t>3-</w:t>
      </w:r>
      <w:r>
        <w:rPr>
          <w:rFonts w:hint="eastAsia" w:eastAsia="黑体" w:cs="Times New Roman"/>
          <w:color w:val="auto"/>
          <w:sz w:val="24"/>
          <w:szCs w:val="24"/>
          <w:highlight w:val="none"/>
          <w:lang w:val="en-US" w:eastAsia="zh-CN"/>
        </w:rPr>
        <w:t>6</w:t>
      </w:r>
      <w:r>
        <w:rPr>
          <w:rFonts w:hint="eastAsia" w:ascii="Times New Roman" w:hAnsi="Times New Roman" w:eastAsia="黑体" w:cs="Times New Roman"/>
          <w:color w:val="auto"/>
          <w:sz w:val="24"/>
          <w:szCs w:val="24"/>
          <w:highlight w:val="none"/>
          <w:lang w:val="en-US" w:eastAsia="zh-CN"/>
        </w:rPr>
        <w:t xml:space="preserve">  建民乡</w:t>
      </w:r>
      <w:r>
        <w:rPr>
          <w:rFonts w:ascii="Times New Roman" w:hAnsi="Times New Roman" w:eastAsia="黑体" w:cs="Times New Roman"/>
          <w:color w:val="auto"/>
          <w:sz w:val="24"/>
          <w:szCs w:val="24"/>
          <w:highlight w:val="none"/>
        </w:rPr>
        <w:t>水源地调整前后对比</w:t>
      </w:r>
      <w:r>
        <w:rPr>
          <w:rFonts w:hint="eastAsia" w:ascii="Times New Roman" w:hAnsi="Times New Roman" w:eastAsia="黑体" w:cs="Times New Roman"/>
          <w:color w:val="auto"/>
          <w:sz w:val="24"/>
          <w:szCs w:val="24"/>
          <w:highlight w:val="none"/>
          <w:lang w:eastAsia="zh-CN"/>
        </w:rPr>
        <w:t>一览表</w:t>
      </w:r>
    </w:p>
    <w:tbl>
      <w:tblPr>
        <w:tblStyle w:val="22"/>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71"/>
        <w:gridCol w:w="1830"/>
        <w:gridCol w:w="1725"/>
        <w:gridCol w:w="1502"/>
        <w:gridCol w:w="945"/>
        <w:gridCol w:w="705"/>
        <w:gridCol w:w="1680"/>
        <w:gridCol w:w="1755"/>
        <w:gridCol w:w="2385"/>
      </w:tblGrid>
      <w:tr w14:paraId="1CB168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57" w:type="pct"/>
            <w:vMerge w:val="restart"/>
            <w:tcBorders>
              <w:tl2br w:val="nil"/>
              <w:tr2bl w:val="nil"/>
            </w:tcBorders>
            <w:vAlign w:val="center"/>
          </w:tcPr>
          <w:p w14:paraId="100D35F5">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eastAsia="zh-CN" w:bidi="ar"/>
              </w:rPr>
            </w:pPr>
            <w:r>
              <w:rPr>
                <w:rFonts w:hint="eastAsia" w:ascii="Times New Roman" w:hAnsi="Times New Roman" w:eastAsia="宋体" w:cs="Times New Roman"/>
                <w:color w:val="auto"/>
                <w:kern w:val="0"/>
                <w:sz w:val="21"/>
                <w:szCs w:val="21"/>
                <w:highlight w:val="none"/>
                <w:lang w:eastAsia="zh-CN" w:bidi="ar"/>
              </w:rPr>
              <w:t>项目</w:t>
            </w:r>
          </w:p>
        </w:tc>
        <w:tc>
          <w:tcPr>
            <w:tcW w:w="1793" w:type="pct"/>
            <w:gridSpan w:val="3"/>
            <w:tcBorders>
              <w:tl2br w:val="nil"/>
              <w:tr2bl w:val="nil"/>
            </w:tcBorders>
            <w:vAlign w:val="center"/>
          </w:tcPr>
          <w:p w14:paraId="16D00BE3">
            <w:pPr>
              <w:widowControl/>
              <w:spacing w:line="240" w:lineRule="auto"/>
              <w:ind w:firstLine="0" w:firstLineChars="0"/>
              <w:jc w:val="center"/>
              <w:textAlignment w:val="center"/>
              <w:rPr>
                <w:rFonts w:hint="eastAsia" w:cs="Times New Roman"/>
                <w:color w:val="auto"/>
                <w:kern w:val="0"/>
                <w:sz w:val="21"/>
                <w:szCs w:val="21"/>
                <w:highlight w:val="none"/>
                <w:lang w:eastAsia="zh-CN" w:bidi="ar"/>
              </w:rPr>
            </w:pPr>
            <w:r>
              <w:rPr>
                <w:rFonts w:hint="eastAsia" w:cs="Times New Roman"/>
                <w:color w:val="auto"/>
                <w:kern w:val="0"/>
                <w:sz w:val="21"/>
                <w:szCs w:val="21"/>
                <w:highlight w:val="none"/>
                <w:lang w:eastAsia="zh-CN" w:bidi="ar"/>
              </w:rPr>
              <w:t>调整前</w:t>
            </w:r>
          </w:p>
        </w:tc>
        <w:tc>
          <w:tcPr>
            <w:tcW w:w="1803" w:type="pct"/>
            <w:gridSpan w:val="4"/>
            <w:tcBorders>
              <w:tl2br w:val="nil"/>
              <w:tr2bl w:val="nil"/>
            </w:tcBorders>
            <w:vAlign w:val="center"/>
          </w:tcPr>
          <w:p w14:paraId="6BEF5C79">
            <w:pPr>
              <w:widowControl/>
              <w:spacing w:line="240" w:lineRule="auto"/>
              <w:ind w:firstLine="0" w:firstLineChars="0"/>
              <w:jc w:val="center"/>
              <w:textAlignment w:val="center"/>
              <w:rPr>
                <w:rFonts w:hint="eastAsia" w:cs="Times New Roman"/>
                <w:color w:val="auto"/>
                <w:kern w:val="0"/>
                <w:sz w:val="21"/>
                <w:szCs w:val="21"/>
                <w:highlight w:val="none"/>
                <w:lang w:eastAsia="zh-CN" w:bidi="ar"/>
              </w:rPr>
            </w:pPr>
            <w:r>
              <w:rPr>
                <w:rFonts w:hint="eastAsia" w:cs="Times New Roman"/>
                <w:color w:val="auto"/>
                <w:kern w:val="0"/>
                <w:sz w:val="21"/>
                <w:szCs w:val="21"/>
                <w:highlight w:val="none"/>
                <w:lang w:eastAsia="zh-CN" w:bidi="ar"/>
              </w:rPr>
              <w:t>调整后</w:t>
            </w:r>
          </w:p>
        </w:tc>
        <w:tc>
          <w:tcPr>
            <w:tcW w:w="845" w:type="pct"/>
            <w:vMerge w:val="restart"/>
            <w:tcBorders>
              <w:tl2br w:val="nil"/>
              <w:tr2bl w:val="nil"/>
            </w:tcBorders>
            <w:vAlign w:val="center"/>
          </w:tcPr>
          <w:p w14:paraId="7783505D">
            <w:pPr>
              <w:widowControl/>
              <w:spacing w:line="240" w:lineRule="auto"/>
              <w:ind w:firstLine="0" w:firstLineChars="0"/>
              <w:jc w:val="center"/>
              <w:textAlignment w:val="center"/>
              <w:rPr>
                <w:rFonts w:hint="eastAsia" w:cs="Times New Roman"/>
                <w:color w:val="auto"/>
                <w:kern w:val="0"/>
                <w:sz w:val="21"/>
                <w:szCs w:val="21"/>
                <w:highlight w:val="none"/>
                <w:lang w:eastAsia="zh-CN" w:bidi="ar"/>
              </w:rPr>
            </w:pPr>
            <w:r>
              <w:rPr>
                <w:rFonts w:hint="eastAsia"/>
                <w:color w:val="auto"/>
                <w:highlight w:val="none"/>
                <w:lang w:eastAsia="zh-CN"/>
              </w:rPr>
              <w:t>备注</w:t>
            </w:r>
          </w:p>
        </w:tc>
      </w:tr>
      <w:tr w14:paraId="05EB8E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57" w:type="pct"/>
            <w:vMerge w:val="continue"/>
            <w:tcBorders>
              <w:tl2br w:val="nil"/>
              <w:tr2bl w:val="nil"/>
            </w:tcBorders>
            <w:vAlign w:val="center"/>
          </w:tcPr>
          <w:p w14:paraId="3635092B">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eastAsia="zh-CN" w:bidi="ar"/>
              </w:rPr>
            </w:pPr>
          </w:p>
        </w:tc>
        <w:tc>
          <w:tcPr>
            <w:tcW w:w="649" w:type="pct"/>
            <w:vMerge w:val="restart"/>
            <w:tcBorders>
              <w:tl2br w:val="nil"/>
              <w:tr2bl w:val="nil"/>
            </w:tcBorders>
            <w:vAlign w:val="center"/>
          </w:tcPr>
          <w:p w14:paraId="6DFA0E4D">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eastAsia="zh-CN" w:bidi="ar"/>
              </w:rPr>
            </w:pPr>
            <w:r>
              <w:rPr>
                <w:rFonts w:hint="eastAsia" w:ascii="Times New Roman" w:hAnsi="Times New Roman" w:eastAsia="宋体" w:cs="Times New Roman"/>
                <w:color w:val="auto"/>
                <w:kern w:val="0"/>
                <w:sz w:val="21"/>
                <w:szCs w:val="21"/>
                <w:highlight w:val="none"/>
                <w:lang w:eastAsia="zh-CN" w:bidi="ar"/>
              </w:rPr>
              <w:t>调整前水源地</w:t>
            </w:r>
          </w:p>
        </w:tc>
        <w:tc>
          <w:tcPr>
            <w:tcW w:w="1144" w:type="pct"/>
            <w:gridSpan w:val="2"/>
            <w:tcBorders>
              <w:tl2br w:val="nil"/>
              <w:tr2bl w:val="nil"/>
            </w:tcBorders>
            <w:vAlign w:val="center"/>
          </w:tcPr>
          <w:p w14:paraId="325DE480">
            <w:pPr>
              <w:widowControl/>
              <w:snapToGrid w:val="0"/>
              <w:spacing w:line="240" w:lineRule="auto"/>
              <w:ind w:firstLine="0" w:firstLineChars="0"/>
              <w:jc w:val="center"/>
              <w:rPr>
                <w:rFonts w:hint="eastAsia"/>
                <w:color w:val="auto"/>
                <w:kern w:val="0"/>
                <w:sz w:val="21"/>
                <w:szCs w:val="21"/>
                <w:highlight w:val="none"/>
                <w:lang w:eastAsia="en-US"/>
              </w:rPr>
            </w:pPr>
            <w:r>
              <w:rPr>
                <w:rFonts w:hint="eastAsia"/>
                <w:color w:val="auto"/>
                <w:kern w:val="0"/>
                <w:sz w:val="21"/>
                <w:szCs w:val="21"/>
                <w:highlight w:val="none"/>
                <w:lang w:eastAsia="en-US"/>
              </w:rPr>
              <w:t>坐标</w:t>
            </w:r>
          </w:p>
        </w:tc>
        <w:tc>
          <w:tcPr>
            <w:tcW w:w="335" w:type="pct"/>
            <w:vMerge w:val="restart"/>
            <w:tcBorders>
              <w:tl2br w:val="nil"/>
              <w:tr2bl w:val="nil"/>
            </w:tcBorders>
            <w:vAlign w:val="center"/>
          </w:tcPr>
          <w:p w14:paraId="0A0D698C">
            <w:pPr>
              <w:widowControl/>
              <w:spacing w:line="240" w:lineRule="auto"/>
              <w:ind w:firstLine="0" w:firstLineChars="0"/>
              <w:jc w:val="center"/>
              <w:textAlignment w:val="center"/>
              <w:rPr>
                <w:rFonts w:hint="eastAsia" w:cs="Times New Roman"/>
                <w:color w:val="auto"/>
                <w:kern w:val="0"/>
                <w:sz w:val="21"/>
                <w:szCs w:val="21"/>
                <w:highlight w:val="none"/>
                <w:lang w:eastAsia="zh-CN" w:bidi="ar"/>
              </w:rPr>
            </w:pPr>
            <w:r>
              <w:rPr>
                <w:rFonts w:hint="eastAsia" w:ascii="Times New Roman" w:hAnsi="Times New Roman" w:eastAsia="宋体" w:cs="Times New Roman"/>
                <w:color w:val="auto"/>
                <w:kern w:val="0"/>
                <w:sz w:val="21"/>
                <w:szCs w:val="21"/>
                <w:highlight w:val="none"/>
                <w:lang w:eastAsia="zh-CN" w:bidi="ar"/>
              </w:rPr>
              <w:t>调整后水源地</w:t>
            </w:r>
          </w:p>
        </w:tc>
        <w:tc>
          <w:tcPr>
            <w:tcW w:w="250" w:type="pct"/>
            <w:vMerge w:val="restart"/>
            <w:tcBorders>
              <w:tl2br w:val="nil"/>
              <w:tr2bl w:val="nil"/>
            </w:tcBorders>
            <w:vAlign w:val="center"/>
          </w:tcPr>
          <w:p w14:paraId="2CD6EFC4">
            <w:pPr>
              <w:widowControl/>
              <w:spacing w:line="240" w:lineRule="auto"/>
              <w:ind w:firstLine="0" w:firstLineChars="0"/>
              <w:jc w:val="center"/>
              <w:textAlignment w:val="center"/>
              <w:rPr>
                <w:rFonts w:hint="eastAsia" w:cs="Times New Roman"/>
                <w:color w:val="auto"/>
                <w:kern w:val="0"/>
                <w:sz w:val="21"/>
                <w:szCs w:val="21"/>
                <w:highlight w:val="none"/>
                <w:lang w:eastAsia="zh-CN" w:bidi="ar"/>
              </w:rPr>
            </w:pPr>
            <w:r>
              <w:rPr>
                <w:rFonts w:hint="eastAsia" w:cs="Times New Roman"/>
                <w:color w:val="auto"/>
                <w:kern w:val="0"/>
                <w:sz w:val="21"/>
                <w:szCs w:val="21"/>
                <w:highlight w:val="none"/>
                <w:lang w:eastAsia="zh-CN" w:bidi="ar"/>
              </w:rPr>
              <w:t>编号</w:t>
            </w:r>
          </w:p>
        </w:tc>
        <w:tc>
          <w:tcPr>
            <w:tcW w:w="1218" w:type="pct"/>
            <w:gridSpan w:val="2"/>
            <w:tcBorders>
              <w:tl2br w:val="nil"/>
              <w:tr2bl w:val="nil"/>
            </w:tcBorders>
            <w:vAlign w:val="center"/>
          </w:tcPr>
          <w:p w14:paraId="3BDCA591">
            <w:pPr>
              <w:widowControl/>
              <w:spacing w:line="240" w:lineRule="auto"/>
              <w:ind w:firstLine="0" w:firstLineChars="0"/>
              <w:jc w:val="center"/>
              <w:textAlignment w:val="center"/>
              <w:rPr>
                <w:rFonts w:hint="eastAsia" w:cs="Times New Roman"/>
                <w:color w:val="auto"/>
                <w:kern w:val="0"/>
                <w:sz w:val="21"/>
                <w:szCs w:val="21"/>
                <w:highlight w:val="none"/>
                <w:lang w:eastAsia="zh-CN" w:bidi="ar"/>
              </w:rPr>
            </w:pPr>
            <w:r>
              <w:rPr>
                <w:rFonts w:hint="eastAsia" w:cs="Times New Roman"/>
                <w:color w:val="auto"/>
                <w:kern w:val="0"/>
                <w:sz w:val="21"/>
                <w:szCs w:val="21"/>
                <w:highlight w:val="none"/>
                <w:lang w:eastAsia="zh-CN" w:bidi="ar"/>
              </w:rPr>
              <w:t>坐标</w:t>
            </w:r>
          </w:p>
        </w:tc>
        <w:tc>
          <w:tcPr>
            <w:tcW w:w="845" w:type="pct"/>
            <w:vMerge w:val="continue"/>
            <w:tcBorders>
              <w:tl2br w:val="nil"/>
              <w:tr2bl w:val="nil"/>
            </w:tcBorders>
            <w:vAlign w:val="center"/>
          </w:tcPr>
          <w:p w14:paraId="168EE196">
            <w:pPr>
              <w:widowControl/>
              <w:spacing w:line="240" w:lineRule="auto"/>
              <w:ind w:firstLine="0" w:firstLineChars="0"/>
              <w:jc w:val="center"/>
              <w:textAlignment w:val="center"/>
              <w:rPr>
                <w:rFonts w:hint="eastAsia" w:cs="Times New Roman"/>
                <w:color w:val="auto"/>
                <w:kern w:val="0"/>
                <w:sz w:val="21"/>
                <w:szCs w:val="21"/>
                <w:highlight w:val="none"/>
                <w:lang w:eastAsia="zh-CN" w:bidi="ar"/>
              </w:rPr>
            </w:pPr>
          </w:p>
        </w:tc>
      </w:tr>
      <w:tr w14:paraId="1F88BC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57" w:type="pct"/>
            <w:vMerge w:val="continue"/>
            <w:tcBorders>
              <w:tl2br w:val="nil"/>
              <w:tr2bl w:val="nil"/>
            </w:tcBorders>
            <w:vAlign w:val="center"/>
          </w:tcPr>
          <w:p w14:paraId="70FE0417">
            <w:pPr>
              <w:widowControl/>
              <w:snapToGrid w:val="0"/>
              <w:spacing w:line="240" w:lineRule="auto"/>
              <w:ind w:firstLine="0" w:firstLineChars="0"/>
              <w:jc w:val="center"/>
              <w:rPr>
                <w:color w:val="auto"/>
                <w:sz w:val="21"/>
                <w:szCs w:val="21"/>
                <w:highlight w:val="none"/>
              </w:rPr>
            </w:pPr>
          </w:p>
        </w:tc>
        <w:tc>
          <w:tcPr>
            <w:tcW w:w="649" w:type="pct"/>
            <w:vMerge w:val="continue"/>
            <w:tcBorders>
              <w:tl2br w:val="nil"/>
              <w:tr2bl w:val="nil"/>
            </w:tcBorders>
            <w:vAlign w:val="center"/>
          </w:tcPr>
          <w:p w14:paraId="18173F51">
            <w:pPr>
              <w:widowControl/>
              <w:snapToGrid w:val="0"/>
              <w:spacing w:line="240" w:lineRule="auto"/>
              <w:ind w:firstLine="0" w:firstLineChars="0"/>
              <w:jc w:val="center"/>
              <w:rPr>
                <w:color w:val="auto"/>
                <w:sz w:val="21"/>
                <w:szCs w:val="21"/>
                <w:highlight w:val="none"/>
              </w:rPr>
            </w:pPr>
          </w:p>
        </w:tc>
        <w:tc>
          <w:tcPr>
            <w:tcW w:w="611" w:type="pct"/>
            <w:tcBorders>
              <w:tl2br w:val="nil"/>
              <w:tr2bl w:val="nil"/>
            </w:tcBorders>
            <w:vAlign w:val="center"/>
          </w:tcPr>
          <w:p w14:paraId="6FFD5517">
            <w:pPr>
              <w:widowControl/>
              <w:snapToGrid w:val="0"/>
              <w:spacing w:line="240" w:lineRule="auto"/>
              <w:ind w:firstLine="0" w:firstLineChars="0"/>
              <w:jc w:val="center"/>
              <w:rPr>
                <w:color w:val="auto"/>
                <w:sz w:val="21"/>
                <w:szCs w:val="21"/>
                <w:highlight w:val="none"/>
              </w:rPr>
            </w:pPr>
            <w:r>
              <w:rPr>
                <w:rFonts w:hint="eastAsia"/>
                <w:color w:val="auto"/>
                <w:kern w:val="0"/>
                <w:sz w:val="21"/>
                <w:szCs w:val="21"/>
                <w:highlight w:val="none"/>
                <w:lang w:eastAsia="zh-CN"/>
              </w:rPr>
              <w:t>经度</w:t>
            </w:r>
          </w:p>
        </w:tc>
        <w:tc>
          <w:tcPr>
            <w:tcW w:w="532" w:type="pct"/>
            <w:tcBorders>
              <w:tl2br w:val="nil"/>
              <w:tr2bl w:val="nil"/>
            </w:tcBorders>
            <w:vAlign w:val="center"/>
          </w:tcPr>
          <w:p w14:paraId="44BE3902">
            <w:pPr>
              <w:widowControl/>
              <w:snapToGrid w:val="0"/>
              <w:spacing w:line="240" w:lineRule="auto"/>
              <w:ind w:firstLine="0" w:firstLineChars="0"/>
              <w:jc w:val="center"/>
              <w:rPr>
                <w:color w:val="auto"/>
                <w:sz w:val="21"/>
                <w:szCs w:val="21"/>
                <w:highlight w:val="none"/>
              </w:rPr>
            </w:pPr>
            <w:r>
              <w:rPr>
                <w:rFonts w:hint="eastAsia"/>
                <w:color w:val="auto"/>
                <w:kern w:val="0"/>
                <w:sz w:val="21"/>
                <w:szCs w:val="21"/>
                <w:highlight w:val="none"/>
                <w:lang w:eastAsia="zh-CN"/>
              </w:rPr>
              <w:t>纬度</w:t>
            </w:r>
          </w:p>
        </w:tc>
        <w:tc>
          <w:tcPr>
            <w:tcW w:w="335" w:type="pct"/>
            <w:vMerge w:val="continue"/>
            <w:tcBorders>
              <w:tl2br w:val="nil"/>
              <w:tr2bl w:val="nil"/>
            </w:tcBorders>
            <w:vAlign w:val="center"/>
          </w:tcPr>
          <w:p w14:paraId="3BC8F243">
            <w:pPr>
              <w:widowControl/>
              <w:snapToGrid w:val="0"/>
              <w:spacing w:line="240" w:lineRule="auto"/>
              <w:ind w:firstLine="0" w:firstLineChars="0"/>
              <w:jc w:val="center"/>
              <w:rPr>
                <w:color w:val="auto"/>
                <w:sz w:val="21"/>
                <w:szCs w:val="21"/>
                <w:highlight w:val="none"/>
              </w:rPr>
            </w:pPr>
          </w:p>
        </w:tc>
        <w:tc>
          <w:tcPr>
            <w:tcW w:w="250" w:type="pct"/>
            <w:vMerge w:val="continue"/>
            <w:tcBorders>
              <w:tl2br w:val="nil"/>
              <w:tr2bl w:val="nil"/>
            </w:tcBorders>
            <w:vAlign w:val="center"/>
          </w:tcPr>
          <w:p w14:paraId="2F09D342">
            <w:pPr>
              <w:widowControl/>
              <w:snapToGrid w:val="0"/>
              <w:spacing w:line="240" w:lineRule="auto"/>
              <w:ind w:firstLine="0" w:firstLineChars="0"/>
              <w:jc w:val="center"/>
              <w:rPr>
                <w:color w:val="auto"/>
                <w:sz w:val="21"/>
                <w:szCs w:val="21"/>
                <w:highlight w:val="none"/>
              </w:rPr>
            </w:pPr>
          </w:p>
        </w:tc>
        <w:tc>
          <w:tcPr>
            <w:tcW w:w="595" w:type="pct"/>
            <w:tcBorders>
              <w:tl2br w:val="nil"/>
              <w:tr2bl w:val="nil"/>
            </w:tcBorders>
            <w:vAlign w:val="center"/>
          </w:tcPr>
          <w:p w14:paraId="783C5147">
            <w:pPr>
              <w:widowControl/>
              <w:snapToGrid w:val="0"/>
              <w:spacing w:line="240" w:lineRule="auto"/>
              <w:ind w:firstLine="0" w:firstLineChars="0"/>
              <w:jc w:val="center"/>
              <w:rPr>
                <w:rFonts w:hint="eastAsia" w:eastAsia="宋体"/>
                <w:color w:val="auto"/>
                <w:sz w:val="21"/>
                <w:szCs w:val="21"/>
                <w:highlight w:val="none"/>
                <w:lang w:eastAsia="zh-CN"/>
              </w:rPr>
            </w:pPr>
            <w:r>
              <w:rPr>
                <w:rFonts w:hint="eastAsia"/>
                <w:color w:val="auto"/>
                <w:sz w:val="21"/>
                <w:szCs w:val="21"/>
                <w:highlight w:val="none"/>
                <w:lang w:eastAsia="zh-CN"/>
              </w:rPr>
              <w:t>经度</w:t>
            </w:r>
          </w:p>
        </w:tc>
        <w:tc>
          <w:tcPr>
            <w:tcW w:w="622" w:type="pct"/>
            <w:tcBorders>
              <w:tl2br w:val="nil"/>
              <w:tr2bl w:val="nil"/>
            </w:tcBorders>
            <w:vAlign w:val="center"/>
          </w:tcPr>
          <w:p w14:paraId="120EC072">
            <w:pPr>
              <w:widowControl/>
              <w:snapToGrid w:val="0"/>
              <w:spacing w:line="240" w:lineRule="auto"/>
              <w:ind w:firstLine="0" w:firstLineChars="0"/>
              <w:jc w:val="center"/>
              <w:rPr>
                <w:rFonts w:hint="eastAsia" w:eastAsia="宋体"/>
                <w:color w:val="auto"/>
                <w:sz w:val="21"/>
                <w:szCs w:val="21"/>
                <w:highlight w:val="none"/>
                <w:lang w:eastAsia="zh-CN"/>
              </w:rPr>
            </w:pPr>
            <w:r>
              <w:rPr>
                <w:rFonts w:hint="eastAsia"/>
                <w:color w:val="auto"/>
                <w:sz w:val="21"/>
                <w:szCs w:val="21"/>
                <w:highlight w:val="none"/>
                <w:lang w:eastAsia="zh-CN"/>
              </w:rPr>
              <w:t>纬度</w:t>
            </w:r>
          </w:p>
        </w:tc>
        <w:tc>
          <w:tcPr>
            <w:tcW w:w="845" w:type="pct"/>
            <w:vMerge w:val="continue"/>
            <w:tcBorders>
              <w:tl2br w:val="nil"/>
              <w:tr2bl w:val="nil"/>
            </w:tcBorders>
            <w:vAlign w:val="center"/>
          </w:tcPr>
          <w:p w14:paraId="3F93BF5E">
            <w:pPr>
              <w:widowControl/>
              <w:snapToGrid w:val="0"/>
              <w:spacing w:line="240" w:lineRule="auto"/>
              <w:ind w:firstLine="0" w:firstLineChars="0"/>
              <w:jc w:val="center"/>
              <w:rPr>
                <w:rFonts w:hint="eastAsia"/>
                <w:color w:val="auto"/>
                <w:sz w:val="21"/>
                <w:szCs w:val="21"/>
                <w:highlight w:val="none"/>
                <w:lang w:eastAsia="zh-CN"/>
              </w:rPr>
            </w:pPr>
          </w:p>
        </w:tc>
      </w:tr>
      <w:tr w14:paraId="672A17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57" w:type="pct"/>
            <w:vMerge w:val="restart"/>
            <w:tcBorders>
              <w:tl2br w:val="nil"/>
              <w:tr2bl w:val="nil"/>
            </w:tcBorders>
            <w:vAlign w:val="center"/>
          </w:tcPr>
          <w:p w14:paraId="78E08618">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cs="Times New Roman"/>
                <w:bCs/>
                <w:color w:val="auto"/>
                <w:sz w:val="21"/>
                <w:szCs w:val="21"/>
                <w:highlight w:val="none"/>
                <w:lang w:eastAsia="zh-CN"/>
              </w:rPr>
              <w:t>编号及坐标</w:t>
            </w:r>
          </w:p>
        </w:tc>
        <w:tc>
          <w:tcPr>
            <w:tcW w:w="649" w:type="pct"/>
            <w:tcBorders>
              <w:tl2br w:val="nil"/>
              <w:tr2bl w:val="nil"/>
            </w:tcBorders>
            <w:vAlign w:val="center"/>
          </w:tcPr>
          <w:p w14:paraId="2B2F6A10">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建民乡乡政府饮用水水源地</w:t>
            </w:r>
            <w:r>
              <w:rPr>
                <w:rFonts w:hint="eastAsia" w:cs="Times New Roman"/>
                <w:color w:val="auto"/>
                <w:kern w:val="0"/>
                <w:sz w:val="21"/>
                <w:szCs w:val="21"/>
                <w:highlight w:val="none"/>
                <w:lang w:val="en-US" w:eastAsia="zh-CN" w:bidi="ar"/>
              </w:rPr>
              <w:t>1#</w:t>
            </w:r>
          </w:p>
        </w:tc>
        <w:tc>
          <w:tcPr>
            <w:tcW w:w="611" w:type="pct"/>
            <w:tcBorders>
              <w:tl2br w:val="nil"/>
              <w:tr2bl w:val="nil"/>
            </w:tcBorders>
            <w:vAlign w:val="center"/>
          </w:tcPr>
          <w:p w14:paraId="1912A98A">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127°33'39.2900"</w:t>
            </w:r>
          </w:p>
        </w:tc>
        <w:tc>
          <w:tcPr>
            <w:tcW w:w="532" w:type="pct"/>
            <w:tcBorders>
              <w:tl2br w:val="nil"/>
              <w:tr2bl w:val="nil"/>
            </w:tcBorders>
            <w:vAlign w:val="center"/>
          </w:tcPr>
          <w:p w14:paraId="1C610F12">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46°45'32.2100"</w:t>
            </w:r>
          </w:p>
        </w:tc>
        <w:tc>
          <w:tcPr>
            <w:tcW w:w="335" w:type="pct"/>
            <w:vMerge w:val="restart"/>
            <w:tcBorders>
              <w:tl2br w:val="nil"/>
              <w:tr2bl w:val="nil"/>
            </w:tcBorders>
            <w:vAlign w:val="center"/>
          </w:tcPr>
          <w:p w14:paraId="10B6A98B">
            <w:pPr>
              <w:widowControl/>
              <w:spacing w:line="240" w:lineRule="auto"/>
              <w:ind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bidi="ar"/>
              </w:rPr>
              <w:t>庆安县建民乡饮用水水源地</w:t>
            </w:r>
          </w:p>
        </w:tc>
        <w:tc>
          <w:tcPr>
            <w:tcW w:w="250" w:type="pct"/>
            <w:tcBorders>
              <w:tl2br w:val="nil"/>
              <w:tr2bl w:val="nil"/>
            </w:tcBorders>
            <w:vAlign w:val="center"/>
          </w:tcPr>
          <w:p w14:paraId="244FFFDF">
            <w:pPr>
              <w:widowControl/>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kern w:val="0"/>
                <w:sz w:val="21"/>
                <w:szCs w:val="21"/>
                <w:highlight w:val="none"/>
                <w:lang w:val="en-US" w:eastAsia="zh-CN"/>
              </w:rPr>
              <w:t>1#</w:t>
            </w:r>
          </w:p>
        </w:tc>
        <w:tc>
          <w:tcPr>
            <w:tcW w:w="595" w:type="pct"/>
            <w:tcBorders>
              <w:tl2br w:val="nil"/>
              <w:tr2bl w:val="nil"/>
            </w:tcBorders>
            <w:vAlign w:val="center"/>
          </w:tcPr>
          <w:p w14:paraId="1D13E749">
            <w:pPr>
              <w:widowControl/>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127°30'49.0249"</w:t>
            </w:r>
          </w:p>
        </w:tc>
        <w:tc>
          <w:tcPr>
            <w:tcW w:w="622" w:type="pct"/>
            <w:tcBorders>
              <w:tl2br w:val="nil"/>
              <w:tr2bl w:val="nil"/>
            </w:tcBorders>
            <w:vAlign w:val="center"/>
          </w:tcPr>
          <w:p w14:paraId="6A0AA642">
            <w:pPr>
              <w:widowControl/>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46°42'42.9945"</w:t>
            </w:r>
          </w:p>
        </w:tc>
        <w:tc>
          <w:tcPr>
            <w:tcW w:w="845" w:type="pct"/>
            <w:vMerge w:val="restart"/>
            <w:tcBorders>
              <w:tl2br w:val="nil"/>
              <w:tr2bl w:val="nil"/>
            </w:tcBorders>
            <w:vAlign w:val="center"/>
          </w:tcPr>
          <w:p w14:paraId="4068B901">
            <w:pPr>
              <w:widowControl/>
              <w:spacing w:line="240" w:lineRule="auto"/>
              <w:ind w:firstLine="0" w:firstLineChars="0"/>
              <w:jc w:val="both"/>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本次调整的</w:t>
            </w:r>
            <w:r>
              <w:rPr>
                <w:rFonts w:hint="eastAsia" w:ascii="Times New Roman" w:hAnsi="Times New Roman" w:eastAsia="宋体" w:cs="Times New Roman"/>
                <w:color w:val="auto"/>
                <w:kern w:val="0"/>
                <w:sz w:val="21"/>
                <w:szCs w:val="21"/>
                <w:highlight w:val="none"/>
                <w:lang w:val="en-US" w:eastAsia="zh-CN" w:bidi="ar"/>
              </w:rPr>
              <w:t>庆安县建民乡饮用水水源地</w:t>
            </w:r>
            <w:r>
              <w:rPr>
                <w:rFonts w:hint="eastAsia" w:cs="Times New Roman"/>
                <w:color w:val="auto"/>
                <w:kern w:val="0"/>
                <w:sz w:val="21"/>
                <w:szCs w:val="21"/>
                <w:highlight w:val="none"/>
                <w:lang w:val="en-US" w:eastAsia="zh-CN" w:bidi="ar"/>
              </w:rPr>
              <w:t>替代建民乡建业村饮用水水源地、建民乡建兴村饮用水水源地、建民乡乡政府饮用水水源地1#、建民乡乡政府饮用水水源地2#、建民乡建功村饮用水水源地。</w:t>
            </w:r>
          </w:p>
          <w:p w14:paraId="48A20566">
            <w:pPr>
              <w:widowControl/>
              <w:spacing w:line="240" w:lineRule="auto"/>
              <w:ind w:firstLine="0" w:firstLineChars="0"/>
              <w:jc w:val="both"/>
              <w:textAlignment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sz w:val="21"/>
                <w:szCs w:val="21"/>
                <w:highlight w:val="none"/>
                <w:lang w:val="en-US" w:eastAsia="zh-CN"/>
              </w:rPr>
              <w:t>本次调整后</w:t>
            </w:r>
            <w:r>
              <w:rPr>
                <w:rFonts w:hint="default" w:ascii="Times New Roman" w:hAnsi="Times New Roman" w:eastAsia="宋体" w:cs="Times New Roman"/>
                <w:color w:val="auto"/>
                <w:sz w:val="21"/>
                <w:szCs w:val="21"/>
                <w:highlight w:val="none"/>
                <w:lang w:val="en-US" w:eastAsia="zh-CN"/>
              </w:rPr>
              <w:t>通过多水源联网、管网互联互通、规模化集中供水，供水保障率、供水稳定性、水质达标率进一步提升，有效解决了原分散式水源地规模小、易污染、运维难度大等问题，群众饮水安全更有保障</w:t>
            </w:r>
            <w:r>
              <w:rPr>
                <w:rFonts w:hint="eastAsia" w:cs="Times New Roman"/>
                <w:color w:val="auto"/>
                <w:sz w:val="21"/>
                <w:szCs w:val="21"/>
                <w:highlight w:val="none"/>
                <w:lang w:val="en-US" w:eastAsia="zh-CN"/>
              </w:rPr>
              <w:t>。</w:t>
            </w:r>
          </w:p>
        </w:tc>
      </w:tr>
      <w:tr w14:paraId="3310B7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57" w:type="pct"/>
            <w:vMerge w:val="continue"/>
            <w:tcBorders>
              <w:tl2br w:val="nil"/>
              <w:tr2bl w:val="nil"/>
            </w:tcBorders>
            <w:vAlign w:val="center"/>
          </w:tcPr>
          <w:p w14:paraId="230ED50E">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p>
        </w:tc>
        <w:tc>
          <w:tcPr>
            <w:tcW w:w="649" w:type="pct"/>
            <w:tcBorders>
              <w:tl2br w:val="nil"/>
              <w:tr2bl w:val="nil"/>
            </w:tcBorders>
            <w:vAlign w:val="center"/>
          </w:tcPr>
          <w:p w14:paraId="5DFE643A">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建民乡乡政府饮用水水源地</w:t>
            </w:r>
            <w:r>
              <w:rPr>
                <w:rFonts w:hint="eastAsia" w:cs="Times New Roman"/>
                <w:color w:val="auto"/>
                <w:kern w:val="0"/>
                <w:sz w:val="21"/>
                <w:szCs w:val="21"/>
                <w:highlight w:val="none"/>
                <w:lang w:val="en-US" w:eastAsia="zh-CN" w:bidi="ar"/>
              </w:rPr>
              <w:t>2#</w:t>
            </w:r>
          </w:p>
        </w:tc>
        <w:tc>
          <w:tcPr>
            <w:tcW w:w="611" w:type="pct"/>
            <w:tcBorders>
              <w:tl2br w:val="nil"/>
              <w:tr2bl w:val="nil"/>
            </w:tcBorders>
            <w:vAlign w:val="center"/>
          </w:tcPr>
          <w:p w14:paraId="0CD62FF3">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127°33'39.4090"</w:t>
            </w:r>
          </w:p>
        </w:tc>
        <w:tc>
          <w:tcPr>
            <w:tcW w:w="532" w:type="pct"/>
            <w:tcBorders>
              <w:tl2br w:val="nil"/>
              <w:tr2bl w:val="nil"/>
            </w:tcBorders>
            <w:vAlign w:val="center"/>
          </w:tcPr>
          <w:p w14:paraId="09B6D82B">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46°45'31.8829"</w:t>
            </w:r>
          </w:p>
        </w:tc>
        <w:tc>
          <w:tcPr>
            <w:tcW w:w="335" w:type="pct"/>
            <w:vMerge w:val="continue"/>
            <w:tcBorders>
              <w:tl2br w:val="nil"/>
              <w:tr2bl w:val="nil"/>
            </w:tcBorders>
            <w:vAlign w:val="center"/>
          </w:tcPr>
          <w:p w14:paraId="35923FE4">
            <w:pPr>
              <w:widowControl/>
              <w:spacing w:line="240" w:lineRule="auto"/>
              <w:ind w:firstLine="0" w:firstLineChars="0"/>
              <w:jc w:val="center"/>
              <w:textAlignment w:val="center"/>
              <w:rPr>
                <w:rFonts w:hint="default" w:ascii="Times New Roman" w:hAnsi="Times New Roman" w:eastAsia="宋体" w:cs="Times New Roman"/>
                <w:color w:val="auto"/>
                <w:sz w:val="21"/>
                <w:szCs w:val="21"/>
                <w:highlight w:val="none"/>
                <w:lang w:val="en-US" w:eastAsia="zh-CN"/>
              </w:rPr>
            </w:pPr>
          </w:p>
        </w:tc>
        <w:tc>
          <w:tcPr>
            <w:tcW w:w="250" w:type="pct"/>
            <w:tcBorders>
              <w:tl2br w:val="nil"/>
              <w:tr2bl w:val="nil"/>
            </w:tcBorders>
            <w:vAlign w:val="center"/>
          </w:tcPr>
          <w:p w14:paraId="1BB060EE">
            <w:pPr>
              <w:widowControl/>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kern w:val="0"/>
                <w:sz w:val="21"/>
                <w:szCs w:val="21"/>
                <w:highlight w:val="none"/>
                <w:lang w:val="en-US" w:eastAsia="zh-CN"/>
              </w:rPr>
              <w:t>2#</w:t>
            </w:r>
          </w:p>
        </w:tc>
        <w:tc>
          <w:tcPr>
            <w:tcW w:w="595" w:type="pct"/>
            <w:tcBorders>
              <w:tl2br w:val="nil"/>
              <w:tr2bl w:val="nil"/>
            </w:tcBorders>
            <w:vAlign w:val="center"/>
          </w:tcPr>
          <w:p w14:paraId="1CBF13A8">
            <w:pPr>
              <w:widowControl/>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127°30'22.7076"</w:t>
            </w:r>
          </w:p>
        </w:tc>
        <w:tc>
          <w:tcPr>
            <w:tcW w:w="622" w:type="pct"/>
            <w:tcBorders>
              <w:tl2br w:val="nil"/>
              <w:tr2bl w:val="nil"/>
            </w:tcBorders>
            <w:vAlign w:val="center"/>
          </w:tcPr>
          <w:p w14:paraId="34FD4904">
            <w:pPr>
              <w:widowControl/>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46°42'28.2925"</w:t>
            </w:r>
          </w:p>
        </w:tc>
        <w:tc>
          <w:tcPr>
            <w:tcW w:w="845" w:type="pct"/>
            <w:vMerge w:val="continue"/>
            <w:tcBorders>
              <w:tl2br w:val="nil"/>
              <w:tr2bl w:val="nil"/>
            </w:tcBorders>
            <w:vAlign w:val="center"/>
          </w:tcPr>
          <w:p w14:paraId="2822CD83">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r>
      <w:tr w14:paraId="1769D7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57" w:type="pct"/>
            <w:vMerge w:val="continue"/>
            <w:tcBorders>
              <w:tl2br w:val="nil"/>
              <w:tr2bl w:val="nil"/>
            </w:tcBorders>
            <w:vAlign w:val="center"/>
          </w:tcPr>
          <w:p w14:paraId="1CAB975C">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p>
        </w:tc>
        <w:tc>
          <w:tcPr>
            <w:tcW w:w="649" w:type="pct"/>
            <w:tcBorders>
              <w:tl2br w:val="nil"/>
              <w:tr2bl w:val="nil"/>
            </w:tcBorders>
            <w:vAlign w:val="center"/>
          </w:tcPr>
          <w:p w14:paraId="0C65D7FA">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611" w:type="pct"/>
            <w:tcBorders>
              <w:tl2br w:val="nil"/>
              <w:tr2bl w:val="nil"/>
            </w:tcBorders>
            <w:vAlign w:val="center"/>
          </w:tcPr>
          <w:p w14:paraId="31BCA636">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w:t>
            </w:r>
          </w:p>
        </w:tc>
        <w:tc>
          <w:tcPr>
            <w:tcW w:w="532" w:type="pct"/>
            <w:tcBorders>
              <w:tl2br w:val="nil"/>
              <w:tr2bl w:val="nil"/>
            </w:tcBorders>
            <w:vAlign w:val="center"/>
          </w:tcPr>
          <w:p w14:paraId="01C42053">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w:t>
            </w:r>
          </w:p>
        </w:tc>
        <w:tc>
          <w:tcPr>
            <w:tcW w:w="335" w:type="pct"/>
            <w:vMerge w:val="continue"/>
            <w:tcBorders>
              <w:tl2br w:val="nil"/>
              <w:tr2bl w:val="nil"/>
            </w:tcBorders>
            <w:vAlign w:val="center"/>
          </w:tcPr>
          <w:p w14:paraId="277D91DC">
            <w:pPr>
              <w:widowControl/>
              <w:spacing w:line="240" w:lineRule="auto"/>
              <w:ind w:firstLine="0" w:firstLineChars="0"/>
              <w:jc w:val="center"/>
              <w:textAlignment w:val="center"/>
              <w:rPr>
                <w:rFonts w:hint="default" w:ascii="Times New Roman" w:hAnsi="Times New Roman" w:eastAsia="宋体" w:cs="Times New Roman"/>
                <w:color w:val="auto"/>
                <w:sz w:val="21"/>
                <w:szCs w:val="21"/>
                <w:highlight w:val="none"/>
                <w:lang w:val="en-US" w:eastAsia="zh-CN"/>
              </w:rPr>
            </w:pPr>
          </w:p>
        </w:tc>
        <w:tc>
          <w:tcPr>
            <w:tcW w:w="250" w:type="pct"/>
            <w:tcBorders>
              <w:tl2br w:val="nil"/>
              <w:tr2bl w:val="nil"/>
            </w:tcBorders>
            <w:vAlign w:val="center"/>
          </w:tcPr>
          <w:p w14:paraId="5847B6B0">
            <w:pPr>
              <w:widowControl/>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kern w:val="0"/>
                <w:sz w:val="21"/>
                <w:szCs w:val="21"/>
                <w:highlight w:val="none"/>
                <w:lang w:val="en-US" w:eastAsia="zh-CN"/>
              </w:rPr>
              <w:t>3#</w:t>
            </w:r>
          </w:p>
        </w:tc>
        <w:tc>
          <w:tcPr>
            <w:tcW w:w="595" w:type="pct"/>
            <w:tcBorders>
              <w:tl2br w:val="nil"/>
              <w:tr2bl w:val="nil"/>
            </w:tcBorders>
            <w:vAlign w:val="center"/>
          </w:tcPr>
          <w:p w14:paraId="118D6B2B">
            <w:pPr>
              <w:widowControl/>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127°30'32.5660"</w:t>
            </w:r>
          </w:p>
        </w:tc>
        <w:tc>
          <w:tcPr>
            <w:tcW w:w="622" w:type="pct"/>
            <w:tcBorders>
              <w:tl2br w:val="nil"/>
              <w:tr2bl w:val="nil"/>
            </w:tcBorders>
            <w:vAlign w:val="center"/>
          </w:tcPr>
          <w:p w14:paraId="301AABC3">
            <w:pPr>
              <w:widowControl/>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46°42'12.3110"</w:t>
            </w:r>
          </w:p>
        </w:tc>
        <w:tc>
          <w:tcPr>
            <w:tcW w:w="845" w:type="pct"/>
            <w:vMerge w:val="continue"/>
            <w:tcBorders>
              <w:tl2br w:val="nil"/>
              <w:tr2bl w:val="nil"/>
            </w:tcBorders>
            <w:vAlign w:val="center"/>
          </w:tcPr>
          <w:p w14:paraId="0103585C">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r>
      <w:tr w14:paraId="52DD41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57" w:type="pct"/>
            <w:tcBorders>
              <w:tl2br w:val="nil"/>
              <w:tr2bl w:val="nil"/>
            </w:tcBorders>
            <w:vAlign w:val="center"/>
          </w:tcPr>
          <w:p w14:paraId="580DE3BF">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水井数量</w:t>
            </w:r>
          </w:p>
        </w:tc>
        <w:tc>
          <w:tcPr>
            <w:tcW w:w="1793" w:type="pct"/>
            <w:gridSpan w:val="3"/>
            <w:tcBorders>
              <w:tl2br w:val="nil"/>
              <w:tr2bl w:val="nil"/>
            </w:tcBorders>
            <w:shd w:val="clear" w:color="auto" w:fill="auto"/>
            <w:vAlign w:val="center"/>
          </w:tcPr>
          <w:p w14:paraId="69EC452D">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2</w:t>
            </w:r>
            <w:r>
              <w:rPr>
                <w:rFonts w:hint="eastAsia" w:ascii="Times New Roman" w:hAnsi="Times New Roman" w:eastAsia="宋体" w:cs="Times New Roman"/>
                <w:color w:val="auto"/>
                <w:kern w:val="0"/>
                <w:sz w:val="21"/>
                <w:szCs w:val="21"/>
                <w:highlight w:val="none"/>
                <w:lang w:val="en-US" w:eastAsia="zh-CN" w:bidi="ar"/>
              </w:rPr>
              <w:t>眼</w:t>
            </w:r>
          </w:p>
        </w:tc>
        <w:tc>
          <w:tcPr>
            <w:tcW w:w="1803" w:type="pct"/>
            <w:gridSpan w:val="4"/>
            <w:tcBorders>
              <w:tl2br w:val="nil"/>
              <w:tr2bl w:val="nil"/>
            </w:tcBorders>
            <w:shd w:val="clear" w:color="auto" w:fill="auto"/>
            <w:vAlign w:val="center"/>
          </w:tcPr>
          <w:p w14:paraId="07601B21">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rPr>
              <w:t>3</w:t>
            </w:r>
            <w:r>
              <w:rPr>
                <w:rFonts w:hint="eastAsia" w:ascii="Times New Roman" w:hAnsi="Times New Roman" w:eastAsia="宋体" w:cs="Times New Roman"/>
                <w:color w:val="auto"/>
                <w:kern w:val="0"/>
                <w:sz w:val="21"/>
                <w:szCs w:val="21"/>
                <w:highlight w:val="none"/>
                <w:lang w:val="en-US" w:eastAsia="zh-CN"/>
              </w:rPr>
              <w:t>眼</w:t>
            </w:r>
          </w:p>
        </w:tc>
        <w:tc>
          <w:tcPr>
            <w:tcW w:w="845" w:type="pct"/>
            <w:vMerge w:val="continue"/>
            <w:tcBorders>
              <w:tl2br w:val="nil"/>
              <w:tr2bl w:val="nil"/>
            </w:tcBorders>
            <w:shd w:val="clear" w:color="auto" w:fill="auto"/>
            <w:vAlign w:val="center"/>
          </w:tcPr>
          <w:p w14:paraId="1624BE0A">
            <w:pPr>
              <w:widowControl/>
              <w:snapToGrid w:val="0"/>
              <w:spacing w:line="240" w:lineRule="auto"/>
              <w:ind w:firstLine="0" w:firstLineChars="0"/>
              <w:jc w:val="center"/>
              <w:rPr>
                <w:rFonts w:hint="eastAsia" w:cs="Times New Roman"/>
                <w:color w:val="auto"/>
                <w:kern w:val="0"/>
                <w:sz w:val="21"/>
                <w:szCs w:val="21"/>
                <w:highlight w:val="none"/>
                <w:lang w:val="en-US" w:eastAsia="zh-CN"/>
              </w:rPr>
            </w:pPr>
          </w:p>
        </w:tc>
      </w:tr>
      <w:tr w14:paraId="1FE90F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71" w:type="dxa"/>
            <w:tcBorders>
              <w:tl2br w:val="nil"/>
              <w:tr2bl w:val="nil"/>
            </w:tcBorders>
            <w:vAlign w:val="center"/>
          </w:tcPr>
          <w:p w14:paraId="2EE03361">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服务范围</w:t>
            </w:r>
          </w:p>
        </w:tc>
        <w:tc>
          <w:tcPr>
            <w:tcW w:w="1793" w:type="pct"/>
            <w:gridSpan w:val="3"/>
            <w:tcBorders>
              <w:tl2br w:val="nil"/>
              <w:tr2bl w:val="nil"/>
            </w:tcBorders>
            <w:shd w:val="clear" w:color="auto" w:fill="auto"/>
            <w:vAlign w:val="center"/>
          </w:tcPr>
          <w:p w14:paraId="6EC13AF1">
            <w:pPr>
              <w:widowControl/>
              <w:snapToGrid w:val="0"/>
              <w:spacing w:line="240" w:lineRule="auto"/>
              <w:ind w:firstLine="0" w:firstLineChars="0"/>
              <w:jc w:val="both"/>
              <w:rPr>
                <w:rFonts w:hint="eastAsia"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rPr>
              <w:t>建发村腰曲家、王殿臣、孙大胡子、杨河、后曲家、前曲家、杨玉、崔家岗、宿国峰、建民村巨元泡、张央子、崔富烧、商油房、刘凤山、于凤阳、山湾屯</w:t>
            </w:r>
          </w:p>
        </w:tc>
        <w:tc>
          <w:tcPr>
            <w:tcW w:w="1803" w:type="pct"/>
            <w:gridSpan w:val="4"/>
            <w:tcBorders>
              <w:tl2br w:val="nil"/>
              <w:tr2bl w:val="nil"/>
            </w:tcBorders>
            <w:shd w:val="clear" w:color="auto" w:fill="auto"/>
            <w:vAlign w:val="center"/>
          </w:tcPr>
          <w:p w14:paraId="55150705">
            <w:pPr>
              <w:widowControl/>
              <w:snapToGrid w:val="0"/>
              <w:spacing w:line="240" w:lineRule="auto"/>
              <w:ind w:firstLine="0" w:firstLineChars="0"/>
              <w:jc w:val="center"/>
              <w:rPr>
                <w:rFonts w:hint="eastAsia" w:cs="Times New Roman"/>
                <w:color w:val="auto"/>
                <w:kern w:val="0"/>
                <w:sz w:val="21"/>
                <w:szCs w:val="21"/>
                <w:highlight w:val="none"/>
                <w:lang w:val="en-US" w:eastAsia="zh-CN"/>
              </w:rPr>
            </w:pPr>
            <w:r>
              <w:rPr>
                <w:rFonts w:hint="eastAsia"/>
                <w:color w:val="auto"/>
                <w:spacing w:val="-2"/>
                <w:sz w:val="21"/>
                <w:szCs w:val="21"/>
                <w:highlight w:val="none"/>
              </w:rPr>
              <w:t>建民乡内建兴村、建安村、建民村、建业村、建发村、建功村，共计6个行政村61个自然屯</w:t>
            </w:r>
          </w:p>
        </w:tc>
        <w:tc>
          <w:tcPr>
            <w:tcW w:w="845" w:type="pct"/>
            <w:vMerge w:val="continue"/>
            <w:tcBorders>
              <w:tl2br w:val="nil"/>
              <w:tr2bl w:val="nil"/>
            </w:tcBorders>
            <w:shd w:val="clear" w:color="auto" w:fill="auto"/>
            <w:vAlign w:val="center"/>
          </w:tcPr>
          <w:p w14:paraId="2827D190">
            <w:pPr>
              <w:widowControl/>
              <w:snapToGrid w:val="0"/>
              <w:spacing w:line="240" w:lineRule="auto"/>
              <w:ind w:firstLine="0" w:firstLineChars="0"/>
              <w:jc w:val="center"/>
              <w:rPr>
                <w:rFonts w:hint="eastAsia" w:cs="Times New Roman"/>
                <w:color w:val="auto"/>
                <w:kern w:val="0"/>
                <w:sz w:val="21"/>
                <w:szCs w:val="21"/>
                <w:highlight w:val="none"/>
                <w:lang w:val="en-US" w:eastAsia="zh-CN"/>
              </w:rPr>
            </w:pPr>
          </w:p>
        </w:tc>
      </w:tr>
      <w:tr w14:paraId="596B66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71" w:type="dxa"/>
            <w:tcBorders>
              <w:tl2br w:val="nil"/>
              <w:tr2bl w:val="nil"/>
            </w:tcBorders>
            <w:vAlign w:val="center"/>
          </w:tcPr>
          <w:p w14:paraId="2D2E3146">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服务人口</w:t>
            </w:r>
          </w:p>
        </w:tc>
        <w:tc>
          <w:tcPr>
            <w:tcW w:w="5057" w:type="dxa"/>
            <w:gridSpan w:val="3"/>
            <w:tcBorders>
              <w:tl2br w:val="nil"/>
              <w:tr2bl w:val="nil"/>
            </w:tcBorders>
            <w:shd w:val="clear" w:color="auto" w:fill="auto"/>
            <w:vAlign w:val="center"/>
          </w:tcPr>
          <w:p w14:paraId="6A2DC161">
            <w:pPr>
              <w:widowControl/>
              <w:spacing w:line="240" w:lineRule="auto"/>
              <w:ind w:firstLine="0" w:firstLineChars="0"/>
              <w:jc w:val="center"/>
              <w:textAlignment w:val="center"/>
              <w:rPr>
                <w:rFonts w:hint="eastAsia" w:cs="Times New Roman"/>
                <w:color w:val="auto"/>
                <w:kern w:val="0"/>
                <w:sz w:val="21"/>
                <w:szCs w:val="21"/>
                <w:highlight w:val="none"/>
                <w:lang w:val="en-US" w:eastAsia="zh-CN" w:bidi="ar"/>
              </w:rPr>
            </w:pPr>
            <w:r>
              <w:rPr>
                <w:rFonts w:ascii="宋体" w:hAnsi="宋体"/>
                <w:color w:val="auto"/>
                <w:kern w:val="0"/>
                <w:sz w:val="21"/>
                <w:szCs w:val="21"/>
                <w:highlight w:val="none"/>
              </w:rPr>
              <w:t>服务人口</w:t>
            </w:r>
            <w:r>
              <w:rPr>
                <w:rFonts w:hint="default" w:ascii="Times New Roman" w:hAnsi="Times New Roman" w:cs="Times New Roman"/>
                <w:color w:val="auto"/>
                <w:kern w:val="0"/>
                <w:sz w:val="21"/>
                <w:szCs w:val="21"/>
                <w:highlight w:val="none"/>
                <w:lang w:val="en-US" w:eastAsia="zh-CN"/>
              </w:rPr>
              <w:t>6583</w:t>
            </w:r>
            <w:r>
              <w:rPr>
                <w:rFonts w:ascii="宋体" w:hAnsi="宋体"/>
                <w:color w:val="auto"/>
                <w:kern w:val="0"/>
                <w:sz w:val="21"/>
                <w:szCs w:val="21"/>
                <w:highlight w:val="none"/>
              </w:rPr>
              <w:t>人</w:t>
            </w:r>
          </w:p>
        </w:tc>
        <w:tc>
          <w:tcPr>
            <w:tcW w:w="5085" w:type="dxa"/>
            <w:gridSpan w:val="4"/>
            <w:tcBorders>
              <w:tl2br w:val="nil"/>
              <w:tr2bl w:val="nil"/>
            </w:tcBorders>
            <w:shd w:val="clear" w:color="auto" w:fill="auto"/>
            <w:vAlign w:val="center"/>
          </w:tcPr>
          <w:p w14:paraId="64223264">
            <w:pPr>
              <w:widowControl/>
              <w:snapToGrid w:val="0"/>
              <w:spacing w:line="240" w:lineRule="auto"/>
              <w:ind w:firstLine="0" w:firstLineChars="0"/>
              <w:jc w:val="center"/>
              <w:rPr>
                <w:rFonts w:hint="eastAsia" w:cs="Times New Roman"/>
                <w:color w:val="auto"/>
                <w:kern w:val="0"/>
                <w:sz w:val="21"/>
                <w:szCs w:val="21"/>
                <w:highlight w:val="none"/>
                <w:lang w:val="en-US" w:eastAsia="zh-CN"/>
              </w:rPr>
            </w:pPr>
            <w:r>
              <w:rPr>
                <w:rFonts w:hint="eastAsia"/>
                <w:color w:val="auto"/>
                <w:sz w:val="21"/>
                <w:szCs w:val="21"/>
                <w:highlight w:val="none"/>
              </w:rPr>
              <w:t>服务人口</w:t>
            </w:r>
            <w:r>
              <w:rPr>
                <w:rFonts w:hint="default" w:ascii="Times New Roman" w:hAnsi="Times New Roman" w:eastAsia="宋体" w:cs="Times New Roman"/>
                <w:color w:val="auto"/>
                <w:kern w:val="0"/>
                <w:sz w:val="21"/>
                <w:szCs w:val="21"/>
                <w:highlight w:val="none"/>
                <w:lang w:val="en-US" w:eastAsia="zh-CN" w:bidi="ar"/>
              </w:rPr>
              <w:t>8655</w:t>
            </w:r>
            <w:r>
              <w:rPr>
                <w:rFonts w:hint="eastAsia"/>
                <w:color w:val="auto"/>
                <w:sz w:val="21"/>
                <w:szCs w:val="21"/>
                <w:highlight w:val="none"/>
              </w:rPr>
              <w:t>人</w:t>
            </w:r>
          </w:p>
        </w:tc>
        <w:tc>
          <w:tcPr>
            <w:tcW w:w="845" w:type="pct"/>
            <w:vMerge w:val="continue"/>
            <w:tcBorders>
              <w:tl2br w:val="nil"/>
              <w:tr2bl w:val="nil"/>
            </w:tcBorders>
            <w:shd w:val="clear" w:color="auto" w:fill="auto"/>
            <w:vAlign w:val="center"/>
          </w:tcPr>
          <w:p w14:paraId="65A6ECB0">
            <w:pPr>
              <w:widowControl/>
              <w:snapToGrid w:val="0"/>
              <w:spacing w:line="240" w:lineRule="auto"/>
              <w:ind w:firstLine="0" w:firstLineChars="0"/>
              <w:jc w:val="center"/>
              <w:rPr>
                <w:rFonts w:hint="eastAsia" w:cs="Times New Roman"/>
                <w:color w:val="auto"/>
                <w:kern w:val="0"/>
                <w:sz w:val="21"/>
                <w:szCs w:val="21"/>
                <w:highlight w:val="none"/>
                <w:lang w:val="en-US" w:eastAsia="zh-CN"/>
              </w:rPr>
            </w:pPr>
          </w:p>
        </w:tc>
      </w:tr>
      <w:tr w14:paraId="50FFB4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57" w:type="pct"/>
            <w:tcBorders>
              <w:tl2br w:val="nil"/>
              <w:tr2bl w:val="nil"/>
            </w:tcBorders>
            <w:vAlign w:val="center"/>
          </w:tcPr>
          <w:p w14:paraId="7EEF1A89">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埋藏条件</w:t>
            </w:r>
          </w:p>
        </w:tc>
        <w:tc>
          <w:tcPr>
            <w:tcW w:w="1793" w:type="pct"/>
            <w:gridSpan w:val="3"/>
            <w:tcBorders>
              <w:tl2br w:val="nil"/>
              <w:tr2bl w:val="nil"/>
            </w:tcBorders>
            <w:shd w:val="clear" w:color="auto" w:fill="auto"/>
            <w:vAlign w:val="center"/>
          </w:tcPr>
          <w:p w14:paraId="45594528">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承压水</w:t>
            </w:r>
          </w:p>
        </w:tc>
        <w:tc>
          <w:tcPr>
            <w:tcW w:w="1803" w:type="pct"/>
            <w:gridSpan w:val="4"/>
            <w:tcBorders>
              <w:tl2br w:val="nil"/>
              <w:tr2bl w:val="nil"/>
            </w:tcBorders>
            <w:shd w:val="clear" w:color="auto" w:fill="auto"/>
            <w:vAlign w:val="center"/>
          </w:tcPr>
          <w:p w14:paraId="179DF09C">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
              </w:rPr>
              <w:t>承压水</w:t>
            </w:r>
          </w:p>
        </w:tc>
        <w:tc>
          <w:tcPr>
            <w:tcW w:w="845" w:type="pct"/>
            <w:vMerge w:val="continue"/>
            <w:tcBorders>
              <w:tl2br w:val="nil"/>
              <w:tr2bl w:val="nil"/>
            </w:tcBorders>
            <w:shd w:val="clear" w:color="auto" w:fill="auto"/>
            <w:vAlign w:val="center"/>
          </w:tcPr>
          <w:p w14:paraId="432ED692">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
              </w:rPr>
            </w:pPr>
          </w:p>
        </w:tc>
      </w:tr>
      <w:tr w14:paraId="3C0E68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57" w:type="pct"/>
            <w:tcBorders>
              <w:tl2br w:val="nil"/>
              <w:tr2bl w:val="nil"/>
            </w:tcBorders>
            <w:vAlign w:val="center"/>
          </w:tcPr>
          <w:p w14:paraId="60F9D7CD">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color w:val="auto"/>
                <w:kern w:val="0"/>
                <w:sz w:val="21"/>
                <w:szCs w:val="21"/>
                <w:highlight w:val="none"/>
              </w:rPr>
              <w:t>保护区半径</w:t>
            </w:r>
          </w:p>
        </w:tc>
        <w:tc>
          <w:tcPr>
            <w:tcW w:w="1793" w:type="pct"/>
            <w:gridSpan w:val="3"/>
            <w:tcBorders>
              <w:tl2br w:val="nil"/>
              <w:tr2bl w:val="nil"/>
            </w:tcBorders>
            <w:shd w:val="clear" w:color="auto" w:fill="auto"/>
            <w:vAlign w:val="center"/>
          </w:tcPr>
          <w:p w14:paraId="7D57328C">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建民乡乡政府饮用水水源地</w:t>
            </w:r>
            <w:r>
              <w:rPr>
                <w:rFonts w:hint="eastAsia" w:cs="Times New Roman"/>
                <w:color w:val="auto"/>
                <w:kern w:val="0"/>
                <w:sz w:val="21"/>
                <w:szCs w:val="21"/>
                <w:highlight w:val="none"/>
                <w:lang w:val="en-US" w:eastAsia="zh-CN" w:bidi="ar"/>
              </w:rPr>
              <w:t>1#、2#水井</w:t>
            </w:r>
            <w:r>
              <w:rPr>
                <w:rFonts w:hint="eastAsia"/>
                <w:color w:val="auto"/>
                <w:sz w:val="21"/>
                <w:szCs w:val="21"/>
                <w:highlight w:val="none"/>
              </w:rPr>
              <w:t>以两口井的外接矩形为界，向外径向距离为30米的矩形所围区域</w:t>
            </w:r>
          </w:p>
        </w:tc>
        <w:tc>
          <w:tcPr>
            <w:tcW w:w="1803" w:type="pct"/>
            <w:gridSpan w:val="4"/>
            <w:tcBorders>
              <w:tl2br w:val="nil"/>
              <w:tr2bl w:val="nil"/>
            </w:tcBorders>
            <w:shd w:val="clear" w:color="auto" w:fill="auto"/>
            <w:vAlign w:val="center"/>
          </w:tcPr>
          <w:p w14:paraId="59A427C5">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color w:val="auto"/>
                <w:kern w:val="0"/>
                <w:sz w:val="21"/>
                <w:szCs w:val="21"/>
                <w:highlight w:val="none"/>
                <w:lang w:val="en-US" w:eastAsia="zh-CN"/>
              </w:rPr>
              <w:t>30</w:t>
            </w:r>
            <w:r>
              <w:rPr>
                <w:color w:val="auto"/>
                <w:kern w:val="0"/>
                <w:sz w:val="21"/>
                <w:szCs w:val="21"/>
                <w:highlight w:val="none"/>
              </w:rPr>
              <w:t>米</w:t>
            </w:r>
          </w:p>
        </w:tc>
        <w:tc>
          <w:tcPr>
            <w:tcW w:w="845" w:type="pct"/>
            <w:vMerge w:val="continue"/>
            <w:tcBorders>
              <w:tl2br w:val="nil"/>
              <w:tr2bl w:val="nil"/>
            </w:tcBorders>
            <w:shd w:val="clear" w:color="auto" w:fill="auto"/>
            <w:vAlign w:val="center"/>
          </w:tcPr>
          <w:p w14:paraId="0C315EA2">
            <w:pPr>
              <w:widowControl/>
              <w:snapToGrid w:val="0"/>
              <w:spacing w:line="240" w:lineRule="auto"/>
              <w:ind w:firstLine="0" w:firstLineChars="0"/>
              <w:jc w:val="center"/>
              <w:rPr>
                <w:rFonts w:hint="eastAsia"/>
                <w:color w:val="auto"/>
                <w:kern w:val="0"/>
                <w:sz w:val="21"/>
                <w:szCs w:val="21"/>
                <w:highlight w:val="none"/>
                <w:lang w:val="en-US" w:eastAsia="zh-CN"/>
              </w:rPr>
            </w:pPr>
          </w:p>
        </w:tc>
      </w:tr>
      <w:tr w14:paraId="227BC0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57" w:type="pct"/>
            <w:tcBorders>
              <w:tl2br w:val="nil"/>
              <w:tr2bl w:val="nil"/>
            </w:tcBorders>
            <w:vAlign w:val="center"/>
          </w:tcPr>
          <w:p w14:paraId="2AC862D6">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color w:val="auto"/>
                <w:kern w:val="0"/>
                <w:sz w:val="21"/>
                <w:szCs w:val="21"/>
                <w:highlight w:val="none"/>
              </w:rPr>
              <w:t>一级保护区面积（平</w:t>
            </w:r>
            <w:r>
              <w:rPr>
                <w:rFonts w:hint="eastAsia"/>
                <w:color w:val="auto"/>
                <w:kern w:val="0"/>
                <w:sz w:val="21"/>
                <w:szCs w:val="21"/>
                <w:highlight w:val="none"/>
              </w:rPr>
              <w:t>方米</w:t>
            </w:r>
            <w:r>
              <w:rPr>
                <w:rFonts w:hint="eastAsia"/>
                <w:color w:val="auto"/>
                <w:kern w:val="0"/>
                <w:sz w:val="21"/>
                <w:szCs w:val="21"/>
                <w:highlight w:val="none"/>
                <w:lang w:eastAsia="zh-CN"/>
              </w:rPr>
              <w:t>）</w:t>
            </w:r>
          </w:p>
        </w:tc>
        <w:tc>
          <w:tcPr>
            <w:tcW w:w="1793" w:type="pct"/>
            <w:gridSpan w:val="3"/>
            <w:tcBorders>
              <w:tl2br w:val="nil"/>
              <w:tr2bl w:val="nil"/>
            </w:tcBorders>
            <w:shd w:val="clear" w:color="auto" w:fill="auto"/>
            <w:vAlign w:val="center"/>
          </w:tcPr>
          <w:p w14:paraId="6BAB5234">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3960</w:t>
            </w:r>
          </w:p>
        </w:tc>
        <w:tc>
          <w:tcPr>
            <w:tcW w:w="1803" w:type="pct"/>
            <w:gridSpan w:val="4"/>
            <w:tcBorders>
              <w:tl2br w:val="nil"/>
              <w:tr2bl w:val="nil"/>
            </w:tcBorders>
            <w:shd w:val="clear" w:color="auto" w:fill="auto"/>
            <w:vAlign w:val="center"/>
          </w:tcPr>
          <w:p w14:paraId="7503DA67">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olor w:val="auto"/>
                <w:sz w:val="21"/>
                <w:szCs w:val="21"/>
                <w:highlight w:val="none"/>
                <w:lang w:val="en-US" w:eastAsia="zh-CN"/>
              </w:rPr>
              <w:t>8478</w:t>
            </w:r>
          </w:p>
        </w:tc>
        <w:tc>
          <w:tcPr>
            <w:tcW w:w="845" w:type="pct"/>
            <w:vMerge w:val="continue"/>
            <w:tcBorders>
              <w:tl2br w:val="nil"/>
              <w:tr2bl w:val="nil"/>
            </w:tcBorders>
            <w:shd w:val="clear" w:color="auto" w:fill="auto"/>
            <w:vAlign w:val="center"/>
          </w:tcPr>
          <w:p w14:paraId="660D574A">
            <w:pPr>
              <w:widowControl/>
              <w:snapToGrid w:val="0"/>
              <w:spacing w:line="240" w:lineRule="auto"/>
              <w:ind w:firstLine="0" w:firstLineChars="0"/>
              <w:jc w:val="center"/>
              <w:rPr>
                <w:rFonts w:hint="eastAsia"/>
                <w:color w:val="auto"/>
                <w:sz w:val="21"/>
                <w:szCs w:val="21"/>
                <w:highlight w:val="none"/>
                <w:lang w:val="en-US" w:eastAsia="zh-CN"/>
              </w:rPr>
            </w:pPr>
          </w:p>
        </w:tc>
      </w:tr>
      <w:tr w14:paraId="508CE1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57" w:type="pct"/>
            <w:tcBorders>
              <w:tl2br w:val="nil"/>
              <w:tr2bl w:val="nil"/>
            </w:tcBorders>
            <w:vAlign w:val="center"/>
          </w:tcPr>
          <w:p w14:paraId="7ECB4DAC">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color w:val="auto"/>
                <w:kern w:val="0"/>
                <w:sz w:val="21"/>
                <w:szCs w:val="21"/>
                <w:highlight w:val="none"/>
              </w:rPr>
              <w:t>二级保护区</w:t>
            </w:r>
            <w:r>
              <w:rPr>
                <w:rFonts w:hint="eastAsia"/>
                <w:color w:val="auto"/>
                <w:kern w:val="0"/>
                <w:sz w:val="21"/>
                <w:szCs w:val="21"/>
                <w:highlight w:val="none"/>
                <w:lang w:eastAsia="zh-CN"/>
              </w:rPr>
              <w:t>、</w:t>
            </w:r>
            <w:r>
              <w:rPr>
                <w:color w:val="auto"/>
                <w:kern w:val="0"/>
                <w:sz w:val="21"/>
                <w:szCs w:val="21"/>
                <w:highlight w:val="none"/>
              </w:rPr>
              <w:t>准保护区面积（平方</w:t>
            </w:r>
            <w:r>
              <w:rPr>
                <w:rFonts w:hint="eastAsia"/>
                <w:color w:val="auto"/>
                <w:kern w:val="0"/>
                <w:sz w:val="21"/>
                <w:szCs w:val="21"/>
                <w:highlight w:val="none"/>
              </w:rPr>
              <w:t>米</w:t>
            </w:r>
            <w:r>
              <w:rPr>
                <w:color w:val="auto"/>
                <w:kern w:val="0"/>
                <w:sz w:val="21"/>
                <w:szCs w:val="21"/>
                <w:highlight w:val="none"/>
              </w:rPr>
              <w:t>）</w:t>
            </w:r>
          </w:p>
        </w:tc>
        <w:tc>
          <w:tcPr>
            <w:tcW w:w="1793" w:type="pct"/>
            <w:gridSpan w:val="3"/>
            <w:tcBorders>
              <w:tl2br w:val="nil"/>
              <w:tr2bl w:val="nil"/>
            </w:tcBorders>
            <w:shd w:val="clear" w:color="auto" w:fill="auto"/>
            <w:vAlign w:val="center"/>
          </w:tcPr>
          <w:p w14:paraId="0A776B7B">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无</w:t>
            </w:r>
          </w:p>
        </w:tc>
        <w:tc>
          <w:tcPr>
            <w:tcW w:w="1803" w:type="pct"/>
            <w:gridSpan w:val="4"/>
            <w:tcBorders>
              <w:tl2br w:val="nil"/>
              <w:tr2bl w:val="nil"/>
            </w:tcBorders>
            <w:shd w:val="clear" w:color="auto" w:fill="auto"/>
            <w:vAlign w:val="center"/>
          </w:tcPr>
          <w:p w14:paraId="12B2360C">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
              </w:rPr>
              <w:t>无</w:t>
            </w:r>
          </w:p>
        </w:tc>
        <w:tc>
          <w:tcPr>
            <w:tcW w:w="845" w:type="pct"/>
            <w:vMerge w:val="continue"/>
            <w:tcBorders>
              <w:tl2br w:val="nil"/>
              <w:tr2bl w:val="nil"/>
            </w:tcBorders>
            <w:shd w:val="clear" w:color="auto" w:fill="auto"/>
            <w:vAlign w:val="center"/>
          </w:tcPr>
          <w:p w14:paraId="17D397D7">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
              </w:rPr>
            </w:pPr>
          </w:p>
        </w:tc>
      </w:tr>
      <w:tr w14:paraId="14D995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57" w:type="pct"/>
            <w:tcBorders>
              <w:tl2br w:val="nil"/>
              <w:tr2bl w:val="nil"/>
            </w:tcBorders>
            <w:vAlign w:val="center"/>
          </w:tcPr>
          <w:p w14:paraId="22D5A1DE">
            <w:pPr>
              <w:widowControl/>
              <w:spacing w:line="240" w:lineRule="auto"/>
              <w:ind w:firstLine="0" w:firstLineChars="0"/>
              <w:jc w:val="center"/>
              <w:textAlignment w:val="center"/>
              <w:rPr>
                <w:color w:val="auto"/>
                <w:kern w:val="0"/>
                <w:sz w:val="21"/>
                <w:szCs w:val="21"/>
                <w:highlight w:val="none"/>
              </w:rPr>
            </w:pPr>
            <w:r>
              <w:rPr>
                <w:rFonts w:hint="eastAsia" w:ascii="Times New Roman" w:cs="Times New Roman"/>
                <w:color w:val="auto"/>
                <w:sz w:val="21"/>
                <w:szCs w:val="21"/>
                <w:highlight w:val="none"/>
              </w:rPr>
              <w:t>调整后保护区增减面积</w:t>
            </w:r>
            <w:r>
              <w:rPr>
                <w:color w:val="auto"/>
                <w:kern w:val="0"/>
                <w:sz w:val="21"/>
                <w:szCs w:val="21"/>
                <w:highlight w:val="none"/>
              </w:rPr>
              <w:t>（平方</w:t>
            </w:r>
            <w:r>
              <w:rPr>
                <w:rFonts w:hint="eastAsia"/>
                <w:color w:val="auto"/>
                <w:kern w:val="0"/>
                <w:sz w:val="21"/>
                <w:szCs w:val="21"/>
                <w:highlight w:val="none"/>
              </w:rPr>
              <w:t>米</w:t>
            </w:r>
            <w:r>
              <w:rPr>
                <w:color w:val="auto"/>
                <w:kern w:val="0"/>
                <w:sz w:val="21"/>
                <w:szCs w:val="21"/>
                <w:highlight w:val="none"/>
              </w:rPr>
              <w:t>）</w:t>
            </w:r>
          </w:p>
        </w:tc>
        <w:tc>
          <w:tcPr>
            <w:tcW w:w="3596" w:type="pct"/>
            <w:gridSpan w:val="7"/>
            <w:tcBorders>
              <w:tl2br w:val="nil"/>
              <w:tr2bl w:val="nil"/>
            </w:tcBorders>
            <w:shd w:val="clear" w:color="auto" w:fill="auto"/>
            <w:vAlign w:val="center"/>
          </w:tcPr>
          <w:p w14:paraId="22E1280F">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+4518</w:t>
            </w:r>
          </w:p>
        </w:tc>
        <w:tc>
          <w:tcPr>
            <w:tcW w:w="845" w:type="pct"/>
            <w:vMerge w:val="continue"/>
            <w:tcBorders>
              <w:tl2br w:val="nil"/>
              <w:tr2bl w:val="nil"/>
            </w:tcBorders>
            <w:shd w:val="clear" w:color="auto" w:fill="auto"/>
            <w:vAlign w:val="center"/>
          </w:tcPr>
          <w:p w14:paraId="1F04DF79">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
              </w:rPr>
            </w:pPr>
          </w:p>
        </w:tc>
      </w:tr>
    </w:tbl>
    <w:p w14:paraId="5CDE9314">
      <w:pPr>
        <w:bidi w:val="0"/>
        <w:rPr>
          <w:color w:val="auto"/>
          <w:highlight w:val="none"/>
          <w:lang w:val="en-US"/>
        </w:rPr>
      </w:pPr>
    </w:p>
    <w:p w14:paraId="6F533787">
      <w:pPr>
        <w:pStyle w:val="13"/>
        <w:spacing w:line="360" w:lineRule="auto"/>
        <w:ind w:left="0" w:leftChars="0" w:firstLine="0" w:firstLineChars="0"/>
        <w:jc w:val="center"/>
        <w:rPr>
          <w:rFonts w:hint="eastAsia" w:ascii="Times New Roman" w:hAnsi="Times New Roman" w:eastAsia="宋体" w:cs="Times New Roman"/>
          <w:color w:val="auto"/>
          <w:sz w:val="24"/>
          <w:szCs w:val="24"/>
          <w:highlight w:val="none"/>
          <w:lang w:val="zh-CN" w:eastAsia="zh-CN"/>
        </w:rPr>
      </w:pPr>
      <w:r>
        <w:rPr>
          <w:rFonts w:hint="eastAsia" w:ascii="Times New Roman" w:hAnsi="Times New Roman" w:eastAsia="宋体" w:cs="Times New Roman"/>
          <w:color w:val="auto"/>
          <w:sz w:val="24"/>
          <w:szCs w:val="24"/>
          <w:highlight w:val="none"/>
          <w:lang w:val="zh-CN" w:eastAsia="zh-CN"/>
        </w:rPr>
        <w:drawing>
          <wp:inline distT="0" distB="0" distL="114300" distR="114300">
            <wp:extent cx="7254240" cy="5128895"/>
            <wp:effectExtent l="0" t="0" r="3810" b="14605"/>
            <wp:docPr id="83" name="图片 83" descr="水源地调整对比_建民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水源地调整对比_建民乡"/>
                    <pic:cNvPicPr>
                      <a:picLocks noChangeAspect="1"/>
                    </pic:cNvPicPr>
                  </pic:nvPicPr>
                  <pic:blipFill>
                    <a:blip r:embed="rId92"/>
                    <a:stretch>
                      <a:fillRect/>
                    </a:stretch>
                  </pic:blipFill>
                  <pic:spPr>
                    <a:xfrm>
                      <a:off x="0" y="0"/>
                      <a:ext cx="7254240" cy="5128895"/>
                    </a:xfrm>
                    <a:prstGeom prst="rect">
                      <a:avLst/>
                    </a:prstGeom>
                  </pic:spPr>
                </pic:pic>
              </a:graphicData>
            </a:graphic>
          </wp:inline>
        </w:drawing>
      </w:r>
    </w:p>
    <w:p w14:paraId="75FD71F8">
      <w:pPr>
        <w:pStyle w:val="13"/>
        <w:spacing w:line="360" w:lineRule="auto"/>
        <w:ind w:left="0" w:leftChars="0" w:firstLine="0" w:firstLineChars="0"/>
        <w:jc w:val="center"/>
        <w:rPr>
          <w:rFonts w:hint="eastAsia" w:ascii="Times New Roman" w:hAnsi="Times New Roman" w:eastAsia="黑体" w:cs="Times New Roman"/>
          <w:color w:val="auto"/>
          <w:sz w:val="24"/>
          <w:szCs w:val="24"/>
          <w:highlight w:val="none"/>
          <w:lang w:val="zh-CN" w:eastAsia="zh-CN"/>
        </w:rPr>
      </w:pPr>
      <w:r>
        <w:rPr>
          <w:rFonts w:hint="eastAsia" w:ascii="Times New Roman" w:hAnsi="Times New Roman" w:eastAsia="黑体" w:cs="Times New Roman"/>
          <w:color w:val="auto"/>
          <w:sz w:val="24"/>
          <w:szCs w:val="24"/>
          <w:highlight w:val="none"/>
          <w:lang w:val="zh-CN" w:eastAsia="zh-CN"/>
        </w:rPr>
        <w:t>图</w:t>
      </w:r>
      <w:r>
        <w:rPr>
          <w:rFonts w:hint="eastAsia" w:ascii="Times New Roman" w:hAnsi="Times New Roman" w:eastAsia="黑体" w:cs="Times New Roman"/>
          <w:color w:val="auto"/>
          <w:sz w:val="24"/>
          <w:szCs w:val="24"/>
          <w:highlight w:val="none"/>
          <w:lang w:val="en-US" w:eastAsia="zh-CN"/>
        </w:rPr>
        <w:t xml:space="preserve">3-9  </w:t>
      </w:r>
      <w:r>
        <w:rPr>
          <w:rFonts w:hint="eastAsia" w:ascii="Times New Roman" w:hAnsi="Times New Roman" w:eastAsia="黑体" w:cs="Times New Roman"/>
          <w:color w:val="auto"/>
          <w:sz w:val="24"/>
          <w:szCs w:val="24"/>
          <w:highlight w:val="none"/>
          <w:lang w:val="zh-CN" w:eastAsia="zh-CN"/>
        </w:rPr>
        <w:t>绥化市庆安县建民乡饮用水水源</w:t>
      </w:r>
      <w:r>
        <w:rPr>
          <w:rFonts w:hint="eastAsia" w:ascii="Times New Roman" w:hAnsi="Times New Roman" w:eastAsia="黑体" w:cs="Times New Roman"/>
          <w:color w:val="auto"/>
          <w:sz w:val="24"/>
          <w:szCs w:val="24"/>
          <w:highlight w:val="none"/>
          <w:lang w:val="en-US" w:eastAsia="zh-CN"/>
        </w:rPr>
        <w:t>保护区划分</w:t>
      </w:r>
      <w:r>
        <w:rPr>
          <w:rFonts w:hint="eastAsia" w:ascii="Times New Roman" w:hAnsi="Times New Roman" w:eastAsia="黑体" w:cs="Times New Roman"/>
          <w:color w:val="auto"/>
          <w:sz w:val="24"/>
          <w:szCs w:val="24"/>
          <w:highlight w:val="none"/>
          <w:lang w:val="zh-CN" w:eastAsia="zh-CN"/>
        </w:rPr>
        <w:t>前后对比图</w:t>
      </w:r>
    </w:p>
    <w:p w14:paraId="3147DCAD">
      <w:pPr>
        <w:bidi w:val="0"/>
        <w:ind w:left="0" w:leftChars="0" w:firstLine="0" w:firstLineChars="0"/>
        <w:jc w:val="center"/>
        <w:rPr>
          <w:color w:val="auto"/>
          <w:highlight w:val="none"/>
          <w:lang w:val="en-US"/>
        </w:rPr>
      </w:pPr>
      <w:r>
        <w:rPr>
          <w:rFonts w:hint="eastAsia" w:ascii="Times New Roman" w:hAnsi="Times New Roman" w:eastAsia="黑体" w:cs="Times New Roman"/>
          <w:color w:val="auto"/>
          <w:sz w:val="24"/>
          <w:szCs w:val="24"/>
          <w:highlight w:val="none"/>
          <w:lang w:eastAsia="zh-CN"/>
        </w:rPr>
        <w:t>表</w:t>
      </w:r>
      <w:r>
        <w:rPr>
          <w:rFonts w:hint="eastAsia" w:ascii="Times New Roman" w:hAnsi="Times New Roman" w:eastAsia="黑体" w:cs="Times New Roman"/>
          <w:color w:val="auto"/>
          <w:sz w:val="24"/>
          <w:szCs w:val="24"/>
          <w:highlight w:val="none"/>
          <w:lang w:val="en-US" w:eastAsia="zh-CN"/>
        </w:rPr>
        <w:t>3-</w:t>
      </w:r>
      <w:r>
        <w:rPr>
          <w:rFonts w:hint="eastAsia" w:eastAsia="黑体" w:cs="Times New Roman"/>
          <w:color w:val="auto"/>
          <w:sz w:val="24"/>
          <w:szCs w:val="24"/>
          <w:highlight w:val="none"/>
          <w:lang w:val="en-US" w:eastAsia="zh-CN"/>
        </w:rPr>
        <w:t>7</w:t>
      </w:r>
      <w:r>
        <w:rPr>
          <w:rFonts w:hint="eastAsia" w:ascii="Times New Roman" w:hAnsi="Times New Roman" w:eastAsia="黑体" w:cs="Times New Roman"/>
          <w:color w:val="auto"/>
          <w:sz w:val="24"/>
          <w:szCs w:val="24"/>
          <w:highlight w:val="none"/>
          <w:lang w:val="en-US" w:eastAsia="zh-CN"/>
        </w:rPr>
        <w:t xml:space="preserve">  同乐镇</w:t>
      </w:r>
      <w:r>
        <w:rPr>
          <w:rFonts w:ascii="Times New Roman" w:hAnsi="Times New Roman" w:eastAsia="黑体" w:cs="Times New Roman"/>
          <w:color w:val="auto"/>
          <w:sz w:val="24"/>
          <w:szCs w:val="24"/>
          <w:highlight w:val="none"/>
        </w:rPr>
        <w:t>水源地调整前后对比</w:t>
      </w:r>
      <w:r>
        <w:rPr>
          <w:rFonts w:hint="eastAsia" w:ascii="Times New Roman" w:hAnsi="Times New Roman" w:eastAsia="黑体" w:cs="Times New Roman"/>
          <w:color w:val="auto"/>
          <w:sz w:val="24"/>
          <w:szCs w:val="24"/>
          <w:highlight w:val="none"/>
          <w:lang w:eastAsia="zh-CN"/>
        </w:rPr>
        <w:t>一览表</w:t>
      </w:r>
    </w:p>
    <w:tbl>
      <w:tblPr>
        <w:tblStyle w:val="22"/>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71"/>
        <w:gridCol w:w="1337"/>
        <w:gridCol w:w="1728"/>
        <w:gridCol w:w="1680"/>
        <w:gridCol w:w="1155"/>
        <w:gridCol w:w="1020"/>
        <w:gridCol w:w="1695"/>
        <w:gridCol w:w="1860"/>
        <w:gridCol w:w="2352"/>
      </w:tblGrid>
      <w:tr w14:paraId="291DAA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50" w:type="pct"/>
            <w:vMerge w:val="restart"/>
            <w:tcBorders>
              <w:tl2br w:val="nil"/>
              <w:tr2bl w:val="nil"/>
            </w:tcBorders>
            <w:vAlign w:val="center"/>
          </w:tcPr>
          <w:p w14:paraId="3C785B64">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eastAsia="zh-CN" w:bidi="ar"/>
              </w:rPr>
            </w:pPr>
            <w:r>
              <w:rPr>
                <w:rFonts w:hint="eastAsia" w:ascii="Times New Roman" w:hAnsi="Times New Roman" w:eastAsia="宋体" w:cs="Times New Roman"/>
                <w:color w:val="auto"/>
                <w:kern w:val="0"/>
                <w:sz w:val="21"/>
                <w:szCs w:val="21"/>
                <w:highlight w:val="none"/>
                <w:lang w:eastAsia="zh-CN" w:bidi="ar"/>
              </w:rPr>
              <w:t>项目</w:t>
            </w:r>
          </w:p>
        </w:tc>
        <w:tc>
          <w:tcPr>
            <w:tcW w:w="1682" w:type="pct"/>
            <w:gridSpan w:val="3"/>
            <w:tcBorders>
              <w:tl2br w:val="nil"/>
              <w:tr2bl w:val="nil"/>
            </w:tcBorders>
            <w:vAlign w:val="center"/>
          </w:tcPr>
          <w:p w14:paraId="07A2213D">
            <w:pPr>
              <w:widowControl/>
              <w:spacing w:line="240" w:lineRule="auto"/>
              <w:ind w:firstLine="0" w:firstLineChars="0"/>
              <w:jc w:val="center"/>
              <w:textAlignment w:val="center"/>
              <w:rPr>
                <w:rFonts w:hint="eastAsia" w:cs="Times New Roman"/>
                <w:color w:val="auto"/>
                <w:kern w:val="0"/>
                <w:sz w:val="21"/>
                <w:szCs w:val="21"/>
                <w:highlight w:val="none"/>
                <w:lang w:eastAsia="zh-CN" w:bidi="ar"/>
              </w:rPr>
            </w:pPr>
            <w:r>
              <w:rPr>
                <w:rFonts w:hint="eastAsia" w:cs="Times New Roman"/>
                <w:color w:val="auto"/>
                <w:kern w:val="0"/>
                <w:sz w:val="21"/>
                <w:szCs w:val="21"/>
                <w:highlight w:val="none"/>
                <w:lang w:eastAsia="zh-CN" w:bidi="ar"/>
              </w:rPr>
              <w:t>调整前</w:t>
            </w:r>
          </w:p>
        </w:tc>
        <w:tc>
          <w:tcPr>
            <w:tcW w:w="2032" w:type="pct"/>
            <w:gridSpan w:val="4"/>
            <w:tcBorders>
              <w:tl2br w:val="nil"/>
              <w:tr2bl w:val="nil"/>
            </w:tcBorders>
            <w:vAlign w:val="center"/>
          </w:tcPr>
          <w:p w14:paraId="2D4798AD">
            <w:pPr>
              <w:widowControl/>
              <w:spacing w:line="240" w:lineRule="auto"/>
              <w:ind w:firstLine="0" w:firstLineChars="0"/>
              <w:jc w:val="center"/>
              <w:textAlignment w:val="center"/>
              <w:rPr>
                <w:rFonts w:hint="eastAsia" w:cs="Times New Roman"/>
                <w:color w:val="auto"/>
                <w:kern w:val="0"/>
                <w:sz w:val="21"/>
                <w:szCs w:val="21"/>
                <w:highlight w:val="none"/>
                <w:lang w:eastAsia="zh-CN" w:bidi="ar"/>
              </w:rPr>
            </w:pPr>
            <w:r>
              <w:rPr>
                <w:rFonts w:hint="eastAsia" w:cs="Times New Roman"/>
                <w:color w:val="auto"/>
                <w:kern w:val="0"/>
                <w:sz w:val="21"/>
                <w:szCs w:val="21"/>
                <w:highlight w:val="none"/>
                <w:lang w:eastAsia="zh-CN" w:bidi="ar"/>
              </w:rPr>
              <w:t>调整后</w:t>
            </w:r>
          </w:p>
        </w:tc>
        <w:tc>
          <w:tcPr>
            <w:tcW w:w="834" w:type="pct"/>
            <w:vMerge w:val="restart"/>
            <w:tcBorders>
              <w:tl2br w:val="nil"/>
              <w:tr2bl w:val="nil"/>
            </w:tcBorders>
            <w:vAlign w:val="center"/>
          </w:tcPr>
          <w:p w14:paraId="19232AAF">
            <w:pPr>
              <w:widowControl/>
              <w:spacing w:line="240" w:lineRule="auto"/>
              <w:ind w:firstLine="0" w:firstLineChars="0"/>
              <w:jc w:val="center"/>
              <w:textAlignment w:val="center"/>
              <w:rPr>
                <w:rFonts w:hint="eastAsia" w:cs="Times New Roman"/>
                <w:color w:val="auto"/>
                <w:kern w:val="0"/>
                <w:sz w:val="21"/>
                <w:szCs w:val="21"/>
                <w:highlight w:val="none"/>
                <w:lang w:eastAsia="zh-CN" w:bidi="ar"/>
              </w:rPr>
            </w:pPr>
            <w:r>
              <w:rPr>
                <w:rFonts w:hint="eastAsia" w:cs="Times New Roman"/>
                <w:color w:val="auto"/>
                <w:kern w:val="0"/>
                <w:sz w:val="21"/>
                <w:szCs w:val="21"/>
                <w:highlight w:val="none"/>
                <w:lang w:eastAsia="zh-CN" w:bidi="ar"/>
              </w:rPr>
              <w:t>备注</w:t>
            </w:r>
          </w:p>
        </w:tc>
      </w:tr>
      <w:tr w14:paraId="651F16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50" w:type="pct"/>
            <w:vMerge w:val="continue"/>
            <w:tcBorders>
              <w:tl2br w:val="nil"/>
              <w:tr2bl w:val="nil"/>
            </w:tcBorders>
            <w:vAlign w:val="center"/>
          </w:tcPr>
          <w:p w14:paraId="364A745D">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eastAsia="zh-CN" w:bidi="ar"/>
              </w:rPr>
            </w:pPr>
          </w:p>
        </w:tc>
        <w:tc>
          <w:tcPr>
            <w:tcW w:w="474" w:type="pct"/>
            <w:vMerge w:val="restart"/>
            <w:tcBorders>
              <w:tl2br w:val="nil"/>
              <w:tr2bl w:val="nil"/>
            </w:tcBorders>
            <w:vAlign w:val="center"/>
          </w:tcPr>
          <w:p w14:paraId="1BFE26ED">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eastAsia="zh-CN" w:bidi="ar"/>
              </w:rPr>
            </w:pPr>
            <w:r>
              <w:rPr>
                <w:rFonts w:hint="eastAsia" w:ascii="Times New Roman" w:hAnsi="Times New Roman" w:eastAsia="宋体" w:cs="Times New Roman"/>
                <w:color w:val="auto"/>
                <w:kern w:val="0"/>
                <w:sz w:val="21"/>
                <w:szCs w:val="21"/>
                <w:highlight w:val="none"/>
                <w:lang w:eastAsia="zh-CN" w:bidi="ar"/>
              </w:rPr>
              <w:t>调整前水源地</w:t>
            </w:r>
          </w:p>
        </w:tc>
        <w:tc>
          <w:tcPr>
            <w:tcW w:w="1208" w:type="pct"/>
            <w:gridSpan w:val="2"/>
            <w:tcBorders>
              <w:tl2br w:val="nil"/>
              <w:tr2bl w:val="nil"/>
            </w:tcBorders>
            <w:vAlign w:val="center"/>
          </w:tcPr>
          <w:p w14:paraId="378FBA29">
            <w:pPr>
              <w:widowControl/>
              <w:snapToGrid w:val="0"/>
              <w:spacing w:line="240" w:lineRule="auto"/>
              <w:ind w:firstLine="0" w:firstLineChars="0"/>
              <w:jc w:val="center"/>
              <w:rPr>
                <w:rFonts w:hint="eastAsia"/>
                <w:color w:val="auto"/>
                <w:kern w:val="0"/>
                <w:sz w:val="21"/>
                <w:szCs w:val="21"/>
                <w:highlight w:val="none"/>
                <w:lang w:eastAsia="en-US"/>
              </w:rPr>
            </w:pPr>
            <w:r>
              <w:rPr>
                <w:rFonts w:hint="eastAsia"/>
                <w:color w:val="auto"/>
                <w:kern w:val="0"/>
                <w:sz w:val="21"/>
                <w:szCs w:val="21"/>
                <w:highlight w:val="none"/>
                <w:lang w:eastAsia="en-US"/>
              </w:rPr>
              <w:t>坐标</w:t>
            </w:r>
          </w:p>
        </w:tc>
        <w:tc>
          <w:tcPr>
            <w:tcW w:w="409" w:type="pct"/>
            <w:vMerge w:val="restart"/>
            <w:tcBorders>
              <w:tl2br w:val="nil"/>
              <w:tr2bl w:val="nil"/>
            </w:tcBorders>
            <w:vAlign w:val="center"/>
          </w:tcPr>
          <w:p w14:paraId="70D29123">
            <w:pPr>
              <w:widowControl/>
              <w:spacing w:line="240" w:lineRule="auto"/>
              <w:ind w:firstLine="0" w:firstLineChars="0"/>
              <w:jc w:val="center"/>
              <w:textAlignment w:val="center"/>
              <w:rPr>
                <w:rFonts w:hint="eastAsia" w:cs="Times New Roman"/>
                <w:color w:val="auto"/>
                <w:kern w:val="0"/>
                <w:sz w:val="21"/>
                <w:szCs w:val="21"/>
                <w:highlight w:val="none"/>
                <w:lang w:eastAsia="zh-CN" w:bidi="ar"/>
              </w:rPr>
            </w:pPr>
            <w:r>
              <w:rPr>
                <w:rFonts w:hint="eastAsia" w:ascii="Times New Roman" w:hAnsi="Times New Roman" w:eastAsia="宋体" w:cs="Times New Roman"/>
                <w:color w:val="auto"/>
                <w:kern w:val="0"/>
                <w:sz w:val="21"/>
                <w:szCs w:val="21"/>
                <w:highlight w:val="none"/>
                <w:lang w:eastAsia="zh-CN" w:bidi="ar"/>
              </w:rPr>
              <w:t>调整后水源地</w:t>
            </w:r>
          </w:p>
        </w:tc>
        <w:tc>
          <w:tcPr>
            <w:tcW w:w="361" w:type="pct"/>
            <w:vMerge w:val="restart"/>
            <w:tcBorders>
              <w:tl2br w:val="nil"/>
              <w:tr2bl w:val="nil"/>
            </w:tcBorders>
            <w:vAlign w:val="center"/>
          </w:tcPr>
          <w:p w14:paraId="7894D905">
            <w:pPr>
              <w:widowControl/>
              <w:spacing w:line="240" w:lineRule="auto"/>
              <w:ind w:firstLine="0" w:firstLineChars="0"/>
              <w:jc w:val="center"/>
              <w:textAlignment w:val="center"/>
              <w:rPr>
                <w:rFonts w:hint="eastAsia" w:cs="Times New Roman"/>
                <w:color w:val="auto"/>
                <w:kern w:val="0"/>
                <w:sz w:val="21"/>
                <w:szCs w:val="21"/>
                <w:highlight w:val="none"/>
                <w:lang w:eastAsia="zh-CN" w:bidi="ar"/>
              </w:rPr>
            </w:pPr>
            <w:r>
              <w:rPr>
                <w:rFonts w:hint="eastAsia" w:cs="Times New Roman"/>
                <w:color w:val="auto"/>
                <w:kern w:val="0"/>
                <w:sz w:val="21"/>
                <w:szCs w:val="21"/>
                <w:highlight w:val="none"/>
                <w:lang w:eastAsia="zh-CN" w:bidi="ar"/>
              </w:rPr>
              <w:t>编号</w:t>
            </w:r>
          </w:p>
        </w:tc>
        <w:tc>
          <w:tcPr>
            <w:tcW w:w="1260" w:type="pct"/>
            <w:gridSpan w:val="2"/>
            <w:tcBorders>
              <w:tl2br w:val="nil"/>
              <w:tr2bl w:val="nil"/>
            </w:tcBorders>
            <w:vAlign w:val="center"/>
          </w:tcPr>
          <w:p w14:paraId="0ECD502D">
            <w:pPr>
              <w:widowControl/>
              <w:spacing w:line="240" w:lineRule="auto"/>
              <w:ind w:firstLine="0" w:firstLineChars="0"/>
              <w:jc w:val="center"/>
              <w:textAlignment w:val="center"/>
              <w:rPr>
                <w:rFonts w:hint="eastAsia" w:cs="Times New Roman"/>
                <w:color w:val="auto"/>
                <w:kern w:val="0"/>
                <w:sz w:val="21"/>
                <w:szCs w:val="21"/>
                <w:highlight w:val="none"/>
                <w:lang w:eastAsia="zh-CN" w:bidi="ar"/>
              </w:rPr>
            </w:pPr>
            <w:r>
              <w:rPr>
                <w:rFonts w:hint="eastAsia" w:cs="Times New Roman"/>
                <w:color w:val="auto"/>
                <w:kern w:val="0"/>
                <w:sz w:val="21"/>
                <w:szCs w:val="21"/>
                <w:highlight w:val="none"/>
                <w:lang w:eastAsia="zh-CN" w:bidi="ar"/>
              </w:rPr>
              <w:t>坐标</w:t>
            </w:r>
          </w:p>
        </w:tc>
        <w:tc>
          <w:tcPr>
            <w:tcW w:w="834" w:type="pct"/>
            <w:vMerge w:val="continue"/>
            <w:tcBorders>
              <w:tl2br w:val="nil"/>
              <w:tr2bl w:val="nil"/>
            </w:tcBorders>
            <w:vAlign w:val="center"/>
          </w:tcPr>
          <w:p w14:paraId="3A88F583">
            <w:pPr>
              <w:widowControl/>
              <w:spacing w:line="240" w:lineRule="auto"/>
              <w:ind w:firstLine="0" w:firstLineChars="0"/>
              <w:jc w:val="center"/>
              <w:textAlignment w:val="center"/>
              <w:rPr>
                <w:rFonts w:hint="eastAsia" w:cs="Times New Roman"/>
                <w:color w:val="auto"/>
                <w:kern w:val="0"/>
                <w:sz w:val="21"/>
                <w:szCs w:val="21"/>
                <w:highlight w:val="none"/>
                <w:lang w:eastAsia="zh-CN" w:bidi="ar"/>
              </w:rPr>
            </w:pPr>
          </w:p>
        </w:tc>
      </w:tr>
      <w:tr w14:paraId="40E4C0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50" w:type="pct"/>
            <w:vMerge w:val="continue"/>
            <w:tcBorders>
              <w:tl2br w:val="nil"/>
              <w:tr2bl w:val="nil"/>
            </w:tcBorders>
            <w:vAlign w:val="center"/>
          </w:tcPr>
          <w:p w14:paraId="6C40D23C">
            <w:pPr>
              <w:widowControl/>
              <w:snapToGrid w:val="0"/>
              <w:spacing w:line="240" w:lineRule="auto"/>
              <w:ind w:firstLine="0" w:firstLineChars="0"/>
              <w:jc w:val="center"/>
              <w:rPr>
                <w:color w:val="auto"/>
                <w:sz w:val="21"/>
                <w:szCs w:val="21"/>
                <w:highlight w:val="none"/>
              </w:rPr>
            </w:pPr>
          </w:p>
        </w:tc>
        <w:tc>
          <w:tcPr>
            <w:tcW w:w="474" w:type="pct"/>
            <w:vMerge w:val="continue"/>
            <w:tcBorders>
              <w:tl2br w:val="nil"/>
              <w:tr2bl w:val="nil"/>
            </w:tcBorders>
            <w:vAlign w:val="center"/>
          </w:tcPr>
          <w:p w14:paraId="4331D68B">
            <w:pPr>
              <w:widowControl/>
              <w:snapToGrid w:val="0"/>
              <w:spacing w:line="240" w:lineRule="auto"/>
              <w:ind w:firstLine="0" w:firstLineChars="0"/>
              <w:jc w:val="center"/>
              <w:rPr>
                <w:color w:val="auto"/>
                <w:sz w:val="21"/>
                <w:szCs w:val="21"/>
                <w:highlight w:val="none"/>
              </w:rPr>
            </w:pPr>
          </w:p>
        </w:tc>
        <w:tc>
          <w:tcPr>
            <w:tcW w:w="612" w:type="pct"/>
            <w:tcBorders>
              <w:tl2br w:val="nil"/>
              <w:tr2bl w:val="nil"/>
            </w:tcBorders>
            <w:vAlign w:val="center"/>
          </w:tcPr>
          <w:p w14:paraId="0E70EE71">
            <w:pPr>
              <w:widowControl/>
              <w:snapToGrid w:val="0"/>
              <w:spacing w:line="240" w:lineRule="auto"/>
              <w:ind w:firstLine="0" w:firstLineChars="0"/>
              <w:jc w:val="center"/>
              <w:rPr>
                <w:color w:val="auto"/>
                <w:sz w:val="21"/>
                <w:szCs w:val="21"/>
                <w:highlight w:val="none"/>
              </w:rPr>
            </w:pPr>
            <w:r>
              <w:rPr>
                <w:rFonts w:hint="eastAsia"/>
                <w:color w:val="auto"/>
                <w:kern w:val="0"/>
                <w:sz w:val="21"/>
                <w:szCs w:val="21"/>
                <w:highlight w:val="none"/>
                <w:lang w:eastAsia="zh-CN"/>
              </w:rPr>
              <w:t>经度</w:t>
            </w:r>
          </w:p>
        </w:tc>
        <w:tc>
          <w:tcPr>
            <w:tcW w:w="595" w:type="pct"/>
            <w:tcBorders>
              <w:tl2br w:val="nil"/>
              <w:tr2bl w:val="nil"/>
            </w:tcBorders>
            <w:vAlign w:val="center"/>
          </w:tcPr>
          <w:p w14:paraId="0BB742B2">
            <w:pPr>
              <w:widowControl/>
              <w:snapToGrid w:val="0"/>
              <w:spacing w:line="240" w:lineRule="auto"/>
              <w:ind w:firstLine="0" w:firstLineChars="0"/>
              <w:jc w:val="center"/>
              <w:rPr>
                <w:color w:val="auto"/>
                <w:sz w:val="21"/>
                <w:szCs w:val="21"/>
                <w:highlight w:val="none"/>
              </w:rPr>
            </w:pPr>
            <w:r>
              <w:rPr>
                <w:rFonts w:hint="eastAsia"/>
                <w:color w:val="auto"/>
                <w:kern w:val="0"/>
                <w:sz w:val="21"/>
                <w:szCs w:val="21"/>
                <w:highlight w:val="none"/>
                <w:lang w:eastAsia="zh-CN"/>
              </w:rPr>
              <w:t>纬度</w:t>
            </w:r>
          </w:p>
        </w:tc>
        <w:tc>
          <w:tcPr>
            <w:tcW w:w="409" w:type="pct"/>
            <w:vMerge w:val="continue"/>
            <w:tcBorders>
              <w:tl2br w:val="nil"/>
              <w:tr2bl w:val="nil"/>
            </w:tcBorders>
            <w:vAlign w:val="center"/>
          </w:tcPr>
          <w:p w14:paraId="635D67A3">
            <w:pPr>
              <w:widowControl/>
              <w:snapToGrid w:val="0"/>
              <w:spacing w:line="240" w:lineRule="auto"/>
              <w:ind w:firstLine="0" w:firstLineChars="0"/>
              <w:jc w:val="center"/>
              <w:rPr>
                <w:color w:val="auto"/>
                <w:sz w:val="21"/>
                <w:szCs w:val="21"/>
                <w:highlight w:val="none"/>
              </w:rPr>
            </w:pPr>
          </w:p>
        </w:tc>
        <w:tc>
          <w:tcPr>
            <w:tcW w:w="361" w:type="pct"/>
            <w:vMerge w:val="continue"/>
            <w:tcBorders>
              <w:tl2br w:val="nil"/>
              <w:tr2bl w:val="nil"/>
            </w:tcBorders>
            <w:vAlign w:val="center"/>
          </w:tcPr>
          <w:p w14:paraId="7589A3C1">
            <w:pPr>
              <w:widowControl/>
              <w:snapToGrid w:val="0"/>
              <w:spacing w:line="240" w:lineRule="auto"/>
              <w:ind w:firstLine="0" w:firstLineChars="0"/>
              <w:jc w:val="center"/>
              <w:rPr>
                <w:color w:val="auto"/>
                <w:sz w:val="21"/>
                <w:szCs w:val="21"/>
                <w:highlight w:val="none"/>
              </w:rPr>
            </w:pPr>
          </w:p>
        </w:tc>
        <w:tc>
          <w:tcPr>
            <w:tcW w:w="601" w:type="pct"/>
            <w:tcBorders>
              <w:tl2br w:val="nil"/>
              <w:tr2bl w:val="nil"/>
            </w:tcBorders>
            <w:vAlign w:val="center"/>
          </w:tcPr>
          <w:p w14:paraId="7468F28F">
            <w:pPr>
              <w:widowControl/>
              <w:snapToGrid w:val="0"/>
              <w:spacing w:line="240" w:lineRule="auto"/>
              <w:ind w:firstLine="0" w:firstLineChars="0"/>
              <w:jc w:val="center"/>
              <w:rPr>
                <w:rFonts w:hint="eastAsia" w:eastAsia="宋体"/>
                <w:color w:val="auto"/>
                <w:sz w:val="21"/>
                <w:szCs w:val="21"/>
                <w:highlight w:val="none"/>
                <w:lang w:eastAsia="zh-CN"/>
              </w:rPr>
            </w:pPr>
            <w:r>
              <w:rPr>
                <w:rFonts w:hint="eastAsia"/>
                <w:color w:val="auto"/>
                <w:sz w:val="21"/>
                <w:szCs w:val="21"/>
                <w:highlight w:val="none"/>
                <w:lang w:eastAsia="zh-CN"/>
              </w:rPr>
              <w:t>经度</w:t>
            </w:r>
          </w:p>
        </w:tc>
        <w:tc>
          <w:tcPr>
            <w:tcW w:w="659" w:type="pct"/>
            <w:tcBorders>
              <w:tl2br w:val="nil"/>
              <w:tr2bl w:val="nil"/>
            </w:tcBorders>
            <w:vAlign w:val="center"/>
          </w:tcPr>
          <w:p w14:paraId="0AACF515">
            <w:pPr>
              <w:widowControl/>
              <w:snapToGrid w:val="0"/>
              <w:spacing w:line="240" w:lineRule="auto"/>
              <w:ind w:firstLine="0" w:firstLineChars="0"/>
              <w:jc w:val="center"/>
              <w:rPr>
                <w:rFonts w:hint="eastAsia" w:eastAsia="宋体"/>
                <w:color w:val="auto"/>
                <w:sz w:val="21"/>
                <w:szCs w:val="21"/>
                <w:highlight w:val="none"/>
                <w:lang w:eastAsia="zh-CN"/>
              </w:rPr>
            </w:pPr>
            <w:r>
              <w:rPr>
                <w:rFonts w:hint="eastAsia"/>
                <w:color w:val="auto"/>
                <w:sz w:val="21"/>
                <w:szCs w:val="21"/>
                <w:highlight w:val="none"/>
                <w:lang w:eastAsia="zh-CN"/>
              </w:rPr>
              <w:t>纬度</w:t>
            </w:r>
          </w:p>
        </w:tc>
        <w:tc>
          <w:tcPr>
            <w:tcW w:w="834" w:type="pct"/>
            <w:vMerge w:val="continue"/>
            <w:tcBorders>
              <w:tl2br w:val="nil"/>
              <w:tr2bl w:val="nil"/>
            </w:tcBorders>
            <w:vAlign w:val="center"/>
          </w:tcPr>
          <w:p w14:paraId="32E9A1BB">
            <w:pPr>
              <w:widowControl/>
              <w:snapToGrid w:val="0"/>
              <w:spacing w:line="240" w:lineRule="auto"/>
              <w:ind w:firstLine="0" w:firstLineChars="0"/>
              <w:jc w:val="center"/>
              <w:rPr>
                <w:rFonts w:hint="eastAsia"/>
                <w:color w:val="auto"/>
                <w:sz w:val="21"/>
                <w:szCs w:val="21"/>
                <w:highlight w:val="none"/>
                <w:lang w:eastAsia="zh-CN"/>
              </w:rPr>
            </w:pPr>
          </w:p>
        </w:tc>
      </w:tr>
      <w:tr w14:paraId="7A44F3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50" w:type="pct"/>
            <w:vMerge w:val="restart"/>
            <w:tcBorders>
              <w:tl2br w:val="nil"/>
              <w:tr2bl w:val="nil"/>
            </w:tcBorders>
            <w:vAlign w:val="center"/>
          </w:tcPr>
          <w:p w14:paraId="64532822">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cs="Times New Roman"/>
                <w:bCs/>
                <w:color w:val="auto"/>
                <w:sz w:val="21"/>
                <w:szCs w:val="21"/>
                <w:highlight w:val="none"/>
                <w:lang w:eastAsia="zh-CN"/>
              </w:rPr>
              <w:t>编号及坐标</w:t>
            </w:r>
          </w:p>
        </w:tc>
        <w:tc>
          <w:tcPr>
            <w:tcW w:w="474" w:type="pct"/>
            <w:tcBorders>
              <w:tl2br w:val="nil"/>
              <w:tr2bl w:val="nil"/>
            </w:tcBorders>
            <w:vAlign w:val="center"/>
          </w:tcPr>
          <w:p w14:paraId="778329C4">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同乐乡地下水饮用水水源地</w:t>
            </w:r>
          </w:p>
        </w:tc>
        <w:tc>
          <w:tcPr>
            <w:tcW w:w="612" w:type="pct"/>
            <w:tcBorders>
              <w:tl2br w:val="nil"/>
              <w:tr2bl w:val="nil"/>
            </w:tcBorders>
            <w:vAlign w:val="center"/>
          </w:tcPr>
          <w:p w14:paraId="40F2131C">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127°24'00.9302"</w:t>
            </w:r>
          </w:p>
        </w:tc>
        <w:tc>
          <w:tcPr>
            <w:tcW w:w="595" w:type="pct"/>
            <w:tcBorders>
              <w:tl2br w:val="nil"/>
              <w:tr2bl w:val="nil"/>
            </w:tcBorders>
            <w:vAlign w:val="center"/>
          </w:tcPr>
          <w:p w14:paraId="4E72A41D">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47°04'22.7000"</w:t>
            </w:r>
          </w:p>
        </w:tc>
        <w:tc>
          <w:tcPr>
            <w:tcW w:w="409" w:type="pct"/>
            <w:vMerge w:val="restart"/>
            <w:tcBorders>
              <w:tl2br w:val="nil"/>
              <w:tr2bl w:val="nil"/>
            </w:tcBorders>
            <w:vAlign w:val="center"/>
          </w:tcPr>
          <w:p w14:paraId="1A1D92EA">
            <w:pPr>
              <w:widowControl/>
              <w:spacing w:line="240" w:lineRule="auto"/>
              <w:ind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bidi="ar"/>
              </w:rPr>
              <w:t>庆安县同乐镇饮用水水源地</w:t>
            </w:r>
          </w:p>
        </w:tc>
        <w:tc>
          <w:tcPr>
            <w:tcW w:w="361" w:type="pct"/>
            <w:tcBorders>
              <w:tl2br w:val="nil"/>
              <w:tr2bl w:val="nil"/>
            </w:tcBorders>
            <w:vAlign w:val="center"/>
          </w:tcPr>
          <w:p w14:paraId="6EC3552B">
            <w:pPr>
              <w:widowControl/>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kern w:val="0"/>
                <w:sz w:val="21"/>
                <w:szCs w:val="21"/>
                <w:highlight w:val="none"/>
                <w:lang w:val="en-US" w:eastAsia="zh-CN"/>
              </w:rPr>
              <w:t>1#</w:t>
            </w:r>
          </w:p>
        </w:tc>
        <w:tc>
          <w:tcPr>
            <w:tcW w:w="601" w:type="pct"/>
            <w:tcBorders>
              <w:tl2br w:val="nil"/>
              <w:tr2bl w:val="nil"/>
            </w:tcBorders>
            <w:vAlign w:val="center"/>
          </w:tcPr>
          <w:p w14:paraId="017068B9">
            <w:pPr>
              <w:widowControl/>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127°29'37.1508"</w:t>
            </w:r>
          </w:p>
        </w:tc>
        <w:tc>
          <w:tcPr>
            <w:tcW w:w="659" w:type="pct"/>
            <w:tcBorders>
              <w:tl2br w:val="nil"/>
              <w:tr2bl w:val="nil"/>
            </w:tcBorders>
            <w:vAlign w:val="center"/>
          </w:tcPr>
          <w:p w14:paraId="7F6E259E">
            <w:pPr>
              <w:widowControl/>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47°07'45.9570"</w:t>
            </w:r>
          </w:p>
        </w:tc>
        <w:tc>
          <w:tcPr>
            <w:tcW w:w="834" w:type="pct"/>
            <w:vMerge w:val="restart"/>
            <w:tcBorders>
              <w:tl2br w:val="nil"/>
              <w:tr2bl w:val="nil"/>
            </w:tcBorders>
            <w:vAlign w:val="center"/>
          </w:tcPr>
          <w:p w14:paraId="5EA3D03D">
            <w:pPr>
              <w:widowControl/>
              <w:snapToGrid w:val="0"/>
              <w:spacing w:line="240" w:lineRule="auto"/>
              <w:ind w:firstLine="0" w:firstLineChars="0"/>
              <w:jc w:val="both"/>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本次调整的</w:t>
            </w:r>
            <w:r>
              <w:rPr>
                <w:rFonts w:hint="eastAsia" w:ascii="Times New Roman" w:hAnsi="Times New Roman" w:eastAsia="宋体" w:cs="Times New Roman"/>
                <w:color w:val="auto"/>
                <w:kern w:val="0"/>
                <w:sz w:val="21"/>
                <w:szCs w:val="21"/>
                <w:highlight w:val="none"/>
                <w:lang w:val="en-US" w:eastAsia="zh-CN" w:bidi="ar"/>
              </w:rPr>
              <w:t>庆安县同乐镇饮用水水源地</w:t>
            </w:r>
            <w:r>
              <w:rPr>
                <w:rFonts w:hint="eastAsia" w:cs="Times New Roman"/>
                <w:color w:val="auto"/>
                <w:kern w:val="0"/>
                <w:sz w:val="21"/>
                <w:szCs w:val="21"/>
                <w:highlight w:val="none"/>
                <w:lang w:val="en-US" w:eastAsia="zh-CN" w:bidi="ar"/>
              </w:rPr>
              <w:t>替代同乐镇同兴村沟里饮用水水源地、同乐乡大老总饮用水水源地、同乐镇同庆村王振河地下水型水源地、同乐乡地下水饮用水水源地。</w:t>
            </w:r>
          </w:p>
          <w:p w14:paraId="78DE4850">
            <w:pPr>
              <w:widowControl/>
              <w:snapToGrid w:val="0"/>
              <w:spacing w:line="240" w:lineRule="auto"/>
              <w:ind w:firstLine="0" w:firstLineChars="0"/>
              <w:jc w:val="both"/>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sz w:val="21"/>
                <w:szCs w:val="21"/>
                <w:highlight w:val="none"/>
                <w:lang w:val="en-US" w:eastAsia="zh-CN"/>
              </w:rPr>
              <w:t>本次调整后</w:t>
            </w:r>
            <w:r>
              <w:rPr>
                <w:rFonts w:hint="default" w:ascii="Times New Roman" w:hAnsi="Times New Roman" w:eastAsia="宋体" w:cs="Times New Roman"/>
                <w:color w:val="auto"/>
                <w:sz w:val="21"/>
                <w:szCs w:val="21"/>
                <w:highlight w:val="none"/>
                <w:lang w:val="en-US" w:eastAsia="zh-CN"/>
              </w:rPr>
              <w:t>通过多水源联网、管网互联互通、规模化集中供水，供水保障率、供水稳定性、水质达标率进一步提升，有效解决了原分散式水源地规模小、易污染、运维难度大等问题，群众饮水安全更有保障</w:t>
            </w:r>
            <w:r>
              <w:rPr>
                <w:rFonts w:hint="eastAsia" w:cs="Times New Roman"/>
                <w:color w:val="auto"/>
                <w:sz w:val="21"/>
                <w:szCs w:val="21"/>
                <w:highlight w:val="none"/>
                <w:lang w:val="en-US" w:eastAsia="zh-CN"/>
              </w:rPr>
              <w:t>。</w:t>
            </w:r>
          </w:p>
        </w:tc>
      </w:tr>
      <w:tr w14:paraId="51F8D3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50" w:type="pct"/>
            <w:vMerge w:val="continue"/>
            <w:tcBorders>
              <w:tl2br w:val="nil"/>
              <w:tr2bl w:val="nil"/>
            </w:tcBorders>
            <w:vAlign w:val="center"/>
          </w:tcPr>
          <w:p w14:paraId="35EB5914">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p>
        </w:tc>
        <w:tc>
          <w:tcPr>
            <w:tcW w:w="474" w:type="pct"/>
            <w:tcBorders>
              <w:tl2br w:val="nil"/>
              <w:tr2bl w:val="nil"/>
            </w:tcBorders>
            <w:vAlign w:val="center"/>
          </w:tcPr>
          <w:p w14:paraId="45AD0B45">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612" w:type="pct"/>
            <w:tcBorders>
              <w:tl2br w:val="nil"/>
              <w:tr2bl w:val="nil"/>
            </w:tcBorders>
            <w:vAlign w:val="center"/>
          </w:tcPr>
          <w:p w14:paraId="6A3C1B4C">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w:t>
            </w:r>
          </w:p>
        </w:tc>
        <w:tc>
          <w:tcPr>
            <w:tcW w:w="595" w:type="pct"/>
            <w:tcBorders>
              <w:tl2br w:val="nil"/>
              <w:tr2bl w:val="nil"/>
            </w:tcBorders>
            <w:vAlign w:val="center"/>
          </w:tcPr>
          <w:p w14:paraId="7D166EF6">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w:t>
            </w:r>
          </w:p>
        </w:tc>
        <w:tc>
          <w:tcPr>
            <w:tcW w:w="409" w:type="pct"/>
            <w:vMerge w:val="continue"/>
            <w:tcBorders>
              <w:tl2br w:val="nil"/>
              <w:tr2bl w:val="nil"/>
            </w:tcBorders>
            <w:vAlign w:val="center"/>
          </w:tcPr>
          <w:p w14:paraId="58FEFD83">
            <w:pPr>
              <w:widowControl/>
              <w:spacing w:line="240" w:lineRule="auto"/>
              <w:ind w:firstLine="0" w:firstLineChars="0"/>
              <w:jc w:val="center"/>
              <w:textAlignment w:val="center"/>
              <w:rPr>
                <w:rFonts w:hint="default" w:ascii="Times New Roman" w:hAnsi="Times New Roman" w:eastAsia="宋体" w:cs="Times New Roman"/>
                <w:color w:val="auto"/>
                <w:sz w:val="21"/>
                <w:szCs w:val="21"/>
                <w:highlight w:val="none"/>
                <w:lang w:val="en-US" w:eastAsia="zh-CN"/>
              </w:rPr>
            </w:pPr>
          </w:p>
        </w:tc>
        <w:tc>
          <w:tcPr>
            <w:tcW w:w="361" w:type="pct"/>
            <w:tcBorders>
              <w:tl2br w:val="nil"/>
              <w:tr2bl w:val="nil"/>
            </w:tcBorders>
            <w:vAlign w:val="center"/>
          </w:tcPr>
          <w:p w14:paraId="5C2719F4">
            <w:pPr>
              <w:widowControl/>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kern w:val="0"/>
                <w:sz w:val="21"/>
                <w:szCs w:val="21"/>
                <w:highlight w:val="none"/>
                <w:lang w:val="en-US" w:eastAsia="zh-CN"/>
              </w:rPr>
              <w:t>2#</w:t>
            </w:r>
          </w:p>
        </w:tc>
        <w:tc>
          <w:tcPr>
            <w:tcW w:w="601" w:type="pct"/>
            <w:tcBorders>
              <w:tl2br w:val="nil"/>
              <w:tr2bl w:val="nil"/>
            </w:tcBorders>
            <w:vAlign w:val="center"/>
          </w:tcPr>
          <w:p w14:paraId="2BC77D77">
            <w:pPr>
              <w:widowControl/>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127°29'40.0476"</w:t>
            </w:r>
          </w:p>
        </w:tc>
        <w:tc>
          <w:tcPr>
            <w:tcW w:w="659" w:type="pct"/>
            <w:tcBorders>
              <w:tl2br w:val="nil"/>
              <w:tr2bl w:val="nil"/>
            </w:tcBorders>
            <w:vAlign w:val="center"/>
          </w:tcPr>
          <w:p w14:paraId="05AE0477">
            <w:pPr>
              <w:widowControl/>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47°07'44.4231"</w:t>
            </w:r>
          </w:p>
        </w:tc>
        <w:tc>
          <w:tcPr>
            <w:tcW w:w="834" w:type="pct"/>
            <w:vMerge w:val="continue"/>
            <w:tcBorders>
              <w:tl2br w:val="nil"/>
              <w:tr2bl w:val="nil"/>
            </w:tcBorders>
            <w:vAlign w:val="center"/>
          </w:tcPr>
          <w:p w14:paraId="1E17E8B1">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r>
      <w:tr w14:paraId="39B8B7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50" w:type="pct"/>
            <w:vMerge w:val="continue"/>
            <w:tcBorders>
              <w:tl2br w:val="nil"/>
              <w:tr2bl w:val="nil"/>
            </w:tcBorders>
            <w:vAlign w:val="center"/>
          </w:tcPr>
          <w:p w14:paraId="4D110DF4">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p>
        </w:tc>
        <w:tc>
          <w:tcPr>
            <w:tcW w:w="474" w:type="pct"/>
            <w:tcBorders>
              <w:tl2br w:val="nil"/>
              <w:tr2bl w:val="nil"/>
            </w:tcBorders>
            <w:vAlign w:val="center"/>
          </w:tcPr>
          <w:p w14:paraId="6D89EB60">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612" w:type="pct"/>
            <w:tcBorders>
              <w:tl2br w:val="nil"/>
              <w:tr2bl w:val="nil"/>
            </w:tcBorders>
            <w:vAlign w:val="center"/>
          </w:tcPr>
          <w:p w14:paraId="567C6009">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w:t>
            </w:r>
          </w:p>
        </w:tc>
        <w:tc>
          <w:tcPr>
            <w:tcW w:w="595" w:type="pct"/>
            <w:tcBorders>
              <w:tl2br w:val="nil"/>
              <w:tr2bl w:val="nil"/>
            </w:tcBorders>
            <w:vAlign w:val="center"/>
          </w:tcPr>
          <w:p w14:paraId="5EB1E90B">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w:t>
            </w:r>
          </w:p>
        </w:tc>
        <w:tc>
          <w:tcPr>
            <w:tcW w:w="409" w:type="pct"/>
            <w:vMerge w:val="continue"/>
            <w:tcBorders>
              <w:tl2br w:val="nil"/>
              <w:tr2bl w:val="nil"/>
            </w:tcBorders>
            <w:vAlign w:val="center"/>
          </w:tcPr>
          <w:p w14:paraId="250D4EB2">
            <w:pPr>
              <w:widowControl/>
              <w:spacing w:line="240" w:lineRule="auto"/>
              <w:ind w:firstLine="0" w:firstLineChars="0"/>
              <w:jc w:val="center"/>
              <w:textAlignment w:val="center"/>
              <w:rPr>
                <w:rFonts w:hint="default" w:ascii="Times New Roman" w:hAnsi="Times New Roman" w:eastAsia="宋体" w:cs="Times New Roman"/>
                <w:color w:val="auto"/>
                <w:sz w:val="21"/>
                <w:szCs w:val="21"/>
                <w:highlight w:val="none"/>
                <w:lang w:val="en-US" w:eastAsia="zh-CN"/>
              </w:rPr>
            </w:pPr>
          </w:p>
        </w:tc>
        <w:tc>
          <w:tcPr>
            <w:tcW w:w="361" w:type="pct"/>
            <w:tcBorders>
              <w:tl2br w:val="nil"/>
              <w:tr2bl w:val="nil"/>
            </w:tcBorders>
            <w:vAlign w:val="center"/>
          </w:tcPr>
          <w:p w14:paraId="168EA26E">
            <w:pPr>
              <w:widowControl/>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kern w:val="0"/>
                <w:sz w:val="21"/>
                <w:szCs w:val="21"/>
                <w:highlight w:val="none"/>
                <w:lang w:val="en-US" w:eastAsia="zh-CN"/>
              </w:rPr>
              <w:t>3#</w:t>
            </w:r>
          </w:p>
        </w:tc>
        <w:tc>
          <w:tcPr>
            <w:tcW w:w="601" w:type="pct"/>
            <w:tcBorders>
              <w:tl2br w:val="nil"/>
              <w:tr2bl w:val="nil"/>
            </w:tcBorders>
            <w:vAlign w:val="center"/>
          </w:tcPr>
          <w:p w14:paraId="50C686E7">
            <w:pPr>
              <w:widowControl/>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127°29'42.7271"</w:t>
            </w:r>
          </w:p>
        </w:tc>
        <w:tc>
          <w:tcPr>
            <w:tcW w:w="659" w:type="pct"/>
            <w:tcBorders>
              <w:tl2br w:val="nil"/>
              <w:tr2bl w:val="nil"/>
            </w:tcBorders>
            <w:vAlign w:val="center"/>
          </w:tcPr>
          <w:p w14:paraId="0C183950">
            <w:pPr>
              <w:widowControl/>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47°07'33.9708"</w:t>
            </w:r>
          </w:p>
        </w:tc>
        <w:tc>
          <w:tcPr>
            <w:tcW w:w="834" w:type="pct"/>
            <w:vMerge w:val="continue"/>
            <w:tcBorders>
              <w:tl2br w:val="nil"/>
              <w:tr2bl w:val="nil"/>
            </w:tcBorders>
            <w:vAlign w:val="center"/>
          </w:tcPr>
          <w:p w14:paraId="57A1B84B">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r>
      <w:tr w14:paraId="446803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50" w:type="pct"/>
            <w:tcBorders>
              <w:tl2br w:val="nil"/>
              <w:tr2bl w:val="nil"/>
            </w:tcBorders>
            <w:vAlign w:val="center"/>
          </w:tcPr>
          <w:p w14:paraId="420238EE">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水井数量</w:t>
            </w:r>
          </w:p>
        </w:tc>
        <w:tc>
          <w:tcPr>
            <w:tcW w:w="1682" w:type="pct"/>
            <w:gridSpan w:val="3"/>
            <w:tcBorders>
              <w:tl2br w:val="nil"/>
              <w:tr2bl w:val="nil"/>
            </w:tcBorders>
            <w:shd w:val="clear" w:color="auto" w:fill="auto"/>
            <w:vAlign w:val="center"/>
          </w:tcPr>
          <w:p w14:paraId="4D3A7E6B">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1</w:t>
            </w:r>
            <w:r>
              <w:rPr>
                <w:rFonts w:hint="eastAsia" w:ascii="Times New Roman" w:hAnsi="Times New Roman" w:eastAsia="宋体" w:cs="Times New Roman"/>
                <w:color w:val="auto"/>
                <w:kern w:val="0"/>
                <w:sz w:val="21"/>
                <w:szCs w:val="21"/>
                <w:highlight w:val="none"/>
                <w:lang w:val="en-US" w:eastAsia="zh-CN" w:bidi="ar"/>
              </w:rPr>
              <w:t>眼</w:t>
            </w:r>
          </w:p>
        </w:tc>
        <w:tc>
          <w:tcPr>
            <w:tcW w:w="2032" w:type="pct"/>
            <w:gridSpan w:val="4"/>
            <w:tcBorders>
              <w:tl2br w:val="nil"/>
              <w:tr2bl w:val="nil"/>
            </w:tcBorders>
            <w:shd w:val="clear" w:color="auto" w:fill="auto"/>
            <w:vAlign w:val="center"/>
          </w:tcPr>
          <w:p w14:paraId="427D55BD">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rPr>
              <w:t>3</w:t>
            </w:r>
            <w:r>
              <w:rPr>
                <w:rFonts w:hint="eastAsia" w:ascii="Times New Roman" w:hAnsi="Times New Roman" w:eastAsia="宋体" w:cs="Times New Roman"/>
                <w:color w:val="auto"/>
                <w:kern w:val="0"/>
                <w:sz w:val="21"/>
                <w:szCs w:val="21"/>
                <w:highlight w:val="none"/>
                <w:lang w:val="en-US" w:eastAsia="zh-CN"/>
              </w:rPr>
              <w:t>眼</w:t>
            </w:r>
          </w:p>
        </w:tc>
        <w:tc>
          <w:tcPr>
            <w:tcW w:w="834" w:type="pct"/>
            <w:vMerge w:val="continue"/>
            <w:tcBorders>
              <w:tl2br w:val="nil"/>
              <w:tr2bl w:val="nil"/>
            </w:tcBorders>
            <w:shd w:val="clear" w:color="auto" w:fill="auto"/>
            <w:vAlign w:val="center"/>
          </w:tcPr>
          <w:p w14:paraId="2D46A893">
            <w:pPr>
              <w:widowControl/>
              <w:snapToGrid w:val="0"/>
              <w:spacing w:line="240" w:lineRule="auto"/>
              <w:ind w:firstLine="0" w:firstLineChars="0"/>
              <w:jc w:val="center"/>
              <w:rPr>
                <w:rFonts w:hint="eastAsia" w:cs="Times New Roman"/>
                <w:color w:val="auto"/>
                <w:kern w:val="0"/>
                <w:sz w:val="21"/>
                <w:szCs w:val="21"/>
                <w:highlight w:val="none"/>
                <w:lang w:val="en-US" w:eastAsia="zh-CN"/>
              </w:rPr>
            </w:pPr>
          </w:p>
        </w:tc>
      </w:tr>
      <w:tr w14:paraId="55C5BD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71" w:type="dxa"/>
            <w:tcBorders>
              <w:tl2br w:val="nil"/>
              <w:tr2bl w:val="nil"/>
            </w:tcBorders>
            <w:vAlign w:val="center"/>
          </w:tcPr>
          <w:p w14:paraId="3BE293F6">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服务范围</w:t>
            </w:r>
          </w:p>
        </w:tc>
        <w:tc>
          <w:tcPr>
            <w:tcW w:w="1682" w:type="pct"/>
            <w:gridSpan w:val="3"/>
            <w:tcBorders>
              <w:tl2br w:val="nil"/>
              <w:tr2bl w:val="nil"/>
            </w:tcBorders>
            <w:shd w:val="clear" w:color="auto" w:fill="auto"/>
            <w:vAlign w:val="center"/>
          </w:tcPr>
          <w:p w14:paraId="77355A6F">
            <w:pPr>
              <w:widowControl/>
              <w:snapToGrid w:val="0"/>
              <w:spacing w:line="240" w:lineRule="auto"/>
              <w:ind w:firstLine="0" w:firstLineChars="0"/>
              <w:jc w:val="both"/>
              <w:rPr>
                <w:rFonts w:hint="eastAsia"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rPr>
              <w:t>同乐乡同乐村任国桥、杨万里、施家屯，赵英屯、刘老坦、山头、彭德广、同富村老候家屯、老隋家屯、王义柱、邹万金、宋得先、腰屯、姜家屯、田万良、周家唐坊、同发村刘玉屯、南城张屯、程发德、商窑屯、宋方屯；山湾屯、川立杆</w:t>
            </w:r>
          </w:p>
        </w:tc>
        <w:tc>
          <w:tcPr>
            <w:tcW w:w="2032" w:type="pct"/>
            <w:gridSpan w:val="4"/>
            <w:tcBorders>
              <w:tl2br w:val="nil"/>
              <w:tr2bl w:val="nil"/>
            </w:tcBorders>
            <w:shd w:val="clear" w:color="auto" w:fill="auto"/>
            <w:vAlign w:val="center"/>
          </w:tcPr>
          <w:p w14:paraId="6AC2F3A8">
            <w:pPr>
              <w:widowControl/>
              <w:snapToGrid w:val="0"/>
              <w:spacing w:line="240" w:lineRule="auto"/>
              <w:ind w:firstLine="0" w:firstLineChars="0"/>
              <w:jc w:val="center"/>
              <w:rPr>
                <w:rFonts w:hint="eastAsia"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bidi="ar"/>
              </w:rPr>
              <w:t>同乐镇内同乐村、同富村、同发村、同庆村、同兴村，共计5个行政村41个自然屯</w:t>
            </w:r>
          </w:p>
        </w:tc>
        <w:tc>
          <w:tcPr>
            <w:tcW w:w="834" w:type="pct"/>
            <w:vMerge w:val="continue"/>
            <w:tcBorders>
              <w:tl2br w:val="nil"/>
              <w:tr2bl w:val="nil"/>
            </w:tcBorders>
            <w:shd w:val="clear" w:color="auto" w:fill="auto"/>
            <w:vAlign w:val="center"/>
          </w:tcPr>
          <w:p w14:paraId="23F9B30A">
            <w:pPr>
              <w:widowControl/>
              <w:snapToGrid w:val="0"/>
              <w:spacing w:line="240" w:lineRule="auto"/>
              <w:ind w:firstLine="0" w:firstLineChars="0"/>
              <w:jc w:val="center"/>
              <w:rPr>
                <w:rFonts w:hint="eastAsia" w:cs="Times New Roman"/>
                <w:color w:val="auto"/>
                <w:kern w:val="0"/>
                <w:sz w:val="21"/>
                <w:szCs w:val="21"/>
                <w:highlight w:val="none"/>
                <w:lang w:val="en-US" w:eastAsia="zh-CN"/>
              </w:rPr>
            </w:pPr>
          </w:p>
        </w:tc>
      </w:tr>
      <w:tr w14:paraId="1FB1E5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71" w:type="dxa"/>
            <w:tcBorders>
              <w:tl2br w:val="nil"/>
              <w:tr2bl w:val="nil"/>
            </w:tcBorders>
            <w:vAlign w:val="center"/>
          </w:tcPr>
          <w:p w14:paraId="772CA045">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服务人口</w:t>
            </w:r>
          </w:p>
        </w:tc>
        <w:tc>
          <w:tcPr>
            <w:tcW w:w="4745" w:type="dxa"/>
            <w:gridSpan w:val="3"/>
            <w:tcBorders>
              <w:tl2br w:val="nil"/>
              <w:tr2bl w:val="nil"/>
            </w:tcBorders>
            <w:shd w:val="clear" w:color="auto" w:fill="auto"/>
            <w:vAlign w:val="center"/>
          </w:tcPr>
          <w:p w14:paraId="5377FD1C">
            <w:pPr>
              <w:widowControl/>
              <w:spacing w:line="240" w:lineRule="auto"/>
              <w:ind w:firstLine="0" w:firstLineChars="0"/>
              <w:jc w:val="center"/>
              <w:textAlignment w:val="center"/>
              <w:rPr>
                <w:rFonts w:hint="eastAsia" w:cs="Times New Roman"/>
                <w:color w:val="auto"/>
                <w:kern w:val="0"/>
                <w:sz w:val="21"/>
                <w:szCs w:val="21"/>
                <w:highlight w:val="none"/>
                <w:lang w:val="en-US" w:eastAsia="zh-CN" w:bidi="ar"/>
              </w:rPr>
            </w:pPr>
            <w:r>
              <w:rPr>
                <w:rFonts w:ascii="宋体" w:hAnsi="宋体"/>
                <w:color w:val="auto"/>
                <w:kern w:val="0"/>
                <w:sz w:val="21"/>
                <w:szCs w:val="21"/>
                <w:highlight w:val="none"/>
              </w:rPr>
              <w:t>服务人口</w:t>
            </w:r>
            <w:r>
              <w:rPr>
                <w:rFonts w:hint="default" w:ascii="Times New Roman" w:hAnsi="Times New Roman" w:cs="Times New Roman"/>
                <w:color w:val="auto"/>
                <w:kern w:val="0"/>
                <w:sz w:val="21"/>
                <w:szCs w:val="21"/>
                <w:highlight w:val="none"/>
                <w:lang w:val="en-US" w:eastAsia="zh-CN"/>
              </w:rPr>
              <w:t>10800</w:t>
            </w:r>
            <w:r>
              <w:rPr>
                <w:rFonts w:ascii="宋体" w:hAnsi="宋体"/>
                <w:color w:val="auto"/>
                <w:kern w:val="0"/>
                <w:sz w:val="21"/>
                <w:szCs w:val="21"/>
                <w:highlight w:val="none"/>
              </w:rPr>
              <w:t>人</w:t>
            </w:r>
          </w:p>
        </w:tc>
        <w:tc>
          <w:tcPr>
            <w:tcW w:w="5730" w:type="dxa"/>
            <w:gridSpan w:val="4"/>
            <w:tcBorders>
              <w:tl2br w:val="nil"/>
              <w:tr2bl w:val="nil"/>
            </w:tcBorders>
            <w:shd w:val="clear" w:color="auto" w:fill="auto"/>
            <w:vAlign w:val="center"/>
          </w:tcPr>
          <w:p w14:paraId="25883A7E">
            <w:pPr>
              <w:widowControl/>
              <w:snapToGrid w:val="0"/>
              <w:spacing w:line="240" w:lineRule="auto"/>
              <w:ind w:firstLine="0" w:firstLineChars="0"/>
              <w:jc w:val="center"/>
              <w:rPr>
                <w:rFonts w:hint="eastAsia"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bidi="ar"/>
              </w:rPr>
              <w:t>服务人口</w:t>
            </w:r>
            <w:r>
              <w:rPr>
                <w:rFonts w:hint="eastAsia" w:ascii="Times New Roman" w:hAnsi="Times New Roman" w:eastAsia="宋体" w:cs="Times New Roman"/>
                <w:color w:val="auto"/>
                <w:kern w:val="0"/>
                <w:sz w:val="21"/>
                <w:szCs w:val="21"/>
                <w:highlight w:val="none"/>
                <w:lang w:val="en-US" w:eastAsia="zh-CN" w:bidi="ar"/>
              </w:rPr>
              <w:t>9891</w:t>
            </w:r>
            <w:r>
              <w:rPr>
                <w:rFonts w:hint="eastAsia" w:ascii="Times New Roman" w:hAnsi="Times New Roman" w:eastAsia="宋体" w:cs="Times New Roman"/>
                <w:color w:val="auto"/>
                <w:kern w:val="0"/>
                <w:sz w:val="21"/>
                <w:szCs w:val="21"/>
                <w:highlight w:val="none"/>
                <w:lang w:bidi="ar"/>
              </w:rPr>
              <w:t>人</w:t>
            </w:r>
          </w:p>
        </w:tc>
        <w:tc>
          <w:tcPr>
            <w:tcW w:w="834" w:type="pct"/>
            <w:vMerge w:val="continue"/>
            <w:tcBorders>
              <w:tl2br w:val="nil"/>
              <w:tr2bl w:val="nil"/>
            </w:tcBorders>
            <w:shd w:val="clear" w:color="auto" w:fill="auto"/>
            <w:vAlign w:val="center"/>
          </w:tcPr>
          <w:p w14:paraId="091CEA14">
            <w:pPr>
              <w:widowControl/>
              <w:snapToGrid w:val="0"/>
              <w:spacing w:line="240" w:lineRule="auto"/>
              <w:ind w:firstLine="0" w:firstLineChars="0"/>
              <w:jc w:val="center"/>
              <w:rPr>
                <w:rFonts w:hint="eastAsia" w:cs="Times New Roman"/>
                <w:color w:val="auto"/>
                <w:kern w:val="0"/>
                <w:sz w:val="21"/>
                <w:szCs w:val="21"/>
                <w:highlight w:val="none"/>
                <w:lang w:val="en-US" w:eastAsia="zh-CN"/>
              </w:rPr>
            </w:pPr>
          </w:p>
        </w:tc>
      </w:tr>
      <w:tr w14:paraId="1F70C29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50" w:type="pct"/>
            <w:tcBorders>
              <w:tl2br w:val="nil"/>
              <w:tr2bl w:val="nil"/>
            </w:tcBorders>
            <w:vAlign w:val="center"/>
          </w:tcPr>
          <w:p w14:paraId="2F3F5FE6">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埋藏条件</w:t>
            </w:r>
          </w:p>
        </w:tc>
        <w:tc>
          <w:tcPr>
            <w:tcW w:w="1682" w:type="pct"/>
            <w:gridSpan w:val="3"/>
            <w:tcBorders>
              <w:tl2br w:val="nil"/>
              <w:tr2bl w:val="nil"/>
            </w:tcBorders>
            <w:shd w:val="clear" w:color="auto" w:fill="auto"/>
            <w:vAlign w:val="center"/>
          </w:tcPr>
          <w:p w14:paraId="254B471B">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承压水</w:t>
            </w:r>
          </w:p>
        </w:tc>
        <w:tc>
          <w:tcPr>
            <w:tcW w:w="2032" w:type="pct"/>
            <w:gridSpan w:val="4"/>
            <w:tcBorders>
              <w:tl2br w:val="nil"/>
              <w:tr2bl w:val="nil"/>
            </w:tcBorders>
            <w:shd w:val="clear" w:color="auto" w:fill="auto"/>
            <w:vAlign w:val="center"/>
          </w:tcPr>
          <w:p w14:paraId="5FC16795">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
              </w:rPr>
              <w:t>承压水</w:t>
            </w:r>
          </w:p>
        </w:tc>
        <w:tc>
          <w:tcPr>
            <w:tcW w:w="834" w:type="pct"/>
            <w:vMerge w:val="continue"/>
            <w:tcBorders>
              <w:tl2br w:val="nil"/>
              <w:tr2bl w:val="nil"/>
            </w:tcBorders>
            <w:shd w:val="clear" w:color="auto" w:fill="auto"/>
            <w:vAlign w:val="center"/>
          </w:tcPr>
          <w:p w14:paraId="6973013C">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
              </w:rPr>
            </w:pPr>
          </w:p>
        </w:tc>
      </w:tr>
      <w:tr w14:paraId="208B4E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50" w:type="pct"/>
            <w:tcBorders>
              <w:tl2br w:val="nil"/>
              <w:tr2bl w:val="nil"/>
            </w:tcBorders>
            <w:vAlign w:val="center"/>
          </w:tcPr>
          <w:p w14:paraId="05414509">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color w:val="auto"/>
                <w:kern w:val="0"/>
                <w:sz w:val="21"/>
                <w:szCs w:val="21"/>
                <w:highlight w:val="none"/>
              </w:rPr>
              <w:t>保护区半径</w:t>
            </w:r>
          </w:p>
        </w:tc>
        <w:tc>
          <w:tcPr>
            <w:tcW w:w="1682" w:type="pct"/>
            <w:gridSpan w:val="3"/>
            <w:tcBorders>
              <w:tl2br w:val="nil"/>
              <w:tr2bl w:val="nil"/>
            </w:tcBorders>
            <w:shd w:val="clear" w:color="auto" w:fill="auto"/>
            <w:vAlign w:val="center"/>
          </w:tcPr>
          <w:p w14:paraId="6C1EF2B5">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color w:val="auto"/>
                <w:kern w:val="0"/>
                <w:sz w:val="21"/>
                <w:szCs w:val="21"/>
                <w:highlight w:val="none"/>
                <w:lang w:val="en-US" w:eastAsia="zh-CN"/>
              </w:rPr>
              <w:t>30</w:t>
            </w:r>
            <w:r>
              <w:rPr>
                <w:color w:val="auto"/>
                <w:kern w:val="0"/>
                <w:sz w:val="21"/>
                <w:szCs w:val="21"/>
                <w:highlight w:val="none"/>
              </w:rPr>
              <w:t>米</w:t>
            </w:r>
          </w:p>
        </w:tc>
        <w:tc>
          <w:tcPr>
            <w:tcW w:w="2032" w:type="pct"/>
            <w:gridSpan w:val="4"/>
            <w:tcBorders>
              <w:tl2br w:val="nil"/>
              <w:tr2bl w:val="nil"/>
            </w:tcBorders>
            <w:shd w:val="clear" w:color="auto" w:fill="auto"/>
            <w:vAlign w:val="center"/>
          </w:tcPr>
          <w:p w14:paraId="15623301">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color w:val="auto"/>
                <w:kern w:val="0"/>
                <w:sz w:val="21"/>
                <w:szCs w:val="21"/>
                <w:highlight w:val="none"/>
                <w:lang w:val="en-US" w:eastAsia="zh-CN"/>
              </w:rPr>
              <w:t>30</w:t>
            </w:r>
            <w:r>
              <w:rPr>
                <w:color w:val="auto"/>
                <w:kern w:val="0"/>
                <w:sz w:val="21"/>
                <w:szCs w:val="21"/>
                <w:highlight w:val="none"/>
              </w:rPr>
              <w:t>米</w:t>
            </w:r>
          </w:p>
        </w:tc>
        <w:tc>
          <w:tcPr>
            <w:tcW w:w="834" w:type="pct"/>
            <w:vMerge w:val="continue"/>
            <w:tcBorders>
              <w:tl2br w:val="nil"/>
              <w:tr2bl w:val="nil"/>
            </w:tcBorders>
            <w:shd w:val="clear" w:color="auto" w:fill="auto"/>
            <w:vAlign w:val="center"/>
          </w:tcPr>
          <w:p w14:paraId="5DEE5F4D">
            <w:pPr>
              <w:widowControl/>
              <w:snapToGrid w:val="0"/>
              <w:spacing w:line="240" w:lineRule="auto"/>
              <w:ind w:firstLine="0" w:firstLineChars="0"/>
              <w:jc w:val="center"/>
              <w:rPr>
                <w:rFonts w:hint="eastAsia"/>
                <w:color w:val="auto"/>
                <w:kern w:val="0"/>
                <w:sz w:val="21"/>
                <w:szCs w:val="21"/>
                <w:highlight w:val="none"/>
                <w:lang w:val="en-US" w:eastAsia="zh-CN"/>
              </w:rPr>
            </w:pPr>
          </w:p>
        </w:tc>
      </w:tr>
      <w:tr w14:paraId="5277CD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50" w:type="pct"/>
            <w:tcBorders>
              <w:tl2br w:val="nil"/>
              <w:tr2bl w:val="nil"/>
            </w:tcBorders>
            <w:vAlign w:val="center"/>
          </w:tcPr>
          <w:p w14:paraId="7185D1B4">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color w:val="auto"/>
                <w:kern w:val="0"/>
                <w:sz w:val="21"/>
                <w:szCs w:val="21"/>
                <w:highlight w:val="none"/>
              </w:rPr>
              <w:t>一级保护区面积（平</w:t>
            </w:r>
            <w:r>
              <w:rPr>
                <w:rFonts w:hint="eastAsia"/>
                <w:color w:val="auto"/>
                <w:kern w:val="0"/>
                <w:sz w:val="21"/>
                <w:szCs w:val="21"/>
                <w:highlight w:val="none"/>
              </w:rPr>
              <w:t>方米</w:t>
            </w:r>
            <w:r>
              <w:rPr>
                <w:rFonts w:hint="eastAsia"/>
                <w:color w:val="auto"/>
                <w:kern w:val="0"/>
                <w:sz w:val="21"/>
                <w:szCs w:val="21"/>
                <w:highlight w:val="none"/>
                <w:lang w:eastAsia="zh-CN"/>
              </w:rPr>
              <w:t>）</w:t>
            </w:r>
          </w:p>
        </w:tc>
        <w:tc>
          <w:tcPr>
            <w:tcW w:w="1682" w:type="pct"/>
            <w:gridSpan w:val="3"/>
            <w:tcBorders>
              <w:tl2br w:val="nil"/>
              <w:tr2bl w:val="nil"/>
            </w:tcBorders>
            <w:shd w:val="clear" w:color="auto" w:fill="auto"/>
            <w:vAlign w:val="center"/>
          </w:tcPr>
          <w:p w14:paraId="44145BB2">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2826</w:t>
            </w:r>
          </w:p>
        </w:tc>
        <w:tc>
          <w:tcPr>
            <w:tcW w:w="2032" w:type="pct"/>
            <w:gridSpan w:val="4"/>
            <w:tcBorders>
              <w:tl2br w:val="nil"/>
              <w:tr2bl w:val="nil"/>
            </w:tcBorders>
            <w:shd w:val="clear" w:color="auto" w:fill="auto"/>
            <w:vAlign w:val="center"/>
          </w:tcPr>
          <w:p w14:paraId="3AB6EFC6">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olor w:val="auto"/>
                <w:sz w:val="21"/>
                <w:szCs w:val="21"/>
                <w:highlight w:val="none"/>
                <w:lang w:val="en-US" w:eastAsia="zh-CN"/>
              </w:rPr>
              <w:t>8478</w:t>
            </w:r>
          </w:p>
        </w:tc>
        <w:tc>
          <w:tcPr>
            <w:tcW w:w="834" w:type="pct"/>
            <w:vMerge w:val="continue"/>
            <w:tcBorders>
              <w:tl2br w:val="nil"/>
              <w:tr2bl w:val="nil"/>
            </w:tcBorders>
            <w:shd w:val="clear" w:color="auto" w:fill="auto"/>
            <w:vAlign w:val="center"/>
          </w:tcPr>
          <w:p w14:paraId="4CD44519">
            <w:pPr>
              <w:widowControl/>
              <w:snapToGrid w:val="0"/>
              <w:spacing w:line="240" w:lineRule="auto"/>
              <w:ind w:firstLine="0" w:firstLineChars="0"/>
              <w:jc w:val="center"/>
              <w:rPr>
                <w:rFonts w:hint="eastAsia"/>
                <w:color w:val="auto"/>
                <w:sz w:val="21"/>
                <w:szCs w:val="21"/>
                <w:highlight w:val="none"/>
                <w:lang w:val="en-US" w:eastAsia="zh-CN"/>
              </w:rPr>
            </w:pPr>
          </w:p>
        </w:tc>
      </w:tr>
      <w:tr w14:paraId="6594C3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50" w:type="pct"/>
            <w:tcBorders>
              <w:tl2br w:val="nil"/>
              <w:tr2bl w:val="nil"/>
            </w:tcBorders>
            <w:vAlign w:val="center"/>
          </w:tcPr>
          <w:p w14:paraId="75338857">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color w:val="auto"/>
                <w:kern w:val="0"/>
                <w:sz w:val="21"/>
                <w:szCs w:val="21"/>
                <w:highlight w:val="none"/>
              </w:rPr>
              <w:t>二级保护区</w:t>
            </w:r>
            <w:r>
              <w:rPr>
                <w:rFonts w:hint="eastAsia"/>
                <w:color w:val="auto"/>
                <w:kern w:val="0"/>
                <w:sz w:val="21"/>
                <w:szCs w:val="21"/>
                <w:highlight w:val="none"/>
                <w:lang w:eastAsia="zh-CN"/>
              </w:rPr>
              <w:t>、</w:t>
            </w:r>
            <w:r>
              <w:rPr>
                <w:color w:val="auto"/>
                <w:kern w:val="0"/>
                <w:sz w:val="21"/>
                <w:szCs w:val="21"/>
                <w:highlight w:val="none"/>
              </w:rPr>
              <w:t>准保护区面积（平方</w:t>
            </w:r>
            <w:r>
              <w:rPr>
                <w:rFonts w:hint="eastAsia"/>
                <w:color w:val="auto"/>
                <w:kern w:val="0"/>
                <w:sz w:val="21"/>
                <w:szCs w:val="21"/>
                <w:highlight w:val="none"/>
              </w:rPr>
              <w:t>米</w:t>
            </w:r>
            <w:r>
              <w:rPr>
                <w:color w:val="auto"/>
                <w:kern w:val="0"/>
                <w:sz w:val="21"/>
                <w:szCs w:val="21"/>
                <w:highlight w:val="none"/>
              </w:rPr>
              <w:t>）</w:t>
            </w:r>
          </w:p>
        </w:tc>
        <w:tc>
          <w:tcPr>
            <w:tcW w:w="1682" w:type="pct"/>
            <w:gridSpan w:val="3"/>
            <w:tcBorders>
              <w:tl2br w:val="nil"/>
              <w:tr2bl w:val="nil"/>
            </w:tcBorders>
            <w:shd w:val="clear" w:color="auto" w:fill="auto"/>
            <w:vAlign w:val="center"/>
          </w:tcPr>
          <w:p w14:paraId="3745B016">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无</w:t>
            </w:r>
          </w:p>
        </w:tc>
        <w:tc>
          <w:tcPr>
            <w:tcW w:w="2032" w:type="pct"/>
            <w:gridSpan w:val="4"/>
            <w:tcBorders>
              <w:tl2br w:val="nil"/>
              <w:tr2bl w:val="nil"/>
            </w:tcBorders>
            <w:shd w:val="clear" w:color="auto" w:fill="auto"/>
            <w:vAlign w:val="center"/>
          </w:tcPr>
          <w:p w14:paraId="49C5F62E">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
              </w:rPr>
              <w:t>无</w:t>
            </w:r>
          </w:p>
        </w:tc>
        <w:tc>
          <w:tcPr>
            <w:tcW w:w="834" w:type="pct"/>
            <w:vMerge w:val="continue"/>
            <w:tcBorders>
              <w:tl2br w:val="nil"/>
              <w:tr2bl w:val="nil"/>
            </w:tcBorders>
            <w:shd w:val="clear" w:color="auto" w:fill="auto"/>
            <w:vAlign w:val="center"/>
          </w:tcPr>
          <w:p w14:paraId="7304896E">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
              </w:rPr>
            </w:pPr>
          </w:p>
        </w:tc>
      </w:tr>
      <w:tr w14:paraId="30B437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50" w:type="pct"/>
            <w:tcBorders>
              <w:tl2br w:val="nil"/>
              <w:tr2bl w:val="nil"/>
            </w:tcBorders>
            <w:vAlign w:val="center"/>
          </w:tcPr>
          <w:p w14:paraId="3B552AEB">
            <w:pPr>
              <w:widowControl/>
              <w:spacing w:line="240" w:lineRule="auto"/>
              <w:ind w:firstLine="0" w:firstLineChars="0"/>
              <w:jc w:val="center"/>
              <w:textAlignment w:val="center"/>
              <w:rPr>
                <w:color w:val="auto"/>
                <w:kern w:val="0"/>
                <w:sz w:val="21"/>
                <w:szCs w:val="21"/>
                <w:highlight w:val="none"/>
              </w:rPr>
            </w:pPr>
            <w:r>
              <w:rPr>
                <w:rFonts w:hint="eastAsia" w:ascii="Times New Roman" w:cs="Times New Roman"/>
                <w:color w:val="auto"/>
                <w:sz w:val="21"/>
                <w:szCs w:val="21"/>
                <w:highlight w:val="none"/>
              </w:rPr>
              <w:t>调整后保护区增减面积</w:t>
            </w:r>
            <w:r>
              <w:rPr>
                <w:color w:val="auto"/>
                <w:kern w:val="0"/>
                <w:sz w:val="21"/>
                <w:szCs w:val="21"/>
                <w:highlight w:val="none"/>
              </w:rPr>
              <w:t>（平方</w:t>
            </w:r>
            <w:r>
              <w:rPr>
                <w:rFonts w:hint="eastAsia"/>
                <w:color w:val="auto"/>
                <w:kern w:val="0"/>
                <w:sz w:val="21"/>
                <w:szCs w:val="21"/>
                <w:highlight w:val="none"/>
              </w:rPr>
              <w:t>米</w:t>
            </w:r>
            <w:r>
              <w:rPr>
                <w:color w:val="auto"/>
                <w:kern w:val="0"/>
                <w:sz w:val="21"/>
                <w:szCs w:val="21"/>
                <w:highlight w:val="none"/>
              </w:rPr>
              <w:t>）</w:t>
            </w:r>
          </w:p>
        </w:tc>
        <w:tc>
          <w:tcPr>
            <w:tcW w:w="3715" w:type="pct"/>
            <w:gridSpan w:val="7"/>
            <w:tcBorders>
              <w:tl2br w:val="nil"/>
              <w:tr2bl w:val="nil"/>
            </w:tcBorders>
            <w:shd w:val="clear" w:color="auto" w:fill="auto"/>
            <w:vAlign w:val="center"/>
          </w:tcPr>
          <w:p w14:paraId="3150D38B">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+5652</w:t>
            </w:r>
          </w:p>
        </w:tc>
        <w:tc>
          <w:tcPr>
            <w:tcW w:w="834" w:type="pct"/>
            <w:vMerge w:val="continue"/>
            <w:tcBorders>
              <w:tl2br w:val="nil"/>
              <w:tr2bl w:val="nil"/>
            </w:tcBorders>
            <w:shd w:val="clear" w:color="auto" w:fill="auto"/>
            <w:vAlign w:val="center"/>
          </w:tcPr>
          <w:p w14:paraId="6ABEB5E1">
            <w:pPr>
              <w:widowControl/>
              <w:snapToGrid w:val="0"/>
              <w:spacing w:line="240" w:lineRule="auto"/>
              <w:ind w:firstLine="0" w:firstLineChars="0"/>
              <w:jc w:val="center"/>
              <w:rPr>
                <w:rFonts w:hint="eastAsia" w:cs="Times New Roman"/>
                <w:color w:val="auto"/>
                <w:kern w:val="0"/>
                <w:sz w:val="21"/>
                <w:szCs w:val="21"/>
                <w:highlight w:val="none"/>
                <w:lang w:val="en-US" w:eastAsia="zh-CN" w:bidi="ar"/>
              </w:rPr>
            </w:pPr>
          </w:p>
        </w:tc>
      </w:tr>
    </w:tbl>
    <w:p w14:paraId="773F0C55">
      <w:pPr>
        <w:pStyle w:val="13"/>
        <w:spacing w:line="360" w:lineRule="auto"/>
        <w:ind w:left="0" w:leftChars="0" w:firstLine="0" w:firstLineChars="0"/>
        <w:jc w:val="center"/>
        <w:rPr>
          <w:rFonts w:hint="eastAsia" w:ascii="Times New Roman" w:hAnsi="Times New Roman" w:eastAsia="宋体" w:cs="Times New Roman"/>
          <w:color w:val="auto"/>
          <w:sz w:val="24"/>
          <w:szCs w:val="24"/>
          <w:highlight w:val="none"/>
          <w:lang w:val="zh-CN" w:eastAsia="zh-CN"/>
        </w:rPr>
      </w:pPr>
      <w:r>
        <w:rPr>
          <w:rFonts w:hint="eastAsia" w:ascii="Times New Roman" w:hAnsi="Times New Roman" w:eastAsia="宋体" w:cs="Times New Roman"/>
          <w:color w:val="auto"/>
          <w:sz w:val="24"/>
          <w:szCs w:val="24"/>
          <w:highlight w:val="none"/>
          <w:lang w:val="zh-CN" w:eastAsia="zh-CN"/>
        </w:rPr>
        <w:drawing>
          <wp:inline distT="0" distB="0" distL="114300" distR="114300">
            <wp:extent cx="7215505" cy="5100955"/>
            <wp:effectExtent l="0" t="0" r="4445" b="4445"/>
            <wp:docPr id="84" name="图片 84" descr="同乐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同乐镇"/>
                    <pic:cNvPicPr>
                      <a:picLocks noChangeAspect="1"/>
                    </pic:cNvPicPr>
                  </pic:nvPicPr>
                  <pic:blipFill>
                    <a:blip r:embed="rId93"/>
                    <a:stretch>
                      <a:fillRect/>
                    </a:stretch>
                  </pic:blipFill>
                  <pic:spPr>
                    <a:xfrm>
                      <a:off x="0" y="0"/>
                      <a:ext cx="7215505" cy="5100955"/>
                    </a:xfrm>
                    <a:prstGeom prst="rect">
                      <a:avLst/>
                    </a:prstGeom>
                  </pic:spPr>
                </pic:pic>
              </a:graphicData>
            </a:graphic>
          </wp:inline>
        </w:drawing>
      </w:r>
    </w:p>
    <w:p w14:paraId="4EC9C1B4">
      <w:pPr>
        <w:pStyle w:val="13"/>
        <w:spacing w:line="360" w:lineRule="auto"/>
        <w:ind w:left="0" w:leftChars="0" w:firstLine="0" w:firstLineChars="0"/>
        <w:jc w:val="center"/>
        <w:rPr>
          <w:rFonts w:hint="eastAsia" w:ascii="Times New Roman" w:hAnsi="Times New Roman" w:eastAsia="黑体" w:cs="Times New Roman"/>
          <w:color w:val="auto"/>
          <w:sz w:val="24"/>
          <w:szCs w:val="24"/>
          <w:highlight w:val="none"/>
          <w:lang w:val="zh-CN" w:eastAsia="zh-CN"/>
        </w:rPr>
      </w:pPr>
      <w:r>
        <w:rPr>
          <w:rFonts w:hint="eastAsia" w:ascii="Times New Roman" w:hAnsi="Times New Roman" w:eastAsia="黑体" w:cs="Times New Roman"/>
          <w:color w:val="auto"/>
          <w:sz w:val="24"/>
          <w:szCs w:val="24"/>
          <w:highlight w:val="none"/>
          <w:lang w:val="zh-CN" w:eastAsia="zh-CN"/>
        </w:rPr>
        <w:t>图</w:t>
      </w:r>
      <w:r>
        <w:rPr>
          <w:rFonts w:hint="eastAsia" w:ascii="Times New Roman" w:hAnsi="Times New Roman" w:eastAsia="黑体" w:cs="Times New Roman"/>
          <w:color w:val="auto"/>
          <w:sz w:val="24"/>
          <w:szCs w:val="24"/>
          <w:highlight w:val="none"/>
          <w:lang w:val="en-US" w:eastAsia="zh-CN"/>
        </w:rPr>
        <w:t xml:space="preserve">3-10  </w:t>
      </w:r>
      <w:r>
        <w:rPr>
          <w:rFonts w:hint="eastAsia" w:ascii="Times New Roman" w:hAnsi="Times New Roman" w:eastAsia="黑体" w:cs="Times New Roman"/>
          <w:color w:val="auto"/>
          <w:sz w:val="24"/>
          <w:szCs w:val="24"/>
          <w:highlight w:val="none"/>
          <w:lang w:val="zh-CN" w:eastAsia="zh-CN"/>
        </w:rPr>
        <w:t>绥化市庆安县同乐镇饮用水水源</w:t>
      </w:r>
      <w:r>
        <w:rPr>
          <w:rFonts w:hint="eastAsia" w:ascii="Times New Roman" w:hAnsi="Times New Roman" w:eastAsia="黑体" w:cs="Times New Roman"/>
          <w:color w:val="auto"/>
          <w:sz w:val="24"/>
          <w:szCs w:val="24"/>
          <w:highlight w:val="none"/>
          <w:lang w:val="en-US" w:eastAsia="zh-CN"/>
        </w:rPr>
        <w:t>保护区划分</w:t>
      </w:r>
      <w:r>
        <w:rPr>
          <w:rFonts w:hint="eastAsia" w:ascii="Times New Roman" w:hAnsi="Times New Roman" w:eastAsia="黑体" w:cs="Times New Roman"/>
          <w:color w:val="auto"/>
          <w:sz w:val="24"/>
          <w:szCs w:val="24"/>
          <w:highlight w:val="none"/>
          <w:lang w:val="zh-CN" w:eastAsia="zh-CN"/>
        </w:rPr>
        <w:t>前后对比图</w:t>
      </w:r>
    </w:p>
    <w:p w14:paraId="4A9561E9">
      <w:pPr>
        <w:bidi w:val="0"/>
        <w:ind w:left="0" w:leftChars="0" w:firstLine="0" w:firstLineChars="0"/>
        <w:jc w:val="center"/>
        <w:rPr>
          <w:color w:val="auto"/>
          <w:highlight w:val="none"/>
          <w:lang w:val="en-US"/>
        </w:rPr>
      </w:pPr>
      <w:r>
        <w:rPr>
          <w:rFonts w:hint="eastAsia" w:ascii="Times New Roman" w:hAnsi="Times New Roman" w:eastAsia="黑体" w:cs="Times New Roman"/>
          <w:color w:val="auto"/>
          <w:sz w:val="24"/>
          <w:szCs w:val="24"/>
          <w:highlight w:val="none"/>
          <w:lang w:eastAsia="zh-CN"/>
        </w:rPr>
        <w:t>表</w:t>
      </w:r>
      <w:r>
        <w:rPr>
          <w:rFonts w:hint="eastAsia" w:ascii="Times New Roman" w:hAnsi="Times New Roman" w:eastAsia="黑体" w:cs="Times New Roman"/>
          <w:color w:val="auto"/>
          <w:sz w:val="24"/>
          <w:szCs w:val="24"/>
          <w:highlight w:val="none"/>
          <w:lang w:val="en-US" w:eastAsia="zh-CN"/>
        </w:rPr>
        <w:t>3-</w:t>
      </w:r>
      <w:r>
        <w:rPr>
          <w:rFonts w:hint="eastAsia" w:eastAsia="黑体" w:cs="Times New Roman"/>
          <w:color w:val="auto"/>
          <w:sz w:val="24"/>
          <w:szCs w:val="24"/>
          <w:highlight w:val="none"/>
          <w:lang w:val="en-US" w:eastAsia="zh-CN"/>
        </w:rPr>
        <w:t>8</w:t>
      </w:r>
      <w:r>
        <w:rPr>
          <w:rFonts w:hint="eastAsia" w:ascii="Times New Roman" w:hAnsi="Times New Roman" w:eastAsia="黑体" w:cs="Times New Roman"/>
          <w:color w:val="auto"/>
          <w:sz w:val="24"/>
          <w:szCs w:val="24"/>
          <w:highlight w:val="none"/>
          <w:lang w:val="en-US" w:eastAsia="zh-CN"/>
        </w:rPr>
        <w:t xml:space="preserve">  柳河镇</w:t>
      </w:r>
      <w:r>
        <w:rPr>
          <w:rFonts w:ascii="Times New Roman" w:hAnsi="Times New Roman" w:eastAsia="黑体" w:cs="Times New Roman"/>
          <w:color w:val="auto"/>
          <w:sz w:val="24"/>
          <w:szCs w:val="24"/>
          <w:highlight w:val="none"/>
        </w:rPr>
        <w:t>水源地调整前后对比</w:t>
      </w:r>
      <w:r>
        <w:rPr>
          <w:rFonts w:hint="eastAsia" w:ascii="Times New Roman" w:hAnsi="Times New Roman" w:eastAsia="黑体" w:cs="Times New Roman"/>
          <w:color w:val="auto"/>
          <w:sz w:val="24"/>
          <w:szCs w:val="24"/>
          <w:highlight w:val="none"/>
          <w:lang w:eastAsia="zh-CN"/>
        </w:rPr>
        <w:t>一览表</w:t>
      </w:r>
    </w:p>
    <w:tbl>
      <w:tblPr>
        <w:tblStyle w:val="22"/>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56"/>
        <w:gridCol w:w="1380"/>
        <w:gridCol w:w="1652"/>
        <w:gridCol w:w="1590"/>
        <w:gridCol w:w="1185"/>
        <w:gridCol w:w="735"/>
        <w:gridCol w:w="1650"/>
        <w:gridCol w:w="1695"/>
        <w:gridCol w:w="2655"/>
      </w:tblGrid>
      <w:tr w14:paraId="31EB15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51" w:type="pct"/>
            <w:vMerge w:val="restart"/>
            <w:tcBorders>
              <w:tl2br w:val="nil"/>
              <w:tr2bl w:val="nil"/>
            </w:tcBorders>
            <w:vAlign w:val="center"/>
          </w:tcPr>
          <w:p w14:paraId="475545E0">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eastAsia="zh-CN" w:bidi="ar"/>
              </w:rPr>
            </w:pPr>
            <w:r>
              <w:rPr>
                <w:rFonts w:hint="eastAsia" w:ascii="Times New Roman" w:hAnsi="Times New Roman" w:eastAsia="宋体" w:cs="Times New Roman"/>
                <w:color w:val="auto"/>
                <w:kern w:val="0"/>
                <w:sz w:val="21"/>
                <w:szCs w:val="21"/>
                <w:highlight w:val="none"/>
                <w:lang w:eastAsia="zh-CN" w:bidi="ar"/>
              </w:rPr>
              <w:t>项目</w:t>
            </w:r>
          </w:p>
        </w:tc>
        <w:tc>
          <w:tcPr>
            <w:tcW w:w="1639" w:type="pct"/>
            <w:gridSpan w:val="3"/>
            <w:tcBorders>
              <w:tl2br w:val="nil"/>
              <w:tr2bl w:val="nil"/>
            </w:tcBorders>
            <w:vAlign w:val="center"/>
          </w:tcPr>
          <w:p w14:paraId="43170323">
            <w:pPr>
              <w:widowControl/>
              <w:spacing w:line="240" w:lineRule="auto"/>
              <w:ind w:firstLine="0" w:firstLineChars="0"/>
              <w:jc w:val="center"/>
              <w:textAlignment w:val="center"/>
              <w:rPr>
                <w:rFonts w:hint="eastAsia" w:cs="Times New Roman"/>
                <w:color w:val="auto"/>
                <w:kern w:val="0"/>
                <w:sz w:val="21"/>
                <w:szCs w:val="21"/>
                <w:highlight w:val="none"/>
                <w:lang w:eastAsia="zh-CN" w:bidi="ar"/>
              </w:rPr>
            </w:pPr>
            <w:r>
              <w:rPr>
                <w:rFonts w:hint="eastAsia" w:cs="Times New Roman"/>
                <w:color w:val="auto"/>
                <w:kern w:val="0"/>
                <w:sz w:val="21"/>
                <w:szCs w:val="21"/>
                <w:highlight w:val="none"/>
                <w:lang w:eastAsia="zh-CN" w:bidi="ar"/>
              </w:rPr>
              <w:t>调整前</w:t>
            </w:r>
          </w:p>
        </w:tc>
        <w:tc>
          <w:tcPr>
            <w:tcW w:w="1867" w:type="pct"/>
            <w:gridSpan w:val="4"/>
            <w:tcBorders>
              <w:tl2br w:val="nil"/>
              <w:tr2bl w:val="nil"/>
            </w:tcBorders>
            <w:vAlign w:val="center"/>
          </w:tcPr>
          <w:p w14:paraId="6F8AECE5">
            <w:pPr>
              <w:widowControl/>
              <w:spacing w:line="240" w:lineRule="auto"/>
              <w:ind w:firstLine="0" w:firstLineChars="0"/>
              <w:jc w:val="center"/>
              <w:textAlignment w:val="center"/>
              <w:rPr>
                <w:rFonts w:hint="eastAsia" w:cs="Times New Roman"/>
                <w:color w:val="auto"/>
                <w:kern w:val="0"/>
                <w:sz w:val="21"/>
                <w:szCs w:val="21"/>
                <w:highlight w:val="none"/>
                <w:lang w:eastAsia="zh-CN" w:bidi="ar"/>
              </w:rPr>
            </w:pPr>
            <w:r>
              <w:rPr>
                <w:rFonts w:hint="eastAsia" w:cs="Times New Roman"/>
                <w:color w:val="auto"/>
                <w:kern w:val="0"/>
                <w:sz w:val="21"/>
                <w:szCs w:val="21"/>
                <w:highlight w:val="none"/>
                <w:lang w:eastAsia="zh-CN" w:bidi="ar"/>
              </w:rPr>
              <w:t>调整后</w:t>
            </w:r>
          </w:p>
        </w:tc>
        <w:tc>
          <w:tcPr>
            <w:tcW w:w="941" w:type="pct"/>
            <w:vMerge w:val="restart"/>
            <w:tcBorders>
              <w:tl2br w:val="nil"/>
              <w:tr2bl w:val="nil"/>
            </w:tcBorders>
            <w:vAlign w:val="center"/>
          </w:tcPr>
          <w:p w14:paraId="55E42CFF">
            <w:pPr>
              <w:widowControl/>
              <w:spacing w:line="240" w:lineRule="auto"/>
              <w:ind w:firstLine="0" w:firstLineChars="0"/>
              <w:jc w:val="center"/>
              <w:textAlignment w:val="center"/>
              <w:rPr>
                <w:rFonts w:hint="eastAsia" w:cs="Times New Roman"/>
                <w:color w:val="auto"/>
                <w:kern w:val="0"/>
                <w:sz w:val="21"/>
                <w:szCs w:val="21"/>
                <w:highlight w:val="none"/>
                <w:lang w:eastAsia="zh-CN" w:bidi="ar"/>
              </w:rPr>
            </w:pPr>
            <w:r>
              <w:rPr>
                <w:rFonts w:hint="eastAsia" w:cs="Times New Roman"/>
                <w:color w:val="auto"/>
                <w:kern w:val="0"/>
                <w:sz w:val="21"/>
                <w:szCs w:val="21"/>
                <w:highlight w:val="none"/>
                <w:lang w:eastAsia="zh-CN" w:bidi="ar"/>
              </w:rPr>
              <w:t>备注</w:t>
            </w:r>
          </w:p>
        </w:tc>
      </w:tr>
      <w:tr w14:paraId="2E9033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51" w:type="pct"/>
            <w:vMerge w:val="continue"/>
            <w:tcBorders>
              <w:tl2br w:val="nil"/>
              <w:tr2bl w:val="nil"/>
            </w:tcBorders>
            <w:vAlign w:val="center"/>
          </w:tcPr>
          <w:p w14:paraId="46564699">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eastAsia="zh-CN" w:bidi="ar"/>
              </w:rPr>
            </w:pPr>
          </w:p>
        </w:tc>
        <w:tc>
          <w:tcPr>
            <w:tcW w:w="489" w:type="pct"/>
            <w:vMerge w:val="restart"/>
            <w:tcBorders>
              <w:tl2br w:val="nil"/>
              <w:tr2bl w:val="nil"/>
            </w:tcBorders>
            <w:vAlign w:val="center"/>
          </w:tcPr>
          <w:p w14:paraId="7B9BF88E">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eastAsia="zh-CN" w:bidi="ar"/>
              </w:rPr>
            </w:pPr>
            <w:r>
              <w:rPr>
                <w:rFonts w:hint="eastAsia" w:ascii="Times New Roman" w:hAnsi="Times New Roman" w:eastAsia="宋体" w:cs="Times New Roman"/>
                <w:color w:val="auto"/>
                <w:kern w:val="0"/>
                <w:sz w:val="21"/>
                <w:szCs w:val="21"/>
                <w:highlight w:val="none"/>
                <w:lang w:eastAsia="zh-CN" w:bidi="ar"/>
              </w:rPr>
              <w:t>调整前水源地</w:t>
            </w:r>
          </w:p>
        </w:tc>
        <w:tc>
          <w:tcPr>
            <w:tcW w:w="1149" w:type="pct"/>
            <w:gridSpan w:val="2"/>
            <w:tcBorders>
              <w:tl2br w:val="nil"/>
              <w:tr2bl w:val="nil"/>
            </w:tcBorders>
            <w:vAlign w:val="center"/>
          </w:tcPr>
          <w:p w14:paraId="0592F028">
            <w:pPr>
              <w:widowControl/>
              <w:snapToGrid w:val="0"/>
              <w:spacing w:line="240" w:lineRule="auto"/>
              <w:ind w:firstLine="0" w:firstLineChars="0"/>
              <w:jc w:val="center"/>
              <w:rPr>
                <w:rFonts w:hint="eastAsia"/>
                <w:color w:val="auto"/>
                <w:kern w:val="0"/>
                <w:sz w:val="21"/>
                <w:szCs w:val="21"/>
                <w:highlight w:val="none"/>
                <w:lang w:eastAsia="en-US"/>
              </w:rPr>
            </w:pPr>
            <w:r>
              <w:rPr>
                <w:rFonts w:hint="eastAsia"/>
                <w:color w:val="auto"/>
                <w:kern w:val="0"/>
                <w:sz w:val="21"/>
                <w:szCs w:val="21"/>
                <w:highlight w:val="none"/>
                <w:lang w:eastAsia="en-US"/>
              </w:rPr>
              <w:t>坐标</w:t>
            </w:r>
          </w:p>
        </w:tc>
        <w:tc>
          <w:tcPr>
            <w:tcW w:w="420" w:type="pct"/>
            <w:vMerge w:val="restart"/>
            <w:tcBorders>
              <w:tl2br w:val="nil"/>
              <w:tr2bl w:val="nil"/>
            </w:tcBorders>
            <w:vAlign w:val="center"/>
          </w:tcPr>
          <w:p w14:paraId="50B431B4">
            <w:pPr>
              <w:widowControl/>
              <w:spacing w:line="240" w:lineRule="auto"/>
              <w:ind w:firstLine="0" w:firstLineChars="0"/>
              <w:jc w:val="center"/>
              <w:textAlignment w:val="center"/>
              <w:rPr>
                <w:rFonts w:hint="eastAsia" w:cs="Times New Roman"/>
                <w:color w:val="auto"/>
                <w:kern w:val="0"/>
                <w:sz w:val="21"/>
                <w:szCs w:val="21"/>
                <w:highlight w:val="none"/>
                <w:lang w:eastAsia="zh-CN" w:bidi="ar"/>
              </w:rPr>
            </w:pPr>
            <w:r>
              <w:rPr>
                <w:rFonts w:hint="eastAsia" w:ascii="Times New Roman" w:hAnsi="Times New Roman" w:eastAsia="宋体" w:cs="Times New Roman"/>
                <w:color w:val="auto"/>
                <w:kern w:val="0"/>
                <w:sz w:val="21"/>
                <w:szCs w:val="21"/>
                <w:highlight w:val="none"/>
                <w:lang w:eastAsia="zh-CN" w:bidi="ar"/>
              </w:rPr>
              <w:t>调整后水源地</w:t>
            </w:r>
          </w:p>
        </w:tc>
        <w:tc>
          <w:tcPr>
            <w:tcW w:w="260" w:type="pct"/>
            <w:vMerge w:val="restart"/>
            <w:tcBorders>
              <w:tl2br w:val="nil"/>
              <w:tr2bl w:val="nil"/>
            </w:tcBorders>
            <w:vAlign w:val="center"/>
          </w:tcPr>
          <w:p w14:paraId="3569E359">
            <w:pPr>
              <w:widowControl/>
              <w:spacing w:line="240" w:lineRule="auto"/>
              <w:ind w:firstLine="0" w:firstLineChars="0"/>
              <w:jc w:val="center"/>
              <w:textAlignment w:val="center"/>
              <w:rPr>
                <w:rFonts w:hint="eastAsia" w:cs="Times New Roman"/>
                <w:color w:val="auto"/>
                <w:kern w:val="0"/>
                <w:sz w:val="21"/>
                <w:szCs w:val="21"/>
                <w:highlight w:val="none"/>
                <w:lang w:eastAsia="zh-CN" w:bidi="ar"/>
              </w:rPr>
            </w:pPr>
            <w:r>
              <w:rPr>
                <w:rFonts w:hint="eastAsia" w:cs="Times New Roman"/>
                <w:color w:val="auto"/>
                <w:kern w:val="0"/>
                <w:sz w:val="21"/>
                <w:szCs w:val="21"/>
                <w:highlight w:val="none"/>
                <w:lang w:eastAsia="zh-CN" w:bidi="ar"/>
              </w:rPr>
              <w:t>编号</w:t>
            </w:r>
          </w:p>
        </w:tc>
        <w:tc>
          <w:tcPr>
            <w:tcW w:w="1186" w:type="pct"/>
            <w:gridSpan w:val="2"/>
            <w:tcBorders>
              <w:tl2br w:val="nil"/>
              <w:tr2bl w:val="nil"/>
            </w:tcBorders>
            <w:vAlign w:val="center"/>
          </w:tcPr>
          <w:p w14:paraId="3657FDA2">
            <w:pPr>
              <w:widowControl/>
              <w:spacing w:line="240" w:lineRule="auto"/>
              <w:ind w:firstLine="0" w:firstLineChars="0"/>
              <w:jc w:val="center"/>
              <w:textAlignment w:val="center"/>
              <w:rPr>
                <w:rFonts w:hint="eastAsia" w:cs="Times New Roman"/>
                <w:color w:val="auto"/>
                <w:kern w:val="0"/>
                <w:sz w:val="21"/>
                <w:szCs w:val="21"/>
                <w:highlight w:val="none"/>
                <w:lang w:eastAsia="zh-CN" w:bidi="ar"/>
              </w:rPr>
            </w:pPr>
            <w:r>
              <w:rPr>
                <w:rFonts w:hint="eastAsia" w:cs="Times New Roman"/>
                <w:color w:val="auto"/>
                <w:kern w:val="0"/>
                <w:sz w:val="21"/>
                <w:szCs w:val="21"/>
                <w:highlight w:val="none"/>
                <w:lang w:eastAsia="zh-CN" w:bidi="ar"/>
              </w:rPr>
              <w:t>坐标</w:t>
            </w:r>
          </w:p>
        </w:tc>
        <w:tc>
          <w:tcPr>
            <w:tcW w:w="941" w:type="pct"/>
            <w:vMerge w:val="continue"/>
            <w:tcBorders>
              <w:tl2br w:val="nil"/>
              <w:tr2bl w:val="nil"/>
            </w:tcBorders>
            <w:vAlign w:val="center"/>
          </w:tcPr>
          <w:p w14:paraId="620CDC10">
            <w:pPr>
              <w:widowControl/>
              <w:spacing w:line="240" w:lineRule="auto"/>
              <w:ind w:firstLine="0" w:firstLineChars="0"/>
              <w:jc w:val="center"/>
              <w:textAlignment w:val="center"/>
              <w:rPr>
                <w:rFonts w:hint="eastAsia" w:cs="Times New Roman"/>
                <w:color w:val="auto"/>
                <w:kern w:val="0"/>
                <w:sz w:val="21"/>
                <w:szCs w:val="21"/>
                <w:highlight w:val="none"/>
                <w:lang w:eastAsia="zh-CN" w:bidi="ar"/>
              </w:rPr>
            </w:pPr>
          </w:p>
        </w:tc>
      </w:tr>
      <w:tr w14:paraId="2586AAC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51" w:type="pct"/>
            <w:vMerge w:val="continue"/>
            <w:tcBorders>
              <w:tl2br w:val="nil"/>
              <w:tr2bl w:val="nil"/>
            </w:tcBorders>
            <w:vAlign w:val="center"/>
          </w:tcPr>
          <w:p w14:paraId="7780E3EB">
            <w:pPr>
              <w:widowControl/>
              <w:snapToGrid w:val="0"/>
              <w:spacing w:line="240" w:lineRule="auto"/>
              <w:ind w:firstLine="0" w:firstLineChars="0"/>
              <w:jc w:val="center"/>
              <w:rPr>
                <w:color w:val="auto"/>
                <w:sz w:val="21"/>
                <w:szCs w:val="21"/>
                <w:highlight w:val="none"/>
              </w:rPr>
            </w:pPr>
          </w:p>
        </w:tc>
        <w:tc>
          <w:tcPr>
            <w:tcW w:w="489" w:type="pct"/>
            <w:vMerge w:val="continue"/>
            <w:tcBorders>
              <w:tl2br w:val="nil"/>
              <w:tr2bl w:val="nil"/>
            </w:tcBorders>
            <w:vAlign w:val="center"/>
          </w:tcPr>
          <w:p w14:paraId="2A89F210">
            <w:pPr>
              <w:widowControl/>
              <w:snapToGrid w:val="0"/>
              <w:spacing w:line="240" w:lineRule="auto"/>
              <w:ind w:firstLine="0" w:firstLineChars="0"/>
              <w:jc w:val="center"/>
              <w:rPr>
                <w:color w:val="auto"/>
                <w:sz w:val="21"/>
                <w:szCs w:val="21"/>
                <w:highlight w:val="none"/>
              </w:rPr>
            </w:pPr>
          </w:p>
        </w:tc>
        <w:tc>
          <w:tcPr>
            <w:tcW w:w="585" w:type="pct"/>
            <w:tcBorders>
              <w:tl2br w:val="nil"/>
              <w:tr2bl w:val="nil"/>
            </w:tcBorders>
            <w:vAlign w:val="center"/>
          </w:tcPr>
          <w:p w14:paraId="612CD2D7">
            <w:pPr>
              <w:widowControl/>
              <w:snapToGrid w:val="0"/>
              <w:spacing w:line="240" w:lineRule="auto"/>
              <w:ind w:firstLine="0" w:firstLineChars="0"/>
              <w:jc w:val="center"/>
              <w:rPr>
                <w:color w:val="auto"/>
                <w:sz w:val="21"/>
                <w:szCs w:val="21"/>
                <w:highlight w:val="none"/>
              </w:rPr>
            </w:pPr>
            <w:r>
              <w:rPr>
                <w:rFonts w:hint="eastAsia"/>
                <w:color w:val="auto"/>
                <w:kern w:val="0"/>
                <w:sz w:val="21"/>
                <w:szCs w:val="21"/>
                <w:highlight w:val="none"/>
                <w:lang w:eastAsia="zh-CN"/>
              </w:rPr>
              <w:t>经度</w:t>
            </w:r>
          </w:p>
        </w:tc>
        <w:tc>
          <w:tcPr>
            <w:tcW w:w="563" w:type="pct"/>
            <w:tcBorders>
              <w:tl2br w:val="nil"/>
              <w:tr2bl w:val="nil"/>
            </w:tcBorders>
            <w:vAlign w:val="center"/>
          </w:tcPr>
          <w:p w14:paraId="580D4616">
            <w:pPr>
              <w:widowControl/>
              <w:snapToGrid w:val="0"/>
              <w:spacing w:line="240" w:lineRule="auto"/>
              <w:ind w:firstLine="0" w:firstLineChars="0"/>
              <w:jc w:val="center"/>
              <w:rPr>
                <w:color w:val="auto"/>
                <w:sz w:val="21"/>
                <w:szCs w:val="21"/>
                <w:highlight w:val="none"/>
              </w:rPr>
            </w:pPr>
            <w:r>
              <w:rPr>
                <w:rFonts w:hint="eastAsia"/>
                <w:color w:val="auto"/>
                <w:kern w:val="0"/>
                <w:sz w:val="21"/>
                <w:szCs w:val="21"/>
                <w:highlight w:val="none"/>
                <w:lang w:eastAsia="zh-CN"/>
              </w:rPr>
              <w:t>纬度</w:t>
            </w:r>
          </w:p>
        </w:tc>
        <w:tc>
          <w:tcPr>
            <w:tcW w:w="420" w:type="pct"/>
            <w:vMerge w:val="continue"/>
            <w:tcBorders>
              <w:tl2br w:val="nil"/>
              <w:tr2bl w:val="nil"/>
            </w:tcBorders>
            <w:vAlign w:val="center"/>
          </w:tcPr>
          <w:p w14:paraId="55DA13CC">
            <w:pPr>
              <w:widowControl/>
              <w:snapToGrid w:val="0"/>
              <w:spacing w:line="240" w:lineRule="auto"/>
              <w:ind w:firstLine="0" w:firstLineChars="0"/>
              <w:jc w:val="center"/>
              <w:rPr>
                <w:color w:val="auto"/>
                <w:sz w:val="21"/>
                <w:szCs w:val="21"/>
                <w:highlight w:val="none"/>
              </w:rPr>
            </w:pPr>
          </w:p>
        </w:tc>
        <w:tc>
          <w:tcPr>
            <w:tcW w:w="260" w:type="pct"/>
            <w:vMerge w:val="continue"/>
            <w:tcBorders>
              <w:tl2br w:val="nil"/>
              <w:tr2bl w:val="nil"/>
            </w:tcBorders>
            <w:vAlign w:val="center"/>
          </w:tcPr>
          <w:p w14:paraId="68371BC7">
            <w:pPr>
              <w:widowControl/>
              <w:snapToGrid w:val="0"/>
              <w:spacing w:line="240" w:lineRule="auto"/>
              <w:ind w:firstLine="0" w:firstLineChars="0"/>
              <w:jc w:val="center"/>
              <w:rPr>
                <w:color w:val="auto"/>
                <w:sz w:val="21"/>
                <w:szCs w:val="21"/>
                <w:highlight w:val="none"/>
              </w:rPr>
            </w:pPr>
          </w:p>
        </w:tc>
        <w:tc>
          <w:tcPr>
            <w:tcW w:w="585" w:type="pct"/>
            <w:tcBorders>
              <w:tl2br w:val="nil"/>
              <w:tr2bl w:val="nil"/>
            </w:tcBorders>
            <w:vAlign w:val="center"/>
          </w:tcPr>
          <w:p w14:paraId="398BC24F">
            <w:pPr>
              <w:widowControl/>
              <w:snapToGrid w:val="0"/>
              <w:spacing w:line="240" w:lineRule="auto"/>
              <w:ind w:firstLine="0" w:firstLineChars="0"/>
              <w:jc w:val="center"/>
              <w:rPr>
                <w:rFonts w:hint="eastAsia" w:eastAsia="宋体"/>
                <w:color w:val="auto"/>
                <w:sz w:val="21"/>
                <w:szCs w:val="21"/>
                <w:highlight w:val="none"/>
                <w:lang w:eastAsia="zh-CN"/>
              </w:rPr>
            </w:pPr>
            <w:r>
              <w:rPr>
                <w:rFonts w:hint="eastAsia"/>
                <w:color w:val="auto"/>
                <w:sz w:val="21"/>
                <w:szCs w:val="21"/>
                <w:highlight w:val="none"/>
                <w:lang w:eastAsia="zh-CN"/>
              </w:rPr>
              <w:t>经度</w:t>
            </w:r>
          </w:p>
        </w:tc>
        <w:tc>
          <w:tcPr>
            <w:tcW w:w="601" w:type="pct"/>
            <w:tcBorders>
              <w:tl2br w:val="nil"/>
              <w:tr2bl w:val="nil"/>
            </w:tcBorders>
            <w:vAlign w:val="center"/>
          </w:tcPr>
          <w:p w14:paraId="12472C1B">
            <w:pPr>
              <w:widowControl/>
              <w:snapToGrid w:val="0"/>
              <w:spacing w:line="240" w:lineRule="auto"/>
              <w:ind w:firstLine="0" w:firstLineChars="0"/>
              <w:jc w:val="center"/>
              <w:rPr>
                <w:rFonts w:hint="eastAsia" w:eastAsia="宋体"/>
                <w:color w:val="auto"/>
                <w:sz w:val="21"/>
                <w:szCs w:val="21"/>
                <w:highlight w:val="none"/>
                <w:lang w:eastAsia="zh-CN"/>
              </w:rPr>
            </w:pPr>
            <w:r>
              <w:rPr>
                <w:rFonts w:hint="eastAsia"/>
                <w:color w:val="auto"/>
                <w:sz w:val="21"/>
                <w:szCs w:val="21"/>
                <w:highlight w:val="none"/>
                <w:lang w:eastAsia="zh-CN"/>
              </w:rPr>
              <w:t>纬度</w:t>
            </w:r>
          </w:p>
        </w:tc>
        <w:tc>
          <w:tcPr>
            <w:tcW w:w="941" w:type="pct"/>
            <w:vMerge w:val="continue"/>
            <w:tcBorders>
              <w:tl2br w:val="nil"/>
              <w:tr2bl w:val="nil"/>
            </w:tcBorders>
            <w:vAlign w:val="center"/>
          </w:tcPr>
          <w:p w14:paraId="2AACEFBD">
            <w:pPr>
              <w:widowControl/>
              <w:snapToGrid w:val="0"/>
              <w:spacing w:line="240" w:lineRule="auto"/>
              <w:ind w:firstLine="0" w:firstLineChars="0"/>
              <w:jc w:val="center"/>
              <w:rPr>
                <w:rFonts w:hint="eastAsia"/>
                <w:color w:val="auto"/>
                <w:sz w:val="21"/>
                <w:szCs w:val="21"/>
                <w:highlight w:val="none"/>
                <w:lang w:eastAsia="zh-CN"/>
              </w:rPr>
            </w:pPr>
          </w:p>
        </w:tc>
      </w:tr>
      <w:tr w14:paraId="34BAD2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51" w:type="pct"/>
            <w:vMerge w:val="restart"/>
            <w:tcBorders>
              <w:tl2br w:val="nil"/>
              <w:tr2bl w:val="nil"/>
            </w:tcBorders>
            <w:vAlign w:val="center"/>
          </w:tcPr>
          <w:p w14:paraId="4108CE65">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cs="Times New Roman"/>
                <w:bCs/>
                <w:color w:val="auto"/>
                <w:sz w:val="21"/>
                <w:szCs w:val="21"/>
                <w:highlight w:val="none"/>
                <w:lang w:eastAsia="zh-CN"/>
              </w:rPr>
              <w:t>编号及坐标</w:t>
            </w:r>
          </w:p>
        </w:tc>
        <w:tc>
          <w:tcPr>
            <w:tcW w:w="489" w:type="pct"/>
            <w:tcBorders>
              <w:tl2br w:val="nil"/>
              <w:tr2bl w:val="nil"/>
            </w:tcBorders>
            <w:vAlign w:val="center"/>
          </w:tcPr>
          <w:p w14:paraId="0F2B0C8C">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color w:val="auto"/>
                <w:sz w:val="21"/>
                <w:szCs w:val="21"/>
                <w:highlight w:val="none"/>
              </w:rPr>
              <w:t>柳河镇</w:t>
            </w:r>
            <w:r>
              <w:rPr>
                <w:color w:val="auto"/>
                <w:sz w:val="21"/>
                <w:szCs w:val="21"/>
                <w:highlight w:val="none"/>
              </w:rPr>
              <w:t>饮用水水源</w:t>
            </w:r>
          </w:p>
        </w:tc>
        <w:tc>
          <w:tcPr>
            <w:tcW w:w="585" w:type="pct"/>
            <w:tcBorders>
              <w:tl2br w:val="nil"/>
              <w:tr2bl w:val="nil"/>
            </w:tcBorders>
            <w:vAlign w:val="center"/>
          </w:tcPr>
          <w:p w14:paraId="5226D700">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127°41'57.5100"</w:t>
            </w:r>
          </w:p>
        </w:tc>
        <w:tc>
          <w:tcPr>
            <w:tcW w:w="563" w:type="pct"/>
            <w:tcBorders>
              <w:tl2br w:val="nil"/>
              <w:tr2bl w:val="nil"/>
            </w:tcBorders>
            <w:vAlign w:val="center"/>
          </w:tcPr>
          <w:p w14:paraId="47990E5F">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46°46'41.2700"</w:t>
            </w:r>
          </w:p>
        </w:tc>
        <w:tc>
          <w:tcPr>
            <w:tcW w:w="420" w:type="pct"/>
            <w:vMerge w:val="restart"/>
            <w:tcBorders>
              <w:tl2br w:val="nil"/>
              <w:tr2bl w:val="nil"/>
            </w:tcBorders>
            <w:vAlign w:val="center"/>
          </w:tcPr>
          <w:p w14:paraId="5F845D72">
            <w:pPr>
              <w:widowControl/>
              <w:spacing w:line="240" w:lineRule="auto"/>
              <w:ind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bidi="ar"/>
              </w:rPr>
              <w:t>庆安县柳河镇饮用水水源地</w:t>
            </w:r>
          </w:p>
        </w:tc>
        <w:tc>
          <w:tcPr>
            <w:tcW w:w="260" w:type="pct"/>
            <w:tcBorders>
              <w:tl2br w:val="nil"/>
              <w:tr2bl w:val="nil"/>
            </w:tcBorders>
            <w:vAlign w:val="center"/>
          </w:tcPr>
          <w:p w14:paraId="11356861">
            <w:pPr>
              <w:widowControl/>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kern w:val="0"/>
                <w:sz w:val="21"/>
                <w:szCs w:val="21"/>
                <w:highlight w:val="none"/>
                <w:lang w:val="en-US" w:eastAsia="zh-CN"/>
              </w:rPr>
              <w:t>1#</w:t>
            </w:r>
          </w:p>
        </w:tc>
        <w:tc>
          <w:tcPr>
            <w:tcW w:w="585" w:type="pct"/>
            <w:tcBorders>
              <w:tl2br w:val="nil"/>
              <w:tr2bl w:val="nil"/>
            </w:tcBorders>
            <w:vAlign w:val="center"/>
          </w:tcPr>
          <w:p w14:paraId="1A9291A2">
            <w:pPr>
              <w:widowControl/>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127°41'56.9899"</w:t>
            </w:r>
          </w:p>
        </w:tc>
        <w:tc>
          <w:tcPr>
            <w:tcW w:w="601" w:type="pct"/>
            <w:tcBorders>
              <w:tl2br w:val="nil"/>
              <w:tr2bl w:val="nil"/>
            </w:tcBorders>
            <w:vAlign w:val="center"/>
          </w:tcPr>
          <w:p w14:paraId="76B29F5B">
            <w:pPr>
              <w:widowControl/>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46°43'13.5899"</w:t>
            </w:r>
          </w:p>
        </w:tc>
        <w:tc>
          <w:tcPr>
            <w:tcW w:w="941" w:type="pct"/>
            <w:vMerge w:val="restart"/>
            <w:tcBorders>
              <w:tl2br w:val="nil"/>
              <w:tr2bl w:val="nil"/>
            </w:tcBorders>
            <w:vAlign w:val="center"/>
          </w:tcPr>
          <w:p w14:paraId="09F8B23C">
            <w:pPr>
              <w:widowControl/>
              <w:snapToGrid w:val="0"/>
              <w:spacing w:line="240" w:lineRule="auto"/>
              <w:ind w:firstLine="0" w:firstLineChars="0"/>
              <w:jc w:val="both"/>
              <w:rPr>
                <w:rFonts w:hint="eastAsia" w:ascii="Times New Roman" w:hAnsi="Times New Roman" w:eastAsia="宋体" w:cs="Times New Roman"/>
                <w:color w:val="auto"/>
                <w:kern w:val="0"/>
                <w:sz w:val="21"/>
                <w:szCs w:val="21"/>
                <w:highlight w:val="none"/>
                <w:lang w:val="en-US" w:eastAsia="zh-CN" w:bidi="ar"/>
              </w:rPr>
            </w:pPr>
            <w:r>
              <w:rPr>
                <w:rFonts w:hint="eastAsia" w:cs="Times New Roman"/>
                <w:color w:val="auto"/>
                <w:sz w:val="21"/>
                <w:szCs w:val="21"/>
                <w:highlight w:val="none"/>
                <w:lang w:val="en-US" w:eastAsia="zh-CN"/>
              </w:rPr>
              <w:t>本次调整的</w:t>
            </w:r>
            <w:r>
              <w:rPr>
                <w:rFonts w:hint="eastAsia" w:ascii="Times New Roman" w:hAnsi="Times New Roman" w:eastAsia="宋体" w:cs="Times New Roman"/>
                <w:color w:val="auto"/>
                <w:kern w:val="0"/>
                <w:sz w:val="21"/>
                <w:szCs w:val="21"/>
                <w:highlight w:val="none"/>
                <w:lang w:val="en-US" w:eastAsia="zh-CN" w:bidi="ar"/>
              </w:rPr>
              <w:t>庆安县柳河镇饮用水水源地</w:t>
            </w:r>
            <w:r>
              <w:rPr>
                <w:rFonts w:hint="eastAsia" w:cs="Times New Roman"/>
                <w:color w:val="auto"/>
                <w:kern w:val="0"/>
                <w:sz w:val="21"/>
                <w:szCs w:val="21"/>
                <w:highlight w:val="none"/>
                <w:lang w:val="en-US" w:eastAsia="zh-CN" w:bidi="ar"/>
              </w:rPr>
              <w:t>替代新胜乡新胜村饮用水水源地、新胜乡新宏村饮用水水源地、新胜乡新岗村饮用水水源地、柳河镇饮用水水源。</w:t>
            </w:r>
          </w:p>
          <w:p w14:paraId="33F2F0D6">
            <w:pPr>
              <w:widowControl/>
              <w:snapToGrid w:val="0"/>
              <w:spacing w:line="240" w:lineRule="auto"/>
              <w:ind w:firstLine="0" w:firstLineChars="0"/>
              <w:jc w:val="both"/>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sz w:val="21"/>
                <w:szCs w:val="21"/>
                <w:highlight w:val="none"/>
                <w:lang w:val="en-US" w:eastAsia="zh-CN"/>
              </w:rPr>
              <w:t>本次调整后</w:t>
            </w:r>
            <w:r>
              <w:rPr>
                <w:rFonts w:hint="default" w:ascii="Times New Roman" w:hAnsi="Times New Roman" w:eastAsia="宋体" w:cs="Times New Roman"/>
                <w:color w:val="auto"/>
                <w:sz w:val="21"/>
                <w:szCs w:val="21"/>
                <w:highlight w:val="none"/>
                <w:lang w:val="en-US" w:eastAsia="zh-CN"/>
              </w:rPr>
              <w:t>通过多水源联网、管网互联互通、规模化集中供水，供水保障率、供水稳定性、水质达标率进一步提升，有效解决了原分散式水源地规模小、易污染、运维难度大等问题，群众饮水安全更有保障</w:t>
            </w:r>
            <w:r>
              <w:rPr>
                <w:rFonts w:hint="eastAsia" w:cs="Times New Roman"/>
                <w:color w:val="auto"/>
                <w:sz w:val="21"/>
                <w:szCs w:val="21"/>
                <w:highlight w:val="none"/>
                <w:lang w:val="en-US" w:eastAsia="zh-CN"/>
              </w:rPr>
              <w:t>。</w:t>
            </w:r>
          </w:p>
        </w:tc>
      </w:tr>
      <w:tr w14:paraId="774E82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51" w:type="pct"/>
            <w:vMerge w:val="continue"/>
            <w:tcBorders>
              <w:tl2br w:val="nil"/>
              <w:tr2bl w:val="nil"/>
            </w:tcBorders>
            <w:vAlign w:val="center"/>
          </w:tcPr>
          <w:p w14:paraId="473651C1">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p>
        </w:tc>
        <w:tc>
          <w:tcPr>
            <w:tcW w:w="489" w:type="pct"/>
            <w:tcBorders>
              <w:tl2br w:val="nil"/>
              <w:tr2bl w:val="nil"/>
            </w:tcBorders>
            <w:vAlign w:val="center"/>
          </w:tcPr>
          <w:p w14:paraId="35F4E8BA">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color w:val="auto"/>
                <w:sz w:val="21"/>
                <w:szCs w:val="21"/>
                <w:highlight w:val="none"/>
                <w:lang w:val="en-US" w:eastAsia="zh-CN"/>
              </w:rPr>
              <w:t>/</w:t>
            </w:r>
          </w:p>
        </w:tc>
        <w:tc>
          <w:tcPr>
            <w:tcW w:w="585" w:type="pct"/>
            <w:tcBorders>
              <w:tl2br w:val="nil"/>
              <w:tr2bl w:val="nil"/>
            </w:tcBorders>
            <w:vAlign w:val="center"/>
          </w:tcPr>
          <w:p w14:paraId="1E8296A6">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rPr>
            </w:pPr>
            <w:r>
              <w:rPr>
                <w:rFonts w:hint="eastAsia"/>
                <w:color w:val="auto"/>
                <w:sz w:val="21"/>
                <w:szCs w:val="21"/>
                <w:highlight w:val="none"/>
                <w:lang w:val="en-US" w:eastAsia="zh-CN"/>
              </w:rPr>
              <w:t>/</w:t>
            </w:r>
          </w:p>
        </w:tc>
        <w:tc>
          <w:tcPr>
            <w:tcW w:w="563" w:type="pct"/>
            <w:tcBorders>
              <w:tl2br w:val="nil"/>
              <w:tr2bl w:val="nil"/>
            </w:tcBorders>
            <w:vAlign w:val="center"/>
          </w:tcPr>
          <w:p w14:paraId="5362174D">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rPr>
            </w:pPr>
            <w:r>
              <w:rPr>
                <w:rFonts w:hint="eastAsia"/>
                <w:color w:val="auto"/>
                <w:sz w:val="21"/>
                <w:szCs w:val="21"/>
                <w:highlight w:val="none"/>
                <w:lang w:val="en-US" w:eastAsia="zh-CN"/>
              </w:rPr>
              <w:t>/</w:t>
            </w:r>
          </w:p>
        </w:tc>
        <w:tc>
          <w:tcPr>
            <w:tcW w:w="420" w:type="pct"/>
            <w:vMerge w:val="continue"/>
            <w:tcBorders>
              <w:tl2br w:val="nil"/>
              <w:tr2bl w:val="nil"/>
            </w:tcBorders>
            <w:vAlign w:val="center"/>
          </w:tcPr>
          <w:p w14:paraId="33BABD6B">
            <w:pPr>
              <w:widowControl/>
              <w:spacing w:line="240" w:lineRule="auto"/>
              <w:ind w:firstLine="0" w:firstLineChars="0"/>
              <w:jc w:val="center"/>
              <w:textAlignment w:val="center"/>
              <w:rPr>
                <w:rFonts w:hint="default" w:ascii="Times New Roman" w:hAnsi="Times New Roman" w:eastAsia="宋体" w:cs="Times New Roman"/>
                <w:color w:val="auto"/>
                <w:sz w:val="21"/>
                <w:szCs w:val="21"/>
                <w:highlight w:val="none"/>
                <w:lang w:val="en-US" w:eastAsia="zh-CN"/>
              </w:rPr>
            </w:pPr>
          </w:p>
        </w:tc>
        <w:tc>
          <w:tcPr>
            <w:tcW w:w="260" w:type="pct"/>
            <w:tcBorders>
              <w:tl2br w:val="nil"/>
              <w:tr2bl w:val="nil"/>
            </w:tcBorders>
            <w:vAlign w:val="center"/>
          </w:tcPr>
          <w:p w14:paraId="41344D9B">
            <w:pPr>
              <w:widowControl/>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kern w:val="0"/>
                <w:sz w:val="21"/>
                <w:szCs w:val="21"/>
                <w:highlight w:val="none"/>
                <w:lang w:val="en-US" w:eastAsia="zh-CN"/>
              </w:rPr>
              <w:t>2#</w:t>
            </w:r>
          </w:p>
        </w:tc>
        <w:tc>
          <w:tcPr>
            <w:tcW w:w="585" w:type="pct"/>
            <w:tcBorders>
              <w:tl2br w:val="nil"/>
              <w:tr2bl w:val="nil"/>
            </w:tcBorders>
            <w:vAlign w:val="center"/>
          </w:tcPr>
          <w:p w14:paraId="2A2F6381">
            <w:pPr>
              <w:widowControl/>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127°41'52.4150"</w:t>
            </w:r>
          </w:p>
        </w:tc>
        <w:tc>
          <w:tcPr>
            <w:tcW w:w="601" w:type="pct"/>
            <w:tcBorders>
              <w:tl2br w:val="nil"/>
              <w:tr2bl w:val="nil"/>
            </w:tcBorders>
            <w:vAlign w:val="center"/>
          </w:tcPr>
          <w:p w14:paraId="66DFF293">
            <w:pPr>
              <w:widowControl/>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46°43'19.7130"</w:t>
            </w:r>
          </w:p>
        </w:tc>
        <w:tc>
          <w:tcPr>
            <w:tcW w:w="941" w:type="pct"/>
            <w:vMerge w:val="continue"/>
            <w:tcBorders>
              <w:tl2br w:val="nil"/>
              <w:tr2bl w:val="nil"/>
            </w:tcBorders>
            <w:vAlign w:val="center"/>
          </w:tcPr>
          <w:p w14:paraId="5EFEA318">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r>
      <w:tr w14:paraId="0A310A4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51" w:type="pct"/>
            <w:vMerge w:val="continue"/>
            <w:tcBorders>
              <w:tl2br w:val="nil"/>
              <w:tr2bl w:val="nil"/>
            </w:tcBorders>
            <w:vAlign w:val="center"/>
          </w:tcPr>
          <w:p w14:paraId="73EE5948">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p>
        </w:tc>
        <w:tc>
          <w:tcPr>
            <w:tcW w:w="489" w:type="pct"/>
            <w:tcBorders>
              <w:tl2br w:val="nil"/>
              <w:tr2bl w:val="nil"/>
            </w:tcBorders>
            <w:vAlign w:val="center"/>
          </w:tcPr>
          <w:p w14:paraId="6CEEC453">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color w:val="auto"/>
                <w:sz w:val="21"/>
                <w:szCs w:val="21"/>
                <w:highlight w:val="none"/>
                <w:lang w:val="en-US" w:eastAsia="zh-CN"/>
              </w:rPr>
              <w:t>/</w:t>
            </w:r>
          </w:p>
        </w:tc>
        <w:tc>
          <w:tcPr>
            <w:tcW w:w="585" w:type="pct"/>
            <w:tcBorders>
              <w:tl2br w:val="nil"/>
              <w:tr2bl w:val="nil"/>
            </w:tcBorders>
            <w:vAlign w:val="center"/>
          </w:tcPr>
          <w:p w14:paraId="3303CD2F">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rPr>
            </w:pPr>
            <w:r>
              <w:rPr>
                <w:rFonts w:hint="eastAsia"/>
                <w:color w:val="auto"/>
                <w:sz w:val="21"/>
                <w:szCs w:val="21"/>
                <w:highlight w:val="none"/>
                <w:lang w:val="en-US" w:eastAsia="zh-CN"/>
              </w:rPr>
              <w:t>/</w:t>
            </w:r>
          </w:p>
        </w:tc>
        <w:tc>
          <w:tcPr>
            <w:tcW w:w="563" w:type="pct"/>
            <w:tcBorders>
              <w:tl2br w:val="nil"/>
              <w:tr2bl w:val="nil"/>
            </w:tcBorders>
            <w:vAlign w:val="center"/>
          </w:tcPr>
          <w:p w14:paraId="46C6006F">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rPr>
            </w:pPr>
            <w:r>
              <w:rPr>
                <w:rFonts w:hint="eastAsia"/>
                <w:color w:val="auto"/>
                <w:sz w:val="21"/>
                <w:szCs w:val="21"/>
                <w:highlight w:val="none"/>
                <w:lang w:val="en-US" w:eastAsia="zh-CN"/>
              </w:rPr>
              <w:t>/</w:t>
            </w:r>
          </w:p>
        </w:tc>
        <w:tc>
          <w:tcPr>
            <w:tcW w:w="420" w:type="pct"/>
            <w:vMerge w:val="continue"/>
            <w:tcBorders>
              <w:tl2br w:val="nil"/>
              <w:tr2bl w:val="nil"/>
            </w:tcBorders>
            <w:vAlign w:val="center"/>
          </w:tcPr>
          <w:p w14:paraId="383B4E71">
            <w:pPr>
              <w:widowControl/>
              <w:spacing w:line="240" w:lineRule="auto"/>
              <w:ind w:firstLine="0" w:firstLineChars="0"/>
              <w:jc w:val="center"/>
              <w:textAlignment w:val="center"/>
              <w:rPr>
                <w:rFonts w:hint="default" w:ascii="Times New Roman" w:hAnsi="Times New Roman" w:eastAsia="宋体" w:cs="Times New Roman"/>
                <w:color w:val="auto"/>
                <w:sz w:val="21"/>
                <w:szCs w:val="21"/>
                <w:highlight w:val="none"/>
                <w:lang w:val="en-US" w:eastAsia="zh-CN"/>
              </w:rPr>
            </w:pPr>
          </w:p>
        </w:tc>
        <w:tc>
          <w:tcPr>
            <w:tcW w:w="260" w:type="pct"/>
            <w:tcBorders>
              <w:tl2br w:val="nil"/>
              <w:tr2bl w:val="nil"/>
            </w:tcBorders>
            <w:vAlign w:val="center"/>
          </w:tcPr>
          <w:p w14:paraId="58E9C12C">
            <w:pPr>
              <w:widowControl/>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kern w:val="0"/>
                <w:sz w:val="21"/>
                <w:szCs w:val="21"/>
                <w:highlight w:val="none"/>
                <w:lang w:val="en-US" w:eastAsia="zh-CN"/>
              </w:rPr>
              <w:t>3#</w:t>
            </w:r>
          </w:p>
        </w:tc>
        <w:tc>
          <w:tcPr>
            <w:tcW w:w="585" w:type="pct"/>
            <w:tcBorders>
              <w:tl2br w:val="nil"/>
              <w:tr2bl w:val="nil"/>
            </w:tcBorders>
            <w:vAlign w:val="center"/>
          </w:tcPr>
          <w:p w14:paraId="31F8CDC4">
            <w:pPr>
              <w:widowControl/>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127°42'08.7991"</w:t>
            </w:r>
          </w:p>
        </w:tc>
        <w:tc>
          <w:tcPr>
            <w:tcW w:w="601" w:type="pct"/>
            <w:tcBorders>
              <w:tl2br w:val="nil"/>
              <w:tr2bl w:val="nil"/>
            </w:tcBorders>
            <w:vAlign w:val="center"/>
          </w:tcPr>
          <w:p w14:paraId="435C7A9D">
            <w:pPr>
              <w:widowControl/>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46°43'19.9481"</w:t>
            </w:r>
          </w:p>
        </w:tc>
        <w:tc>
          <w:tcPr>
            <w:tcW w:w="941" w:type="pct"/>
            <w:vMerge w:val="continue"/>
            <w:tcBorders>
              <w:tl2br w:val="nil"/>
              <w:tr2bl w:val="nil"/>
            </w:tcBorders>
            <w:vAlign w:val="center"/>
          </w:tcPr>
          <w:p w14:paraId="3395FDE6">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r>
      <w:tr w14:paraId="315040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51" w:type="pct"/>
            <w:vMerge w:val="continue"/>
            <w:tcBorders>
              <w:tl2br w:val="nil"/>
              <w:tr2bl w:val="nil"/>
            </w:tcBorders>
            <w:vAlign w:val="center"/>
          </w:tcPr>
          <w:p w14:paraId="0E3765F4">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p>
        </w:tc>
        <w:tc>
          <w:tcPr>
            <w:tcW w:w="489" w:type="pct"/>
            <w:tcBorders>
              <w:tl2br w:val="nil"/>
              <w:tr2bl w:val="nil"/>
            </w:tcBorders>
            <w:vAlign w:val="center"/>
          </w:tcPr>
          <w:p w14:paraId="4E0C287D">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color w:val="auto"/>
                <w:sz w:val="21"/>
                <w:szCs w:val="21"/>
                <w:highlight w:val="none"/>
                <w:lang w:val="en-US" w:eastAsia="zh-CN"/>
              </w:rPr>
              <w:t>/</w:t>
            </w:r>
          </w:p>
        </w:tc>
        <w:tc>
          <w:tcPr>
            <w:tcW w:w="585" w:type="pct"/>
            <w:tcBorders>
              <w:tl2br w:val="nil"/>
              <w:tr2bl w:val="nil"/>
            </w:tcBorders>
            <w:vAlign w:val="center"/>
          </w:tcPr>
          <w:p w14:paraId="4B84EDA0">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rPr>
            </w:pPr>
            <w:r>
              <w:rPr>
                <w:rFonts w:hint="eastAsia"/>
                <w:color w:val="auto"/>
                <w:sz w:val="21"/>
                <w:szCs w:val="21"/>
                <w:highlight w:val="none"/>
                <w:lang w:val="en-US" w:eastAsia="zh-CN"/>
              </w:rPr>
              <w:t>/</w:t>
            </w:r>
          </w:p>
        </w:tc>
        <w:tc>
          <w:tcPr>
            <w:tcW w:w="563" w:type="pct"/>
            <w:tcBorders>
              <w:tl2br w:val="nil"/>
              <w:tr2bl w:val="nil"/>
            </w:tcBorders>
            <w:vAlign w:val="center"/>
          </w:tcPr>
          <w:p w14:paraId="19B392F7">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rPr>
            </w:pPr>
            <w:r>
              <w:rPr>
                <w:rFonts w:hint="eastAsia"/>
                <w:color w:val="auto"/>
                <w:sz w:val="21"/>
                <w:szCs w:val="21"/>
                <w:highlight w:val="none"/>
                <w:lang w:val="en-US" w:eastAsia="zh-CN"/>
              </w:rPr>
              <w:t>/</w:t>
            </w:r>
          </w:p>
        </w:tc>
        <w:tc>
          <w:tcPr>
            <w:tcW w:w="420" w:type="pct"/>
            <w:vMerge w:val="continue"/>
            <w:tcBorders>
              <w:tl2br w:val="nil"/>
              <w:tr2bl w:val="nil"/>
            </w:tcBorders>
            <w:vAlign w:val="center"/>
          </w:tcPr>
          <w:p w14:paraId="1DB7293E">
            <w:pPr>
              <w:widowControl/>
              <w:spacing w:line="240" w:lineRule="auto"/>
              <w:ind w:firstLine="0" w:firstLineChars="0"/>
              <w:jc w:val="center"/>
              <w:textAlignment w:val="center"/>
              <w:rPr>
                <w:rFonts w:hint="default" w:ascii="Times New Roman" w:hAnsi="Times New Roman" w:eastAsia="宋体" w:cs="Times New Roman"/>
                <w:color w:val="auto"/>
                <w:sz w:val="21"/>
                <w:szCs w:val="21"/>
                <w:highlight w:val="none"/>
                <w:lang w:val="en-US" w:eastAsia="zh-CN"/>
              </w:rPr>
            </w:pPr>
          </w:p>
        </w:tc>
        <w:tc>
          <w:tcPr>
            <w:tcW w:w="260" w:type="pct"/>
            <w:tcBorders>
              <w:tl2br w:val="nil"/>
              <w:tr2bl w:val="nil"/>
            </w:tcBorders>
            <w:vAlign w:val="center"/>
          </w:tcPr>
          <w:p w14:paraId="749B487B">
            <w:pPr>
              <w:widowControl/>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kern w:val="0"/>
                <w:sz w:val="21"/>
                <w:szCs w:val="21"/>
                <w:highlight w:val="none"/>
                <w:lang w:val="en-US" w:eastAsia="zh-CN"/>
              </w:rPr>
              <w:t>4#</w:t>
            </w:r>
          </w:p>
        </w:tc>
        <w:tc>
          <w:tcPr>
            <w:tcW w:w="585" w:type="pct"/>
            <w:tcBorders>
              <w:tl2br w:val="nil"/>
              <w:tr2bl w:val="nil"/>
            </w:tcBorders>
            <w:vAlign w:val="center"/>
          </w:tcPr>
          <w:p w14:paraId="5A73269F">
            <w:pPr>
              <w:widowControl/>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127°42'09.6923"</w:t>
            </w:r>
          </w:p>
        </w:tc>
        <w:tc>
          <w:tcPr>
            <w:tcW w:w="601" w:type="pct"/>
            <w:tcBorders>
              <w:tl2br w:val="nil"/>
              <w:tr2bl w:val="nil"/>
            </w:tcBorders>
            <w:vAlign w:val="center"/>
          </w:tcPr>
          <w:p w14:paraId="52E766AA">
            <w:pPr>
              <w:widowControl/>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46°43'17.5452"</w:t>
            </w:r>
          </w:p>
        </w:tc>
        <w:tc>
          <w:tcPr>
            <w:tcW w:w="941" w:type="pct"/>
            <w:vMerge w:val="continue"/>
            <w:tcBorders>
              <w:tl2br w:val="nil"/>
              <w:tr2bl w:val="nil"/>
            </w:tcBorders>
            <w:vAlign w:val="center"/>
          </w:tcPr>
          <w:p w14:paraId="1A7376D7">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r>
      <w:tr w14:paraId="7AD1BC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51" w:type="pct"/>
            <w:vMerge w:val="continue"/>
            <w:tcBorders>
              <w:tl2br w:val="nil"/>
              <w:tr2bl w:val="nil"/>
            </w:tcBorders>
            <w:vAlign w:val="center"/>
          </w:tcPr>
          <w:p w14:paraId="278A09E3">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p>
        </w:tc>
        <w:tc>
          <w:tcPr>
            <w:tcW w:w="489" w:type="pct"/>
            <w:tcBorders>
              <w:tl2br w:val="nil"/>
              <w:tr2bl w:val="nil"/>
            </w:tcBorders>
            <w:vAlign w:val="center"/>
          </w:tcPr>
          <w:p w14:paraId="29BFF793">
            <w:pPr>
              <w:widowControl/>
              <w:spacing w:line="240" w:lineRule="auto"/>
              <w:ind w:firstLine="0" w:firstLineChars="0"/>
              <w:jc w:val="center"/>
              <w:textAlignment w:val="center"/>
              <w:rPr>
                <w:rFonts w:hint="eastAsia" w:eastAsia="宋体"/>
                <w:color w:val="auto"/>
                <w:sz w:val="21"/>
                <w:szCs w:val="21"/>
                <w:highlight w:val="none"/>
                <w:lang w:val="en-US" w:eastAsia="zh-CN"/>
              </w:rPr>
            </w:pPr>
            <w:r>
              <w:rPr>
                <w:rFonts w:hint="eastAsia"/>
                <w:color w:val="auto"/>
                <w:sz w:val="21"/>
                <w:szCs w:val="21"/>
                <w:highlight w:val="none"/>
                <w:lang w:val="en-US" w:eastAsia="zh-CN"/>
              </w:rPr>
              <w:t>/</w:t>
            </w:r>
          </w:p>
        </w:tc>
        <w:tc>
          <w:tcPr>
            <w:tcW w:w="585" w:type="pct"/>
            <w:tcBorders>
              <w:tl2br w:val="nil"/>
              <w:tr2bl w:val="nil"/>
            </w:tcBorders>
            <w:vAlign w:val="center"/>
          </w:tcPr>
          <w:p w14:paraId="6DAAE8D9">
            <w:pPr>
              <w:widowControl/>
              <w:spacing w:line="240" w:lineRule="auto"/>
              <w:ind w:firstLine="0" w:firstLineChars="0"/>
              <w:jc w:val="center"/>
              <w:textAlignment w:val="center"/>
              <w:rPr>
                <w:rFonts w:hint="eastAsia" w:eastAsia="宋体"/>
                <w:color w:val="auto"/>
                <w:sz w:val="21"/>
                <w:szCs w:val="21"/>
                <w:highlight w:val="none"/>
                <w:lang w:val="en-US" w:eastAsia="zh-CN"/>
              </w:rPr>
            </w:pPr>
            <w:r>
              <w:rPr>
                <w:rFonts w:hint="eastAsia"/>
                <w:color w:val="auto"/>
                <w:sz w:val="21"/>
                <w:szCs w:val="21"/>
                <w:highlight w:val="none"/>
                <w:lang w:val="en-US" w:eastAsia="zh-CN"/>
              </w:rPr>
              <w:t>/</w:t>
            </w:r>
          </w:p>
        </w:tc>
        <w:tc>
          <w:tcPr>
            <w:tcW w:w="563" w:type="pct"/>
            <w:tcBorders>
              <w:tl2br w:val="nil"/>
              <w:tr2bl w:val="nil"/>
            </w:tcBorders>
            <w:vAlign w:val="center"/>
          </w:tcPr>
          <w:p w14:paraId="503A8797">
            <w:pPr>
              <w:widowControl/>
              <w:spacing w:line="240" w:lineRule="auto"/>
              <w:ind w:firstLine="0" w:firstLineChars="0"/>
              <w:jc w:val="center"/>
              <w:textAlignment w:val="center"/>
              <w:rPr>
                <w:rFonts w:hint="eastAsia" w:eastAsia="宋体"/>
                <w:color w:val="auto"/>
                <w:sz w:val="21"/>
                <w:szCs w:val="21"/>
                <w:highlight w:val="none"/>
                <w:lang w:val="en-US" w:eastAsia="zh-CN"/>
              </w:rPr>
            </w:pPr>
            <w:r>
              <w:rPr>
                <w:rFonts w:hint="eastAsia"/>
                <w:color w:val="auto"/>
                <w:sz w:val="21"/>
                <w:szCs w:val="21"/>
                <w:highlight w:val="none"/>
                <w:lang w:val="en-US" w:eastAsia="zh-CN"/>
              </w:rPr>
              <w:t>/</w:t>
            </w:r>
          </w:p>
        </w:tc>
        <w:tc>
          <w:tcPr>
            <w:tcW w:w="420" w:type="pct"/>
            <w:vMerge w:val="continue"/>
            <w:tcBorders>
              <w:tl2br w:val="nil"/>
              <w:tr2bl w:val="nil"/>
            </w:tcBorders>
            <w:vAlign w:val="center"/>
          </w:tcPr>
          <w:p w14:paraId="30D33574">
            <w:pPr>
              <w:widowControl/>
              <w:spacing w:line="240" w:lineRule="auto"/>
              <w:ind w:firstLine="0" w:firstLineChars="0"/>
              <w:jc w:val="center"/>
              <w:textAlignment w:val="center"/>
              <w:rPr>
                <w:rFonts w:hint="default" w:ascii="Times New Roman" w:hAnsi="Times New Roman" w:eastAsia="宋体" w:cs="Times New Roman"/>
                <w:color w:val="auto"/>
                <w:sz w:val="21"/>
                <w:szCs w:val="21"/>
                <w:highlight w:val="none"/>
                <w:lang w:val="en-US" w:eastAsia="zh-CN"/>
              </w:rPr>
            </w:pPr>
          </w:p>
        </w:tc>
        <w:tc>
          <w:tcPr>
            <w:tcW w:w="260" w:type="pct"/>
            <w:tcBorders>
              <w:tl2br w:val="nil"/>
              <w:tr2bl w:val="nil"/>
            </w:tcBorders>
            <w:vAlign w:val="center"/>
          </w:tcPr>
          <w:p w14:paraId="2D133D22">
            <w:pPr>
              <w:widowControl/>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kern w:val="0"/>
                <w:sz w:val="21"/>
                <w:szCs w:val="21"/>
                <w:highlight w:val="none"/>
                <w:lang w:val="en-US" w:eastAsia="zh-CN"/>
              </w:rPr>
              <w:t>5#</w:t>
            </w:r>
          </w:p>
        </w:tc>
        <w:tc>
          <w:tcPr>
            <w:tcW w:w="585" w:type="pct"/>
            <w:tcBorders>
              <w:tl2br w:val="nil"/>
              <w:tr2bl w:val="nil"/>
            </w:tcBorders>
            <w:vAlign w:val="center"/>
          </w:tcPr>
          <w:p w14:paraId="092D1F8E">
            <w:pPr>
              <w:widowControl/>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127°41'45.1806"</w:t>
            </w:r>
          </w:p>
        </w:tc>
        <w:tc>
          <w:tcPr>
            <w:tcW w:w="601" w:type="pct"/>
            <w:tcBorders>
              <w:tl2br w:val="nil"/>
              <w:tr2bl w:val="nil"/>
            </w:tcBorders>
            <w:vAlign w:val="center"/>
          </w:tcPr>
          <w:p w14:paraId="28755281">
            <w:pPr>
              <w:widowControl/>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46°43'03.4383"</w:t>
            </w:r>
          </w:p>
        </w:tc>
        <w:tc>
          <w:tcPr>
            <w:tcW w:w="941" w:type="pct"/>
            <w:vMerge w:val="continue"/>
            <w:tcBorders>
              <w:tl2br w:val="nil"/>
              <w:tr2bl w:val="nil"/>
            </w:tcBorders>
            <w:vAlign w:val="center"/>
          </w:tcPr>
          <w:p w14:paraId="77D9448A">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r>
      <w:tr w14:paraId="072999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51" w:type="pct"/>
            <w:tcBorders>
              <w:tl2br w:val="nil"/>
              <w:tr2bl w:val="nil"/>
            </w:tcBorders>
            <w:vAlign w:val="center"/>
          </w:tcPr>
          <w:p w14:paraId="3AC71C1D">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水井数量</w:t>
            </w:r>
          </w:p>
        </w:tc>
        <w:tc>
          <w:tcPr>
            <w:tcW w:w="1639" w:type="pct"/>
            <w:gridSpan w:val="3"/>
            <w:tcBorders>
              <w:tl2br w:val="nil"/>
              <w:tr2bl w:val="nil"/>
            </w:tcBorders>
            <w:shd w:val="clear" w:color="auto" w:fill="auto"/>
            <w:vAlign w:val="center"/>
          </w:tcPr>
          <w:p w14:paraId="06EE2AB5">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1</w:t>
            </w:r>
            <w:r>
              <w:rPr>
                <w:rFonts w:hint="eastAsia" w:ascii="Times New Roman" w:hAnsi="Times New Roman" w:eastAsia="宋体" w:cs="Times New Roman"/>
                <w:color w:val="auto"/>
                <w:kern w:val="0"/>
                <w:sz w:val="21"/>
                <w:szCs w:val="21"/>
                <w:highlight w:val="none"/>
                <w:lang w:val="en-US" w:eastAsia="zh-CN" w:bidi="ar"/>
              </w:rPr>
              <w:t>眼</w:t>
            </w:r>
          </w:p>
        </w:tc>
        <w:tc>
          <w:tcPr>
            <w:tcW w:w="1867" w:type="pct"/>
            <w:gridSpan w:val="4"/>
            <w:tcBorders>
              <w:tl2br w:val="nil"/>
              <w:tr2bl w:val="nil"/>
            </w:tcBorders>
            <w:shd w:val="clear" w:color="auto" w:fill="auto"/>
            <w:vAlign w:val="center"/>
          </w:tcPr>
          <w:p w14:paraId="749BFD5E">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rPr>
              <w:t>5眼</w:t>
            </w:r>
          </w:p>
        </w:tc>
        <w:tc>
          <w:tcPr>
            <w:tcW w:w="941" w:type="pct"/>
            <w:vMerge w:val="continue"/>
            <w:tcBorders>
              <w:tl2br w:val="nil"/>
              <w:tr2bl w:val="nil"/>
            </w:tcBorders>
            <w:shd w:val="clear" w:color="auto" w:fill="auto"/>
            <w:vAlign w:val="center"/>
          </w:tcPr>
          <w:p w14:paraId="264F005B">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p>
        </w:tc>
      </w:tr>
      <w:tr w14:paraId="3D3D38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56" w:type="dxa"/>
            <w:tcBorders>
              <w:tl2br w:val="nil"/>
              <w:tr2bl w:val="nil"/>
            </w:tcBorders>
            <w:vAlign w:val="center"/>
          </w:tcPr>
          <w:p w14:paraId="534F7F6D">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服务范围</w:t>
            </w:r>
          </w:p>
        </w:tc>
        <w:tc>
          <w:tcPr>
            <w:tcW w:w="1639" w:type="pct"/>
            <w:gridSpan w:val="3"/>
            <w:tcBorders>
              <w:tl2br w:val="nil"/>
              <w:tr2bl w:val="nil"/>
            </w:tcBorders>
            <w:shd w:val="clear" w:color="auto" w:fill="auto"/>
            <w:vAlign w:val="center"/>
          </w:tcPr>
          <w:p w14:paraId="07028EAB">
            <w:pPr>
              <w:widowControl/>
              <w:snapToGrid w:val="0"/>
              <w:spacing w:line="240" w:lineRule="auto"/>
              <w:ind w:firstLine="0" w:firstLineChars="0"/>
              <w:jc w:val="both"/>
              <w:rPr>
                <w:rFonts w:hint="eastAsia"/>
                <w:color w:val="auto"/>
                <w:spacing w:val="-2"/>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新胜村张喜元屯、刘德福、新泉村刘万福屯、张景芳屯、王永富屯、柳风祥屯、东庙屯、范家围子、杨花先生</w:t>
            </w:r>
            <w:r>
              <w:rPr>
                <w:rFonts w:hint="eastAsia" w:cs="Times New Roman"/>
                <w:color w:val="auto"/>
                <w:kern w:val="0"/>
                <w:sz w:val="21"/>
                <w:szCs w:val="21"/>
                <w:highlight w:val="none"/>
                <w:lang w:val="en-US" w:eastAsia="zh-CN"/>
              </w:rPr>
              <w:t>、</w:t>
            </w:r>
            <w:r>
              <w:rPr>
                <w:rFonts w:hint="default" w:ascii="Times New Roman" w:hAnsi="Times New Roman" w:cs="Times New Roman"/>
                <w:color w:val="auto"/>
                <w:kern w:val="0"/>
                <w:sz w:val="21"/>
                <w:szCs w:val="21"/>
                <w:highlight w:val="none"/>
                <w:lang w:val="en-US" w:eastAsia="zh-CN"/>
              </w:rPr>
              <w:t>小张景芳屯</w:t>
            </w:r>
          </w:p>
        </w:tc>
        <w:tc>
          <w:tcPr>
            <w:tcW w:w="1867" w:type="pct"/>
            <w:gridSpan w:val="4"/>
            <w:tcBorders>
              <w:tl2br w:val="nil"/>
              <w:tr2bl w:val="nil"/>
            </w:tcBorders>
            <w:shd w:val="clear" w:color="auto" w:fill="auto"/>
            <w:vAlign w:val="center"/>
          </w:tcPr>
          <w:p w14:paraId="65D45408">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color w:val="auto"/>
                <w:spacing w:val="-2"/>
                <w:sz w:val="21"/>
                <w:szCs w:val="21"/>
                <w:highlight w:val="none"/>
              </w:rPr>
              <w:t>柳河镇内新柳村、新胜村、新泉村、新岗村、新宏村，共计5个行政村39个自然屯</w:t>
            </w:r>
          </w:p>
        </w:tc>
        <w:tc>
          <w:tcPr>
            <w:tcW w:w="941" w:type="pct"/>
            <w:vMerge w:val="continue"/>
            <w:tcBorders>
              <w:tl2br w:val="nil"/>
              <w:tr2bl w:val="nil"/>
            </w:tcBorders>
            <w:shd w:val="clear" w:color="auto" w:fill="auto"/>
            <w:vAlign w:val="center"/>
          </w:tcPr>
          <w:p w14:paraId="05660A9D">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p>
        </w:tc>
      </w:tr>
      <w:tr w14:paraId="5FF430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56" w:type="dxa"/>
            <w:tcBorders>
              <w:tl2br w:val="nil"/>
              <w:tr2bl w:val="nil"/>
            </w:tcBorders>
            <w:vAlign w:val="center"/>
          </w:tcPr>
          <w:p w14:paraId="416E00A4">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服务人口</w:t>
            </w:r>
          </w:p>
        </w:tc>
        <w:tc>
          <w:tcPr>
            <w:tcW w:w="4622" w:type="dxa"/>
            <w:gridSpan w:val="3"/>
            <w:tcBorders>
              <w:tl2br w:val="nil"/>
              <w:tr2bl w:val="nil"/>
            </w:tcBorders>
            <w:shd w:val="clear" w:color="auto" w:fill="auto"/>
            <w:vAlign w:val="center"/>
          </w:tcPr>
          <w:p w14:paraId="1E3B6C0A">
            <w:pPr>
              <w:widowControl/>
              <w:spacing w:line="240" w:lineRule="auto"/>
              <w:ind w:firstLine="0" w:firstLineChars="0"/>
              <w:jc w:val="center"/>
              <w:textAlignment w:val="center"/>
              <w:rPr>
                <w:rFonts w:hint="eastAsia"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bidi="ar"/>
              </w:rPr>
              <w:t>服务人口</w:t>
            </w:r>
            <w:r>
              <w:rPr>
                <w:rFonts w:hint="default" w:ascii="Times New Roman" w:hAnsi="Times New Roman" w:cs="Times New Roman"/>
                <w:color w:val="auto"/>
                <w:kern w:val="0"/>
                <w:sz w:val="21"/>
                <w:szCs w:val="21"/>
                <w:highlight w:val="none"/>
                <w:lang w:val="en-US" w:eastAsia="zh-CN"/>
              </w:rPr>
              <w:t>1994</w:t>
            </w:r>
            <w:r>
              <w:rPr>
                <w:color w:val="auto"/>
                <w:sz w:val="21"/>
                <w:szCs w:val="21"/>
                <w:highlight w:val="none"/>
              </w:rPr>
              <w:t>人</w:t>
            </w:r>
          </w:p>
        </w:tc>
        <w:tc>
          <w:tcPr>
            <w:tcW w:w="5265" w:type="dxa"/>
            <w:gridSpan w:val="4"/>
            <w:tcBorders>
              <w:tl2br w:val="nil"/>
              <w:tr2bl w:val="nil"/>
            </w:tcBorders>
            <w:shd w:val="clear" w:color="auto" w:fill="auto"/>
            <w:vAlign w:val="center"/>
          </w:tcPr>
          <w:p w14:paraId="5EB08910">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bidi="ar"/>
              </w:rPr>
              <w:t>服务人口</w:t>
            </w:r>
            <w:r>
              <w:rPr>
                <w:rFonts w:hint="eastAsia" w:cs="Times New Roman"/>
                <w:color w:val="auto"/>
                <w:kern w:val="0"/>
                <w:sz w:val="21"/>
                <w:szCs w:val="21"/>
                <w:highlight w:val="none"/>
                <w:lang w:val="en-US" w:eastAsia="zh-CN" w:bidi="ar"/>
              </w:rPr>
              <w:t>8631</w:t>
            </w:r>
            <w:r>
              <w:rPr>
                <w:rFonts w:hint="eastAsia" w:ascii="Times New Roman" w:hAnsi="Times New Roman" w:eastAsia="宋体" w:cs="Times New Roman"/>
                <w:color w:val="auto"/>
                <w:kern w:val="0"/>
                <w:sz w:val="21"/>
                <w:szCs w:val="21"/>
                <w:highlight w:val="none"/>
                <w:lang w:bidi="ar"/>
              </w:rPr>
              <w:t>人</w:t>
            </w:r>
          </w:p>
        </w:tc>
        <w:tc>
          <w:tcPr>
            <w:tcW w:w="941" w:type="pct"/>
            <w:vMerge w:val="continue"/>
            <w:tcBorders>
              <w:tl2br w:val="nil"/>
              <w:tr2bl w:val="nil"/>
            </w:tcBorders>
            <w:shd w:val="clear" w:color="auto" w:fill="auto"/>
            <w:vAlign w:val="center"/>
          </w:tcPr>
          <w:p w14:paraId="1AE9D766">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p>
        </w:tc>
      </w:tr>
      <w:tr w14:paraId="32B1CB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51" w:type="pct"/>
            <w:tcBorders>
              <w:tl2br w:val="nil"/>
              <w:tr2bl w:val="nil"/>
            </w:tcBorders>
            <w:vAlign w:val="center"/>
          </w:tcPr>
          <w:p w14:paraId="2AE2AA35">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埋藏条件</w:t>
            </w:r>
          </w:p>
        </w:tc>
        <w:tc>
          <w:tcPr>
            <w:tcW w:w="1639" w:type="pct"/>
            <w:gridSpan w:val="3"/>
            <w:tcBorders>
              <w:tl2br w:val="nil"/>
              <w:tr2bl w:val="nil"/>
            </w:tcBorders>
            <w:shd w:val="clear" w:color="auto" w:fill="auto"/>
            <w:vAlign w:val="center"/>
          </w:tcPr>
          <w:p w14:paraId="7D4442F2">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承压水</w:t>
            </w:r>
          </w:p>
        </w:tc>
        <w:tc>
          <w:tcPr>
            <w:tcW w:w="1867" w:type="pct"/>
            <w:gridSpan w:val="4"/>
            <w:tcBorders>
              <w:tl2br w:val="nil"/>
              <w:tr2bl w:val="nil"/>
            </w:tcBorders>
            <w:shd w:val="clear" w:color="auto" w:fill="auto"/>
            <w:vAlign w:val="center"/>
          </w:tcPr>
          <w:p w14:paraId="71E5216E">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
              </w:rPr>
              <w:t>承压水</w:t>
            </w:r>
          </w:p>
        </w:tc>
        <w:tc>
          <w:tcPr>
            <w:tcW w:w="941" w:type="pct"/>
            <w:vMerge w:val="continue"/>
            <w:tcBorders>
              <w:tl2br w:val="nil"/>
              <w:tr2bl w:val="nil"/>
            </w:tcBorders>
            <w:shd w:val="clear" w:color="auto" w:fill="auto"/>
            <w:vAlign w:val="center"/>
          </w:tcPr>
          <w:p w14:paraId="7DFE0689">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
              </w:rPr>
            </w:pPr>
          </w:p>
        </w:tc>
      </w:tr>
      <w:tr w14:paraId="22C390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51" w:type="pct"/>
            <w:tcBorders>
              <w:tl2br w:val="nil"/>
              <w:tr2bl w:val="nil"/>
            </w:tcBorders>
            <w:vAlign w:val="center"/>
          </w:tcPr>
          <w:p w14:paraId="70698F67">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color w:val="auto"/>
                <w:kern w:val="0"/>
                <w:sz w:val="21"/>
                <w:szCs w:val="21"/>
                <w:highlight w:val="none"/>
              </w:rPr>
              <w:t>保护区半径</w:t>
            </w:r>
          </w:p>
        </w:tc>
        <w:tc>
          <w:tcPr>
            <w:tcW w:w="1639" w:type="pct"/>
            <w:gridSpan w:val="3"/>
            <w:tcBorders>
              <w:tl2br w:val="nil"/>
              <w:tr2bl w:val="nil"/>
            </w:tcBorders>
            <w:shd w:val="clear" w:color="auto" w:fill="auto"/>
            <w:vAlign w:val="center"/>
          </w:tcPr>
          <w:p w14:paraId="35161CDF">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color w:val="auto"/>
                <w:kern w:val="0"/>
                <w:sz w:val="21"/>
                <w:szCs w:val="21"/>
                <w:highlight w:val="none"/>
                <w:lang w:val="en-US" w:eastAsia="zh-CN"/>
              </w:rPr>
              <w:t>30</w:t>
            </w:r>
            <w:r>
              <w:rPr>
                <w:color w:val="auto"/>
                <w:kern w:val="0"/>
                <w:sz w:val="21"/>
                <w:szCs w:val="21"/>
                <w:highlight w:val="none"/>
              </w:rPr>
              <w:t>米</w:t>
            </w:r>
          </w:p>
        </w:tc>
        <w:tc>
          <w:tcPr>
            <w:tcW w:w="1867" w:type="pct"/>
            <w:gridSpan w:val="4"/>
            <w:tcBorders>
              <w:tl2br w:val="nil"/>
              <w:tr2bl w:val="nil"/>
            </w:tcBorders>
            <w:shd w:val="clear" w:color="auto" w:fill="auto"/>
            <w:vAlign w:val="center"/>
          </w:tcPr>
          <w:p w14:paraId="12036F70">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color w:val="auto"/>
                <w:kern w:val="0"/>
                <w:sz w:val="21"/>
                <w:szCs w:val="21"/>
                <w:highlight w:val="none"/>
                <w:lang w:val="en-US" w:eastAsia="zh-CN"/>
              </w:rPr>
              <w:t>30</w:t>
            </w:r>
            <w:r>
              <w:rPr>
                <w:color w:val="auto"/>
                <w:kern w:val="0"/>
                <w:sz w:val="21"/>
                <w:szCs w:val="21"/>
                <w:highlight w:val="none"/>
              </w:rPr>
              <w:t>米</w:t>
            </w:r>
          </w:p>
        </w:tc>
        <w:tc>
          <w:tcPr>
            <w:tcW w:w="941" w:type="pct"/>
            <w:vMerge w:val="continue"/>
            <w:tcBorders>
              <w:tl2br w:val="nil"/>
              <w:tr2bl w:val="nil"/>
            </w:tcBorders>
            <w:shd w:val="clear" w:color="auto" w:fill="auto"/>
            <w:vAlign w:val="center"/>
          </w:tcPr>
          <w:p w14:paraId="793B0299">
            <w:pPr>
              <w:widowControl/>
              <w:snapToGrid w:val="0"/>
              <w:spacing w:line="240" w:lineRule="auto"/>
              <w:ind w:firstLine="0" w:firstLineChars="0"/>
              <w:jc w:val="center"/>
              <w:rPr>
                <w:rFonts w:hint="eastAsia"/>
                <w:color w:val="auto"/>
                <w:kern w:val="0"/>
                <w:sz w:val="21"/>
                <w:szCs w:val="21"/>
                <w:highlight w:val="none"/>
                <w:lang w:val="en-US" w:eastAsia="zh-CN"/>
              </w:rPr>
            </w:pPr>
          </w:p>
        </w:tc>
      </w:tr>
      <w:tr w14:paraId="20162C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51" w:type="pct"/>
            <w:tcBorders>
              <w:tl2br w:val="nil"/>
              <w:tr2bl w:val="nil"/>
            </w:tcBorders>
            <w:vAlign w:val="center"/>
          </w:tcPr>
          <w:p w14:paraId="7499D946">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color w:val="auto"/>
                <w:kern w:val="0"/>
                <w:sz w:val="21"/>
                <w:szCs w:val="21"/>
                <w:highlight w:val="none"/>
              </w:rPr>
              <w:t>一级保护区面积（平</w:t>
            </w:r>
            <w:r>
              <w:rPr>
                <w:rFonts w:hint="eastAsia"/>
                <w:color w:val="auto"/>
                <w:kern w:val="0"/>
                <w:sz w:val="21"/>
                <w:szCs w:val="21"/>
                <w:highlight w:val="none"/>
              </w:rPr>
              <w:t>方米</w:t>
            </w:r>
            <w:r>
              <w:rPr>
                <w:rFonts w:hint="eastAsia"/>
                <w:color w:val="auto"/>
                <w:kern w:val="0"/>
                <w:sz w:val="21"/>
                <w:szCs w:val="21"/>
                <w:highlight w:val="none"/>
                <w:lang w:eastAsia="zh-CN"/>
              </w:rPr>
              <w:t>）</w:t>
            </w:r>
          </w:p>
        </w:tc>
        <w:tc>
          <w:tcPr>
            <w:tcW w:w="1639" w:type="pct"/>
            <w:gridSpan w:val="3"/>
            <w:tcBorders>
              <w:tl2br w:val="nil"/>
              <w:tr2bl w:val="nil"/>
            </w:tcBorders>
            <w:shd w:val="clear" w:color="auto" w:fill="auto"/>
            <w:vAlign w:val="center"/>
          </w:tcPr>
          <w:p w14:paraId="65B276FD">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2826</w:t>
            </w:r>
          </w:p>
        </w:tc>
        <w:tc>
          <w:tcPr>
            <w:tcW w:w="1867" w:type="pct"/>
            <w:gridSpan w:val="4"/>
            <w:tcBorders>
              <w:tl2br w:val="nil"/>
              <w:tr2bl w:val="nil"/>
            </w:tcBorders>
            <w:shd w:val="clear" w:color="auto" w:fill="auto"/>
            <w:vAlign w:val="center"/>
          </w:tcPr>
          <w:p w14:paraId="4CFC61F0">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olor w:val="auto"/>
                <w:sz w:val="21"/>
                <w:szCs w:val="21"/>
                <w:highlight w:val="none"/>
                <w:lang w:val="en-US" w:eastAsia="zh-CN"/>
              </w:rPr>
              <w:t>14130</w:t>
            </w:r>
          </w:p>
        </w:tc>
        <w:tc>
          <w:tcPr>
            <w:tcW w:w="941" w:type="pct"/>
            <w:vMerge w:val="continue"/>
            <w:tcBorders>
              <w:tl2br w:val="nil"/>
              <w:tr2bl w:val="nil"/>
            </w:tcBorders>
            <w:shd w:val="clear" w:color="auto" w:fill="auto"/>
            <w:vAlign w:val="center"/>
          </w:tcPr>
          <w:p w14:paraId="482F5C2C">
            <w:pPr>
              <w:widowControl/>
              <w:snapToGrid w:val="0"/>
              <w:spacing w:line="240" w:lineRule="auto"/>
              <w:ind w:firstLine="0" w:firstLineChars="0"/>
              <w:jc w:val="center"/>
              <w:rPr>
                <w:rFonts w:hint="eastAsia"/>
                <w:color w:val="auto"/>
                <w:sz w:val="21"/>
                <w:szCs w:val="21"/>
                <w:highlight w:val="none"/>
                <w:lang w:val="en-US" w:eastAsia="zh-CN"/>
              </w:rPr>
            </w:pPr>
          </w:p>
        </w:tc>
      </w:tr>
      <w:tr w14:paraId="338E582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51" w:type="pct"/>
            <w:tcBorders>
              <w:tl2br w:val="nil"/>
              <w:tr2bl w:val="nil"/>
            </w:tcBorders>
            <w:vAlign w:val="center"/>
          </w:tcPr>
          <w:p w14:paraId="44B83DEC">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color w:val="auto"/>
                <w:kern w:val="0"/>
                <w:sz w:val="21"/>
                <w:szCs w:val="21"/>
                <w:highlight w:val="none"/>
              </w:rPr>
              <w:t>二级保护区</w:t>
            </w:r>
            <w:r>
              <w:rPr>
                <w:rFonts w:hint="eastAsia"/>
                <w:color w:val="auto"/>
                <w:kern w:val="0"/>
                <w:sz w:val="21"/>
                <w:szCs w:val="21"/>
                <w:highlight w:val="none"/>
                <w:lang w:eastAsia="zh-CN"/>
              </w:rPr>
              <w:t>、</w:t>
            </w:r>
            <w:r>
              <w:rPr>
                <w:color w:val="auto"/>
                <w:kern w:val="0"/>
                <w:sz w:val="21"/>
                <w:szCs w:val="21"/>
                <w:highlight w:val="none"/>
              </w:rPr>
              <w:t>准保护区面积（平方</w:t>
            </w:r>
            <w:r>
              <w:rPr>
                <w:rFonts w:hint="eastAsia"/>
                <w:color w:val="auto"/>
                <w:kern w:val="0"/>
                <w:sz w:val="21"/>
                <w:szCs w:val="21"/>
                <w:highlight w:val="none"/>
              </w:rPr>
              <w:t>米</w:t>
            </w:r>
            <w:r>
              <w:rPr>
                <w:color w:val="auto"/>
                <w:kern w:val="0"/>
                <w:sz w:val="21"/>
                <w:szCs w:val="21"/>
                <w:highlight w:val="none"/>
              </w:rPr>
              <w:t>）</w:t>
            </w:r>
          </w:p>
        </w:tc>
        <w:tc>
          <w:tcPr>
            <w:tcW w:w="1639" w:type="pct"/>
            <w:gridSpan w:val="3"/>
            <w:tcBorders>
              <w:tl2br w:val="nil"/>
              <w:tr2bl w:val="nil"/>
            </w:tcBorders>
            <w:shd w:val="clear" w:color="auto" w:fill="auto"/>
            <w:vAlign w:val="center"/>
          </w:tcPr>
          <w:p w14:paraId="1A49F796">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无</w:t>
            </w:r>
          </w:p>
        </w:tc>
        <w:tc>
          <w:tcPr>
            <w:tcW w:w="1867" w:type="pct"/>
            <w:gridSpan w:val="4"/>
            <w:tcBorders>
              <w:tl2br w:val="nil"/>
              <w:tr2bl w:val="nil"/>
            </w:tcBorders>
            <w:shd w:val="clear" w:color="auto" w:fill="auto"/>
            <w:vAlign w:val="center"/>
          </w:tcPr>
          <w:p w14:paraId="3E367887">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
              </w:rPr>
              <w:t>无</w:t>
            </w:r>
          </w:p>
        </w:tc>
        <w:tc>
          <w:tcPr>
            <w:tcW w:w="941" w:type="pct"/>
            <w:vMerge w:val="continue"/>
            <w:tcBorders>
              <w:tl2br w:val="nil"/>
              <w:tr2bl w:val="nil"/>
            </w:tcBorders>
            <w:shd w:val="clear" w:color="auto" w:fill="auto"/>
            <w:vAlign w:val="center"/>
          </w:tcPr>
          <w:p w14:paraId="5035BAA5">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
              </w:rPr>
            </w:pPr>
          </w:p>
        </w:tc>
      </w:tr>
      <w:tr w14:paraId="41257A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51" w:type="pct"/>
            <w:tcBorders>
              <w:tl2br w:val="nil"/>
              <w:tr2bl w:val="nil"/>
            </w:tcBorders>
            <w:vAlign w:val="center"/>
          </w:tcPr>
          <w:p w14:paraId="78ACC833">
            <w:pPr>
              <w:widowControl/>
              <w:spacing w:line="240" w:lineRule="auto"/>
              <w:ind w:firstLine="0" w:firstLineChars="0"/>
              <w:jc w:val="center"/>
              <w:textAlignment w:val="center"/>
              <w:rPr>
                <w:color w:val="auto"/>
                <w:kern w:val="0"/>
                <w:sz w:val="21"/>
                <w:szCs w:val="21"/>
                <w:highlight w:val="none"/>
              </w:rPr>
            </w:pPr>
            <w:r>
              <w:rPr>
                <w:rFonts w:hint="eastAsia" w:ascii="Times New Roman" w:cs="Times New Roman"/>
                <w:color w:val="auto"/>
                <w:sz w:val="21"/>
                <w:szCs w:val="21"/>
                <w:highlight w:val="none"/>
              </w:rPr>
              <w:t>调整后保护区增减面积</w:t>
            </w:r>
            <w:r>
              <w:rPr>
                <w:color w:val="auto"/>
                <w:kern w:val="0"/>
                <w:sz w:val="21"/>
                <w:szCs w:val="21"/>
                <w:highlight w:val="none"/>
              </w:rPr>
              <w:t>（平方</w:t>
            </w:r>
            <w:r>
              <w:rPr>
                <w:rFonts w:hint="eastAsia"/>
                <w:color w:val="auto"/>
                <w:kern w:val="0"/>
                <w:sz w:val="21"/>
                <w:szCs w:val="21"/>
                <w:highlight w:val="none"/>
              </w:rPr>
              <w:t>米</w:t>
            </w:r>
            <w:r>
              <w:rPr>
                <w:color w:val="auto"/>
                <w:kern w:val="0"/>
                <w:sz w:val="21"/>
                <w:szCs w:val="21"/>
                <w:highlight w:val="none"/>
              </w:rPr>
              <w:t>）</w:t>
            </w:r>
          </w:p>
        </w:tc>
        <w:tc>
          <w:tcPr>
            <w:tcW w:w="3506" w:type="pct"/>
            <w:gridSpan w:val="7"/>
            <w:tcBorders>
              <w:tl2br w:val="nil"/>
              <w:tr2bl w:val="nil"/>
            </w:tcBorders>
            <w:shd w:val="clear" w:color="auto" w:fill="auto"/>
            <w:vAlign w:val="center"/>
          </w:tcPr>
          <w:p w14:paraId="1E33B081">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
              </w:rPr>
            </w:pPr>
            <w:r>
              <w:rPr>
                <w:rFonts w:hint="eastAsia"/>
                <w:color w:val="auto"/>
                <w:highlight w:val="none"/>
                <w:lang w:val="en-US" w:eastAsia="zh-CN"/>
              </w:rPr>
              <w:t>+</w:t>
            </w:r>
            <w:r>
              <w:rPr>
                <w:rFonts w:hint="eastAsia" w:cs="Times New Roman"/>
                <w:color w:val="auto"/>
                <w:kern w:val="0"/>
                <w:sz w:val="21"/>
                <w:szCs w:val="21"/>
                <w:highlight w:val="none"/>
                <w:lang w:val="en-US" w:eastAsia="zh-CN" w:bidi="ar"/>
              </w:rPr>
              <w:t>11304</w:t>
            </w:r>
          </w:p>
        </w:tc>
        <w:tc>
          <w:tcPr>
            <w:tcW w:w="941" w:type="pct"/>
            <w:vMerge w:val="continue"/>
            <w:tcBorders>
              <w:tl2br w:val="nil"/>
              <w:tr2bl w:val="nil"/>
            </w:tcBorders>
            <w:shd w:val="clear" w:color="auto" w:fill="auto"/>
            <w:vAlign w:val="center"/>
          </w:tcPr>
          <w:p w14:paraId="41611752">
            <w:pPr>
              <w:widowControl/>
              <w:snapToGrid w:val="0"/>
              <w:spacing w:line="240" w:lineRule="auto"/>
              <w:ind w:firstLine="0" w:firstLineChars="0"/>
              <w:jc w:val="center"/>
              <w:rPr>
                <w:rFonts w:hint="eastAsia"/>
                <w:color w:val="auto"/>
                <w:highlight w:val="none"/>
                <w:lang w:val="en-US" w:eastAsia="zh-CN"/>
              </w:rPr>
            </w:pPr>
          </w:p>
        </w:tc>
      </w:tr>
    </w:tbl>
    <w:p w14:paraId="5071B2EE">
      <w:pPr>
        <w:pStyle w:val="13"/>
        <w:spacing w:line="360" w:lineRule="auto"/>
        <w:ind w:left="0" w:leftChars="0" w:firstLine="0" w:firstLineChars="0"/>
        <w:jc w:val="center"/>
        <w:rPr>
          <w:rFonts w:hint="eastAsia" w:ascii="Times New Roman" w:hAnsi="Times New Roman" w:eastAsia="宋体" w:cs="Times New Roman"/>
          <w:color w:val="auto"/>
          <w:sz w:val="24"/>
          <w:szCs w:val="24"/>
          <w:highlight w:val="none"/>
          <w:lang w:val="zh-CN" w:eastAsia="zh-CN"/>
        </w:rPr>
      </w:pPr>
      <w:r>
        <w:rPr>
          <w:rFonts w:hint="eastAsia" w:ascii="Times New Roman" w:hAnsi="Times New Roman" w:eastAsia="宋体" w:cs="Times New Roman"/>
          <w:color w:val="auto"/>
          <w:sz w:val="24"/>
          <w:szCs w:val="24"/>
          <w:highlight w:val="none"/>
          <w:lang w:val="zh-CN" w:eastAsia="zh-CN"/>
        </w:rPr>
        <w:drawing>
          <wp:inline distT="0" distB="0" distL="114300" distR="114300">
            <wp:extent cx="7435215" cy="5256530"/>
            <wp:effectExtent l="0" t="0" r="13335" b="1270"/>
            <wp:docPr id="85" name="图片 85" descr="水源地调整对比_柳河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水源地调整对比_柳河镇"/>
                    <pic:cNvPicPr>
                      <a:picLocks noChangeAspect="1"/>
                    </pic:cNvPicPr>
                  </pic:nvPicPr>
                  <pic:blipFill>
                    <a:blip r:embed="rId94"/>
                    <a:stretch>
                      <a:fillRect/>
                    </a:stretch>
                  </pic:blipFill>
                  <pic:spPr>
                    <a:xfrm>
                      <a:off x="0" y="0"/>
                      <a:ext cx="7435215" cy="5256530"/>
                    </a:xfrm>
                    <a:prstGeom prst="rect">
                      <a:avLst/>
                    </a:prstGeom>
                  </pic:spPr>
                </pic:pic>
              </a:graphicData>
            </a:graphic>
          </wp:inline>
        </w:drawing>
      </w:r>
    </w:p>
    <w:p w14:paraId="4CB349AA">
      <w:pPr>
        <w:pStyle w:val="13"/>
        <w:spacing w:line="360" w:lineRule="auto"/>
        <w:ind w:left="0" w:leftChars="0" w:firstLine="0" w:firstLineChars="0"/>
        <w:jc w:val="center"/>
        <w:rPr>
          <w:rFonts w:hint="eastAsia" w:ascii="Times New Roman" w:hAnsi="Times New Roman" w:eastAsia="黑体" w:cs="Times New Roman"/>
          <w:color w:val="auto"/>
          <w:sz w:val="24"/>
          <w:szCs w:val="24"/>
          <w:highlight w:val="none"/>
          <w:lang w:val="zh-CN" w:eastAsia="zh-CN"/>
        </w:rPr>
      </w:pPr>
      <w:r>
        <w:rPr>
          <w:rFonts w:hint="eastAsia" w:ascii="Times New Roman" w:hAnsi="Times New Roman" w:eastAsia="黑体" w:cs="Times New Roman"/>
          <w:color w:val="auto"/>
          <w:sz w:val="24"/>
          <w:szCs w:val="24"/>
          <w:highlight w:val="none"/>
          <w:lang w:val="zh-CN" w:eastAsia="zh-CN"/>
        </w:rPr>
        <w:t>图</w:t>
      </w:r>
      <w:r>
        <w:rPr>
          <w:rFonts w:hint="eastAsia" w:ascii="Times New Roman" w:hAnsi="Times New Roman" w:eastAsia="黑体" w:cs="Times New Roman"/>
          <w:color w:val="auto"/>
          <w:sz w:val="24"/>
          <w:szCs w:val="24"/>
          <w:highlight w:val="none"/>
          <w:lang w:val="en-US" w:eastAsia="zh-CN"/>
        </w:rPr>
        <w:t xml:space="preserve">3-11  </w:t>
      </w:r>
      <w:r>
        <w:rPr>
          <w:rFonts w:hint="eastAsia" w:ascii="Times New Roman" w:hAnsi="Times New Roman" w:eastAsia="黑体" w:cs="Times New Roman"/>
          <w:color w:val="auto"/>
          <w:sz w:val="24"/>
          <w:szCs w:val="24"/>
          <w:highlight w:val="none"/>
          <w:lang w:val="zh-CN" w:eastAsia="zh-CN"/>
        </w:rPr>
        <w:t>绥化市庆安县柳河镇饮用水水源</w:t>
      </w:r>
      <w:r>
        <w:rPr>
          <w:rFonts w:hint="eastAsia" w:ascii="Times New Roman" w:hAnsi="Times New Roman" w:eastAsia="黑体" w:cs="Times New Roman"/>
          <w:color w:val="auto"/>
          <w:sz w:val="24"/>
          <w:szCs w:val="24"/>
          <w:highlight w:val="none"/>
          <w:lang w:val="en-US" w:eastAsia="zh-CN"/>
        </w:rPr>
        <w:t>保护区划分</w:t>
      </w:r>
      <w:r>
        <w:rPr>
          <w:rFonts w:hint="eastAsia" w:ascii="Times New Roman" w:hAnsi="Times New Roman" w:eastAsia="黑体" w:cs="Times New Roman"/>
          <w:color w:val="auto"/>
          <w:sz w:val="24"/>
          <w:szCs w:val="24"/>
          <w:highlight w:val="none"/>
          <w:lang w:val="zh-CN" w:eastAsia="zh-CN"/>
        </w:rPr>
        <w:t>前后对比图</w:t>
      </w:r>
    </w:p>
    <w:p w14:paraId="455AED91">
      <w:pPr>
        <w:bidi w:val="0"/>
        <w:ind w:left="0" w:leftChars="0" w:firstLine="0" w:firstLineChars="0"/>
        <w:jc w:val="center"/>
        <w:rPr>
          <w:color w:val="auto"/>
          <w:highlight w:val="none"/>
          <w:lang w:val="en-US"/>
        </w:rPr>
      </w:pPr>
      <w:r>
        <w:rPr>
          <w:rFonts w:hint="eastAsia" w:ascii="Times New Roman" w:hAnsi="Times New Roman" w:eastAsia="黑体" w:cs="Times New Roman"/>
          <w:color w:val="auto"/>
          <w:sz w:val="24"/>
          <w:szCs w:val="24"/>
          <w:highlight w:val="none"/>
          <w:lang w:eastAsia="zh-CN"/>
        </w:rPr>
        <w:t>表</w:t>
      </w:r>
      <w:r>
        <w:rPr>
          <w:rFonts w:hint="eastAsia" w:ascii="Times New Roman" w:hAnsi="Times New Roman" w:eastAsia="黑体" w:cs="Times New Roman"/>
          <w:color w:val="auto"/>
          <w:sz w:val="24"/>
          <w:szCs w:val="24"/>
          <w:highlight w:val="none"/>
          <w:lang w:val="en-US" w:eastAsia="zh-CN"/>
        </w:rPr>
        <w:t>3-</w:t>
      </w:r>
      <w:r>
        <w:rPr>
          <w:rFonts w:hint="eastAsia" w:eastAsia="黑体" w:cs="Times New Roman"/>
          <w:color w:val="auto"/>
          <w:sz w:val="24"/>
          <w:szCs w:val="24"/>
          <w:highlight w:val="none"/>
          <w:lang w:val="en-US" w:eastAsia="zh-CN"/>
        </w:rPr>
        <w:t>9</w:t>
      </w:r>
      <w:r>
        <w:rPr>
          <w:rFonts w:hint="eastAsia" w:ascii="Times New Roman" w:hAnsi="Times New Roman" w:eastAsia="黑体" w:cs="Times New Roman"/>
          <w:color w:val="auto"/>
          <w:sz w:val="24"/>
          <w:szCs w:val="24"/>
          <w:highlight w:val="none"/>
          <w:lang w:val="en-US" w:eastAsia="zh-CN"/>
        </w:rPr>
        <w:t xml:space="preserve">  柳河镇新强村</w:t>
      </w:r>
      <w:r>
        <w:rPr>
          <w:rFonts w:ascii="Times New Roman" w:hAnsi="Times New Roman" w:eastAsia="黑体" w:cs="Times New Roman"/>
          <w:color w:val="auto"/>
          <w:sz w:val="24"/>
          <w:szCs w:val="24"/>
          <w:highlight w:val="none"/>
        </w:rPr>
        <w:t>水源地调整前后对比</w:t>
      </w:r>
      <w:r>
        <w:rPr>
          <w:rFonts w:hint="eastAsia" w:ascii="Times New Roman" w:hAnsi="Times New Roman" w:eastAsia="黑体" w:cs="Times New Roman"/>
          <w:color w:val="auto"/>
          <w:sz w:val="24"/>
          <w:szCs w:val="24"/>
          <w:highlight w:val="none"/>
          <w:lang w:eastAsia="zh-CN"/>
        </w:rPr>
        <w:t>一览表</w:t>
      </w:r>
    </w:p>
    <w:tbl>
      <w:tblPr>
        <w:tblStyle w:val="22"/>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75"/>
        <w:gridCol w:w="1471"/>
        <w:gridCol w:w="1655"/>
        <w:gridCol w:w="1669"/>
        <w:gridCol w:w="1224"/>
        <w:gridCol w:w="818"/>
        <w:gridCol w:w="1794"/>
        <w:gridCol w:w="1647"/>
        <w:gridCol w:w="2445"/>
      </w:tblGrid>
      <w:tr w14:paraId="207F6B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87" w:type="pct"/>
            <w:vMerge w:val="restart"/>
            <w:tcBorders>
              <w:tl2br w:val="nil"/>
              <w:tr2bl w:val="nil"/>
            </w:tcBorders>
            <w:vAlign w:val="center"/>
          </w:tcPr>
          <w:p w14:paraId="7FBB3B4D">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eastAsia="zh-CN" w:bidi="ar"/>
              </w:rPr>
            </w:pPr>
            <w:r>
              <w:rPr>
                <w:rFonts w:hint="eastAsia" w:ascii="Times New Roman" w:hAnsi="Times New Roman" w:eastAsia="宋体" w:cs="Times New Roman"/>
                <w:color w:val="auto"/>
                <w:kern w:val="0"/>
                <w:sz w:val="21"/>
                <w:szCs w:val="21"/>
                <w:highlight w:val="none"/>
                <w:lang w:eastAsia="zh-CN" w:bidi="ar"/>
              </w:rPr>
              <w:t>项目</w:t>
            </w:r>
          </w:p>
        </w:tc>
        <w:tc>
          <w:tcPr>
            <w:tcW w:w="1700" w:type="pct"/>
            <w:gridSpan w:val="3"/>
            <w:tcBorders>
              <w:tl2br w:val="nil"/>
              <w:tr2bl w:val="nil"/>
            </w:tcBorders>
            <w:vAlign w:val="center"/>
          </w:tcPr>
          <w:p w14:paraId="49646AE3">
            <w:pPr>
              <w:widowControl/>
              <w:spacing w:line="240" w:lineRule="auto"/>
              <w:ind w:firstLine="0" w:firstLineChars="0"/>
              <w:jc w:val="center"/>
              <w:textAlignment w:val="center"/>
              <w:rPr>
                <w:rFonts w:hint="eastAsia" w:cs="Times New Roman"/>
                <w:color w:val="auto"/>
                <w:kern w:val="0"/>
                <w:sz w:val="21"/>
                <w:szCs w:val="21"/>
                <w:highlight w:val="none"/>
                <w:lang w:eastAsia="zh-CN" w:bidi="ar"/>
              </w:rPr>
            </w:pPr>
            <w:r>
              <w:rPr>
                <w:rFonts w:hint="eastAsia" w:cs="Times New Roman"/>
                <w:color w:val="auto"/>
                <w:kern w:val="0"/>
                <w:sz w:val="21"/>
                <w:szCs w:val="21"/>
                <w:highlight w:val="none"/>
                <w:lang w:eastAsia="zh-CN" w:bidi="ar"/>
              </w:rPr>
              <w:t>调整前</w:t>
            </w:r>
          </w:p>
        </w:tc>
        <w:tc>
          <w:tcPr>
            <w:tcW w:w="1944" w:type="pct"/>
            <w:gridSpan w:val="4"/>
            <w:tcBorders>
              <w:tl2br w:val="nil"/>
              <w:tr2bl w:val="nil"/>
            </w:tcBorders>
            <w:vAlign w:val="center"/>
          </w:tcPr>
          <w:p w14:paraId="435A3374">
            <w:pPr>
              <w:widowControl/>
              <w:spacing w:line="240" w:lineRule="auto"/>
              <w:ind w:firstLine="0" w:firstLineChars="0"/>
              <w:jc w:val="center"/>
              <w:textAlignment w:val="center"/>
              <w:rPr>
                <w:rFonts w:hint="eastAsia" w:cs="Times New Roman"/>
                <w:color w:val="auto"/>
                <w:kern w:val="0"/>
                <w:sz w:val="21"/>
                <w:szCs w:val="21"/>
                <w:highlight w:val="none"/>
                <w:lang w:eastAsia="zh-CN" w:bidi="ar"/>
              </w:rPr>
            </w:pPr>
            <w:r>
              <w:rPr>
                <w:rFonts w:hint="eastAsia" w:cs="Times New Roman"/>
                <w:color w:val="auto"/>
                <w:kern w:val="0"/>
                <w:sz w:val="21"/>
                <w:szCs w:val="21"/>
                <w:highlight w:val="none"/>
                <w:lang w:eastAsia="zh-CN" w:bidi="ar"/>
              </w:rPr>
              <w:t>调整后</w:t>
            </w:r>
          </w:p>
        </w:tc>
        <w:tc>
          <w:tcPr>
            <w:tcW w:w="867" w:type="pct"/>
            <w:vMerge w:val="restart"/>
            <w:tcBorders>
              <w:tl2br w:val="nil"/>
              <w:tr2bl w:val="nil"/>
            </w:tcBorders>
            <w:vAlign w:val="center"/>
          </w:tcPr>
          <w:p w14:paraId="6DD47B95">
            <w:pPr>
              <w:widowControl/>
              <w:spacing w:line="240" w:lineRule="auto"/>
              <w:ind w:firstLine="0" w:firstLineChars="0"/>
              <w:jc w:val="center"/>
              <w:textAlignment w:val="center"/>
              <w:rPr>
                <w:rFonts w:hint="eastAsia" w:cs="Times New Roman"/>
                <w:color w:val="auto"/>
                <w:kern w:val="0"/>
                <w:sz w:val="21"/>
                <w:szCs w:val="21"/>
                <w:highlight w:val="none"/>
                <w:lang w:eastAsia="zh-CN" w:bidi="ar"/>
              </w:rPr>
            </w:pPr>
            <w:r>
              <w:rPr>
                <w:rFonts w:hint="eastAsia" w:cs="Times New Roman"/>
                <w:color w:val="auto"/>
                <w:kern w:val="0"/>
                <w:sz w:val="21"/>
                <w:szCs w:val="21"/>
                <w:highlight w:val="none"/>
                <w:lang w:eastAsia="zh-CN" w:bidi="ar"/>
              </w:rPr>
              <w:t>备注</w:t>
            </w:r>
          </w:p>
        </w:tc>
      </w:tr>
      <w:tr w14:paraId="102208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87" w:type="pct"/>
            <w:vMerge w:val="continue"/>
            <w:tcBorders>
              <w:tl2br w:val="nil"/>
              <w:tr2bl w:val="nil"/>
            </w:tcBorders>
            <w:vAlign w:val="center"/>
          </w:tcPr>
          <w:p w14:paraId="53231992">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eastAsia="zh-CN" w:bidi="ar"/>
              </w:rPr>
            </w:pPr>
          </w:p>
        </w:tc>
        <w:tc>
          <w:tcPr>
            <w:tcW w:w="521" w:type="pct"/>
            <w:vMerge w:val="restart"/>
            <w:tcBorders>
              <w:tl2br w:val="nil"/>
              <w:tr2bl w:val="nil"/>
            </w:tcBorders>
            <w:vAlign w:val="center"/>
          </w:tcPr>
          <w:p w14:paraId="6F9543A0">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eastAsia="zh-CN" w:bidi="ar"/>
              </w:rPr>
            </w:pPr>
            <w:r>
              <w:rPr>
                <w:rFonts w:hint="eastAsia" w:ascii="Times New Roman" w:hAnsi="Times New Roman" w:eastAsia="宋体" w:cs="Times New Roman"/>
                <w:color w:val="auto"/>
                <w:kern w:val="0"/>
                <w:sz w:val="21"/>
                <w:szCs w:val="21"/>
                <w:highlight w:val="none"/>
                <w:lang w:eastAsia="zh-CN" w:bidi="ar"/>
              </w:rPr>
              <w:t>调整前水源地</w:t>
            </w:r>
          </w:p>
        </w:tc>
        <w:tc>
          <w:tcPr>
            <w:tcW w:w="1178" w:type="pct"/>
            <w:gridSpan w:val="2"/>
            <w:tcBorders>
              <w:tl2br w:val="nil"/>
              <w:tr2bl w:val="nil"/>
            </w:tcBorders>
            <w:vAlign w:val="center"/>
          </w:tcPr>
          <w:p w14:paraId="7B82C702">
            <w:pPr>
              <w:widowControl/>
              <w:snapToGrid w:val="0"/>
              <w:spacing w:line="240" w:lineRule="auto"/>
              <w:ind w:firstLine="0" w:firstLineChars="0"/>
              <w:jc w:val="center"/>
              <w:rPr>
                <w:rFonts w:hint="eastAsia"/>
                <w:color w:val="auto"/>
                <w:kern w:val="0"/>
                <w:sz w:val="21"/>
                <w:szCs w:val="21"/>
                <w:highlight w:val="none"/>
                <w:lang w:eastAsia="en-US"/>
              </w:rPr>
            </w:pPr>
            <w:r>
              <w:rPr>
                <w:rFonts w:hint="eastAsia"/>
                <w:color w:val="auto"/>
                <w:kern w:val="0"/>
                <w:sz w:val="21"/>
                <w:szCs w:val="21"/>
                <w:highlight w:val="none"/>
                <w:lang w:eastAsia="en-US"/>
              </w:rPr>
              <w:t>坐标</w:t>
            </w:r>
          </w:p>
        </w:tc>
        <w:tc>
          <w:tcPr>
            <w:tcW w:w="434" w:type="pct"/>
            <w:vMerge w:val="restart"/>
            <w:tcBorders>
              <w:tl2br w:val="nil"/>
              <w:tr2bl w:val="nil"/>
            </w:tcBorders>
            <w:vAlign w:val="center"/>
          </w:tcPr>
          <w:p w14:paraId="43DCCD24">
            <w:pPr>
              <w:widowControl/>
              <w:spacing w:line="240" w:lineRule="auto"/>
              <w:ind w:firstLine="0" w:firstLineChars="0"/>
              <w:jc w:val="center"/>
              <w:textAlignment w:val="center"/>
              <w:rPr>
                <w:rFonts w:hint="eastAsia" w:cs="Times New Roman"/>
                <w:color w:val="auto"/>
                <w:kern w:val="0"/>
                <w:sz w:val="21"/>
                <w:szCs w:val="21"/>
                <w:highlight w:val="none"/>
                <w:lang w:eastAsia="zh-CN" w:bidi="ar"/>
              </w:rPr>
            </w:pPr>
            <w:r>
              <w:rPr>
                <w:rFonts w:hint="eastAsia" w:ascii="Times New Roman" w:hAnsi="Times New Roman" w:eastAsia="宋体" w:cs="Times New Roman"/>
                <w:color w:val="auto"/>
                <w:kern w:val="0"/>
                <w:sz w:val="21"/>
                <w:szCs w:val="21"/>
                <w:highlight w:val="none"/>
                <w:lang w:eastAsia="zh-CN" w:bidi="ar"/>
              </w:rPr>
              <w:t>调整后水源地</w:t>
            </w:r>
          </w:p>
        </w:tc>
        <w:tc>
          <w:tcPr>
            <w:tcW w:w="290" w:type="pct"/>
            <w:vMerge w:val="restart"/>
            <w:tcBorders>
              <w:tl2br w:val="nil"/>
              <w:tr2bl w:val="nil"/>
            </w:tcBorders>
            <w:vAlign w:val="center"/>
          </w:tcPr>
          <w:p w14:paraId="2B65DC81">
            <w:pPr>
              <w:widowControl/>
              <w:spacing w:line="240" w:lineRule="auto"/>
              <w:ind w:firstLine="0" w:firstLineChars="0"/>
              <w:jc w:val="center"/>
              <w:textAlignment w:val="center"/>
              <w:rPr>
                <w:rFonts w:hint="eastAsia" w:cs="Times New Roman"/>
                <w:color w:val="auto"/>
                <w:kern w:val="0"/>
                <w:sz w:val="21"/>
                <w:szCs w:val="21"/>
                <w:highlight w:val="none"/>
                <w:lang w:eastAsia="zh-CN" w:bidi="ar"/>
              </w:rPr>
            </w:pPr>
            <w:r>
              <w:rPr>
                <w:rFonts w:hint="eastAsia" w:cs="Times New Roman"/>
                <w:color w:val="auto"/>
                <w:kern w:val="0"/>
                <w:sz w:val="21"/>
                <w:szCs w:val="21"/>
                <w:highlight w:val="none"/>
                <w:lang w:eastAsia="zh-CN" w:bidi="ar"/>
              </w:rPr>
              <w:t>编号</w:t>
            </w:r>
          </w:p>
        </w:tc>
        <w:tc>
          <w:tcPr>
            <w:tcW w:w="1220" w:type="pct"/>
            <w:gridSpan w:val="2"/>
            <w:tcBorders>
              <w:tl2br w:val="nil"/>
              <w:tr2bl w:val="nil"/>
            </w:tcBorders>
            <w:vAlign w:val="center"/>
          </w:tcPr>
          <w:p w14:paraId="7AE779E8">
            <w:pPr>
              <w:widowControl/>
              <w:spacing w:line="240" w:lineRule="auto"/>
              <w:ind w:firstLine="0" w:firstLineChars="0"/>
              <w:jc w:val="center"/>
              <w:textAlignment w:val="center"/>
              <w:rPr>
                <w:rFonts w:hint="eastAsia" w:cs="Times New Roman"/>
                <w:color w:val="auto"/>
                <w:kern w:val="0"/>
                <w:sz w:val="21"/>
                <w:szCs w:val="21"/>
                <w:highlight w:val="none"/>
                <w:lang w:eastAsia="zh-CN" w:bidi="ar"/>
              </w:rPr>
            </w:pPr>
            <w:r>
              <w:rPr>
                <w:rFonts w:hint="eastAsia" w:cs="Times New Roman"/>
                <w:color w:val="auto"/>
                <w:kern w:val="0"/>
                <w:sz w:val="21"/>
                <w:szCs w:val="21"/>
                <w:highlight w:val="none"/>
                <w:lang w:eastAsia="zh-CN" w:bidi="ar"/>
              </w:rPr>
              <w:t>坐标</w:t>
            </w:r>
          </w:p>
        </w:tc>
        <w:tc>
          <w:tcPr>
            <w:tcW w:w="867" w:type="pct"/>
            <w:vMerge w:val="continue"/>
            <w:tcBorders>
              <w:tl2br w:val="nil"/>
              <w:tr2bl w:val="nil"/>
            </w:tcBorders>
            <w:vAlign w:val="center"/>
          </w:tcPr>
          <w:p w14:paraId="1F36FBA1">
            <w:pPr>
              <w:widowControl/>
              <w:spacing w:line="240" w:lineRule="auto"/>
              <w:ind w:firstLine="0" w:firstLineChars="0"/>
              <w:jc w:val="center"/>
              <w:textAlignment w:val="center"/>
              <w:rPr>
                <w:rFonts w:hint="eastAsia" w:cs="Times New Roman"/>
                <w:color w:val="auto"/>
                <w:kern w:val="0"/>
                <w:sz w:val="21"/>
                <w:szCs w:val="21"/>
                <w:highlight w:val="none"/>
                <w:lang w:eastAsia="zh-CN" w:bidi="ar"/>
              </w:rPr>
            </w:pPr>
          </w:p>
        </w:tc>
      </w:tr>
      <w:tr w14:paraId="02E693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87" w:type="pct"/>
            <w:vMerge w:val="continue"/>
            <w:tcBorders>
              <w:tl2br w:val="nil"/>
              <w:tr2bl w:val="nil"/>
            </w:tcBorders>
            <w:vAlign w:val="center"/>
          </w:tcPr>
          <w:p w14:paraId="2617A92E">
            <w:pPr>
              <w:widowControl/>
              <w:snapToGrid w:val="0"/>
              <w:spacing w:line="240" w:lineRule="auto"/>
              <w:ind w:firstLine="0" w:firstLineChars="0"/>
              <w:jc w:val="center"/>
              <w:rPr>
                <w:color w:val="auto"/>
                <w:sz w:val="21"/>
                <w:szCs w:val="21"/>
                <w:highlight w:val="none"/>
              </w:rPr>
            </w:pPr>
          </w:p>
        </w:tc>
        <w:tc>
          <w:tcPr>
            <w:tcW w:w="521" w:type="pct"/>
            <w:vMerge w:val="continue"/>
            <w:tcBorders>
              <w:tl2br w:val="nil"/>
              <w:tr2bl w:val="nil"/>
            </w:tcBorders>
            <w:vAlign w:val="center"/>
          </w:tcPr>
          <w:p w14:paraId="7D069509">
            <w:pPr>
              <w:widowControl/>
              <w:snapToGrid w:val="0"/>
              <w:spacing w:line="240" w:lineRule="auto"/>
              <w:ind w:firstLine="0" w:firstLineChars="0"/>
              <w:jc w:val="center"/>
              <w:rPr>
                <w:color w:val="auto"/>
                <w:sz w:val="21"/>
                <w:szCs w:val="21"/>
                <w:highlight w:val="none"/>
              </w:rPr>
            </w:pPr>
          </w:p>
        </w:tc>
        <w:tc>
          <w:tcPr>
            <w:tcW w:w="586" w:type="pct"/>
            <w:tcBorders>
              <w:tl2br w:val="nil"/>
              <w:tr2bl w:val="nil"/>
            </w:tcBorders>
            <w:vAlign w:val="center"/>
          </w:tcPr>
          <w:p w14:paraId="47549AE8">
            <w:pPr>
              <w:widowControl/>
              <w:snapToGrid w:val="0"/>
              <w:spacing w:line="240" w:lineRule="auto"/>
              <w:ind w:firstLine="0" w:firstLineChars="0"/>
              <w:jc w:val="center"/>
              <w:rPr>
                <w:color w:val="auto"/>
                <w:sz w:val="21"/>
                <w:szCs w:val="21"/>
                <w:highlight w:val="none"/>
              </w:rPr>
            </w:pPr>
            <w:r>
              <w:rPr>
                <w:rFonts w:hint="eastAsia"/>
                <w:color w:val="auto"/>
                <w:kern w:val="0"/>
                <w:sz w:val="21"/>
                <w:szCs w:val="21"/>
                <w:highlight w:val="none"/>
                <w:lang w:eastAsia="zh-CN"/>
              </w:rPr>
              <w:t>经度</w:t>
            </w:r>
          </w:p>
        </w:tc>
        <w:tc>
          <w:tcPr>
            <w:tcW w:w="591" w:type="pct"/>
            <w:tcBorders>
              <w:tl2br w:val="nil"/>
              <w:tr2bl w:val="nil"/>
            </w:tcBorders>
            <w:vAlign w:val="center"/>
          </w:tcPr>
          <w:p w14:paraId="41160EC2">
            <w:pPr>
              <w:widowControl/>
              <w:snapToGrid w:val="0"/>
              <w:spacing w:line="240" w:lineRule="auto"/>
              <w:ind w:firstLine="0" w:firstLineChars="0"/>
              <w:jc w:val="center"/>
              <w:rPr>
                <w:color w:val="auto"/>
                <w:sz w:val="21"/>
                <w:szCs w:val="21"/>
                <w:highlight w:val="none"/>
              </w:rPr>
            </w:pPr>
            <w:r>
              <w:rPr>
                <w:rFonts w:hint="eastAsia"/>
                <w:color w:val="auto"/>
                <w:kern w:val="0"/>
                <w:sz w:val="21"/>
                <w:szCs w:val="21"/>
                <w:highlight w:val="none"/>
                <w:lang w:eastAsia="zh-CN"/>
              </w:rPr>
              <w:t>纬度</w:t>
            </w:r>
          </w:p>
        </w:tc>
        <w:tc>
          <w:tcPr>
            <w:tcW w:w="434" w:type="pct"/>
            <w:vMerge w:val="continue"/>
            <w:tcBorders>
              <w:tl2br w:val="nil"/>
              <w:tr2bl w:val="nil"/>
            </w:tcBorders>
            <w:vAlign w:val="center"/>
          </w:tcPr>
          <w:p w14:paraId="570552C8">
            <w:pPr>
              <w:widowControl/>
              <w:snapToGrid w:val="0"/>
              <w:spacing w:line="240" w:lineRule="auto"/>
              <w:ind w:firstLine="0" w:firstLineChars="0"/>
              <w:jc w:val="center"/>
              <w:rPr>
                <w:color w:val="auto"/>
                <w:sz w:val="21"/>
                <w:szCs w:val="21"/>
                <w:highlight w:val="none"/>
              </w:rPr>
            </w:pPr>
          </w:p>
        </w:tc>
        <w:tc>
          <w:tcPr>
            <w:tcW w:w="290" w:type="pct"/>
            <w:vMerge w:val="continue"/>
            <w:tcBorders>
              <w:tl2br w:val="nil"/>
              <w:tr2bl w:val="nil"/>
            </w:tcBorders>
            <w:vAlign w:val="center"/>
          </w:tcPr>
          <w:p w14:paraId="05E6DF1F">
            <w:pPr>
              <w:widowControl/>
              <w:snapToGrid w:val="0"/>
              <w:spacing w:line="240" w:lineRule="auto"/>
              <w:ind w:firstLine="0" w:firstLineChars="0"/>
              <w:jc w:val="center"/>
              <w:rPr>
                <w:color w:val="auto"/>
                <w:sz w:val="21"/>
                <w:szCs w:val="21"/>
                <w:highlight w:val="none"/>
              </w:rPr>
            </w:pPr>
          </w:p>
        </w:tc>
        <w:tc>
          <w:tcPr>
            <w:tcW w:w="636" w:type="pct"/>
            <w:tcBorders>
              <w:tl2br w:val="nil"/>
              <w:tr2bl w:val="nil"/>
            </w:tcBorders>
            <w:vAlign w:val="center"/>
          </w:tcPr>
          <w:p w14:paraId="4F36B7E7">
            <w:pPr>
              <w:widowControl/>
              <w:snapToGrid w:val="0"/>
              <w:spacing w:line="240" w:lineRule="auto"/>
              <w:ind w:firstLine="0" w:firstLineChars="0"/>
              <w:jc w:val="center"/>
              <w:rPr>
                <w:rFonts w:hint="eastAsia" w:eastAsia="宋体"/>
                <w:color w:val="auto"/>
                <w:sz w:val="21"/>
                <w:szCs w:val="21"/>
                <w:highlight w:val="none"/>
                <w:lang w:eastAsia="zh-CN"/>
              </w:rPr>
            </w:pPr>
            <w:r>
              <w:rPr>
                <w:rFonts w:hint="eastAsia"/>
                <w:color w:val="auto"/>
                <w:sz w:val="21"/>
                <w:szCs w:val="21"/>
                <w:highlight w:val="none"/>
                <w:lang w:eastAsia="zh-CN"/>
              </w:rPr>
              <w:t>经度</w:t>
            </w:r>
          </w:p>
        </w:tc>
        <w:tc>
          <w:tcPr>
            <w:tcW w:w="584" w:type="pct"/>
            <w:tcBorders>
              <w:tl2br w:val="nil"/>
              <w:tr2bl w:val="nil"/>
            </w:tcBorders>
            <w:vAlign w:val="center"/>
          </w:tcPr>
          <w:p w14:paraId="38215F00">
            <w:pPr>
              <w:widowControl/>
              <w:snapToGrid w:val="0"/>
              <w:spacing w:line="240" w:lineRule="auto"/>
              <w:ind w:firstLine="0" w:firstLineChars="0"/>
              <w:jc w:val="center"/>
              <w:rPr>
                <w:rFonts w:hint="eastAsia" w:eastAsia="宋体"/>
                <w:color w:val="auto"/>
                <w:sz w:val="21"/>
                <w:szCs w:val="21"/>
                <w:highlight w:val="none"/>
                <w:lang w:eastAsia="zh-CN"/>
              </w:rPr>
            </w:pPr>
            <w:r>
              <w:rPr>
                <w:rFonts w:hint="eastAsia"/>
                <w:color w:val="auto"/>
                <w:sz w:val="21"/>
                <w:szCs w:val="21"/>
                <w:highlight w:val="none"/>
                <w:lang w:eastAsia="zh-CN"/>
              </w:rPr>
              <w:t>纬度</w:t>
            </w:r>
          </w:p>
        </w:tc>
        <w:tc>
          <w:tcPr>
            <w:tcW w:w="867" w:type="pct"/>
            <w:vMerge w:val="continue"/>
            <w:tcBorders>
              <w:tl2br w:val="nil"/>
              <w:tr2bl w:val="nil"/>
            </w:tcBorders>
            <w:vAlign w:val="center"/>
          </w:tcPr>
          <w:p w14:paraId="0783D5A8">
            <w:pPr>
              <w:widowControl/>
              <w:snapToGrid w:val="0"/>
              <w:spacing w:line="240" w:lineRule="auto"/>
              <w:ind w:firstLine="0" w:firstLineChars="0"/>
              <w:jc w:val="center"/>
              <w:rPr>
                <w:rFonts w:hint="eastAsia"/>
                <w:color w:val="auto"/>
                <w:sz w:val="21"/>
                <w:szCs w:val="21"/>
                <w:highlight w:val="none"/>
                <w:lang w:eastAsia="zh-CN"/>
              </w:rPr>
            </w:pPr>
          </w:p>
        </w:tc>
      </w:tr>
      <w:tr w14:paraId="140FF5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87" w:type="pct"/>
            <w:vMerge w:val="restart"/>
            <w:tcBorders>
              <w:tl2br w:val="nil"/>
              <w:tr2bl w:val="nil"/>
            </w:tcBorders>
            <w:vAlign w:val="center"/>
          </w:tcPr>
          <w:p w14:paraId="28DADD44">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cs="Times New Roman"/>
                <w:bCs/>
                <w:color w:val="auto"/>
                <w:sz w:val="21"/>
                <w:szCs w:val="21"/>
                <w:highlight w:val="none"/>
                <w:lang w:eastAsia="zh-CN"/>
              </w:rPr>
              <w:t>编号及坐标</w:t>
            </w:r>
          </w:p>
        </w:tc>
        <w:tc>
          <w:tcPr>
            <w:tcW w:w="1471" w:type="dxa"/>
            <w:tcBorders>
              <w:tl2br w:val="nil"/>
              <w:tr2bl w:val="nil"/>
            </w:tcBorders>
            <w:vAlign w:val="center"/>
          </w:tcPr>
          <w:p w14:paraId="4B357A76">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新胜乡新强村饮用水水源地</w:t>
            </w:r>
          </w:p>
        </w:tc>
        <w:tc>
          <w:tcPr>
            <w:tcW w:w="1655" w:type="dxa"/>
            <w:tcBorders>
              <w:tl2br w:val="nil"/>
              <w:tr2bl w:val="nil"/>
            </w:tcBorders>
            <w:vAlign w:val="center"/>
          </w:tcPr>
          <w:p w14:paraId="2F00563F">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127°36'08.0800"</w:t>
            </w:r>
          </w:p>
        </w:tc>
        <w:tc>
          <w:tcPr>
            <w:tcW w:w="1669" w:type="dxa"/>
            <w:tcBorders>
              <w:tl2br w:val="nil"/>
              <w:tr2bl w:val="nil"/>
            </w:tcBorders>
            <w:vAlign w:val="center"/>
          </w:tcPr>
          <w:p w14:paraId="0E3C3696">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46°43'49.5700"</w:t>
            </w:r>
          </w:p>
        </w:tc>
        <w:tc>
          <w:tcPr>
            <w:tcW w:w="434" w:type="pct"/>
            <w:vMerge w:val="restart"/>
            <w:tcBorders>
              <w:tl2br w:val="nil"/>
              <w:tr2bl w:val="nil"/>
            </w:tcBorders>
            <w:vAlign w:val="center"/>
          </w:tcPr>
          <w:p w14:paraId="39FD047C">
            <w:pPr>
              <w:widowControl/>
              <w:spacing w:line="240" w:lineRule="auto"/>
              <w:ind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bidi="ar"/>
              </w:rPr>
              <w:t>庆安县柳河镇新强村饮用水水源地</w:t>
            </w:r>
          </w:p>
        </w:tc>
        <w:tc>
          <w:tcPr>
            <w:tcW w:w="290" w:type="pct"/>
            <w:tcBorders>
              <w:tl2br w:val="nil"/>
              <w:tr2bl w:val="nil"/>
            </w:tcBorders>
            <w:vAlign w:val="center"/>
          </w:tcPr>
          <w:p w14:paraId="1F9A9C27">
            <w:pPr>
              <w:widowControl/>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kern w:val="0"/>
                <w:sz w:val="21"/>
                <w:szCs w:val="21"/>
                <w:highlight w:val="none"/>
                <w:lang w:val="en-US" w:eastAsia="zh-CN"/>
              </w:rPr>
              <w:t>1#</w:t>
            </w:r>
          </w:p>
        </w:tc>
        <w:tc>
          <w:tcPr>
            <w:tcW w:w="636" w:type="pct"/>
            <w:tcBorders>
              <w:tl2br w:val="nil"/>
              <w:tr2bl w:val="nil"/>
            </w:tcBorders>
            <w:vAlign w:val="center"/>
          </w:tcPr>
          <w:p w14:paraId="1E3CAAFA">
            <w:pPr>
              <w:widowControl/>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127°36'20.0261"</w:t>
            </w:r>
          </w:p>
        </w:tc>
        <w:tc>
          <w:tcPr>
            <w:tcW w:w="584" w:type="pct"/>
            <w:tcBorders>
              <w:tl2br w:val="nil"/>
              <w:tr2bl w:val="nil"/>
            </w:tcBorders>
            <w:vAlign w:val="center"/>
          </w:tcPr>
          <w:p w14:paraId="6337DE2D">
            <w:pPr>
              <w:widowControl/>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46°43'59.4195"</w:t>
            </w:r>
          </w:p>
        </w:tc>
        <w:tc>
          <w:tcPr>
            <w:tcW w:w="867" w:type="pct"/>
            <w:vMerge w:val="restart"/>
            <w:tcBorders>
              <w:tl2br w:val="nil"/>
              <w:tr2bl w:val="nil"/>
            </w:tcBorders>
            <w:vAlign w:val="center"/>
          </w:tcPr>
          <w:p w14:paraId="60E957CA">
            <w:pPr>
              <w:widowControl/>
              <w:snapToGrid w:val="0"/>
              <w:spacing w:line="240" w:lineRule="auto"/>
              <w:ind w:firstLine="0" w:firstLineChars="0"/>
              <w:jc w:val="both"/>
              <w:rPr>
                <w:rFonts w:hint="eastAsia" w:cs="Times New Roman"/>
                <w:color w:val="auto"/>
                <w:kern w:val="0"/>
                <w:sz w:val="21"/>
                <w:szCs w:val="21"/>
                <w:highlight w:val="none"/>
                <w:lang w:val="en-US" w:eastAsia="zh-CN" w:bidi="ar"/>
              </w:rPr>
            </w:pPr>
            <w:r>
              <w:rPr>
                <w:rFonts w:hint="eastAsia" w:cs="Times New Roman"/>
                <w:color w:val="auto"/>
                <w:sz w:val="21"/>
                <w:szCs w:val="21"/>
                <w:highlight w:val="none"/>
                <w:lang w:val="en-US" w:eastAsia="zh-CN"/>
              </w:rPr>
              <w:t>本次调整的</w:t>
            </w:r>
            <w:r>
              <w:rPr>
                <w:rFonts w:hint="eastAsia" w:ascii="Times New Roman" w:hAnsi="Times New Roman" w:eastAsia="宋体" w:cs="Times New Roman"/>
                <w:color w:val="auto"/>
                <w:kern w:val="0"/>
                <w:sz w:val="21"/>
                <w:szCs w:val="21"/>
                <w:highlight w:val="none"/>
                <w:lang w:val="en-US" w:eastAsia="zh-CN" w:bidi="ar"/>
              </w:rPr>
              <w:t>庆安县柳河镇新强村饮用水水源地</w:t>
            </w:r>
            <w:r>
              <w:rPr>
                <w:rFonts w:hint="eastAsia" w:cs="Times New Roman"/>
                <w:color w:val="auto"/>
                <w:kern w:val="0"/>
                <w:sz w:val="21"/>
                <w:szCs w:val="21"/>
                <w:highlight w:val="none"/>
                <w:lang w:val="en-US" w:eastAsia="zh-CN" w:bidi="ar"/>
              </w:rPr>
              <w:t>替代庆安县新胜乡新明村饮用水水源地、新胜乡新光村饮用水水源地、新胜乡新强村饮用水水源地、新胜乡新清村饮用水水源地、柳河镇新升饮用水水源地。</w:t>
            </w:r>
          </w:p>
          <w:p w14:paraId="333E212D">
            <w:pPr>
              <w:widowControl/>
              <w:snapToGrid w:val="0"/>
              <w:spacing w:line="240" w:lineRule="auto"/>
              <w:ind w:firstLine="0" w:firstLineChars="0"/>
              <w:jc w:val="both"/>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sz w:val="21"/>
                <w:szCs w:val="21"/>
                <w:highlight w:val="none"/>
                <w:lang w:val="en-US" w:eastAsia="zh-CN"/>
              </w:rPr>
              <w:t>本次调整后</w:t>
            </w:r>
            <w:r>
              <w:rPr>
                <w:rFonts w:hint="default" w:ascii="Times New Roman" w:hAnsi="Times New Roman" w:eastAsia="宋体" w:cs="Times New Roman"/>
                <w:color w:val="auto"/>
                <w:sz w:val="21"/>
                <w:szCs w:val="21"/>
                <w:highlight w:val="none"/>
                <w:lang w:val="en-US" w:eastAsia="zh-CN"/>
              </w:rPr>
              <w:t>通过多水源联网、管网互联互通、规模化集中供水，供水保障率、供水稳定性、水质达标率进一步提升，有效解决了原分散式水源地规模小、易污染、运维难度大等问题，群众饮水安全更有保障</w:t>
            </w:r>
            <w:r>
              <w:rPr>
                <w:rFonts w:hint="eastAsia" w:cs="Times New Roman"/>
                <w:color w:val="auto"/>
                <w:sz w:val="21"/>
                <w:szCs w:val="21"/>
                <w:highlight w:val="none"/>
                <w:lang w:val="en-US" w:eastAsia="zh-CN"/>
              </w:rPr>
              <w:t>。</w:t>
            </w:r>
          </w:p>
        </w:tc>
      </w:tr>
      <w:tr w14:paraId="4FAD53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87" w:type="pct"/>
            <w:vMerge w:val="continue"/>
            <w:tcBorders>
              <w:tl2br w:val="nil"/>
              <w:tr2bl w:val="nil"/>
            </w:tcBorders>
            <w:vAlign w:val="center"/>
          </w:tcPr>
          <w:p w14:paraId="56F5E0B4">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p>
        </w:tc>
        <w:tc>
          <w:tcPr>
            <w:tcW w:w="521" w:type="pct"/>
            <w:tcBorders>
              <w:tl2br w:val="nil"/>
              <w:tr2bl w:val="nil"/>
            </w:tcBorders>
            <w:vAlign w:val="center"/>
          </w:tcPr>
          <w:p w14:paraId="1E07B4E8">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86" w:type="pct"/>
            <w:tcBorders>
              <w:tl2br w:val="nil"/>
              <w:tr2bl w:val="nil"/>
            </w:tcBorders>
            <w:vAlign w:val="center"/>
          </w:tcPr>
          <w:p w14:paraId="6B7D0EC1">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w:t>
            </w:r>
          </w:p>
        </w:tc>
        <w:tc>
          <w:tcPr>
            <w:tcW w:w="591" w:type="pct"/>
            <w:tcBorders>
              <w:tl2br w:val="nil"/>
              <w:tr2bl w:val="nil"/>
            </w:tcBorders>
            <w:vAlign w:val="center"/>
          </w:tcPr>
          <w:p w14:paraId="3319267C">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w:t>
            </w:r>
          </w:p>
        </w:tc>
        <w:tc>
          <w:tcPr>
            <w:tcW w:w="434" w:type="pct"/>
            <w:vMerge w:val="continue"/>
            <w:tcBorders>
              <w:tl2br w:val="nil"/>
              <w:tr2bl w:val="nil"/>
            </w:tcBorders>
            <w:vAlign w:val="center"/>
          </w:tcPr>
          <w:p w14:paraId="6E715B25">
            <w:pPr>
              <w:widowControl/>
              <w:spacing w:line="240" w:lineRule="auto"/>
              <w:ind w:firstLine="0" w:firstLineChars="0"/>
              <w:jc w:val="center"/>
              <w:textAlignment w:val="center"/>
              <w:rPr>
                <w:rFonts w:hint="default" w:ascii="Times New Roman" w:hAnsi="Times New Roman" w:eastAsia="宋体" w:cs="Times New Roman"/>
                <w:color w:val="auto"/>
                <w:sz w:val="21"/>
                <w:szCs w:val="21"/>
                <w:highlight w:val="none"/>
                <w:lang w:val="en-US" w:eastAsia="zh-CN"/>
              </w:rPr>
            </w:pPr>
          </w:p>
        </w:tc>
        <w:tc>
          <w:tcPr>
            <w:tcW w:w="290" w:type="pct"/>
            <w:tcBorders>
              <w:tl2br w:val="nil"/>
              <w:tr2bl w:val="nil"/>
            </w:tcBorders>
            <w:vAlign w:val="center"/>
          </w:tcPr>
          <w:p w14:paraId="4510048B">
            <w:pPr>
              <w:widowControl/>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kern w:val="0"/>
                <w:sz w:val="21"/>
                <w:szCs w:val="21"/>
                <w:highlight w:val="none"/>
                <w:lang w:val="en-US" w:eastAsia="zh-CN"/>
              </w:rPr>
              <w:t>2#</w:t>
            </w:r>
          </w:p>
        </w:tc>
        <w:tc>
          <w:tcPr>
            <w:tcW w:w="636" w:type="pct"/>
            <w:tcBorders>
              <w:tl2br w:val="nil"/>
              <w:tr2bl w:val="nil"/>
            </w:tcBorders>
            <w:vAlign w:val="center"/>
          </w:tcPr>
          <w:p w14:paraId="26B86BB9">
            <w:pPr>
              <w:widowControl/>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127°35'41.6485"</w:t>
            </w:r>
          </w:p>
        </w:tc>
        <w:tc>
          <w:tcPr>
            <w:tcW w:w="584" w:type="pct"/>
            <w:tcBorders>
              <w:tl2br w:val="nil"/>
              <w:tr2bl w:val="nil"/>
            </w:tcBorders>
            <w:vAlign w:val="center"/>
          </w:tcPr>
          <w:p w14:paraId="3DC82908">
            <w:pPr>
              <w:widowControl/>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46°43'51.7092"</w:t>
            </w:r>
          </w:p>
        </w:tc>
        <w:tc>
          <w:tcPr>
            <w:tcW w:w="867" w:type="pct"/>
            <w:vMerge w:val="continue"/>
            <w:tcBorders>
              <w:tl2br w:val="nil"/>
              <w:tr2bl w:val="nil"/>
            </w:tcBorders>
            <w:vAlign w:val="center"/>
          </w:tcPr>
          <w:p w14:paraId="0D7E083C">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r>
      <w:tr w14:paraId="4A5B3A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87" w:type="pct"/>
            <w:vMerge w:val="continue"/>
            <w:tcBorders>
              <w:tl2br w:val="nil"/>
              <w:tr2bl w:val="nil"/>
            </w:tcBorders>
            <w:vAlign w:val="center"/>
          </w:tcPr>
          <w:p w14:paraId="105A1A1A">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p>
        </w:tc>
        <w:tc>
          <w:tcPr>
            <w:tcW w:w="1471" w:type="dxa"/>
            <w:tcBorders>
              <w:tl2br w:val="nil"/>
              <w:tr2bl w:val="nil"/>
            </w:tcBorders>
            <w:vAlign w:val="center"/>
          </w:tcPr>
          <w:p w14:paraId="21A8E401">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1655" w:type="dxa"/>
            <w:tcBorders>
              <w:tl2br w:val="nil"/>
              <w:tr2bl w:val="nil"/>
            </w:tcBorders>
            <w:vAlign w:val="center"/>
          </w:tcPr>
          <w:p w14:paraId="131F1B05">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w:t>
            </w:r>
          </w:p>
        </w:tc>
        <w:tc>
          <w:tcPr>
            <w:tcW w:w="1669" w:type="dxa"/>
            <w:tcBorders>
              <w:tl2br w:val="nil"/>
              <w:tr2bl w:val="nil"/>
            </w:tcBorders>
            <w:vAlign w:val="center"/>
          </w:tcPr>
          <w:p w14:paraId="27E40B01">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w:t>
            </w:r>
          </w:p>
        </w:tc>
        <w:tc>
          <w:tcPr>
            <w:tcW w:w="434" w:type="pct"/>
            <w:vMerge w:val="continue"/>
            <w:tcBorders>
              <w:tl2br w:val="nil"/>
              <w:tr2bl w:val="nil"/>
            </w:tcBorders>
            <w:vAlign w:val="center"/>
          </w:tcPr>
          <w:p w14:paraId="6D583CF6">
            <w:pPr>
              <w:widowControl/>
              <w:spacing w:line="240" w:lineRule="auto"/>
              <w:ind w:firstLine="0" w:firstLineChars="0"/>
              <w:jc w:val="center"/>
              <w:textAlignment w:val="center"/>
              <w:rPr>
                <w:rFonts w:hint="default" w:ascii="Times New Roman" w:hAnsi="Times New Roman" w:eastAsia="宋体" w:cs="Times New Roman"/>
                <w:color w:val="auto"/>
                <w:sz w:val="21"/>
                <w:szCs w:val="21"/>
                <w:highlight w:val="none"/>
                <w:lang w:val="en-US" w:eastAsia="zh-CN"/>
              </w:rPr>
            </w:pPr>
          </w:p>
        </w:tc>
        <w:tc>
          <w:tcPr>
            <w:tcW w:w="290" w:type="pct"/>
            <w:tcBorders>
              <w:tl2br w:val="nil"/>
              <w:tr2bl w:val="nil"/>
            </w:tcBorders>
            <w:vAlign w:val="center"/>
          </w:tcPr>
          <w:p w14:paraId="79D9C26E">
            <w:pPr>
              <w:widowControl/>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kern w:val="0"/>
                <w:sz w:val="21"/>
                <w:szCs w:val="21"/>
                <w:highlight w:val="none"/>
                <w:lang w:val="en-US" w:eastAsia="zh-CN"/>
              </w:rPr>
              <w:t>3#</w:t>
            </w:r>
          </w:p>
        </w:tc>
        <w:tc>
          <w:tcPr>
            <w:tcW w:w="636" w:type="pct"/>
            <w:tcBorders>
              <w:tl2br w:val="nil"/>
              <w:tr2bl w:val="nil"/>
            </w:tcBorders>
            <w:vAlign w:val="center"/>
          </w:tcPr>
          <w:p w14:paraId="2C9E3078">
            <w:pPr>
              <w:widowControl/>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127°35'41.0981"</w:t>
            </w:r>
          </w:p>
        </w:tc>
        <w:tc>
          <w:tcPr>
            <w:tcW w:w="584" w:type="pct"/>
            <w:tcBorders>
              <w:tl2br w:val="nil"/>
              <w:tr2bl w:val="nil"/>
            </w:tcBorders>
            <w:vAlign w:val="center"/>
          </w:tcPr>
          <w:p w14:paraId="55E9C491">
            <w:pPr>
              <w:widowControl/>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46°43'48.0723"</w:t>
            </w:r>
          </w:p>
        </w:tc>
        <w:tc>
          <w:tcPr>
            <w:tcW w:w="867" w:type="pct"/>
            <w:vMerge w:val="continue"/>
            <w:tcBorders>
              <w:tl2br w:val="nil"/>
              <w:tr2bl w:val="nil"/>
            </w:tcBorders>
            <w:vAlign w:val="center"/>
          </w:tcPr>
          <w:p w14:paraId="14EABBCF">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r>
      <w:tr w14:paraId="219279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87" w:type="pct"/>
            <w:vMerge w:val="continue"/>
            <w:tcBorders>
              <w:tl2br w:val="nil"/>
              <w:tr2bl w:val="nil"/>
            </w:tcBorders>
            <w:vAlign w:val="center"/>
          </w:tcPr>
          <w:p w14:paraId="6906A460">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p>
        </w:tc>
        <w:tc>
          <w:tcPr>
            <w:tcW w:w="1471" w:type="dxa"/>
            <w:tcBorders>
              <w:tl2br w:val="nil"/>
              <w:tr2bl w:val="nil"/>
            </w:tcBorders>
            <w:vAlign w:val="center"/>
          </w:tcPr>
          <w:p w14:paraId="246881F5">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1655" w:type="dxa"/>
            <w:tcBorders>
              <w:tl2br w:val="nil"/>
              <w:tr2bl w:val="nil"/>
            </w:tcBorders>
            <w:vAlign w:val="center"/>
          </w:tcPr>
          <w:p w14:paraId="6FE0D466">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w:t>
            </w:r>
          </w:p>
        </w:tc>
        <w:tc>
          <w:tcPr>
            <w:tcW w:w="1669" w:type="dxa"/>
            <w:tcBorders>
              <w:tl2br w:val="nil"/>
              <w:tr2bl w:val="nil"/>
            </w:tcBorders>
            <w:vAlign w:val="center"/>
          </w:tcPr>
          <w:p w14:paraId="141ADC89">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w:t>
            </w:r>
          </w:p>
        </w:tc>
        <w:tc>
          <w:tcPr>
            <w:tcW w:w="434" w:type="pct"/>
            <w:vMerge w:val="continue"/>
            <w:tcBorders>
              <w:tl2br w:val="nil"/>
              <w:tr2bl w:val="nil"/>
            </w:tcBorders>
            <w:vAlign w:val="center"/>
          </w:tcPr>
          <w:p w14:paraId="07651965">
            <w:pPr>
              <w:widowControl/>
              <w:spacing w:line="240" w:lineRule="auto"/>
              <w:ind w:firstLine="0" w:firstLineChars="0"/>
              <w:jc w:val="center"/>
              <w:textAlignment w:val="center"/>
              <w:rPr>
                <w:rFonts w:hint="default" w:ascii="Times New Roman" w:hAnsi="Times New Roman" w:eastAsia="宋体" w:cs="Times New Roman"/>
                <w:color w:val="auto"/>
                <w:sz w:val="21"/>
                <w:szCs w:val="21"/>
                <w:highlight w:val="none"/>
                <w:lang w:val="en-US" w:eastAsia="zh-CN"/>
              </w:rPr>
            </w:pPr>
          </w:p>
        </w:tc>
        <w:tc>
          <w:tcPr>
            <w:tcW w:w="290" w:type="pct"/>
            <w:tcBorders>
              <w:tl2br w:val="nil"/>
              <w:tr2bl w:val="nil"/>
            </w:tcBorders>
            <w:vAlign w:val="center"/>
          </w:tcPr>
          <w:p w14:paraId="2719F6AC">
            <w:pPr>
              <w:widowControl/>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kern w:val="0"/>
                <w:sz w:val="21"/>
                <w:szCs w:val="21"/>
                <w:highlight w:val="none"/>
                <w:lang w:val="en-US" w:eastAsia="zh-CN"/>
              </w:rPr>
              <w:t>4#</w:t>
            </w:r>
          </w:p>
        </w:tc>
        <w:tc>
          <w:tcPr>
            <w:tcW w:w="636" w:type="pct"/>
            <w:tcBorders>
              <w:tl2br w:val="nil"/>
              <w:tr2bl w:val="nil"/>
            </w:tcBorders>
            <w:vAlign w:val="center"/>
          </w:tcPr>
          <w:p w14:paraId="66CFB52A">
            <w:pPr>
              <w:widowControl/>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127°35'38.1840"</w:t>
            </w:r>
          </w:p>
        </w:tc>
        <w:tc>
          <w:tcPr>
            <w:tcW w:w="584" w:type="pct"/>
            <w:tcBorders>
              <w:tl2br w:val="nil"/>
              <w:tr2bl w:val="nil"/>
            </w:tcBorders>
            <w:vAlign w:val="center"/>
          </w:tcPr>
          <w:p w14:paraId="674796C5">
            <w:pPr>
              <w:widowControl/>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46°43'49.2110"</w:t>
            </w:r>
          </w:p>
        </w:tc>
        <w:tc>
          <w:tcPr>
            <w:tcW w:w="867" w:type="pct"/>
            <w:vMerge w:val="continue"/>
            <w:tcBorders>
              <w:tl2br w:val="nil"/>
              <w:tr2bl w:val="nil"/>
            </w:tcBorders>
            <w:vAlign w:val="center"/>
          </w:tcPr>
          <w:p w14:paraId="20557AFB">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r>
      <w:tr w14:paraId="65BA71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9" w:hRule="atLeast"/>
        </w:trPr>
        <w:tc>
          <w:tcPr>
            <w:tcW w:w="487" w:type="pct"/>
            <w:vMerge w:val="continue"/>
            <w:tcBorders>
              <w:tl2br w:val="nil"/>
              <w:tr2bl w:val="nil"/>
            </w:tcBorders>
            <w:vAlign w:val="center"/>
          </w:tcPr>
          <w:p w14:paraId="2550867F">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p>
        </w:tc>
        <w:tc>
          <w:tcPr>
            <w:tcW w:w="1471" w:type="dxa"/>
            <w:tcBorders>
              <w:tl2br w:val="nil"/>
              <w:tr2bl w:val="nil"/>
            </w:tcBorders>
            <w:vAlign w:val="center"/>
          </w:tcPr>
          <w:p w14:paraId="3DE1B181">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1655" w:type="dxa"/>
            <w:tcBorders>
              <w:tl2br w:val="nil"/>
              <w:tr2bl w:val="nil"/>
            </w:tcBorders>
            <w:vAlign w:val="center"/>
          </w:tcPr>
          <w:p w14:paraId="3A3FA83F">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w:t>
            </w:r>
          </w:p>
        </w:tc>
        <w:tc>
          <w:tcPr>
            <w:tcW w:w="1669" w:type="dxa"/>
            <w:tcBorders>
              <w:tl2br w:val="nil"/>
              <w:tr2bl w:val="nil"/>
            </w:tcBorders>
            <w:vAlign w:val="center"/>
          </w:tcPr>
          <w:p w14:paraId="3479B514">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w:t>
            </w:r>
          </w:p>
        </w:tc>
        <w:tc>
          <w:tcPr>
            <w:tcW w:w="434" w:type="pct"/>
            <w:vMerge w:val="continue"/>
            <w:tcBorders>
              <w:tl2br w:val="nil"/>
              <w:tr2bl w:val="nil"/>
            </w:tcBorders>
            <w:vAlign w:val="center"/>
          </w:tcPr>
          <w:p w14:paraId="7B60DC2A">
            <w:pPr>
              <w:widowControl/>
              <w:spacing w:line="240" w:lineRule="auto"/>
              <w:ind w:firstLine="0" w:firstLineChars="0"/>
              <w:jc w:val="center"/>
              <w:textAlignment w:val="center"/>
              <w:rPr>
                <w:rFonts w:hint="default" w:ascii="Times New Roman" w:hAnsi="Times New Roman" w:eastAsia="宋体" w:cs="Times New Roman"/>
                <w:color w:val="auto"/>
                <w:sz w:val="21"/>
                <w:szCs w:val="21"/>
                <w:highlight w:val="none"/>
                <w:lang w:val="en-US" w:eastAsia="zh-CN"/>
              </w:rPr>
            </w:pPr>
          </w:p>
        </w:tc>
        <w:tc>
          <w:tcPr>
            <w:tcW w:w="290" w:type="pct"/>
            <w:tcBorders>
              <w:tl2br w:val="nil"/>
              <w:tr2bl w:val="nil"/>
            </w:tcBorders>
            <w:vAlign w:val="center"/>
          </w:tcPr>
          <w:p w14:paraId="1D7F4195">
            <w:pPr>
              <w:widowControl/>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kern w:val="0"/>
                <w:sz w:val="21"/>
                <w:szCs w:val="21"/>
                <w:highlight w:val="none"/>
                <w:lang w:val="en-US" w:eastAsia="zh-CN"/>
              </w:rPr>
              <w:t>5#</w:t>
            </w:r>
          </w:p>
        </w:tc>
        <w:tc>
          <w:tcPr>
            <w:tcW w:w="636" w:type="pct"/>
            <w:tcBorders>
              <w:tl2br w:val="nil"/>
              <w:tr2bl w:val="nil"/>
            </w:tcBorders>
            <w:vAlign w:val="center"/>
          </w:tcPr>
          <w:p w14:paraId="214CB907">
            <w:pPr>
              <w:widowControl/>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127°35'34.1340"</w:t>
            </w:r>
          </w:p>
        </w:tc>
        <w:tc>
          <w:tcPr>
            <w:tcW w:w="584" w:type="pct"/>
            <w:tcBorders>
              <w:tl2br w:val="nil"/>
              <w:tr2bl w:val="nil"/>
            </w:tcBorders>
            <w:vAlign w:val="center"/>
          </w:tcPr>
          <w:p w14:paraId="6DC39354">
            <w:pPr>
              <w:widowControl/>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46°43'49.1550"</w:t>
            </w:r>
          </w:p>
        </w:tc>
        <w:tc>
          <w:tcPr>
            <w:tcW w:w="867" w:type="pct"/>
            <w:vMerge w:val="continue"/>
            <w:tcBorders>
              <w:tl2br w:val="nil"/>
              <w:tr2bl w:val="nil"/>
            </w:tcBorders>
            <w:vAlign w:val="center"/>
          </w:tcPr>
          <w:p w14:paraId="592B6FCB">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r>
      <w:tr w14:paraId="0C458A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87" w:type="pct"/>
            <w:tcBorders>
              <w:tl2br w:val="nil"/>
              <w:tr2bl w:val="nil"/>
            </w:tcBorders>
            <w:vAlign w:val="center"/>
          </w:tcPr>
          <w:p w14:paraId="6348DFC6">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水井数量</w:t>
            </w:r>
          </w:p>
        </w:tc>
        <w:tc>
          <w:tcPr>
            <w:tcW w:w="1700" w:type="pct"/>
            <w:gridSpan w:val="3"/>
            <w:tcBorders>
              <w:tl2br w:val="nil"/>
              <w:tr2bl w:val="nil"/>
            </w:tcBorders>
            <w:shd w:val="clear" w:color="auto" w:fill="auto"/>
            <w:vAlign w:val="center"/>
          </w:tcPr>
          <w:p w14:paraId="14F8B02F">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5眼</w:t>
            </w:r>
          </w:p>
        </w:tc>
        <w:tc>
          <w:tcPr>
            <w:tcW w:w="1944" w:type="pct"/>
            <w:gridSpan w:val="4"/>
            <w:tcBorders>
              <w:tl2br w:val="nil"/>
              <w:tr2bl w:val="nil"/>
            </w:tcBorders>
            <w:shd w:val="clear" w:color="auto" w:fill="auto"/>
            <w:vAlign w:val="center"/>
          </w:tcPr>
          <w:p w14:paraId="6C1641E0">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rPr>
              <w:t>5眼</w:t>
            </w:r>
          </w:p>
        </w:tc>
        <w:tc>
          <w:tcPr>
            <w:tcW w:w="867" w:type="pct"/>
            <w:vMerge w:val="continue"/>
            <w:tcBorders>
              <w:tl2br w:val="nil"/>
              <w:tr2bl w:val="nil"/>
            </w:tcBorders>
            <w:shd w:val="clear" w:color="auto" w:fill="auto"/>
            <w:vAlign w:val="center"/>
          </w:tcPr>
          <w:p w14:paraId="4B9159BA">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p>
        </w:tc>
      </w:tr>
      <w:tr w14:paraId="664B712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75" w:type="dxa"/>
            <w:tcBorders>
              <w:tl2br w:val="nil"/>
              <w:tr2bl w:val="nil"/>
            </w:tcBorders>
            <w:vAlign w:val="center"/>
          </w:tcPr>
          <w:p w14:paraId="5EAE2AFD">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服务范围</w:t>
            </w:r>
          </w:p>
        </w:tc>
        <w:tc>
          <w:tcPr>
            <w:tcW w:w="1700" w:type="pct"/>
            <w:gridSpan w:val="3"/>
            <w:tcBorders>
              <w:tl2br w:val="nil"/>
              <w:tr2bl w:val="nil"/>
            </w:tcBorders>
            <w:shd w:val="clear" w:color="auto" w:fill="auto"/>
            <w:vAlign w:val="center"/>
          </w:tcPr>
          <w:p w14:paraId="0A4308BC">
            <w:pPr>
              <w:widowControl/>
              <w:snapToGrid w:val="0"/>
              <w:spacing w:line="240" w:lineRule="auto"/>
              <w:ind w:firstLine="0" w:firstLineChars="0"/>
              <w:jc w:val="both"/>
              <w:rPr>
                <w:rFonts w:hint="eastAsia"/>
                <w:color w:val="auto"/>
                <w:spacing w:val="-2"/>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新强村陈良屯、刘风明屯、烧窝棚屯、焦仁匠屯、周富屯、梨树园屯</w:t>
            </w:r>
          </w:p>
        </w:tc>
        <w:tc>
          <w:tcPr>
            <w:tcW w:w="1944" w:type="pct"/>
            <w:gridSpan w:val="4"/>
            <w:tcBorders>
              <w:tl2br w:val="nil"/>
              <w:tr2bl w:val="nil"/>
            </w:tcBorders>
            <w:shd w:val="clear" w:color="auto" w:fill="auto"/>
            <w:vAlign w:val="center"/>
          </w:tcPr>
          <w:p w14:paraId="3C9F0CC0">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color w:val="auto"/>
                <w:spacing w:val="-2"/>
                <w:sz w:val="21"/>
                <w:szCs w:val="21"/>
                <w:highlight w:val="none"/>
              </w:rPr>
              <w:t>柳河镇内新强村、新光村、新明村、新清村、新升村，共计5个行政村47个自然屯</w:t>
            </w:r>
          </w:p>
        </w:tc>
        <w:tc>
          <w:tcPr>
            <w:tcW w:w="867" w:type="pct"/>
            <w:vMerge w:val="continue"/>
            <w:tcBorders>
              <w:tl2br w:val="nil"/>
              <w:tr2bl w:val="nil"/>
            </w:tcBorders>
            <w:shd w:val="clear" w:color="auto" w:fill="auto"/>
            <w:vAlign w:val="center"/>
          </w:tcPr>
          <w:p w14:paraId="3ABEEF76">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p>
        </w:tc>
      </w:tr>
      <w:tr w14:paraId="102129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75" w:type="dxa"/>
            <w:tcBorders>
              <w:tl2br w:val="nil"/>
              <w:tr2bl w:val="nil"/>
            </w:tcBorders>
            <w:vAlign w:val="center"/>
          </w:tcPr>
          <w:p w14:paraId="6849AAB0">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服务人口</w:t>
            </w:r>
          </w:p>
        </w:tc>
        <w:tc>
          <w:tcPr>
            <w:tcW w:w="1700" w:type="pct"/>
            <w:gridSpan w:val="3"/>
            <w:tcBorders>
              <w:tl2br w:val="nil"/>
              <w:tr2bl w:val="nil"/>
            </w:tcBorders>
            <w:shd w:val="clear" w:color="auto" w:fill="auto"/>
            <w:vAlign w:val="center"/>
          </w:tcPr>
          <w:p w14:paraId="61F5268E">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ascii="宋体" w:hAnsi="宋体"/>
                <w:color w:val="auto"/>
                <w:kern w:val="0"/>
                <w:sz w:val="21"/>
                <w:szCs w:val="21"/>
                <w:highlight w:val="none"/>
              </w:rPr>
              <w:t>服务人口</w:t>
            </w:r>
            <w:r>
              <w:rPr>
                <w:rFonts w:hint="default" w:ascii="Times New Roman" w:hAnsi="Times New Roman" w:cs="Times New Roman"/>
                <w:color w:val="auto"/>
                <w:kern w:val="0"/>
                <w:sz w:val="21"/>
                <w:szCs w:val="21"/>
                <w:highlight w:val="none"/>
                <w:lang w:val="en-US" w:eastAsia="zh-CN"/>
              </w:rPr>
              <w:t>1988</w:t>
            </w:r>
            <w:r>
              <w:rPr>
                <w:rFonts w:ascii="宋体" w:hAnsi="宋体"/>
                <w:color w:val="auto"/>
                <w:kern w:val="0"/>
                <w:sz w:val="21"/>
                <w:szCs w:val="21"/>
                <w:highlight w:val="none"/>
              </w:rPr>
              <w:t>人</w:t>
            </w:r>
          </w:p>
        </w:tc>
        <w:tc>
          <w:tcPr>
            <w:tcW w:w="1944" w:type="pct"/>
            <w:gridSpan w:val="4"/>
            <w:tcBorders>
              <w:tl2br w:val="nil"/>
              <w:tr2bl w:val="nil"/>
            </w:tcBorders>
            <w:shd w:val="clear" w:color="auto" w:fill="auto"/>
            <w:vAlign w:val="center"/>
          </w:tcPr>
          <w:p w14:paraId="753D62EA">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bidi="ar"/>
              </w:rPr>
              <w:t>服务人口</w:t>
            </w:r>
            <w:r>
              <w:rPr>
                <w:rFonts w:hint="eastAsia" w:cs="Times New Roman"/>
                <w:color w:val="auto"/>
                <w:kern w:val="0"/>
                <w:sz w:val="21"/>
                <w:szCs w:val="21"/>
                <w:highlight w:val="none"/>
                <w:lang w:val="en-US" w:eastAsia="zh-CN" w:bidi="ar"/>
              </w:rPr>
              <w:t>6097</w:t>
            </w:r>
            <w:r>
              <w:rPr>
                <w:rFonts w:hint="eastAsia" w:ascii="Times New Roman" w:hAnsi="Times New Roman" w:eastAsia="宋体" w:cs="Times New Roman"/>
                <w:color w:val="auto"/>
                <w:kern w:val="0"/>
                <w:sz w:val="21"/>
                <w:szCs w:val="21"/>
                <w:highlight w:val="none"/>
                <w:lang w:bidi="ar"/>
              </w:rPr>
              <w:t>人</w:t>
            </w:r>
          </w:p>
        </w:tc>
        <w:tc>
          <w:tcPr>
            <w:tcW w:w="867" w:type="pct"/>
            <w:vMerge w:val="continue"/>
            <w:tcBorders>
              <w:tl2br w:val="nil"/>
              <w:tr2bl w:val="nil"/>
            </w:tcBorders>
            <w:shd w:val="clear" w:color="auto" w:fill="auto"/>
            <w:vAlign w:val="center"/>
          </w:tcPr>
          <w:p w14:paraId="779179C3">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p>
        </w:tc>
      </w:tr>
      <w:tr w14:paraId="56FF3B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87" w:type="pct"/>
            <w:tcBorders>
              <w:tl2br w:val="nil"/>
              <w:tr2bl w:val="nil"/>
            </w:tcBorders>
            <w:vAlign w:val="center"/>
          </w:tcPr>
          <w:p w14:paraId="4B06DAD0">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埋藏条件</w:t>
            </w:r>
          </w:p>
        </w:tc>
        <w:tc>
          <w:tcPr>
            <w:tcW w:w="1700" w:type="pct"/>
            <w:gridSpan w:val="3"/>
            <w:tcBorders>
              <w:tl2br w:val="nil"/>
              <w:tr2bl w:val="nil"/>
            </w:tcBorders>
            <w:shd w:val="clear" w:color="auto" w:fill="auto"/>
            <w:vAlign w:val="center"/>
          </w:tcPr>
          <w:p w14:paraId="0E095532">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承压水</w:t>
            </w:r>
          </w:p>
        </w:tc>
        <w:tc>
          <w:tcPr>
            <w:tcW w:w="1944" w:type="pct"/>
            <w:gridSpan w:val="4"/>
            <w:tcBorders>
              <w:tl2br w:val="nil"/>
              <w:tr2bl w:val="nil"/>
            </w:tcBorders>
            <w:shd w:val="clear" w:color="auto" w:fill="auto"/>
            <w:vAlign w:val="center"/>
          </w:tcPr>
          <w:p w14:paraId="2FC13507">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
              </w:rPr>
              <w:t>承压水</w:t>
            </w:r>
          </w:p>
        </w:tc>
        <w:tc>
          <w:tcPr>
            <w:tcW w:w="867" w:type="pct"/>
            <w:vMerge w:val="continue"/>
            <w:tcBorders>
              <w:tl2br w:val="nil"/>
              <w:tr2bl w:val="nil"/>
            </w:tcBorders>
            <w:shd w:val="clear" w:color="auto" w:fill="auto"/>
            <w:vAlign w:val="center"/>
          </w:tcPr>
          <w:p w14:paraId="08278DFA">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
              </w:rPr>
            </w:pPr>
          </w:p>
        </w:tc>
      </w:tr>
      <w:tr w14:paraId="74AE77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87" w:type="pct"/>
            <w:tcBorders>
              <w:tl2br w:val="nil"/>
              <w:tr2bl w:val="nil"/>
            </w:tcBorders>
            <w:vAlign w:val="center"/>
          </w:tcPr>
          <w:p w14:paraId="336DFDD2">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color w:val="auto"/>
                <w:kern w:val="0"/>
                <w:sz w:val="21"/>
                <w:szCs w:val="21"/>
                <w:highlight w:val="none"/>
              </w:rPr>
              <w:t>保护区半径</w:t>
            </w:r>
          </w:p>
        </w:tc>
        <w:tc>
          <w:tcPr>
            <w:tcW w:w="1700" w:type="pct"/>
            <w:gridSpan w:val="3"/>
            <w:tcBorders>
              <w:tl2br w:val="nil"/>
              <w:tr2bl w:val="nil"/>
            </w:tcBorders>
            <w:shd w:val="clear" w:color="auto" w:fill="auto"/>
            <w:vAlign w:val="center"/>
          </w:tcPr>
          <w:p w14:paraId="1D117B68">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color w:val="auto"/>
                <w:kern w:val="0"/>
                <w:sz w:val="21"/>
                <w:szCs w:val="21"/>
                <w:highlight w:val="none"/>
                <w:lang w:val="en-US" w:eastAsia="zh-CN"/>
              </w:rPr>
              <w:t>30</w:t>
            </w:r>
            <w:r>
              <w:rPr>
                <w:color w:val="auto"/>
                <w:kern w:val="0"/>
                <w:sz w:val="21"/>
                <w:szCs w:val="21"/>
                <w:highlight w:val="none"/>
              </w:rPr>
              <w:t>米</w:t>
            </w:r>
          </w:p>
        </w:tc>
        <w:tc>
          <w:tcPr>
            <w:tcW w:w="1944" w:type="pct"/>
            <w:gridSpan w:val="4"/>
            <w:tcBorders>
              <w:tl2br w:val="nil"/>
              <w:tr2bl w:val="nil"/>
            </w:tcBorders>
            <w:shd w:val="clear" w:color="auto" w:fill="auto"/>
            <w:vAlign w:val="center"/>
          </w:tcPr>
          <w:p w14:paraId="50801291">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olor w:val="auto"/>
                <w:kern w:val="0"/>
                <w:sz w:val="21"/>
                <w:szCs w:val="21"/>
                <w:highlight w:val="none"/>
                <w:lang w:val="en-US" w:eastAsia="zh-CN"/>
              </w:rPr>
              <w:t>30</w:t>
            </w:r>
            <w:r>
              <w:rPr>
                <w:color w:val="auto"/>
                <w:kern w:val="0"/>
                <w:sz w:val="21"/>
                <w:szCs w:val="21"/>
                <w:highlight w:val="none"/>
              </w:rPr>
              <w:t>米</w:t>
            </w:r>
          </w:p>
        </w:tc>
        <w:tc>
          <w:tcPr>
            <w:tcW w:w="867" w:type="pct"/>
            <w:vMerge w:val="continue"/>
            <w:tcBorders>
              <w:tl2br w:val="nil"/>
              <w:tr2bl w:val="nil"/>
            </w:tcBorders>
            <w:shd w:val="clear" w:color="auto" w:fill="auto"/>
            <w:vAlign w:val="center"/>
          </w:tcPr>
          <w:p w14:paraId="67A1651B">
            <w:pPr>
              <w:widowControl/>
              <w:snapToGrid w:val="0"/>
              <w:spacing w:line="240" w:lineRule="auto"/>
              <w:ind w:firstLine="0" w:firstLineChars="0"/>
              <w:jc w:val="center"/>
              <w:rPr>
                <w:rFonts w:hint="eastAsia"/>
                <w:color w:val="auto"/>
                <w:kern w:val="0"/>
                <w:sz w:val="21"/>
                <w:szCs w:val="21"/>
                <w:highlight w:val="none"/>
                <w:lang w:val="en-US" w:eastAsia="zh-CN"/>
              </w:rPr>
            </w:pPr>
          </w:p>
        </w:tc>
      </w:tr>
      <w:tr w14:paraId="690C1E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87" w:type="pct"/>
            <w:tcBorders>
              <w:tl2br w:val="nil"/>
              <w:tr2bl w:val="nil"/>
            </w:tcBorders>
            <w:vAlign w:val="center"/>
          </w:tcPr>
          <w:p w14:paraId="1268686F">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color w:val="auto"/>
                <w:kern w:val="0"/>
                <w:sz w:val="21"/>
                <w:szCs w:val="21"/>
                <w:highlight w:val="none"/>
              </w:rPr>
              <w:t>一级保护区面积（平</w:t>
            </w:r>
            <w:r>
              <w:rPr>
                <w:rFonts w:hint="eastAsia"/>
                <w:color w:val="auto"/>
                <w:kern w:val="0"/>
                <w:sz w:val="21"/>
                <w:szCs w:val="21"/>
                <w:highlight w:val="none"/>
              </w:rPr>
              <w:t>方米</w:t>
            </w:r>
            <w:r>
              <w:rPr>
                <w:rFonts w:hint="eastAsia"/>
                <w:color w:val="auto"/>
                <w:kern w:val="0"/>
                <w:sz w:val="21"/>
                <w:szCs w:val="21"/>
                <w:highlight w:val="none"/>
                <w:lang w:eastAsia="zh-CN"/>
              </w:rPr>
              <w:t>）</w:t>
            </w:r>
          </w:p>
        </w:tc>
        <w:tc>
          <w:tcPr>
            <w:tcW w:w="1700" w:type="pct"/>
            <w:gridSpan w:val="3"/>
            <w:tcBorders>
              <w:tl2br w:val="nil"/>
              <w:tr2bl w:val="nil"/>
            </w:tcBorders>
            <w:shd w:val="clear" w:color="auto" w:fill="auto"/>
            <w:vAlign w:val="center"/>
          </w:tcPr>
          <w:p w14:paraId="1AEFBD81">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2826</w:t>
            </w:r>
          </w:p>
        </w:tc>
        <w:tc>
          <w:tcPr>
            <w:tcW w:w="1944" w:type="pct"/>
            <w:gridSpan w:val="4"/>
            <w:tcBorders>
              <w:tl2br w:val="nil"/>
              <w:tr2bl w:val="nil"/>
            </w:tcBorders>
            <w:shd w:val="clear" w:color="auto" w:fill="auto"/>
            <w:vAlign w:val="center"/>
          </w:tcPr>
          <w:p w14:paraId="004075A8">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olor w:val="auto"/>
                <w:sz w:val="21"/>
                <w:szCs w:val="21"/>
                <w:highlight w:val="none"/>
                <w:lang w:val="en-US" w:eastAsia="zh-CN"/>
              </w:rPr>
              <w:t>14130</w:t>
            </w:r>
          </w:p>
        </w:tc>
        <w:tc>
          <w:tcPr>
            <w:tcW w:w="867" w:type="pct"/>
            <w:vMerge w:val="continue"/>
            <w:tcBorders>
              <w:tl2br w:val="nil"/>
              <w:tr2bl w:val="nil"/>
            </w:tcBorders>
            <w:shd w:val="clear" w:color="auto" w:fill="auto"/>
            <w:vAlign w:val="center"/>
          </w:tcPr>
          <w:p w14:paraId="3965A166">
            <w:pPr>
              <w:widowControl/>
              <w:snapToGrid w:val="0"/>
              <w:spacing w:line="240" w:lineRule="auto"/>
              <w:ind w:firstLine="0" w:firstLineChars="0"/>
              <w:jc w:val="center"/>
              <w:rPr>
                <w:rFonts w:hint="eastAsia"/>
                <w:color w:val="auto"/>
                <w:sz w:val="21"/>
                <w:szCs w:val="21"/>
                <w:highlight w:val="none"/>
                <w:lang w:val="en-US" w:eastAsia="zh-CN"/>
              </w:rPr>
            </w:pPr>
          </w:p>
        </w:tc>
      </w:tr>
      <w:tr w14:paraId="679D3D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87" w:type="pct"/>
            <w:tcBorders>
              <w:tl2br w:val="nil"/>
              <w:tr2bl w:val="nil"/>
            </w:tcBorders>
            <w:vAlign w:val="center"/>
          </w:tcPr>
          <w:p w14:paraId="4EBAD15C">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color w:val="auto"/>
                <w:kern w:val="0"/>
                <w:sz w:val="21"/>
                <w:szCs w:val="21"/>
                <w:highlight w:val="none"/>
              </w:rPr>
              <w:t>二级保护区</w:t>
            </w:r>
            <w:r>
              <w:rPr>
                <w:rFonts w:hint="eastAsia"/>
                <w:color w:val="auto"/>
                <w:kern w:val="0"/>
                <w:sz w:val="21"/>
                <w:szCs w:val="21"/>
                <w:highlight w:val="none"/>
                <w:lang w:eastAsia="zh-CN"/>
              </w:rPr>
              <w:t>、</w:t>
            </w:r>
            <w:r>
              <w:rPr>
                <w:color w:val="auto"/>
                <w:kern w:val="0"/>
                <w:sz w:val="21"/>
                <w:szCs w:val="21"/>
                <w:highlight w:val="none"/>
              </w:rPr>
              <w:t>准保护区面积（平方</w:t>
            </w:r>
            <w:r>
              <w:rPr>
                <w:rFonts w:hint="eastAsia"/>
                <w:color w:val="auto"/>
                <w:kern w:val="0"/>
                <w:sz w:val="21"/>
                <w:szCs w:val="21"/>
                <w:highlight w:val="none"/>
              </w:rPr>
              <w:t>米</w:t>
            </w:r>
            <w:r>
              <w:rPr>
                <w:color w:val="auto"/>
                <w:kern w:val="0"/>
                <w:sz w:val="21"/>
                <w:szCs w:val="21"/>
                <w:highlight w:val="none"/>
              </w:rPr>
              <w:t>）</w:t>
            </w:r>
          </w:p>
        </w:tc>
        <w:tc>
          <w:tcPr>
            <w:tcW w:w="1700" w:type="pct"/>
            <w:gridSpan w:val="3"/>
            <w:tcBorders>
              <w:tl2br w:val="nil"/>
              <w:tr2bl w:val="nil"/>
            </w:tcBorders>
            <w:shd w:val="clear" w:color="auto" w:fill="auto"/>
            <w:vAlign w:val="center"/>
          </w:tcPr>
          <w:p w14:paraId="239A308B">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无</w:t>
            </w:r>
          </w:p>
        </w:tc>
        <w:tc>
          <w:tcPr>
            <w:tcW w:w="1944" w:type="pct"/>
            <w:gridSpan w:val="4"/>
            <w:tcBorders>
              <w:tl2br w:val="nil"/>
              <w:tr2bl w:val="nil"/>
            </w:tcBorders>
            <w:shd w:val="clear" w:color="auto" w:fill="auto"/>
            <w:vAlign w:val="center"/>
          </w:tcPr>
          <w:p w14:paraId="3F1583A8">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
              </w:rPr>
              <w:t>无</w:t>
            </w:r>
          </w:p>
        </w:tc>
        <w:tc>
          <w:tcPr>
            <w:tcW w:w="867" w:type="pct"/>
            <w:vMerge w:val="continue"/>
            <w:tcBorders>
              <w:tl2br w:val="nil"/>
              <w:tr2bl w:val="nil"/>
            </w:tcBorders>
            <w:shd w:val="clear" w:color="auto" w:fill="auto"/>
            <w:vAlign w:val="center"/>
          </w:tcPr>
          <w:p w14:paraId="487DC503">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
              </w:rPr>
            </w:pPr>
          </w:p>
        </w:tc>
      </w:tr>
      <w:tr w14:paraId="7D7871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87" w:type="pct"/>
            <w:tcBorders>
              <w:tl2br w:val="nil"/>
              <w:tr2bl w:val="nil"/>
            </w:tcBorders>
            <w:vAlign w:val="center"/>
          </w:tcPr>
          <w:p w14:paraId="394A87B5">
            <w:pPr>
              <w:widowControl/>
              <w:spacing w:line="240" w:lineRule="auto"/>
              <w:ind w:firstLine="0" w:firstLineChars="0"/>
              <w:jc w:val="center"/>
              <w:textAlignment w:val="center"/>
              <w:rPr>
                <w:color w:val="auto"/>
                <w:kern w:val="0"/>
                <w:sz w:val="21"/>
                <w:szCs w:val="21"/>
                <w:highlight w:val="none"/>
              </w:rPr>
            </w:pPr>
            <w:r>
              <w:rPr>
                <w:rFonts w:hint="eastAsia" w:ascii="Times New Roman" w:cs="Times New Roman"/>
                <w:color w:val="auto"/>
                <w:sz w:val="21"/>
                <w:szCs w:val="21"/>
                <w:highlight w:val="none"/>
              </w:rPr>
              <w:t>调整后保护区增减面积</w:t>
            </w:r>
            <w:r>
              <w:rPr>
                <w:color w:val="auto"/>
                <w:kern w:val="0"/>
                <w:sz w:val="21"/>
                <w:szCs w:val="21"/>
                <w:highlight w:val="none"/>
              </w:rPr>
              <w:t>（平方</w:t>
            </w:r>
            <w:r>
              <w:rPr>
                <w:rFonts w:hint="eastAsia"/>
                <w:color w:val="auto"/>
                <w:kern w:val="0"/>
                <w:sz w:val="21"/>
                <w:szCs w:val="21"/>
                <w:highlight w:val="none"/>
              </w:rPr>
              <w:t>米</w:t>
            </w:r>
            <w:r>
              <w:rPr>
                <w:color w:val="auto"/>
                <w:kern w:val="0"/>
                <w:sz w:val="21"/>
                <w:szCs w:val="21"/>
                <w:highlight w:val="none"/>
              </w:rPr>
              <w:t>）</w:t>
            </w:r>
          </w:p>
        </w:tc>
        <w:tc>
          <w:tcPr>
            <w:tcW w:w="3645" w:type="pct"/>
            <w:gridSpan w:val="7"/>
            <w:tcBorders>
              <w:tl2br w:val="nil"/>
              <w:tr2bl w:val="nil"/>
            </w:tcBorders>
            <w:shd w:val="clear" w:color="auto" w:fill="auto"/>
            <w:vAlign w:val="center"/>
          </w:tcPr>
          <w:p w14:paraId="2336A083">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+11304</w:t>
            </w:r>
          </w:p>
        </w:tc>
        <w:tc>
          <w:tcPr>
            <w:tcW w:w="867" w:type="pct"/>
            <w:vMerge w:val="continue"/>
            <w:tcBorders>
              <w:tl2br w:val="nil"/>
              <w:tr2bl w:val="nil"/>
            </w:tcBorders>
            <w:shd w:val="clear" w:color="auto" w:fill="auto"/>
            <w:vAlign w:val="center"/>
          </w:tcPr>
          <w:p w14:paraId="6B2239F6">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
              </w:rPr>
            </w:pPr>
          </w:p>
        </w:tc>
      </w:tr>
    </w:tbl>
    <w:p w14:paraId="2E483E1E">
      <w:pPr>
        <w:pStyle w:val="13"/>
        <w:spacing w:line="360" w:lineRule="auto"/>
        <w:ind w:left="0" w:leftChars="0" w:firstLine="0" w:firstLineChars="0"/>
        <w:jc w:val="center"/>
        <w:rPr>
          <w:rFonts w:hint="eastAsia" w:ascii="Times New Roman" w:hAnsi="Times New Roman" w:eastAsia="宋体" w:cs="Times New Roman"/>
          <w:color w:val="auto"/>
          <w:sz w:val="24"/>
          <w:szCs w:val="24"/>
          <w:highlight w:val="none"/>
          <w:lang w:val="zh-CN" w:eastAsia="zh-CN"/>
        </w:rPr>
      </w:pPr>
      <w:r>
        <w:rPr>
          <w:rFonts w:hint="eastAsia" w:ascii="Times New Roman" w:hAnsi="Times New Roman" w:eastAsia="宋体" w:cs="Times New Roman"/>
          <w:color w:val="auto"/>
          <w:sz w:val="24"/>
          <w:szCs w:val="24"/>
          <w:highlight w:val="none"/>
          <w:lang w:val="zh-CN" w:eastAsia="zh-CN"/>
        </w:rPr>
        <w:drawing>
          <wp:inline distT="0" distB="0" distL="114300" distR="114300">
            <wp:extent cx="7195820" cy="5086985"/>
            <wp:effectExtent l="0" t="0" r="5080" b="18415"/>
            <wp:docPr id="89" name="图片 89" descr="73ca2c29327feadb8030112c6afdeb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73ca2c29327feadb8030112c6afdebc0"/>
                    <pic:cNvPicPr>
                      <a:picLocks noChangeAspect="1"/>
                    </pic:cNvPicPr>
                  </pic:nvPicPr>
                  <pic:blipFill>
                    <a:blip r:embed="rId95"/>
                    <a:stretch>
                      <a:fillRect/>
                    </a:stretch>
                  </pic:blipFill>
                  <pic:spPr>
                    <a:xfrm>
                      <a:off x="0" y="0"/>
                      <a:ext cx="7195820" cy="5086985"/>
                    </a:xfrm>
                    <a:prstGeom prst="rect">
                      <a:avLst/>
                    </a:prstGeom>
                  </pic:spPr>
                </pic:pic>
              </a:graphicData>
            </a:graphic>
          </wp:inline>
        </w:drawing>
      </w:r>
    </w:p>
    <w:p w14:paraId="33D72343">
      <w:pPr>
        <w:pStyle w:val="13"/>
        <w:spacing w:line="360" w:lineRule="auto"/>
        <w:ind w:left="0" w:leftChars="0" w:firstLine="0" w:firstLineChars="0"/>
        <w:jc w:val="center"/>
        <w:rPr>
          <w:rFonts w:hint="eastAsia" w:ascii="Times New Roman" w:hAnsi="Times New Roman" w:eastAsia="黑体" w:cs="Times New Roman"/>
          <w:color w:val="auto"/>
          <w:sz w:val="24"/>
          <w:szCs w:val="24"/>
          <w:highlight w:val="none"/>
          <w:lang w:val="zh-CN" w:eastAsia="zh-CN"/>
        </w:rPr>
      </w:pPr>
      <w:r>
        <w:rPr>
          <w:rFonts w:hint="eastAsia" w:ascii="Times New Roman" w:hAnsi="Times New Roman" w:eastAsia="黑体" w:cs="Times New Roman"/>
          <w:color w:val="auto"/>
          <w:sz w:val="24"/>
          <w:szCs w:val="24"/>
          <w:highlight w:val="none"/>
          <w:lang w:val="zh-CN" w:eastAsia="zh-CN"/>
        </w:rPr>
        <w:t>图</w:t>
      </w:r>
      <w:r>
        <w:rPr>
          <w:rFonts w:hint="eastAsia" w:ascii="Times New Roman" w:hAnsi="Times New Roman" w:eastAsia="黑体" w:cs="Times New Roman"/>
          <w:color w:val="auto"/>
          <w:sz w:val="24"/>
          <w:szCs w:val="24"/>
          <w:highlight w:val="none"/>
          <w:lang w:val="en-US" w:eastAsia="zh-CN"/>
        </w:rPr>
        <w:t xml:space="preserve">3-12  </w:t>
      </w:r>
      <w:r>
        <w:rPr>
          <w:rFonts w:hint="eastAsia" w:ascii="Times New Roman" w:hAnsi="Times New Roman" w:eastAsia="黑体" w:cs="Times New Roman"/>
          <w:color w:val="auto"/>
          <w:sz w:val="24"/>
          <w:szCs w:val="24"/>
          <w:highlight w:val="none"/>
          <w:lang w:val="zh-CN" w:eastAsia="zh-CN"/>
        </w:rPr>
        <w:t>绥化市庆安县柳河镇新强村饮用水水源</w:t>
      </w:r>
      <w:r>
        <w:rPr>
          <w:rFonts w:hint="eastAsia" w:ascii="Times New Roman" w:hAnsi="Times New Roman" w:eastAsia="黑体" w:cs="Times New Roman"/>
          <w:color w:val="auto"/>
          <w:sz w:val="24"/>
          <w:szCs w:val="24"/>
          <w:highlight w:val="none"/>
          <w:lang w:val="en-US" w:eastAsia="zh-CN"/>
        </w:rPr>
        <w:t>保护区划分</w:t>
      </w:r>
      <w:r>
        <w:rPr>
          <w:rFonts w:hint="eastAsia" w:ascii="Times New Roman" w:hAnsi="Times New Roman" w:eastAsia="黑体" w:cs="Times New Roman"/>
          <w:color w:val="auto"/>
          <w:sz w:val="24"/>
          <w:szCs w:val="24"/>
          <w:highlight w:val="none"/>
          <w:lang w:val="zh-CN" w:eastAsia="zh-CN"/>
        </w:rPr>
        <w:t>前后对比图</w:t>
      </w:r>
    </w:p>
    <w:p w14:paraId="69A4C7C2">
      <w:pPr>
        <w:bidi w:val="0"/>
        <w:ind w:left="0" w:leftChars="0" w:firstLine="0" w:firstLineChars="0"/>
        <w:jc w:val="center"/>
        <w:rPr>
          <w:color w:val="auto"/>
          <w:highlight w:val="none"/>
          <w:lang w:val="en-US"/>
        </w:rPr>
      </w:pPr>
      <w:r>
        <w:rPr>
          <w:rFonts w:hint="eastAsia" w:ascii="Times New Roman" w:hAnsi="Times New Roman" w:eastAsia="黑体" w:cs="Times New Roman"/>
          <w:color w:val="auto"/>
          <w:sz w:val="24"/>
          <w:szCs w:val="24"/>
          <w:highlight w:val="none"/>
          <w:lang w:eastAsia="zh-CN"/>
        </w:rPr>
        <w:t>表</w:t>
      </w:r>
      <w:r>
        <w:rPr>
          <w:rFonts w:hint="eastAsia" w:ascii="Times New Roman" w:hAnsi="Times New Roman" w:eastAsia="黑体" w:cs="Times New Roman"/>
          <w:color w:val="auto"/>
          <w:sz w:val="24"/>
          <w:szCs w:val="24"/>
          <w:highlight w:val="none"/>
          <w:lang w:val="en-US" w:eastAsia="zh-CN"/>
        </w:rPr>
        <w:t>3-</w:t>
      </w:r>
      <w:r>
        <w:rPr>
          <w:rFonts w:hint="eastAsia" w:eastAsia="黑体" w:cs="Times New Roman"/>
          <w:color w:val="auto"/>
          <w:sz w:val="24"/>
          <w:szCs w:val="24"/>
          <w:highlight w:val="none"/>
          <w:lang w:val="en-US" w:eastAsia="zh-CN"/>
        </w:rPr>
        <w:t>10</w:t>
      </w:r>
      <w:r>
        <w:rPr>
          <w:rFonts w:hint="eastAsia" w:ascii="Times New Roman" w:hAnsi="Times New Roman" w:eastAsia="黑体" w:cs="Times New Roman"/>
          <w:color w:val="auto"/>
          <w:sz w:val="24"/>
          <w:szCs w:val="24"/>
          <w:highlight w:val="none"/>
          <w:lang w:val="en-US" w:eastAsia="zh-CN"/>
        </w:rPr>
        <w:t xml:space="preserve">  丰收乡</w:t>
      </w:r>
      <w:r>
        <w:rPr>
          <w:rFonts w:ascii="Times New Roman" w:hAnsi="Times New Roman" w:eastAsia="黑体" w:cs="Times New Roman"/>
          <w:color w:val="auto"/>
          <w:sz w:val="24"/>
          <w:szCs w:val="24"/>
          <w:highlight w:val="none"/>
        </w:rPr>
        <w:t>水源地调整前后对比</w:t>
      </w:r>
      <w:r>
        <w:rPr>
          <w:rFonts w:hint="eastAsia" w:ascii="Times New Roman" w:hAnsi="Times New Roman" w:eastAsia="黑体" w:cs="Times New Roman"/>
          <w:color w:val="auto"/>
          <w:sz w:val="24"/>
          <w:szCs w:val="24"/>
          <w:highlight w:val="none"/>
          <w:lang w:eastAsia="zh-CN"/>
        </w:rPr>
        <w:t>一览表</w:t>
      </w:r>
    </w:p>
    <w:tbl>
      <w:tblPr>
        <w:tblStyle w:val="22"/>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58"/>
        <w:gridCol w:w="1675"/>
        <w:gridCol w:w="1811"/>
        <w:gridCol w:w="1895"/>
        <w:gridCol w:w="1044"/>
        <w:gridCol w:w="645"/>
        <w:gridCol w:w="1695"/>
        <w:gridCol w:w="1575"/>
        <w:gridCol w:w="2400"/>
      </w:tblGrid>
      <w:tr w14:paraId="4A9DD6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81" w:type="pct"/>
            <w:vMerge w:val="restart"/>
            <w:tcBorders>
              <w:tl2br w:val="nil"/>
              <w:tr2bl w:val="nil"/>
            </w:tcBorders>
            <w:vAlign w:val="center"/>
          </w:tcPr>
          <w:p w14:paraId="510A83B7">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eastAsia="zh-CN" w:bidi="ar"/>
              </w:rPr>
            </w:pPr>
            <w:r>
              <w:rPr>
                <w:rFonts w:hint="eastAsia" w:ascii="Times New Roman" w:hAnsi="Times New Roman" w:eastAsia="宋体" w:cs="Times New Roman"/>
                <w:color w:val="auto"/>
                <w:kern w:val="0"/>
                <w:sz w:val="21"/>
                <w:szCs w:val="21"/>
                <w:highlight w:val="none"/>
                <w:lang w:eastAsia="zh-CN" w:bidi="ar"/>
              </w:rPr>
              <w:t>项目</w:t>
            </w:r>
          </w:p>
        </w:tc>
        <w:tc>
          <w:tcPr>
            <w:tcW w:w="1908" w:type="pct"/>
            <w:gridSpan w:val="3"/>
            <w:tcBorders>
              <w:tl2br w:val="nil"/>
              <w:tr2bl w:val="nil"/>
            </w:tcBorders>
            <w:vAlign w:val="center"/>
          </w:tcPr>
          <w:p w14:paraId="4AB0FFCE">
            <w:pPr>
              <w:widowControl/>
              <w:spacing w:line="240" w:lineRule="auto"/>
              <w:ind w:firstLine="0" w:firstLineChars="0"/>
              <w:jc w:val="center"/>
              <w:textAlignment w:val="center"/>
              <w:rPr>
                <w:rFonts w:hint="eastAsia" w:cs="Times New Roman"/>
                <w:color w:val="auto"/>
                <w:kern w:val="0"/>
                <w:sz w:val="21"/>
                <w:szCs w:val="21"/>
                <w:highlight w:val="none"/>
                <w:lang w:eastAsia="zh-CN" w:bidi="ar"/>
              </w:rPr>
            </w:pPr>
            <w:r>
              <w:rPr>
                <w:rFonts w:hint="eastAsia" w:cs="Times New Roman"/>
                <w:color w:val="auto"/>
                <w:kern w:val="0"/>
                <w:sz w:val="21"/>
                <w:szCs w:val="21"/>
                <w:highlight w:val="none"/>
                <w:lang w:eastAsia="zh-CN" w:bidi="ar"/>
              </w:rPr>
              <w:t>调整前</w:t>
            </w:r>
          </w:p>
        </w:tc>
        <w:tc>
          <w:tcPr>
            <w:tcW w:w="1758" w:type="pct"/>
            <w:gridSpan w:val="4"/>
            <w:tcBorders>
              <w:tl2br w:val="nil"/>
              <w:tr2bl w:val="nil"/>
            </w:tcBorders>
            <w:vAlign w:val="center"/>
          </w:tcPr>
          <w:p w14:paraId="05977786">
            <w:pPr>
              <w:widowControl/>
              <w:spacing w:line="240" w:lineRule="auto"/>
              <w:ind w:firstLine="0" w:firstLineChars="0"/>
              <w:jc w:val="center"/>
              <w:textAlignment w:val="center"/>
              <w:rPr>
                <w:rFonts w:hint="eastAsia" w:cs="Times New Roman"/>
                <w:color w:val="auto"/>
                <w:kern w:val="0"/>
                <w:sz w:val="21"/>
                <w:szCs w:val="21"/>
                <w:highlight w:val="none"/>
                <w:lang w:eastAsia="zh-CN" w:bidi="ar"/>
              </w:rPr>
            </w:pPr>
            <w:r>
              <w:rPr>
                <w:rFonts w:hint="eastAsia" w:cs="Times New Roman"/>
                <w:color w:val="auto"/>
                <w:kern w:val="0"/>
                <w:sz w:val="21"/>
                <w:szCs w:val="21"/>
                <w:highlight w:val="none"/>
                <w:lang w:eastAsia="zh-CN" w:bidi="ar"/>
              </w:rPr>
              <w:t>调整后</w:t>
            </w:r>
          </w:p>
        </w:tc>
        <w:tc>
          <w:tcPr>
            <w:tcW w:w="851" w:type="pct"/>
            <w:vMerge w:val="restart"/>
            <w:tcBorders>
              <w:tl2br w:val="nil"/>
              <w:tr2bl w:val="nil"/>
            </w:tcBorders>
            <w:vAlign w:val="center"/>
          </w:tcPr>
          <w:p w14:paraId="6515E9F5">
            <w:pPr>
              <w:widowControl/>
              <w:spacing w:line="240" w:lineRule="auto"/>
              <w:ind w:firstLine="0" w:firstLineChars="0"/>
              <w:jc w:val="center"/>
              <w:textAlignment w:val="center"/>
              <w:rPr>
                <w:rFonts w:hint="eastAsia" w:cs="Times New Roman"/>
                <w:color w:val="auto"/>
                <w:kern w:val="0"/>
                <w:sz w:val="21"/>
                <w:szCs w:val="21"/>
                <w:highlight w:val="none"/>
                <w:lang w:eastAsia="zh-CN" w:bidi="ar"/>
              </w:rPr>
            </w:pPr>
            <w:r>
              <w:rPr>
                <w:rFonts w:hint="eastAsia" w:cs="Times New Roman"/>
                <w:color w:val="auto"/>
                <w:kern w:val="0"/>
                <w:sz w:val="21"/>
                <w:szCs w:val="21"/>
                <w:highlight w:val="none"/>
                <w:lang w:eastAsia="zh-CN" w:bidi="ar"/>
              </w:rPr>
              <w:t>备注</w:t>
            </w:r>
          </w:p>
        </w:tc>
      </w:tr>
      <w:tr w14:paraId="285C47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81" w:type="pct"/>
            <w:vMerge w:val="continue"/>
            <w:tcBorders>
              <w:tl2br w:val="nil"/>
              <w:tr2bl w:val="nil"/>
            </w:tcBorders>
            <w:vAlign w:val="center"/>
          </w:tcPr>
          <w:p w14:paraId="75A6B716">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eastAsia="zh-CN" w:bidi="ar"/>
              </w:rPr>
            </w:pPr>
          </w:p>
        </w:tc>
        <w:tc>
          <w:tcPr>
            <w:tcW w:w="594" w:type="pct"/>
            <w:vMerge w:val="restart"/>
            <w:tcBorders>
              <w:tl2br w:val="nil"/>
              <w:tr2bl w:val="nil"/>
            </w:tcBorders>
            <w:vAlign w:val="center"/>
          </w:tcPr>
          <w:p w14:paraId="2682F5CE">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eastAsia="zh-CN" w:bidi="ar"/>
              </w:rPr>
            </w:pPr>
            <w:r>
              <w:rPr>
                <w:rFonts w:hint="eastAsia" w:ascii="Times New Roman" w:hAnsi="Times New Roman" w:eastAsia="宋体" w:cs="Times New Roman"/>
                <w:color w:val="auto"/>
                <w:kern w:val="0"/>
                <w:sz w:val="21"/>
                <w:szCs w:val="21"/>
                <w:highlight w:val="none"/>
                <w:lang w:eastAsia="zh-CN" w:bidi="ar"/>
              </w:rPr>
              <w:t>调整前水源地</w:t>
            </w:r>
          </w:p>
        </w:tc>
        <w:tc>
          <w:tcPr>
            <w:tcW w:w="1314" w:type="pct"/>
            <w:gridSpan w:val="2"/>
            <w:tcBorders>
              <w:tl2br w:val="nil"/>
              <w:tr2bl w:val="nil"/>
            </w:tcBorders>
            <w:vAlign w:val="center"/>
          </w:tcPr>
          <w:p w14:paraId="1FF60054">
            <w:pPr>
              <w:widowControl/>
              <w:snapToGrid w:val="0"/>
              <w:spacing w:line="240" w:lineRule="auto"/>
              <w:ind w:firstLine="0" w:firstLineChars="0"/>
              <w:jc w:val="center"/>
              <w:rPr>
                <w:rFonts w:hint="eastAsia"/>
                <w:color w:val="auto"/>
                <w:kern w:val="0"/>
                <w:sz w:val="21"/>
                <w:szCs w:val="21"/>
                <w:highlight w:val="none"/>
                <w:lang w:eastAsia="en-US"/>
              </w:rPr>
            </w:pPr>
            <w:r>
              <w:rPr>
                <w:rFonts w:hint="eastAsia"/>
                <w:color w:val="auto"/>
                <w:kern w:val="0"/>
                <w:sz w:val="21"/>
                <w:szCs w:val="21"/>
                <w:highlight w:val="none"/>
                <w:lang w:eastAsia="en-US"/>
              </w:rPr>
              <w:t>坐标</w:t>
            </w:r>
          </w:p>
        </w:tc>
        <w:tc>
          <w:tcPr>
            <w:tcW w:w="370" w:type="pct"/>
            <w:vMerge w:val="restart"/>
            <w:tcBorders>
              <w:tl2br w:val="nil"/>
              <w:tr2bl w:val="nil"/>
            </w:tcBorders>
            <w:vAlign w:val="center"/>
          </w:tcPr>
          <w:p w14:paraId="4A50AAFD">
            <w:pPr>
              <w:widowControl/>
              <w:spacing w:line="240" w:lineRule="auto"/>
              <w:ind w:firstLine="0" w:firstLineChars="0"/>
              <w:jc w:val="center"/>
              <w:textAlignment w:val="center"/>
              <w:rPr>
                <w:rFonts w:hint="eastAsia" w:cs="Times New Roman"/>
                <w:color w:val="auto"/>
                <w:kern w:val="0"/>
                <w:sz w:val="21"/>
                <w:szCs w:val="21"/>
                <w:highlight w:val="none"/>
                <w:lang w:eastAsia="zh-CN" w:bidi="ar"/>
              </w:rPr>
            </w:pPr>
            <w:r>
              <w:rPr>
                <w:rFonts w:hint="eastAsia" w:ascii="Times New Roman" w:hAnsi="Times New Roman" w:eastAsia="宋体" w:cs="Times New Roman"/>
                <w:color w:val="auto"/>
                <w:kern w:val="0"/>
                <w:sz w:val="21"/>
                <w:szCs w:val="21"/>
                <w:highlight w:val="none"/>
                <w:lang w:eastAsia="zh-CN" w:bidi="ar"/>
              </w:rPr>
              <w:t>调整后水源地</w:t>
            </w:r>
          </w:p>
        </w:tc>
        <w:tc>
          <w:tcPr>
            <w:tcW w:w="228" w:type="pct"/>
            <w:vMerge w:val="restart"/>
            <w:tcBorders>
              <w:tl2br w:val="nil"/>
              <w:tr2bl w:val="nil"/>
            </w:tcBorders>
            <w:vAlign w:val="center"/>
          </w:tcPr>
          <w:p w14:paraId="5CA0A400">
            <w:pPr>
              <w:widowControl/>
              <w:spacing w:line="240" w:lineRule="auto"/>
              <w:ind w:firstLine="0" w:firstLineChars="0"/>
              <w:jc w:val="center"/>
              <w:textAlignment w:val="center"/>
              <w:rPr>
                <w:rFonts w:hint="eastAsia" w:cs="Times New Roman"/>
                <w:color w:val="auto"/>
                <w:kern w:val="0"/>
                <w:sz w:val="21"/>
                <w:szCs w:val="21"/>
                <w:highlight w:val="none"/>
                <w:lang w:eastAsia="zh-CN" w:bidi="ar"/>
              </w:rPr>
            </w:pPr>
            <w:r>
              <w:rPr>
                <w:rFonts w:hint="eastAsia" w:cs="Times New Roman"/>
                <w:color w:val="auto"/>
                <w:kern w:val="0"/>
                <w:sz w:val="21"/>
                <w:szCs w:val="21"/>
                <w:highlight w:val="none"/>
                <w:lang w:eastAsia="zh-CN" w:bidi="ar"/>
              </w:rPr>
              <w:t>编号</w:t>
            </w:r>
          </w:p>
        </w:tc>
        <w:tc>
          <w:tcPr>
            <w:tcW w:w="1159" w:type="pct"/>
            <w:gridSpan w:val="2"/>
            <w:tcBorders>
              <w:tl2br w:val="nil"/>
              <w:tr2bl w:val="nil"/>
            </w:tcBorders>
            <w:vAlign w:val="center"/>
          </w:tcPr>
          <w:p w14:paraId="0DFE017B">
            <w:pPr>
              <w:widowControl/>
              <w:spacing w:line="240" w:lineRule="auto"/>
              <w:ind w:firstLine="0" w:firstLineChars="0"/>
              <w:jc w:val="center"/>
              <w:textAlignment w:val="center"/>
              <w:rPr>
                <w:rFonts w:hint="eastAsia" w:cs="Times New Roman"/>
                <w:color w:val="auto"/>
                <w:kern w:val="0"/>
                <w:sz w:val="21"/>
                <w:szCs w:val="21"/>
                <w:highlight w:val="none"/>
                <w:lang w:eastAsia="zh-CN" w:bidi="ar"/>
              </w:rPr>
            </w:pPr>
            <w:r>
              <w:rPr>
                <w:rFonts w:hint="eastAsia" w:cs="Times New Roman"/>
                <w:color w:val="auto"/>
                <w:kern w:val="0"/>
                <w:sz w:val="21"/>
                <w:szCs w:val="21"/>
                <w:highlight w:val="none"/>
                <w:lang w:eastAsia="zh-CN" w:bidi="ar"/>
              </w:rPr>
              <w:t>坐标</w:t>
            </w:r>
          </w:p>
        </w:tc>
        <w:tc>
          <w:tcPr>
            <w:tcW w:w="851" w:type="pct"/>
            <w:vMerge w:val="continue"/>
            <w:tcBorders>
              <w:tl2br w:val="nil"/>
              <w:tr2bl w:val="nil"/>
            </w:tcBorders>
            <w:vAlign w:val="center"/>
          </w:tcPr>
          <w:p w14:paraId="4C9B6B2B">
            <w:pPr>
              <w:widowControl/>
              <w:spacing w:line="240" w:lineRule="auto"/>
              <w:ind w:firstLine="0" w:firstLineChars="0"/>
              <w:jc w:val="center"/>
              <w:textAlignment w:val="center"/>
              <w:rPr>
                <w:rFonts w:hint="eastAsia" w:cs="Times New Roman"/>
                <w:color w:val="auto"/>
                <w:kern w:val="0"/>
                <w:sz w:val="21"/>
                <w:szCs w:val="21"/>
                <w:highlight w:val="none"/>
                <w:lang w:eastAsia="zh-CN" w:bidi="ar"/>
              </w:rPr>
            </w:pPr>
          </w:p>
        </w:tc>
      </w:tr>
      <w:tr w14:paraId="73069F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81" w:type="pct"/>
            <w:vMerge w:val="continue"/>
            <w:tcBorders>
              <w:tl2br w:val="nil"/>
              <w:tr2bl w:val="nil"/>
            </w:tcBorders>
            <w:vAlign w:val="center"/>
          </w:tcPr>
          <w:p w14:paraId="2F3F2F0F">
            <w:pPr>
              <w:widowControl/>
              <w:snapToGrid w:val="0"/>
              <w:spacing w:line="240" w:lineRule="auto"/>
              <w:ind w:firstLine="0" w:firstLineChars="0"/>
              <w:jc w:val="center"/>
              <w:rPr>
                <w:color w:val="auto"/>
                <w:sz w:val="21"/>
                <w:szCs w:val="21"/>
                <w:highlight w:val="none"/>
              </w:rPr>
            </w:pPr>
          </w:p>
        </w:tc>
        <w:tc>
          <w:tcPr>
            <w:tcW w:w="594" w:type="pct"/>
            <w:vMerge w:val="continue"/>
            <w:tcBorders>
              <w:tl2br w:val="nil"/>
              <w:tr2bl w:val="nil"/>
            </w:tcBorders>
            <w:vAlign w:val="center"/>
          </w:tcPr>
          <w:p w14:paraId="1D456DA8">
            <w:pPr>
              <w:widowControl/>
              <w:snapToGrid w:val="0"/>
              <w:spacing w:line="240" w:lineRule="auto"/>
              <w:ind w:firstLine="0" w:firstLineChars="0"/>
              <w:jc w:val="center"/>
              <w:rPr>
                <w:color w:val="auto"/>
                <w:sz w:val="21"/>
                <w:szCs w:val="21"/>
                <w:highlight w:val="none"/>
              </w:rPr>
            </w:pPr>
          </w:p>
        </w:tc>
        <w:tc>
          <w:tcPr>
            <w:tcW w:w="642" w:type="pct"/>
            <w:tcBorders>
              <w:tl2br w:val="nil"/>
              <w:tr2bl w:val="nil"/>
            </w:tcBorders>
            <w:vAlign w:val="center"/>
          </w:tcPr>
          <w:p w14:paraId="5D123DE7">
            <w:pPr>
              <w:widowControl/>
              <w:snapToGrid w:val="0"/>
              <w:spacing w:line="240" w:lineRule="auto"/>
              <w:ind w:firstLine="0" w:firstLineChars="0"/>
              <w:jc w:val="center"/>
              <w:rPr>
                <w:color w:val="auto"/>
                <w:sz w:val="21"/>
                <w:szCs w:val="21"/>
                <w:highlight w:val="none"/>
              </w:rPr>
            </w:pPr>
            <w:r>
              <w:rPr>
                <w:rFonts w:hint="eastAsia"/>
                <w:color w:val="auto"/>
                <w:kern w:val="0"/>
                <w:sz w:val="21"/>
                <w:szCs w:val="21"/>
                <w:highlight w:val="none"/>
                <w:lang w:eastAsia="zh-CN"/>
              </w:rPr>
              <w:t>经度</w:t>
            </w:r>
          </w:p>
        </w:tc>
        <w:tc>
          <w:tcPr>
            <w:tcW w:w="672" w:type="pct"/>
            <w:tcBorders>
              <w:tl2br w:val="nil"/>
              <w:tr2bl w:val="nil"/>
            </w:tcBorders>
            <w:vAlign w:val="center"/>
          </w:tcPr>
          <w:p w14:paraId="3A299581">
            <w:pPr>
              <w:widowControl/>
              <w:snapToGrid w:val="0"/>
              <w:spacing w:line="240" w:lineRule="auto"/>
              <w:ind w:firstLine="0" w:firstLineChars="0"/>
              <w:jc w:val="center"/>
              <w:rPr>
                <w:color w:val="auto"/>
                <w:sz w:val="21"/>
                <w:szCs w:val="21"/>
                <w:highlight w:val="none"/>
              </w:rPr>
            </w:pPr>
            <w:r>
              <w:rPr>
                <w:rFonts w:hint="eastAsia"/>
                <w:color w:val="auto"/>
                <w:kern w:val="0"/>
                <w:sz w:val="21"/>
                <w:szCs w:val="21"/>
                <w:highlight w:val="none"/>
                <w:lang w:eastAsia="zh-CN"/>
              </w:rPr>
              <w:t>纬度</w:t>
            </w:r>
          </w:p>
        </w:tc>
        <w:tc>
          <w:tcPr>
            <w:tcW w:w="370" w:type="pct"/>
            <w:vMerge w:val="continue"/>
            <w:tcBorders>
              <w:tl2br w:val="nil"/>
              <w:tr2bl w:val="nil"/>
            </w:tcBorders>
            <w:vAlign w:val="center"/>
          </w:tcPr>
          <w:p w14:paraId="476404EF">
            <w:pPr>
              <w:widowControl/>
              <w:snapToGrid w:val="0"/>
              <w:spacing w:line="240" w:lineRule="auto"/>
              <w:ind w:firstLine="0" w:firstLineChars="0"/>
              <w:jc w:val="center"/>
              <w:rPr>
                <w:color w:val="auto"/>
                <w:sz w:val="21"/>
                <w:szCs w:val="21"/>
                <w:highlight w:val="none"/>
              </w:rPr>
            </w:pPr>
          </w:p>
        </w:tc>
        <w:tc>
          <w:tcPr>
            <w:tcW w:w="228" w:type="pct"/>
            <w:vMerge w:val="continue"/>
            <w:tcBorders>
              <w:tl2br w:val="nil"/>
              <w:tr2bl w:val="nil"/>
            </w:tcBorders>
            <w:vAlign w:val="center"/>
          </w:tcPr>
          <w:p w14:paraId="23FC981B">
            <w:pPr>
              <w:widowControl/>
              <w:snapToGrid w:val="0"/>
              <w:spacing w:line="240" w:lineRule="auto"/>
              <w:ind w:firstLine="0" w:firstLineChars="0"/>
              <w:jc w:val="center"/>
              <w:rPr>
                <w:color w:val="auto"/>
                <w:sz w:val="21"/>
                <w:szCs w:val="21"/>
                <w:highlight w:val="none"/>
              </w:rPr>
            </w:pPr>
          </w:p>
        </w:tc>
        <w:tc>
          <w:tcPr>
            <w:tcW w:w="601" w:type="pct"/>
            <w:tcBorders>
              <w:tl2br w:val="nil"/>
              <w:tr2bl w:val="nil"/>
            </w:tcBorders>
            <w:vAlign w:val="center"/>
          </w:tcPr>
          <w:p w14:paraId="1D955116">
            <w:pPr>
              <w:widowControl/>
              <w:snapToGrid w:val="0"/>
              <w:spacing w:line="240" w:lineRule="auto"/>
              <w:ind w:firstLine="0" w:firstLineChars="0"/>
              <w:jc w:val="center"/>
              <w:rPr>
                <w:rFonts w:hint="eastAsia" w:eastAsia="宋体"/>
                <w:color w:val="auto"/>
                <w:sz w:val="21"/>
                <w:szCs w:val="21"/>
                <w:highlight w:val="none"/>
                <w:lang w:eastAsia="zh-CN"/>
              </w:rPr>
            </w:pPr>
            <w:r>
              <w:rPr>
                <w:rFonts w:hint="eastAsia"/>
                <w:color w:val="auto"/>
                <w:sz w:val="21"/>
                <w:szCs w:val="21"/>
                <w:highlight w:val="none"/>
                <w:lang w:eastAsia="zh-CN"/>
              </w:rPr>
              <w:t>经度</w:t>
            </w:r>
          </w:p>
        </w:tc>
        <w:tc>
          <w:tcPr>
            <w:tcW w:w="558" w:type="pct"/>
            <w:tcBorders>
              <w:tl2br w:val="nil"/>
              <w:tr2bl w:val="nil"/>
            </w:tcBorders>
            <w:vAlign w:val="center"/>
          </w:tcPr>
          <w:p w14:paraId="3F781EA8">
            <w:pPr>
              <w:widowControl/>
              <w:snapToGrid w:val="0"/>
              <w:spacing w:line="240" w:lineRule="auto"/>
              <w:ind w:firstLine="0" w:firstLineChars="0"/>
              <w:jc w:val="center"/>
              <w:rPr>
                <w:rFonts w:hint="eastAsia" w:eastAsia="宋体"/>
                <w:color w:val="auto"/>
                <w:sz w:val="21"/>
                <w:szCs w:val="21"/>
                <w:highlight w:val="none"/>
                <w:lang w:eastAsia="zh-CN"/>
              </w:rPr>
            </w:pPr>
            <w:r>
              <w:rPr>
                <w:rFonts w:hint="eastAsia"/>
                <w:color w:val="auto"/>
                <w:sz w:val="21"/>
                <w:szCs w:val="21"/>
                <w:highlight w:val="none"/>
                <w:lang w:eastAsia="zh-CN"/>
              </w:rPr>
              <w:t>纬度</w:t>
            </w:r>
          </w:p>
        </w:tc>
        <w:tc>
          <w:tcPr>
            <w:tcW w:w="851" w:type="pct"/>
            <w:vMerge w:val="continue"/>
            <w:tcBorders>
              <w:tl2br w:val="nil"/>
              <w:tr2bl w:val="nil"/>
            </w:tcBorders>
            <w:vAlign w:val="center"/>
          </w:tcPr>
          <w:p w14:paraId="092AF31D">
            <w:pPr>
              <w:widowControl/>
              <w:snapToGrid w:val="0"/>
              <w:spacing w:line="240" w:lineRule="auto"/>
              <w:ind w:firstLine="0" w:firstLineChars="0"/>
              <w:jc w:val="center"/>
              <w:rPr>
                <w:rFonts w:hint="eastAsia"/>
                <w:color w:val="auto"/>
                <w:sz w:val="21"/>
                <w:szCs w:val="21"/>
                <w:highlight w:val="none"/>
                <w:lang w:eastAsia="zh-CN"/>
              </w:rPr>
            </w:pPr>
          </w:p>
        </w:tc>
      </w:tr>
      <w:tr w14:paraId="74008C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81" w:type="pct"/>
            <w:vMerge w:val="restart"/>
            <w:tcBorders>
              <w:tl2br w:val="nil"/>
              <w:tr2bl w:val="nil"/>
            </w:tcBorders>
            <w:vAlign w:val="center"/>
          </w:tcPr>
          <w:p w14:paraId="1DEFDA33">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cs="Times New Roman"/>
                <w:bCs/>
                <w:color w:val="auto"/>
                <w:sz w:val="21"/>
                <w:szCs w:val="21"/>
                <w:highlight w:val="none"/>
                <w:lang w:eastAsia="zh-CN"/>
              </w:rPr>
              <w:t>编号及坐标</w:t>
            </w:r>
          </w:p>
        </w:tc>
        <w:tc>
          <w:tcPr>
            <w:tcW w:w="594" w:type="pct"/>
            <w:tcBorders>
              <w:tl2br w:val="nil"/>
              <w:tr2bl w:val="nil"/>
            </w:tcBorders>
            <w:vAlign w:val="center"/>
          </w:tcPr>
          <w:p w14:paraId="7D1E0919">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丰收乡丰收村饮用水水源地</w:t>
            </w:r>
          </w:p>
        </w:tc>
        <w:tc>
          <w:tcPr>
            <w:tcW w:w="642" w:type="pct"/>
            <w:tcBorders>
              <w:tl2br w:val="nil"/>
              <w:tr2bl w:val="nil"/>
            </w:tcBorders>
            <w:vAlign w:val="center"/>
          </w:tcPr>
          <w:p w14:paraId="3D4EE318">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127°34'28.5771"</w:t>
            </w:r>
          </w:p>
        </w:tc>
        <w:tc>
          <w:tcPr>
            <w:tcW w:w="672" w:type="pct"/>
            <w:tcBorders>
              <w:tl2br w:val="nil"/>
              <w:tr2bl w:val="nil"/>
            </w:tcBorders>
            <w:vAlign w:val="center"/>
          </w:tcPr>
          <w:p w14:paraId="62474D21">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46°52'18.8404"</w:t>
            </w:r>
          </w:p>
        </w:tc>
        <w:tc>
          <w:tcPr>
            <w:tcW w:w="370" w:type="pct"/>
            <w:vMerge w:val="restart"/>
            <w:tcBorders>
              <w:tl2br w:val="nil"/>
              <w:tr2bl w:val="nil"/>
            </w:tcBorders>
            <w:vAlign w:val="center"/>
          </w:tcPr>
          <w:p w14:paraId="11C3FA64">
            <w:pPr>
              <w:widowControl/>
              <w:spacing w:line="240" w:lineRule="auto"/>
              <w:ind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bidi="ar"/>
              </w:rPr>
              <w:t>庆安县丰收乡饮用水水源地</w:t>
            </w:r>
          </w:p>
        </w:tc>
        <w:tc>
          <w:tcPr>
            <w:tcW w:w="228" w:type="pct"/>
            <w:tcBorders>
              <w:tl2br w:val="nil"/>
              <w:tr2bl w:val="nil"/>
            </w:tcBorders>
            <w:vAlign w:val="center"/>
          </w:tcPr>
          <w:p w14:paraId="02AB5423">
            <w:pPr>
              <w:widowControl/>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kern w:val="0"/>
                <w:sz w:val="21"/>
                <w:szCs w:val="21"/>
                <w:highlight w:val="none"/>
                <w:lang w:val="en-US" w:eastAsia="zh-CN"/>
              </w:rPr>
              <w:t>1#</w:t>
            </w:r>
          </w:p>
        </w:tc>
        <w:tc>
          <w:tcPr>
            <w:tcW w:w="601" w:type="pct"/>
            <w:tcBorders>
              <w:tl2br w:val="nil"/>
              <w:tr2bl w:val="nil"/>
            </w:tcBorders>
            <w:vAlign w:val="center"/>
          </w:tcPr>
          <w:p w14:paraId="4DC9C17D">
            <w:pPr>
              <w:widowControl/>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127°43'18.1578"</w:t>
            </w:r>
          </w:p>
        </w:tc>
        <w:tc>
          <w:tcPr>
            <w:tcW w:w="558" w:type="pct"/>
            <w:tcBorders>
              <w:tl2br w:val="nil"/>
              <w:tr2bl w:val="nil"/>
            </w:tcBorders>
            <w:vAlign w:val="center"/>
          </w:tcPr>
          <w:p w14:paraId="562BD4E2">
            <w:pPr>
              <w:widowControl/>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46°51'50.4898"</w:t>
            </w:r>
          </w:p>
        </w:tc>
        <w:tc>
          <w:tcPr>
            <w:tcW w:w="851" w:type="pct"/>
            <w:vMerge w:val="restart"/>
            <w:tcBorders>
              <w:tl2br w:val="nil"/>
              <w:tr2bl w:val="nil"/>
            </w:tcBorders>
            <w:vAlign w:val="center"/>
          </w:tcPr>
          <w:p w14:paraId="2A5EFFC4">
            <w:pPr>
              <w:widowControl/>
              <w:snapToGrid w:val="0"/>
              <w:spacing w:line="240" w:lineRule="auto"/>
              <w:ind w:firstLine="0" w:firstLineChars="0"/>
              <w:jc w:val="both"/>
              <w:rPr>
                <w:rFonts w:hint="eastAsia" w:eastAsia="宋体"/>
                <w:color w:val="auto"/>
                <w:kern w:val="0"/>
                <w:sz w:val="21"/>
                <w:szCs w:val="21"/>
                <w:highlight w:val="none"/>
                <w:lang w:val="en-US" w:eastAsia="zh-CN"/>
              </w:rPr>
            </w:pPr>
            <w:r>
              <w:rPr>
                <w:rFonts w:hint="eastAsia"/>
                <w:color w:val="auto"/>
                <w:kern w:val="0"/>
                <w:sz w:val="21"/>
                <w:szCs w:val="21"/>
                <w:highlight w:val="none"/>
                <w:lang w:val="en-US" w:eastAsia="zh-CN"/>
              </w:rPr>
              <w:t>本次调整的</w:t>
            </w:r>
            <w:r>
              <w:rPr>
                <w:rFonts w:hint="eastAsia" w:ascii="Times New Roman" w:hAnsi="Times New Roman" w:eastAsia="宋体" w:cs="Times New Roman"/>
                <w:color w:val="auto"/>
                <w:kern w:val="0"/>
                <w:sz w:val="21"/>
                <w:szCs w:val="21"/>
                <w:highlight w:val="none"/>
                <w:lang w:val="en-US" w:eastAsia="zh-CN" w:bidi="ar"/>
              </w:rPr>
              <w:t>庆安县丰收乡饮用水水源地</w:t>
            </w:r>
            <w:r>
              <w:rPr>
                <w:rFonts w:hint="eastAsia" w:cs="Times New Roman"/>
                <w:color w:val="auto"/>
                <w:kern w:val="0"/>
                <w:sz w:val="21"/>
                <w:szCs w:val="21"/>
                <w:highlight w:val="none"/>
                <w:lang w:val="en-US" w:eastAsia="zh-CN" w:bidi="ar"/>
              </w:rPr>
              <w:t>替代丰收乡丰满村饮用水水源地、丰收乡丰裕村饮用水水源地、丰收乡丰田村饮用水水源地、丰收乡丰林村饮用水水源地、丰收乡丰山村饮用水水源地、丰收乡丰收村饮用水水源地、丰收乡丰泰村饮用水水源地。</w:t>
            </w:r>
          </w:p>
          <w:p w14:paraId="42BF51C7">
            <w:pPr>
              <w:widowControl/>
              <w:snapToGrid w:val="0"/>
              <w:spacing w:line="240" w:lineRule="auto"/>
              <w:ind w:firstLine="0" w:firstLineChars="0"/>
              <w:jc w:val="both"/>
              <w:rPr>
                <w:rFonts w:hint="default" w:ascii="Times New Roman" w:hAnsi="Times New Roman" w:eastAsia="宋体" w:cs="Times New Roman"/>
                <w:color w:val="auto"/>
                <w:kern w:val="0"/>
                <w:sz w:val="21"/>
                <w:szCs w:val="21"/>
                <w:highlight w:val="none"/>
                <w:lang w:val="en-US" w:eastAsia="zh-CN"/>
              </w:rPr>
            </w:pPr>
            <w:r>
              <w:rPr>
                <w:rFonts w:hint="eastAsia"/>
                <w:color w:val="auto"/>
                <w:kern w:val="0"/>
                <w:sz w:val="21"/>
                <w:szCs w:val="21"/>
                <w:highlight w:val="none"/>
                <w:lang w:val="en-US" w:eastAsia="zh-CN"/>
              </w:rPr>
              <w:t>本次调整后</w:t>
            </w:r>
            <w:r>
              <w:rPr>
                <w:rFonts w:hint="default"/>
                <w:color w:val="auto"/>
                <w:kern w:val="0"/>
                <w:sz w:val="21"/>
                <w:szCs w:val="21"/>
                <w:highlight w:val="none"/>
                <w:lang w:val="en-US" w:eastAsia="zh-CN"/>
              </w:rPr>
              <w:t>通过多</w:t>
            </w:r>
            <w:r>
              <w:rPr>
                <w:rFonts w:hint="default" w:ascii="Times New Roman" w:hAnsi="Times New Roman" w:eastAsia="宋体" w:cs="Times New Roman"/>
                <w:color w:val="auto"/>
                <w:sz w:val="21"/>
                <w:szCs w:val="21"/>
                <w:highlight w:val="none"/>
                <w:lang w:val="en-US" w:eastAsia="zh-CN"/>
              </w:rPr>
              <w:t>水源联网、管网互联互通、规模化集中供水，供水保障率、供水稳定性、水质达标率进一步提升，有效解决了原分散式水源地规模小、易污染、运维难度大等问题，群众饮水安全更有保障</w:t>
            </w:r>
            <w:r>
              <w:rPr>
                <w:rFonts w:hint="eastAsia" w:cs="Times New Roman"/>
                <w:color w:val="auto"/>
                <w:sz w:val="21"/>
                <w:szCs w:val="21"/>
                <w:highlight w:val="none"/>
                <w:lang w:val="en-US" w:eastAsia="zh-CN"/>
              </w:rPr>
              <w:t>。</w:t>
            </w:r>
          </w:p>
        </w:tc>
      </w:tr>
      <w:tr w14:paraId="12510A7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81" w:type="pct"/>
            <w:vMerge w:val="continue"/>
            <w:tcBorders>
              <w:tl2br w:val="nil"/>
              <w:tr2bl w:val="nil"/>
            </w:tcBorders>
            <w:vAlign w:val="center"/>
          </w:tcPr>
          <w:p w14:paraId="2C3DE4FA">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p>
        </w:tc>
        <w:tc>
          <w:tcPr>
            <w:tcW w:w="594" w:type="pct"/>
            <w:tcBorders>
              <w:tl2br w:val="nil"/>
              <w:tr2bl w:val="nil"/>
            </w:tcBorders>
            <w:vAlign w:val="center"/>
          </w:tcPr>
          <w:p w14:paraId="5354EC9D">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sz w:val="21"/>
                <w:szCs w:val="21"/>
                <w:highlight w:val="none"/>
                <w:lang w:val="en-US" w:eastAsia="zh-CN"/>
              </w:rPr>
              <w:t>/</w:t>
            </w:r>
          </w:p>
        </w:tc>
        <w:tc>
          <w:tcPr>
            <w:tcW w:w="642" w:type="pct"/>
            <w:tcBorders>
              <w:tl2br w:val="nil"/>
              <w:tr2bl w:val="nil"/>
            </w:tcBorders>
            <w:vAlign w:val="center"/>
          </w:tcPr>
          <w:p w14:paraId="7E54C8E7">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672" w:type="pct"/>
            <w:tcBorders>
              <w:tl2br w:val="nil"/>
              <w:tr2bl w:val="nil"/>
            </w:tcBorders>
            <w:vAlign w:val="center"/>
          </w:tcPr>
          <w:p w14:paraId="40185776">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370" w:type="pct"/>
            <w:vMerge w:val="continue"/>
            <w:tcBorders>
              <w:tl2br w:val="nil"/>
              <w:tr2bl w:val="nil"/>
            </w:tcBorders>
            <w:vAlign w:val="center"/>
          </w:tcPr>
          <w:p w14:paraId="5A4A35DE">
            <w:pPr>
              <w:widowControl/>
              <w:spacing w:line="240" w:lineRule="auto"/>
              <w:ind w:firstLine="0" w:firstLineChars="0"/>
              <w:jc w:val="center"/>
              <w:textAlignment w:val="center"/>
              <w:rPr>
                <w:rFonts w:hint="default" w:ascii="Times New Roman" w:hAnsi="Times New Roman" w:eastAsia="宋体" w:cs="Times New Roman"/>
                <w:color w:val="auto"/>
                <w:sz w:val="21"/>
                <w:szCs w:val="21"/>
                <w:highlight w:val="none"/>
                <w:lang w:val="en-US" w:eastAsia="zh-CN"/>
              </w:rPr>
            </w:pPr>
          </w:p>
        </w:tc>
        <w:tc>
          <w:tcPr>
            <w:tcW w:w="228" w:type="pct"/>
            <w:tcBorders>
              <w:tl2br w:val="nil"/>
              <w:tr2bl w:val="nil"/>
            </w:tcBorders>
            <w:vAlign w:val="center"/>
          </w:tcPr>
          <w:p w14:paraId="4E57F52C">
            <w:pPr>
              <w:widowControl/>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kern w:val="0"/>
                <w:sz w:val="21"/>
                <w:szCs w:val="21"/>
                <w:highlight w:val="none"/>
                <w:lang w:val="en-US" w:eastAsia="zh-CN"/>
              </w:rPr>
              <w:t>2#</w:t>
            </w:r>
          </w:p>
        </w:tc>
        <w:tc>
          <w:tcPr>
            <w:tcW w:w="601" w:type="pct"/>
            <w:tcBorders>
              <w:tl2br w:val="nil"/>
              <w:tr2bl w:val="nil"/>
            </w:tcBorders>
            <w:vAlign w:val="center"/>
          </w:tcPr>
          <w:p w14:paraId="5FCF97F6">
            <w:pPr>
              <w:widowControl/>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127°43'09.9889"</w:t>
            </w:r>
          </w:p>
        </w:tc>
        <w:tc>
          <w:tcPr>
            <w:tcW w:w="558" w:type="pct"/>
            <w:tcBorders>
              <w:tl2br w:val="nil"/>
              <w:tr2bl w:val="nil"/>
            </w:tcBorders>
            <w:vAlign w:val="center"/>
          </w:tcPr>
          <w:p w14:paraId="64B8B0A1">
            <w:pPr>
              <w:widowControl/>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46°51'48.4795"</w:t>
            </w:r>
          </w:p>
        </w:tc>
        <w:tc>
          <w:tcPr>
            <w:tcW w:w="851" w:type="pct"/>
            <w:vMerge w:val="continue"/>
            <w:tcBorders>
              <w:tl2br w:val="nil"/>
              <w:tr2bl w:val="nil"/>
            </w:tcBorders>
            <w:vAlign w:val="center"/>
          </w:tcPr>
          <w:p w14:paraId="31FAE5A8">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r>
      <w:tr w14:paraId="4BE2C4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81" w:type="pct"/>
            <w:vMerge w:val="continue"/>
            <w:tcBorders>
              <w:tl2br w:val="nil"/>
              <w:tr2bl w:val="nil"/>
            </w:tcBorders>
            <w:vAlign w:val="center"/>
          </w:tcPr>
          <w:p w14:paraId="74DDE030">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p>
        </w:tc>
        <w:tc>
          <w:tcPr>
            <w:tcW w:w="594" w:type="pct"/>
            <w:tcBorders>
              <w:tl2br w:val="nil"/>
              <w:tr2bl w:val="nil"/>
            </w:tcBorders>
            <w:vAlign w:val="center"/>
          </w:tcPr>
          <w:p w14:paraId="66306D9B">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sz w:val="21"/>
                <w:szCs w:val="21"/>
                <w:highlight w:val="none"/>
                <w:lang w:val="en-US" w:eastAsia="zh-CN"/>
              </w:rPr>
              <w:t>/</w:t>
            </w:r>
          </w:p>
        </w:tc>
        <w:tc>
          <w:tcPr>
            <w:tcW w:w="642" w:type="pct"/>
            <w:tcBorders>
              <w:tl2br w:val="nil"/>
              <w:tr2bl w:val="nil"/>
            </w:tcBorders>
            <w:vAlign w:val="center"/>
          </w:tcPr>
          <w:p w14:paraId="21633182">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672" w:type="pct"/>
            <w:tcBorders>
              <w:tl2br w:val="nil"/>
              <w:tr2bl w:val="nil"/>
            </w:tcBorders>
            <w:vAlign w:val="center"/>
          </w:tcPr>
          <w:p w14:paraId="56D8B962">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370" w:type="pct"/>
            <w:vMerge w:val="continue"/>
            <w:tcBorders>
              <w:tl2br w:val="nil"/>
              <w:tr2bl w:val="nil"/>
            </w:tcBorders>
            <w:vAlign w:val="center"/>
          </w:tcPr>
          <w:p w14:paraId="1E8C3A16">
            <w:pPr>
              <w:widowControl/>
              <w:spacing w:line="240" w:lineRule="auto"/>
              <w:ind w:firstLine="0" w:firstLineChars="0"/>
              <w:jc w:val="center"/>
              <w:textAlignment w:val="center"/>
              <w:rPr>
                <w:rFonts w:hint="default" w:ascii="Times New Roman" w:hAnsi="Times New Roman" w:eastAsia="宋体" w:cs="Times New Roman"/>
                <w:color w:val="auto"/>
                <w:sz w:val="21"/>
                <w:szCs w:val="21"/>
                <w:highlight w:val="none"/>
                <w:lang w:val="en-US" w:eastAsia="zh-CN"/>
              </w:rPr>
            </w:pPr>
          </w:p>
        </w:tc>
        <w:tc>
          <w:tcPr>
            <w:tcW w:w="228" w:type="pct"/>
            <w:tcBorders>
              <w:tl2br w:val="nil"/>
              <w:tr2bl w:val="nil"/>
            </w:tcBorders>
            <w:vAlign w:val="center"/>
          </w:tcPr>
          <w:p w14:paraId="5C1355B8">
            <w:pPr>
              <w:widowControl/>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kern w:val="0"/>
                <w:sz w:val="21"/>
                <w:szCs w:val="21"/>
                <w:highlight w:val="none"/>
                <w:lang w:val="en-US" w:eastAsia="zh-CN"/>
              </w:rPr>
              <w:t>3#</w:t>
            </w:r>
          </w:p>
        </w:tc>
        <w:tc>
          <w:tcPr>
            <w:tcW w:w="601" w:type="pct"/>
            <w:tcBorders>
              <w:tl2br w:val="nil"/>
              <w:tr2bl w:val="nil"/>
            </w:tcBorders>
            <w:vAlign w:val="center"/>
          </w:tcPr>
          <w:p w14:paraId="0F0B1CF6">
            <w:pPr>
              <w:widowControl/>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127°43'02.7179"</w:t>
            </w:r>
          </w:p>
        </w:tc>
        <w:tc>
          <w:tcPr>
            <w:tcW w:w="558" w:type="pct"/>
            <w:tcBorders>
              <w:tl2br w:val="nil"/>
              <w:tr2bl w:val="nil"/>
            </w:tcBorders>
            <w:vAlign w:val="center"/>
          </w:tcPr>
          <w:p w14:paraId="14C0AC44">
            <w:pPr>
              <w:widowControl/>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46°51'47.0666"</w:t>
            </w:r>
          </w:p>
        </w:tc>
        <w:tc>
          <w:tcPr>
            <w:tcW w:w="851" w:type="pct"/>
            <w:vMerge w:val="continue"/>
            <w:tcBorders>
              <w:tl2br w:val="nil"/>
              <w:tr2bl w:val="nil"/>
            </w:tcBorders>
            <w:vAlign w:val="center"/>
          </w:tcPr>
          <w:p w14:paraId="5F5BBE3A">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r>
      <w:tr w14:paraId="2C4910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5" w:hRule="atLeast"/>
        </w:trPr>
        <w:tc>
          <w:tcPr>
            <w:tcW w:w="481" w:type="pct"/>
            <w:tcBorders>
              <w:tl2br w:val="nil"/>
              <w:tr2bl w:val="nil"/>
            </w:tcBorders>
            <w:shd w:val="clear" w:color="auto" w:fill="auto"/>
            <w:vAlign w:val="center"/>
          </w:tcPr>
          <w:p w14:paraId="514D51C0">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水井数量</w:t>
            </w:r>
          </w:p>
        </w:tc>
        <w:tc>
          <w:tcPr>
            <w:tcW w:w="1908" w:type="pct"/>
            <w:gridSpan w:val="3"/>
            <w:tcBorders>
              <w:tl2br w:val="nil"/>
              <w:tr2bl w:val="nil"/>
            </w:tcBorders>
            <w:shd w:val="clear" w:color="auto" w:fill="auto"/>
            <w:vAlign w:val="center"/>
          </w:tcPr>
          <w:p w14:paraId="227B584A">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1</w:t>
            </w:r>
            <w:r>
              <w:rPr>
                <w:rFonts w:hint="eastAsia" w:ascii="Times New Roman" w:hAnsi="Times New Roman" w:eastAsia="宋体" w:cs="Times New Roman"/>
                <w:color w:val="auto"/>
                <w:kern w:val="0"/>
                <w:sz w:val="21"/>
                <w:szCs w:val="21"/>
                <w:highlight w:val="none"/>
                <w:lang w:val="en-US" w:eastAsia="zh-CN" w:bidi="ar"/>
              </w:rPr>
              <w:t>眼</w:t>
            </w:r>
          </w:p>
        </w:tc>
        <w:tc>
          <w:tcPr>
            <w:tcW w:w="1758" w:type="pct"/>
            <w:gridSpan w:val="4"/>
            <w:tcBorders>
              <w:tl2br w:val="nil"/>
              <w:tr2bl w:val="nil"/>
            </w:tcBorders>
            <w:shd w:val="clear" w:color="auto" w:fill="auto"/>
            <w:vAlign w:val="center"/>
          </w:tcPr>
          <w:p w14:paraId="0F358FFC">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rPr>
              <w:t>3眼</w:t>
            </w:r>
          </w:p>
        </w:tc>
        <w:tc>
          <w:tcPr>
            <w:tcW w:w="851" w:type="pct"/>
            <w:vMerge w:val="continue"/>
            <w:tcBorders>
              <w:tl2br w:val="nil"/>
              <w:tr2bl w:val="nil"/>
            </w:tcBorders>
            <w:shd w:val="clear" w:color="auto" w:fill="auto"/>
            <w:vAlign w:val="center"/>
          </w:tcPr>
          <w:p w14:paraId="28277F0E">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p>
        </w:tc>
      </w:tr>
      <w:tr w14:paraId="5DFDC7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5" w:hRule="atLeast"/>
        </w:trPr>
        <w:tc>
          <w:tcPr>
            <w:tcW w:w="1358" w:type="dxa"/>
            <w:tcBorders>
              <w:tl2br w:val="nil"/>
              <w:tr2bl w:val="nil"/>
            </w:tcBorders>
            <w:shd w:val="clear" w:color="auto" w:fill="auto"/>
            <w:vAlign w:val="center"/>
          </w:tcPr>
          <w:p w14:paraId="06B4A99A">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服务范围</w:t>
            </w:r>
          </w:p>
        </w:tc>
        <w:tc>
          <w:tcPr>
            <w:tcW w:w="1908" w:type="pct"/>
            <w:gridSpan w:val="3"/>
            <w:tcBorders>
              <w:tl2br w:val="nil"/>
              <w:tr2bl w:val="nil"/>
            </w:tcBorders>
            <w:shd w:val="clear" w:color="auto" w:fill="auto"/>
            <w:vAlign w:val="center"/>
          </w:tcPr>
          <w:p w14:paraId="7D1B22AE">
            <w:pPr>
              <w:widowControl/>
              <w:snapToGrid w:val="0"/>
              <w:spacing w:line="240" w:lineRule="auto"/>
              <w:ind w:firstLine="0" w:firstLineChars="0"/>
              <w:jc w:val="both"/>
              <w:rPr>
                <w:rFonts w:hint="eastAsia" w:ascii="Times New Roman" w:hAnsi="Times New Roman" w:cs="Times New Roman"/>
                <w:color w:val="auto"/>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丰收村十二马架、张坡屯、前何、菜家屯、腰方屯；西河</w:t>
            </w:r>
          </w:p>
        </w:tc>
        <w:tc>
          <w:tcPr>
            <w:tcW w:w="1758" w:type="pct"/>
            <w:gridSpan w:val="4"/>
            <w:tcBorders>
              <w:tl2br w:val="nil"/>
              <w:tr2bl w:val="nil"/>
            </w:tcBorders>
            <w:shd w:val="clear" w:color="auto" w:fill="auto"/>
            <w:vAlign w:val="center"/>
          </w:tcPr>
          <w:p w14:paraId="598BEC2F">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default" w:ascii="Times New Roman" w:hAnsi="Times New Roman" w:cs="Times New Roman"/>
                <w:color w:val="auto"/>
                <w:sz w:val="21"/>
                <w:szCs w:val="21"/>
                <w:highlight w:val="none"/>
                <w:lang w:eastAsia="zh-CN"/>
              </w:rPr>
              <w:t>丰收乡内</w:t>
            </w:r>
            <w:r>
              <w:rPr>
                <w:rFonts w:hint="default" w:ascii="Times New Roman" w:hAnsi="Times New Roman" w:cs="Times New Roman"/>
                <w:color w:val="auto"/>
                <w:kern w:val="0"/>
                <w:sz w:val="21"/>
                <w:szCs w:val="21"/>
                <w:highlight w:val="none"/>
                <w:lang w:val="en-US" w:eastAsia="zh-CN" w:bidi="ar"/>
              </w:rPr>
              <w:t>丰满村、丰裕村、丰田村</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kern w:val="0"/>
                <w:sz w:val="21"/>
                <w:szCs w:val="21"/>
                <w:highlight w:val="none"/>
                <w:lang w:val="en-US" w:eastAsia="zh-CN" w:bidi="ar"/>
              </w:rPr>
              <w:t>丰林村、丰山村、丰泰村、丰民村、丰盛村、丰华村</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kern w:val="0"/>
                <w:sz w:val="21"/>
                <w:szCs w:val="21"/>
                <w:highlight w:val="none"/>
                <w:lang w:val="en-US" w:eastAsia="zh-CN" w:bidi="ar"/>
              </w:rPr>
              <w:t>丰年村、丰收村、星光村，共计12个行政村86个自然屯</w:t>
            </w:r>
          </w:p>
        </w:tc>
        <w:tc>
          <w:tcPr>
            <w:tcW w:w="851" w:type="pct"/>
            <w:vMerge w:val="continue"/>
            <w:tcBorders>
              <w:tl2br w:val="nil"/>
              <w:tr2bl w:val="nil"/>
            </w:tcBorders>
            <w:shd w:val="clear" w:color="auto" w:fill="auto"/>
            <w:vAlign w:val="center"/>
          </w:tcPr>
          <w:p w14:paraId="2AF01286">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p>
        </w:tc>
      </w:tr>
      <w:tr w14:paraId="457D96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5" w:hRule="atLeast"/>
        </w:trPr>
        <w:tc>
          <w:tcPr>
            <w:tcW w:w="1358" w:type="dxa"/>
            <w:tcBorders>
              <w:tl2br w:val="nil"/>
              <w:tr2bl w:val="nil"/>
            </w:tcBorders>
            <w:shd w:val="clear" w:color="auto" w:fill="auto"/>
            <w:vAlign w:val="center"/>
          </w:tcPr>
          <w:p w14:paraId="50DA47B4">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服务人口</w:t>
            </w:r>
          </w:p>
        </w:tc>
        <w:tc>
          <w:tcPr>
            <w:tcW w:w="5381" w:type="dxa"/>
            <w:gridSpan w:val="3"/>
            <w:tcBorders>
              <w:tl2br w:val="nil"/>
              <w:tr2bl w:val="nil"/>
            </w:tcBorders>
            <w:shd w:val="clear" w:color="auto" w:fill="auto"/>
            <w:vAlign w:val="center"/>
          </w:tcPr>
          <w:p w14:paraId="46AB4E90">
            <w:pPr>
              <w:widowControl/>
              <w:spacing w:line="240" w:lineRule="auto"/>
              <w:ind w:firstLine="0" w:firstLineChars="0"/>
              <w:jc w:val="center"/>
              <w:textAlignment w:val="center"/>
              <w:rPr>
                <w:rFonts w:hint="eastAsia"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服务人口数量约为</w:t>
            </w:r>
            <w:r>
              <w:rPr>
                <w:rFonts w:hint="default" w:ascii="Times New Roman" w:hAnsi="Times New Roman" w:cs="Times New Roman"/>
                <w:color w:val="auto"/>
                <w:kern w:val="0"/>
                <w:sz w:val="21"/>
                <w:szCs w:val="21"/>
                <w:highlight w:val="none"/>
                <w:lang w:val="en-US" w:eastAsia="zh-CN"/>
              </w:rPr>
              <w:t>3000</w:t>
            </w:r>
            <w:r>
              <w:rPr>
                <w:rFonts w:hint="eastAsia"/>
                <w:color w:val="auto"/>
                <w:kern w:val="0"/>
                <w:sz w:val="21"/>
                <w:szCs w:val="21"/>
                <w:highlight w:val="none"/>
                <w:lang w:val="en-US" w:eastAsia="zh-CN"/>
              </w:rPr>
              <w:t>人</w:t>
            </w:r>
          </w:p>
        </w:tc>
        <w:tc>
          <w:tcPr>
            <w:tcW w:w="4959" w:type="dxa"/>
            <w:gridSpan w:val="4"/>
            <w:tcBorders>
              <w:tl2br w:val="nil"/>
              <w:tr2bl w:val="nil"/>
            </w:tcBorders>
            <w:shd w:val="clear" w:color="auto" w:fill="auto"/>
            <w:vAlign w:val="center"/>
          </w:tcPr>
          <w:p w14:paraId="4BBD206D">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bidi="ar"/>
              </w:rPr>
              <w:t>服务人口</w:t>
            </w:r>
            <w:r>
              <w:rPr>
                <w:rFonts w:hint="default" w:ascii="Times New Roman" w:hAnsi="Times New Roman" w:eastAsia="宋体" w:cs="Times New Roman"/>
                <w:color w:val="auto"/>
                <w:kern w:val="0"/>
                <w:sz w:val="21"/>
                <w:szCs w:val="21"/>
                <w:highlight w:val="none"/>
                <w:lang w:val="en-US" w:eastAsia="zh-CN" w:bidi="ar"/>
              </w:rPr>
              <w:t>9130</w:t>
            </w:r>
            <w:r>
              <w:rPr>
                <w:rFonts w:hint="default" w:ascii="Times New Roman" w:hAnsi="Times New Roman" w:eastAsia="宋体" w:cs="Times New Roman"/>
                <w:color w:val="auto"/>
                <w:kern w:val="0"/>
                <w:sz w:val="21"/>
                <w:szCs w:val="21"/>
                <w:highlight w:val="none"/>
                <w:lang w:bidi="ar"/>
              </w:rPr>
              <w:t>人</w:t>
            </w:r>
          </w:p>
        </w:tc>
        <w:tc>
          <w:tcPr>
            <w:tcW w:w="851" w:type="pct"/>
            <w:vMerge w:val="continue"/>
            <w:tcBorders>
              <w:tl2br w:val="nil"/>
              <w:tr2bl w:val="nil"/>
            </w:tcBorders>
            <w:shd w:val="clear" w:color="auto" w:fill="auto"/>
            <w:vAlign w:val="center"/>
          </w:tcPr>
          <w:p w14:paraId="346CFA05">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p>
        </w:tc>
      </w:tr>
      <w:tr w14:paraId="3B1B36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81" w:type="pct"/>
            <w:tcBorders>
              <w:tl2br w:val="nil"/>
              <w:tr2bl w:val="nil"/>
            </w:tcBorders>
            <w:shd w:val="clear" w:color="auto" w:fill="auto"/>
            <w:vAlign w:val="center"/>
          </w:tcPr>
          <w:p w14:paraId="48615A3D">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埋藏条件</w:t>
            </w:r>
          </w:p>
        </w:tc>
        <w:tc>
          <w:tcPr>
            <w:tcW w:w="1908" w:type="pct"/>
            <w:gridSpan w:val="3"/>
            <w:tcBorders>
              <w:tl2br w:val="nil"/>
              <w:tr2bl w:val="nil"/>
            </w:tcBorders>
            <w:shd w:val="clear" w:color="auto" w:fill="auto"/>
            <w:vAlign w:val="center"/>
          </w:tcPr>
          <w:p w14:paraId="5D85F2FB">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承压水</w:t>
            </w:r>
          </w:p>
        </w:tc>
        <w:tc>
          <w:tcPr>
            <w:tcW w:w="1758" w:type="pct"/>
            <w:gridSpan w:val="4"/>
            <w:tcBorders>
              <w:tl2br w:val="nil"/>
              <w:tr2bl w:val="nil"/>
            </w:tcBorders>
            <w:shd w:val="clear" w:color="auto" w:fill="auto"/>
            <w:vAlign w:val="center"/>
          </w:tcPr>
          <w:p w14:paraId="13463656">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
              </w:rPr>
              <w:t>承压水</w:t>
            </w:r>
          </w:p>
        </w:tc>
        <w:tc>
          <w:tcPr>
            <w:tcW w:w="851" w:type="pct"/>
            <w:vMerge w:val="continue"/>
            <w:tcBorders>
              <w:tl2br w:val="nil"/>
              <w:tr2bl w:val="nil"/>
            </w:tcBorders>
            <w:shd w:val="clear" w:color="auto" w:fill="auto"/>
            <w:vAlign w:val="center"/>
          </w:tcPr>
          <w:p w14:paraId="77123BF9">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
              </w:rPr>
            </w:pPr>
          </w:p>
        </w:tc>
      </w:tr>
      <w:tr w14:paraId="2728F8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81" w:type="pct"/>
            <w:tcBorders>
              <w:tl2br w:val="nil"/>
              <w:tr2bl w:val="nil"/>
            </w:tcBorders>
            <w:shd w:val="clear" w:color="auto" w:fill="auto"/>
            <w:vAlign w:val="center"/>
          </w:tcPr>
          <w:p w14:paraId="7AFC8624">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color w:val="auto"/>
                <w:kern w:val="0"/>
                <w:sz w:val="21"/>
                <w:szCs w:val="21"/>
                <w:highlight w:val="none"/>
              </w:rPr>
              <w:t>保护区半径</w:t>
            </w:r>
          </w:p>
        </w:tc>
        <w:tc>
          <w:tcPr>
            <w:tcW w:w="1908" w:type="pct"/>
            <w:gridSpan w:val="3"/>
            <w:tcBorders>
              <w:tl2br w:val="nil"/>
              <w:tr2bl w:val="nil"/>
            </w:tcBorders>
            <w:shd w:val="clear" w:color="auto" w:fill="auto"/>
            <w:vAlign w:val="center"/>
          </w:tcPr>
          <w:p w14:paraId="038D76D4">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color w:val="auto"/>
                <w:kern w:val="0"/>
                <w:sz w:val="21"/>
                <w:szCs w:val="21"/>
                <w:highlight w:val="none"/>
                <w:lang w:val="en-US" w:eastAsia="zh-CN"/>
              </w:rPr>
              <w:t>30</w:t>
            </w:r>
            <w:r>
              <w:rPr>
                <w:color w:val="auto"/>
                <w:kern w:val="0"/>
                <w:sz w:val="21"/>
                <w:szCs w:val="21"/>
                <w:highlight w:val="none"/>
              </w:rPr>
              <w:t>米</w:t>
            </w:r>
          </w:p>
        </w:tc>
        <w:tc>
          <w:tcPr>
            <w:tcW w:w="1758" w:type="pct"/>
            <w:gridSpan w:val="4"/>
            <w:tcBorders>
              <w:tl2br w:val="nil"/>
              <w:tr2bl w:val="nil"/>
            </w:tcBorders>
            <w:shd w:val="clear" w:color="auto" w:fill="auto"/>
            <w:vAlign w:val="center"/>
          </w:tcPr>
          <w:p w14:paraId="7303897E">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olor w:val="auto"/>
                <w:kern w:val="0"/>
                <w:sz w:val="21"/>
                <w:szCs w:val="21"/>
                <w:highlight w:val="none"/>
                <w:lang w:val="en-US" w:eastAsia="zh-CN"/>
              </w:rPr>
              <w:t>30</w:t>
            </w:r>
            <w:r>
              <w:rPr>
                <w:color w:val="auto"/>
                <w:kern w:val="0"/>
                <w:sz w:val="21"/>
                <w:szCs w:val="21"/>
                <w:highlight w:val="none"/>
              </w:rPr>
              <w:t>米</w:t>
            </w:r>
          </w:p>
        </w:tc>
        <w:tc>
          <w:tcPr>
            <w:tcW w:w="851" w:type="pct"/>
            <w:vMerge w:val="continue"/>
            <w:tcBorders>
              <w:tl2br w:val="nil"/>
              <w:tr2bl w:val="nil"/>
            </w:tcBorders>
            <w:shd w:val="clear" w:color="auto" w:fill="auto"/>
            <w:vAlign w:val="center"/>
          </w:tcPr>
          <w:p w14:paraId="30B79456">
            <w:pPr>
              <w:widowControl/>
              <w:snapToGrid w:val="0"/>
              <w:spacing w:line="240" w:lineRule="auto"/>
              <w:ind w:firstLine="0" w:firstLineChars="0"/>
              <w:jc w:val="center"/>
              <w:rPr>
                <w:rFonts w:hint="eastAsia"/>
                <w:color w:val="auto"/>
                <w:kern w:val="0"/>
                <w:sz w:val="21"/>
                <w:szCs w:val="21"/>
                <w:highlight w:val="none"/>
                <w:lang w:val="en-US" w:eastAsia="zh-CN"/>
              </w:rPr>
            </w:pPr>
          </w:p>
        </w:tc>
      </w:tr>
      <w:tr w14:paraId="6FA9C7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81" w:type="pct"/>
            <w:tcBorders>
              <w:tl2br w:val="nil"/>
              <w:tr2bl w:val="nil"/>
            </w:tcBorders>
            <w:shd w:val="clear" w:color="auto" w:fill="auto"/>
            <w:vAlign w:val="center"/>
          </w:tcPr>
          <w:p w14:paraId="5CD90F29">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color w:val="auto"/>
                <w:kern w:val="0"/>
                <w:sz w:val="21"/>
                <w:szCs w:val="21"/>
                <w:highlight w:val="none"/>
              </w:rPr>
              <w:t>一级保护区面积（平</w:t>
            </w:r>
            <w:r>
              <w:rPr>
                <w:rFonts w:hint="eastAsia"/>
                <w:color w:val="auto"/>
                <w:kern w:val="0"/>
                <w:sz w:val="21"/>
                <w:szCs w:val="21"/>
                <w:highlight w:val="none"/>
              </w:rPr>
              <w:t>方米</w:t>
            </w:r>
            <w:r>
              <w:rPr>
                <w:rFonts w:hint="eastAsia"/>
                <w:color w:val="auto"/>
                <w:kern w:val="0"/>
                <w:sz w:val="21"/>
                <w:szCs w:val="21"/>
                <w:highlight w:val="none"/>
                <w:lang w:eastAsia="zh-CN"/>
              </w:rPr>
              <w:t>）</w:t>
            </w:r>
          </w:p>
        </w:tc>
        <w:tc>
          <w:tcPr>
            <w:tcW w:w="1908" w:type="pct"/>
            <w:gridSpan w:val="3"/>
            <w:tcBorders>
              <w:tl2br w:val="nil"/>
              <w:tr2bl w:val="nil"/>
            </w:tcBorders>
            <w:shd w:val="clear" w:color="auto" w:fill="auto"/>
            <w:vAlign w:val="center"/>
          </w:tcPr>
          <w:p w14:paraId="44A0FA27">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2826</w:t>
            </w:r>
          </w:p>
        </w:tc>
        <w:tc>
          <w:tcPr>
            <w:tcW w:w="1758" w:type="pct"/>
            <w:gridSpan w:val="4"/>
            <w:tcBorders>
              <w:tl2br w:val="nil"/>
              <w:tr2bl w:val="nil"/>
            </w:tcBorders>
            <w:shd w:val="clear" w:color="auto" w:fill="auto"/>
            <w:vAlign w:val="center"/>
          </w:tcPr>
          <w:p w14:paraId="250A290F">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olor w:val="auto"/>
                <w:sz w:val="21"/>
                <w:szCs w:val="21"/>
                <w:highlight w:val="none"/>
                <w:lang w:val="en-US" w:eastAsia="zh-CN"/>
              </w:rPr>
              <w:t>8478</w:t>
            </w:r>
          </w:p>
        </w:tc>
        <w:tc>
          <w:tcPr>
            <w:tcW w:w="851" w:type="pct"/>
            <w:vMerge w:val="continue"/>
            <w:tcBorders>
              <w:tl2br w:val="nil"/>
              <w:tr2bl w:val="nil"/>
            </w:tcBorders>
            <w:shd w:val="clear" w:color="auto" w:fill="auto"/>
            <w:vAlign w:val="center"/>
          </w:tcPr>
          <w:p w14:paraId="0B747C1B">
            <w:pPr>
              <w:widowControl/>
              <w:snapToGrid w:val="0"/>
              <w:spacing w:line="240" w:lineRule="auto"/>
              <w:ind w:firstLine="0" w:firstLineChars="0"/>
              <w:jc w:val="center"/>
              <w:rPr>
                <w:rFonts w:hint="eastAsia"/>
                <w:color w:val="auto"/>
                <w:sz w:val="21"/>
                <w:szCs w:val="21"/>
                <w:highlight w:val="none"/>
                <w:lang w:val="en-US" w:eastAsia="zh-CN"/>
              </w:rPr>
            </w:pPr>
          </w:p>
        </w:tc>
      </w:tr>
      <w:tr w14:paraId="3455F8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81" w:type="pct"/>
            <w:tcBorders>
              <w:tl2br w:val="nil"/>
              <w:tr2bl w:val="nil"/>
            </w:tcBorders>
            <w:shd w:val="clear" w:color="auto" w:fill="auto"/>
            <w:vAlign w:val="center"/>
          </w:tcPr>
          <w:p w14:paraId="1EA888ED">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color w:val="auto"/>
                <w:kern w:val="0"/>
                <w:sz w:val="21"/>
                <w:szCs w:val="21"/>
                <w:highlight w:val="none"/>
              </w:rPr>
              <w:t>二级保护区</w:t>
            </w:r>
            <w:r>
              <w:rPr>
                <w:rFonts w:hint="eastAsia"/>
                <w:color w:val="auto"/>
                <w:kern w:val="0"/>
                <w:sz w:val="21"/>
                <w:szCs w:val="21"/>
                <w:highlight w:val="none"/>
                <w:lang w:eastAsia="zh-CN"/>
              </w:rPr>
              <w:t>、</w:t>
            </w:r>
            <w:r>
              <w:rPr>
                <w:color w:val="auto"/>
                <w:kern w:val="0"/>
                <w:sz w:val="21"/>
                <w:szCs w:val="21"/>
                <w:highlight w:val="none"/>
              </w:rPr>
              <w:t>准保护区面积（平方</w:t>
            </w:r>
            <w:r>
              <w:rPr>
                <w:rFonts w:hint="eastAsia"/>
                <w:color w:val="auto"/>
                <w:kern w:val="0"/>
                <w:sz w:val="21"/>
                <w:szCs w:val="21"/>
                <w:highlight w:val="none"/>
              </w:rPr>
              <w:t>米</w:t>
            </w:r>
            <w:r>
              <w:rPr>
                <w:color w:val="auto"/>
                <w:kern w:val="0"/>
                <w:sz w:val="21"/>
                <w:szCs w:val="21"/>
                <w:highlight w:val="none"/>
              </w:rPr>
              <w:t>）</w:t>
            </w:r>
          </w:p>
        </w:tc>
        <w:tc>
          <w:tcPr>
            <w:tcW w:w="1908" w:type="pct"/>
            <w:gridSpan w:val="3"/>
            <w:tcBorders>
              <w:tl2br w:val="nil"/>
              <w:tr2bl w:val="nil"/>
            </w:tcBorders>
            <w:shd w:val="clear" w:color="auto" w:fill="auto"/>
            <w:vAlign w:val="center"/>
          </w:tcPr>
          <w:p w14:paraId="47E88B54">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无</w:t>
            </w:r>
          </w:p>
        </w:tc>
        <w:tc>
          <w:tcPr>
            <w:tcW w:w="1758" w:type="pct"/>
            <w:gridSpan w:val="4"/>
            <w:tcBorders>
              <w:tl2br w:val="nil"/>
              <w:tr2bl w:val="nil"/>
            </w:tcBorders>
            <w:shd w:val="clear" w:color="auto" w:fill="auto"/>
            <w:vAlign w:val="center"/>
          </w:tcPr>
          <w:p w14:paraId="7759DBDC">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
              </w:rPr>
              <w:t>无</w:t>
            </w:r>
          </w:p>
        </w:tc>
        <w:tc>
          <w:tcPr>
            <w:tcW w:w="851" w:type="pct"/>
            <w:vMerge w:val="continue"/>
            <w:tcBorders>
              <w:tl2br w:val="nil"/>
              <w:tr2bl w:val="nil"/>
            </w:tcBorders>
            <w:shd w:val="clear" w:color="auto" w:fill="auto"/>
            <w:vAlign w:val="center"/>
          </w:tcPr>
          <w:p w14:paraId="3CC58B1A">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
              </w:rPr>
            </w:pPr>
          </w:p>
        </w:tc>
      </w:tr>
      <w:tr w14:paraId="2D3B28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81" w:type="pct"/>
            <w:tcBorders>
              <w:tl2br w:val="nil"/>
              <w:tr2bl w:val="nil"/>
            </w:tcBorders>
            <w:shd w:val="clear" w:color="auto" w:fill="auto"/>
            <w:vAlign w:val="center"/>
          </w:tcPr>
          <w:p w14:paraId="496F6EDC">
            <w:pPr>
              <w:widowControl/>
              <w:spacing w:line="240" w:lineRule="auto"/>
              <w:ind w:firstLine="0" w:firstLineChars="0"/>
              <w:jc w:val="center"/>
              <w:textAlignment w:val="center"/>
              <w:rPr>
                <w:color w:val="auto"/>
                <w:kern w:val="0"/>
                <w:sz w:val="21"/>
                <w:szCs w:val="21"/>
                <w:highlight w:val="none"/>
              </w:rPr>
            </w:pPr>
            <w:r>
              <w:rPr>
                <w:rFonts w:hint="eastAsia" w:ascii="Times New Roman" w:cs="Times New Roman"/>
                <w:color w:val="auto"/>
                <w:sz w:val="21"/>
                <w:szCs w:val="21"/>
                <w:highlight w:val="none"/>
              </w:rPr>
              <w:t>调整后保护区增减面积</w:t>
            </w:r>
            <w:r>
              <w:rPr>
                <w:color w:val="auto"/>
                <w:kern w:val="0"/>
                <w:sz w:val="21"/>
                <w:szCs w:val="21"/>
                <w:highlight w:val="none"/>
              </w:rPr>
              <w:t>（平方</w:t>
            </w:r>
            <w:r>
              <w:rPr>
                <w:rFonts w:hint="eastAsia"/>
                <w:color w:val="auto"/>
                <w:kern w:val="0"/>
                <w:sz w:val="21"/>
                <w:szCs w:val="21"/>
                <w:highlight w:val="none"/>
              </w:rPr>
              <w:t>米</w:t>
            </w:r>
            <w:r>
              <w:rPr>
                <w:color w:val="auto"/>
                <w:kern w:val="0"/>
                <w:sz w:val="21"/>
                <w:szCs w:val="21"/>
                <w:highlight w:val="none"/>
              </w:rPr>
              <w:t>）</w:t>
            </w:r>
          </w:p>
        </w:tc>
        <w:tc>
          <w:tcPr>
            <w:tcW w:w="3667" w:type="pct"/>
            <w:gridSpan w:val="7"/>
            <w:tcBorders>
              <w:tl2br w:val="nil"/>
              <w:tr2bl w:val="nil"/>
            </w:tcBorders>
            <w:shd w:val="clear" w:color="auto" w:fill="auto"/>
            <w:vAlign w:val="center"/>
          </w:tcPr>
          <w:p w14:paraId="79665E05">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+5652</w:t>
            </w:r>
          </w:p>
        </w:tc>
        <w:tc>
          <w:tcPr>
            <w:tcW w:w="851" w:type="pct"/>
            <w:vMerge w:val="continue"/>
            <w:tcBorders>
              <w:tl2br w:val="nil"/>
              <w:tr2bl w:val="nil"/>
            </w:tcBorders>
            <w:shd w:val="clear" w:color="auto" w:fill="auto"/>
            <w:vAlign w:val="center"/>
          </w:tcPr>
          <w:p w14:paraId="58892750">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
              </w:rPr>
            </w:pPr>
          </w:p>
        </w:tc>
      </w:tr>
    </w:tbl>
    <w:p w14:paraId="4048DAFD">
      <w:pPr>
        <w:bidi w:val="0"/>
        <w:rPr>
          <w:color w:val="auto"/>
          <w:highlight w:val="none"/>
          <w:lang w:val="en-US"/>
        </w:rPr>
      </w:pPr>
    </w:p>
    <w:p w14:paraId="278A04A5">
      <w:pPr>
        <w:pStyle w:val="13"/>
        <w:spacing w:line="360" w:lineRule="auto"/>
        <w:ind w:left="0" w:leftChars="0" w:firstLine="0" w:firstLineChars="0"/>
        <w:jc w:val="center"/>
        <w:rPr>
          <w:rFonts w:hint="eastAsia" w:ascii="Times New Roman" w:hAnsi="Times New Roman" w:eastAsia="宋体" w:cs="Times New Roman"/>
          <w:color w:val="auto"/>
          <w:sz w:val="24"/>
          <w:szCs w:val="24"/>
          <w:highlight w:val="none"/>
          <w:lang w:val="zh-CN" w:eastAsia="zh-CN"/>
        </w:rPr>
      </w:pPr>
      <w:r>
        <w:rPr>
          <w:rFonts w:hint="eastAsia" w:ascii="Times New Roman" w:hAnsi="Times New Roman" w:eastAsia="宋体" w:cs="Times New Roman"/>
          <w:color w:val="auto"/>
          <w:sz w:val="24"/>
          <w:szCs w:val="24"/>
          <w:highlight w:val="none"/>
          <w:lang w:val="zh-CN" w:eastAsia="zh-CN"/>
        </w:rPr>
        <w:drawing>
          <wp:inline distT="0" distB="0" distL="114300" distR="114300">
            <wp:extent cx="7254240" cy="5128895"/>
            <wp:effectExtent l="0" t="0" r="3810" b="14605"/>
            <wp:docPr id="87" name="图片 87" descr="水源地调整对比_丰收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水源地调整对比_丰收乡"/>
                    <pic:cNvPicPr>
                      <a:picLocks noChangeAspect="1"/>
                    </pic:cNvPicPr>
                  </pic:nvPicPr>
                  <pic:blipFill>
                    <a:blip r:embed="rId96"/>
                    <a:stretch>
                      <a:fillRect/>
                    </a:stretch>
                  </pic:blipFill>
                  <pic:spPr>
                    <a:xfrm>
                      <a:off x="0" y="0"/>
                      <a:ext cx="7254240" cy="5128895"/>
                    </a:xfrm>
                    <a:prstGeom prst="rect">
                      <a:avLst/>
                    </a:prstGeom>
                  </pic:spPr>
                </pic:pic>
              </a:graphicData>
            </a:graphic>
          </wp:inline>
        </w:drawing>
      </w:r>
    </w:p>
    <w:p w14:paraId="33417905">
      <w:pPr>
        <w:pStyle w:val="13"/>
        <w:spacing w:line="360" w:lineRule="auto"/>
        <w:ind w:left="0" w:leftChars="0" w:firstLine="0" w:firstLineChars="0"/>
        <w:jc w:val="center"/>
        <w:rPr>
          <w:rFonts w:hint="eastAsia" w:ascii="Times New Roman" w:hAnsi="Times New Roman" w:eastAsia="黑体" w:cs="Times New Roman"/>
          <w:color w:val="auto"/>
          <w:sz w:val="24"/>
          <w:szCs w:val="24"/>
          <w:highlight w:val="none"/>
          <w:lang w:val="zh-CN" w:eastAsia="zh-CN"/>
        </w:rPr>
      </w:pPr>
      <w:r>
        <w:rPr>
          <w:rFonts w:hint="eastAsia" w:ascii="Times New Roman" w:hAnsi="Times New Roman" w:eastAsia="黑体" w:cs="Times New Roman"/>
          <w:color w:val="auto"/>
          <w:sz w:val="24"/>
          <w:szCs w:val="24"/>
          <w:highlight w:val="none"/>
          <w:lang w:val="zh-CN" w:eastAsia="zh-CN"/>
        </w:rPr>
        <w:t>图</w:t>
      </w:r>
      <w:r>
        <w:rPr>
          <w:rFonts w:hint="eastAsia" w:ascii="Times New Roman" w:hAnsi="Times New Roman" w:eastAsia="黑体" w:cs="Times New Roman"/>
          <w:color w:val="auto"/>
          <w:sz w:val="24"/>
          <w:szCs w:val="24"/>
          <w:highlight w:val="none"/>
          <w:lang w:val="en-US" w:eastAsia="zh-CN"/>
        </w:rPr>
        <w:t xml:space="preserve">3-13  </w:t>
      </w:r>
      <w:r>
        <w:rPr>
          <w:rFonts w:hint="eastAsia" w:ascii="Times New Roman" w:hAnsi="Times New Roman" w:eastAsia="黑体" w:cs="Times New Roman"/>
          <w:color w:val="auto"/>
          <w:sz w:val="24"/>
          <w:szCs w:val="24"/>
          <w:highlight w:val="none"/>
          <w:lang w:val="zh-CN" w:eastAsia="zh-CN"/>
        </w:rPr>
        <w:t>绥化市庆安县丰收乡饮用水水源</w:t>
      </w:r>
      <w:r>
        <w:rPr>
          <w:rFonts w:hint="eastAsia" w:ascii="Times New Roman" w:hAnsi="Times New Roman" w:eastAsia="黑体" w:cs="Times New Roman"/>
          <w:color w:val="auto"/>
          <w:sz w:val="24"/>
          <w:szCs w:val="24"/>
          <w:highlight w:val="none"/>
          <w:lang w:val="en-US" w:eastAsia="zh-CN"/>
        </w:rPr>
        <w:t>保护区划分</w:t>
      </w:r>
      <w:r>
        <w:rPr>
          <w:rFonts w:hint="eastAsia" w:ascii="Times New Roman" w:hAnsi="Times New Roman" w:eastAsia="黑体" w:cs="Times New Roman"/>
          <w:color w:val="auto"/>
          <w:sz w:val="24"/>
          <w:szCs w:val="24"/>
          <w:highlight w:val="none"/>
          <w:lang w:val="zh-CN" w:eastAsia="zh-CN"/>
        </w:rPr>
        <w:t>前后对比图</w:t>
      </w:r>
    </w:p>
    <w:p w14:paraId="5321795C">
      <w:pPr>
        <w:bidi w:val="0"/>
        <w:ind w:left="0" w:leftChars="0" w:firstLine="0" w:firstLineChars="0"/>
        <w:jc w:val="center"/>
        <w:rPr>
          <w:color w:val="auto"/>
          <w:highlight w:val="none"/>
          <w:lang w:val="en-US"/>
        </w:rPr>
      </w:pPr>
      <w:r>
        <w:rPr>
          <w:rFonts w:hint="eastAsia" w:ascii="Times New Roman" w:hAnsi="Times New Roman" w:eastAsia="黑体" w:cs="Times New Roman"/>
          <w:color w:val="auto"/>
          <w:sz w:val="24"/>
          <w:szCs w:val="24"/>
          <w:highlight w:val="none"/>
          <w:lang w:eastAsia="zh-CN"/>
        </w:rPr>
        <w:t>表</w:t>
      </w:r>
      <w:r>
        <w:rPr>
          <w:rFonts w:hint="eastAsia" w:ascii="Times New Roman" w:hAnsi="Times New Roman" w:eastAsia="黑体" w:cs="Times New Roman"/>
          <w:color w:val="auto"/>
          <w:sz w:val="24"/>
          <w:szCs w:val="24"/>
          <w:highlight w:val="none"/>
          <w:lang w:val="en-US" w:eastAsia="zh-CN"/>
        </w:rPr>
        <w:t>3-1</w:t>
      </w:r>
      <w:r>
        <w:rPr>
          <w:rFonts w:hint="eastAsia" w:eastAsia="黑体" w:cs="Times New Roman"/>
          <w:color w:val="auto"/>
          <w:sz w:val="24"/>
          <w:szCs w:val="24"/>
          <w:highlight w:val="none"/>
          <w:lang w:val="en-US" w:eastAsia="zh-CN"/>
        </w:rPr>
        <w:t>1</w:t>
      </w:r>
      <w:r>
        <w:rPr>
          <w:rFonts w:hint="eastAsia" w:ascii="Times New Roman" w:hAnsi="Times New Roman" w:eastAsia="黑体" w:cs="Times New Roman"/>
          <w:color w:val="auto"/>
          <w:sz w:val="24"/>
          <w:szCs w:val="24"/>
          <w:highlight w:val="none"/>
          <w:lang w:val="en-US" w:eastAsia="zh-CN"/>
        </w:rPr>
        <w:t xml:space="preserve">  平安镇</w:t>
      </w:r>
      <w:r>
        <w:rPr>
          <w:rFonts w:ascii="Times New Roman" w:hAnsi="Times New Roman" w:eastAsia="黑体" w:cs="Times New Roman"/>
          <w:color w:val="auto"/>
          <w:sz w:val="24"/>
          <w:szCs w:val="24"/>
          <w:highlight w:val="none"/>
        </w:rPr>
        <w:t>水源地调整前后对比</w:t>
      </w:r>
      <w:r>
        <w:rPr>
          <w:rFonts w:hint="eastAsia" w:ascii="Times New Roman" w:hAnsi="Times New Roman" w:eastAsia="黑体" w:cs="Times New Roman"/>
          <w:color w:val="auto"/>
          <w:sz w:val="24"/>
          <w:szCs w:val="24"/>
          <w:highlight w:val="none"/>
          <w:lang w:eastAsia="zh-CN"/>
        </w:rPr>
        <w:t>一览表</w:t>
      </w:r>
    </w:p>
    <w:tbl>
      <w:tblPr>
        <w:tblStyle w:val="22"/>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99"/>
        <w:gridCol w:w="1663"/>
        <w:gridCol w:w="1634"/>
        <w:gridCol w:w="1693"/>
        <w:gridCol w:w="1417"/>
        <w:gridCol w:w="780"/>
        <w:gridCol w:w="1705"/>
        <w:gridCol w:w="1771"/>
        <w:gridCol w:w="1936"/>
      </w:tblGrid>
      <w:tr w14:paraId="78F67E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31" w:type="pct"/>
            <w:vMerge w:val="restart"/>
            <w:tcBorders>
              <w:tl2br w:val="nil"/>
              <w:tr2bl w:val="nil"/>
            </w:tcBorders>
            <w:vAlign w:val="center"/>
          </w:tcPr>
          <w:p w14:paraId="163AB17D">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eastAsia="zh-CN" w:bidi="ar"/>
              </w:rPr>
            </w:pPr>
            <w:r>
              <w:rPr>
                <w:rFonts w:hint="eastAsia" w:ascii="Times New Roman" w:hAnsi="Times New Roman" w:eastAsia="宋体" w:cs="Times New Roman"/>
                <w:color w:val="auto"/>
                <w:kern w:val="0"/>
                <w:sz w:val="21"/>
                <w:szCs w:val="21"/>
                <w:highlight w:val="none"/>
                <w:lang w:eastAsia="zh-CN" w:bidi="ar"/>
              </w:rPr>
              <w:t>项目</w:t>
            </w:r>
          </w:p>
        </w:tc>
        <w:tc>
          <w:tcPr>
            <w:tcW w:w="1769" w:type="pct"/>
            <w:gridSpan w:val="3"/>
            <w:tcBorders>
              <w:tl2br w:val="nil"/>
              <w:tr2bl w:val="nil"/>
            </w:tcBorders>
            <w:vAlign w:val="center"/>
          </w:tcPr>
          <w:p w14:paraId="1B7DB83B">
            <w:pPr>
              <w:widowControl/>
              <w:spacing w:line="240" w:lineRule="auto"/>
              <w:ind w:firstLine="0" w:firstLineChars="0"/>
              <w:jc w:val="center"/>
              <w:textAlignment w:val="center"/>
              <w:rPr>
                <w:rFonts w:hint="eastAsia" w:cs="Times New Roman"/>
                <w:color w:val="auto"/>
                <w:kern w:val="0"/>
                <w:sz w:val="21"/>
                <w:szCs w:val="21"/>
                <w:highlight w:val="none"/>
                <w:lang w:eastAsia="zh-CN" w:bidi="ar"/>
              </w:rPr>
            </w:pPr>
            <w:r>
              <w:rPr>
                <w:rFonts w:hint="eastAsia" w:cs="Times New Roman"/>
                <w:color w:val="auto"/>
                <w:kern w:val="0"/>
                <w:sz w:val="21"/>
                <w:szCs w:val="21"/>
                <w:highlight w:val="none"/>
                <w:lang w:eastAsia="zh-CN" w:bidi="ar"/>
              </w:rPr>
              <w:t>调整前</w:t>
            </w:r>
          </w:p>
        </w:tc>
        <w:tc>
          <w:tcPr>
            <w:tcW w:w="2011" w:type="pct"/>
            <w:gridSpan w:val="4"/>
            <w:tcBorders>
              <w:tl2br w:val="nil"/>
              <w:tr2bl w:val="nil"/>
            </w:tcBorders>
            <w:vAlign w:val="center"/>
          </w:tcPr>
          <w:p w14:paraId="36A18C86">
            <w:pPr>
              <w:widowControl/>
              <w:spacing w:line="240" w:lineRule="auto"/>
              <w:ind w:firstLine="0" w:firstLineChars="0"/>
              <w:jc w:val="center"/>
              <w:textAlignment w:val="center"/>
              <w:rPr>
                <w:rFonts w:hint="eastAsia" w:cs="Times New Roman"/>
                <w:color w:val="auto"/>
                <w:kern w:val="0"/>
                <w:sz w:val="21"/>
                <w:szCs w:val="21"/>
                <w:highlight w:val="none"/>
                <w:lang w:eastAsia="zh-CN" w:bidi="ar"/>
              </w:rPr>
            </w:pPr>
            <w:r>
              <w:rPr>
                <w:rFonts w:hint="eastAsia" w:cs="Times New Roman"/>
                <w:color w:val="auto"/>
                <w:kern w:val="0"/>
                <w:sz w:val="21"/>
                <w:szCs w:val="21"/>
                <w:highlight w:val="none"/>
                <w:lang w:eastAsia="zh-CN" w:bidi="ar"/>
              </w:rPr>
              <w:t>调整后</w:t>
            </w:r>
          </w:p>
        </w:tc>
        <w:tc>
          <w:tcPr>
            <w:tcW w:w="686" w:type="pct"/>
            <w:vMerge w:val="restart"/>
            <w:tcBorders>
              <w:tl2br w:val="nil"/>
              <w:tr2bl w:val="nil"/>
            </w:tcBorders>
            <w:vAlign w:val="center"/>
          </w:tcPr>
          <w:p w14:paraId="5760E5B1">
            <w:pPr>
              <w:widowControl/>
              <w:spacing w:line="240" w:lineRule="auto"/>
              <w:ind w:firstLine="0" w:firstLineChars="0"/>
              <w:jc w:val="center"/>
              <w:textAlignment w:val="center"/>
              <w:rPr>
                <w:rFonts w:hint="eastAsia" w:cs="Times New Roman"/>
                <w:color w:val="auto"/>
                <w:kern w:val="0"/>
                <w:sz w:val="21"/>
                <w:szCs w:val="21"/>
                <w:highlight w:val="none"/>
                <w:lang w:eastAsia="zh-CN" w:bidi="ar"/>
              </w:rPr>
            </w:pPr>
            <w:r>
              <w:rPr>
                <w:rFonts w:hint="eastAsia" w:cs="Times New Roman"/>
                <w:color w:val="auto"/>
                <w:kern w:val="0"/>
                <w:sz w:val="21"/>
                <w:szCs w:val="21"/>
                <w:highlight w:val="none"/>
                <w:lang w:eastAsia="zh-CN" w:bidi="ar"/>
              </w:rPr>
              <w:t>备注</w:t>
            </w:r>
          </w:p>
        </w:tc>
      </w:tr>
      <w:tr w14:paraId="28C389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31" w:type="pct"/>
            <w:vMerge w:val="continue"/>
            <w:tcBorders>
              <w:tl2br w:val="nil"/>
              <w:tr2bl w:val="nil"/>
            </w:tcBorders>
            <w:vAlign w:val="center"/>
          </w:tcPr>
          <w:p w14:paraId="5C02E440">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eastAsia="zh-CN" w:bidi="ar"/>
              </w:rPr>
            </w:pPr>
          </w:p>
        </w:tc>
        <w:tc>
          <w:tcPr>
            <w:tcW w:w="589" w:type="pct"/>
            <w:vMerge w:val="restart"/>
            <w:tcBorders>
              <w:tl2br w:val="nil"/>
              <w:tr2bl w:val="nil"/>
            </w:tcBorders>
            <w:vAlign w:val="center"/>
          </w:tcPr>
          <w:p w14:paraId="384E024A">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eastAsia="zh-CN" w:bidi="ar"/>
              </w:rPr>
            </w:pPr>
            <w:r>
              <w:rPr>
                <w:rFonts w:hint="eastAsia" w:ascii="Times New Roman" w:hAnsi="Times New Roman" w:eastAsia="宋体" w:cs="Times New Roman"/>
                <w:color w:val="auto"/>
                <w:kern w:val="0"/>
                <w:sz w:val="21"/>
                <w:szCs w:val="21"/>
                <w:highlight w:val="none"/>
                <w:lang w:eastAsia="zh-CN" w:bidi="ar"/>
              </w:rPr>
              <w:t>调整前水源地</w:t>
            </w:r>
          </w:p>
        </w:tc>
        <w:tc>
          <w:tcPr>
            <w:tcW w:w="1179" w:type="pct"/>
            <w:gridSpan w:val="2"/>
            <w:tcBorders>
              <w:tl2br w:val="nil"/>
              <w:tr2bl w:val="nil"/>
            </w:tcBorders>
            <w:vAlign w:val="center"/>
          </w:tcPr>
          <w:p w14:paraId="25C2D3E7">
            <w:pPr>
              <w:widowControl/>
              <w:snapToGrid w:val="0"/>
              <w:spacing w:line="240" w:lineRule="auto"/>
              <w:ind w:firstLine="0" w:firstLineChars="0"/>
              <w:jc w:val="center"/>
              <w:rPr>
                <w:rFonts w:hint="eastAsia"/>
                <w:color w:val="auto"/>
                <w:kern w:val="0"/>
                <w:sz w:val="21"/>
                <w:szCs w:val="21"/>
                <w:highlight w:val="none"/>
                <w:lang w:eastAsia="en-US"/>
              </w:rPr>
            </w:pPr>
            <w:r>
              <w:rPr>
                <w:rFonts w:hint="eastAsia"/>
                <w:color w:val="auto"/>
                <w:kern w:val="0"/>
                <w:sz w:val="21"/>
                <w:szCs w:val="21"/>
                <w:highlight w:val="none"/>
                <w:lang w:eastAsia="en-US"/>
              </w:rPr>
              <w:t>坐标</w:t>
            </w:r>
          </w:p>
        </w:tc>
        <w:tc>
          <w:tcPr>
            <w:tcW w:w="502" w:type="pct"/>
            <w:vMerge w:val="restart"/>
            <w:tcBorders>
              <w:tl2br w:val="nil"/>
              <w:tr2bl w:val="nil"/>
            </w:tcBorders>
            <w:vAlign w:val="center"/>
          </w:tcPr>
          <w:p w14:paraId="5C443985">
            <w:pPr>
              <w:widowControl/>
              <w:spacing w:line="240" w:lineRule="auto"/>
              <w:ind w:firstLine="0" w:firstLineChars="0"/>
              <w:jc w:val="center"/>
              <w:textAlignment w:val="center"/>
              <w:rPr>
                <w:rFonts w:hint="eastAsia" w:cs="Times New Roman"/>
                <w:color w:val="auto"/>
                <w:kern w:val="0"/>
                <w:sz w:val="21"/>
                <w:szCs w:val="21"/>
                <w:highlight w:val="none"/>
                <w:lang w:eastAsia="zh-CN" w:bidi="ar"/>
              </w:rPr>
            </w:pPr>
            <w:r>
              <w:rPr>
                <w:rFonts w:hint="eastAsia" w:ascii="Times New Roman" w:hAnsi="Times New Roman" w:eastAsia="宋体" w:cs="Times New Roman"/>
                <w:color w:val="auto"/>
                <w:kern w:val="0"/>
                <w:sz w:val="21"/>
                <w:szCs w:val="21"/>
                <w:highlight w:val="none"/>
                <w:lang w:eastAsia="zh-CN" w:bidi="ar"/>
              </w:rPr>
              <w:t>调整后水源地</w:t>
            </w:r>
          </w:p>
        </w:tc>
        <w:tc>
          <w:tcPr>
            <w:tcW w:w="276" w:type="pct"/>
            <w:vMerge w:val="restart"/>
            <w:tcBorders>
              <w:tl2br w:val="nil"/>
              <w:tr2bl w:val="nil"/>
            </w:tcBorders>
            <w:vAlign w:val="center"/>
          </w:tcPr>
          <w:p w14:paraId="6A485683">
            <w:pPr>
              <w:widowControl/>
              <w:spacing w:line="240" w:lineRule="auto"/>
              <w:ind w:firstLine="0" w:firstLineChars="0"/>
              <w:jc w:val="center"/>
              <w:textAlignment w:val="center"/>
              <w:rPr>
                <w:rFonts w:hint="eastAsia" w:cs="Times New Roman"/>
                <w:color w:val="auto"/>
                <w:kern w:val="0"/>
                <w:sz w:val="21"/>
                <w:szCs w:val="21"/>
                <w:highlight w:val="none"/>
                <w:lang w:eastAsia="zh-CN" w:bidi="ar"/>
              </w:rPr>
            </w:pPr>
            <w:r>
              <w:rPr>
                <w:rFonts w:hint="eastAsia" w:cs="Times New Roman"/>
                <w:color w:val="auto"/>
                <w:kern w:val="0"/>
                <w:sz w:val="21"/>
                <w:szCs w:val="21"/>
                <w:highlight w:val="none"/>
                <w:lang w:eastAsia="zh-CN" w:bidi="ar"/>
              </w:rPr>
              <w:t>编号</w:t>
            </w:r>
          </w:p>
        </w:tc>
        <w:tc>
          <w:tcPr>
            <w:tcW w:w="1232" w:type="pct"/>
            <w:gridSpan w:val="2"/>
            <w:tcBorders>
              <w:tl2br w:val="nil"/>
              <w:tr2bl w:val="nil"/>
            </w:tcBorders>
            <w:vAlign w:val="center"/>
          </w:tcPr>
          <w:p w14:paraId="5F76DB0E">
            <w:pPr>
              <w:widowControl/>
              <w:spacing w:line="240" w:lineRule="auto"/>
              <w:ind w:firstLine="0" w:firstLineChars="0"/>
              <w:jc w:val="center"/>
              <w:textAlignment w:val="center"/>
              <w:rPr>
                <w:rFonts w:hint="eastAsia" w:cs="Times New Roman"/>
                <w:color w:val="auto"/>
                <w:kern w:val="0"/>
                <w:sz w:val="21"/>
                <w:szCs w:val="21"/>
                <w:highlight w:val="none"/>
                <w:lang w:eastAsia="zh-CN" w:bidi="ar"/>
              </w:rPr>
            </w:pPr>
            <w:r>
              <w:rPr>
                <w:rFonts w:hint="eastAsia" w:cs="Times New Roman"/>
                <w:color w:val="auto"/>
                <w:kern w:val="0"/>
                <w:sz w:val="21"/>
                <w:szCs w:val="21"/>
                <w:highlight w:val="none"/>
                <w:lang w:eastAsia="zh-CN" w:bidi="ar"/>
              </w:rPr>
              <w:t>坐标</w:t>
            </w:r>
          </w:p>
        </w:tc>
        <w:tc>
          <w:tcPr>
            <w:tcW w:w="686" w:type="pct"/>
            <w:vMerge w:val="continue"/>
            <w:tcBorders>
              <w:tl2br w:val="nil"/>
              <w:tr2bl w:val="nil"/>
            </w:tcBorders>
            <w:vAlign w:val="center"/>
          </w:tcPr>
          <w:p w14:paraId="722630AD">
            <w:pPr>
              <w:widowControl/>
              <w:spacing w:line="240" w:lineRule="auto"/>
              <w:ind w:firstLine="0" w:firstLineChars="0"/>
              <w:jc w:val="center"/>
              <w:textAlignment w:val="center"/>
              <w:rPr>
                <w:rFonts w:hint="eastAsia" w:cs="Times New Roman"/>
                <w:color w:val="auto"/>
                <w:kern w:val="0"/>
                <w:sz w:val="21"/>
                <w:szCs w:val="21"/>
                <w:highlight w:val="none"/>
                <w:lang w:eastAsia="zh-CN" w:bidi="ar"/>
              </w:rPr>
            </w:pPr>
          </w:p>
        </w:tc>
      </w:tr>
      <w:tr w14:paraId="6853C5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31" w:type="pct"/>
            <w:vMerge w:val="continue"/>
            <w:tcBorders>
              <w:tl2br w:val="nil"/>
              <w:tr2bl w:val="nil"/>
            </w:tcBorders>
            <w:vAlign w:val="center"/>
          </w:tcPr>
          <w:p w14:paraId="22687446">
            <w:pPr>
              <w:widowControl/>
              <w:snapToGrid w:val="0"/>
              <w:spacing w:line="240" w:lineRule="auto"/>
              <w:ind w:firstLine="0" w:firstLineChars="0"/>
              <w:jc w:val="center"/>
              <w:rPr>
                <w:color w:val="auto"/>
                <w:sz w:val="21"/>
                <w:szCs w:val="21"/>
                <w:highlight w:val="none"/>
              </w:rPr>
            </w:pPr>
          </w:p>
        </w:tc>
        <w:tc>
          <w:tcPr>
            <w:tcW w:w="589" w:type="pct"/>
            <w:vMerge w:val="continue"/>
            <w:tcBorders>
              <w:tl2br w:val="nil"/>
              <w:tr2bl w:val="nil"/>
            </w:tcBorders>
            <w:vAlign w:val="center"/>
          </w:tcPr>
          <w:p w14:paraId="76722282">
            <w:pPr>
              <w:widowControl/>
              <w:snapToGrid w:val="0"/>
              <w:spacing w:line="240" w:lineRule="auto"/>
              <w:ind w:firstLine="0" w:firstLineChars="0"/>
              <w:jc w:val="center"/>
              <w:rPr>
                <w:color w:val="auto"/>
                <w:sz w:val="21"/>
                <w:szCs w:val="21"/>
                <w:highlight w:val="none"/>
              </w:rPr>
            </w:pPr>
          </w:p>
        </w:tc>
        <w:tc>
          <w:tcPr>
            <w:tcW w:w="579" w:type="pct"/>
            <w:tcBorders>
              <w:tl2br w:val="nil"/>
              <w:tr2bl w:val="nil"/>
            </w:tcBorders>
            <w:vAlign w:val="center"/>
          </w:tcPr>
          <w:p w14:paraId="3199CA18">
            <w:pPr>
              <w:widowControl/>
              <w:snapToGrid w:val="0"/>
              <w:spacing w:line="240" w:lineRule="auto"/>
              <w:ind w:firstLine="0" w:firstLineChars="0"/>
              <w:jc w:val="center"/>
              <w:rPr>
                <w:color w:val="auto"/>
                <w:sz w:val="21"/>
                <w:szCs w:val="21"/>
                <w:highlight w:val="none"/>
              </w:rPr>
            </w:pPr>
            <w:r>
              <w:rPr>
                <w:rFonts w:hint="eastAsia"/>
                <w:color w:val="auto"/>
                <w:kern w:val="0"/>
                <w:sz w:val="21"/>
                <w:szCs w:val="21"/>
                <w:highlight w:val="none"/>
                <w:lang w:eastAsia="zh-CN"/>
              </w:rPr>
              <w:t>经度</w:t>
            </w:r>
          </w:p>
        </w:tc>
        <w:tc>
          <w:tcPr>
            <w:tcW w:w="600" w:type="pct"/>
            <w:tcBorders>
              <w:tl2br w:val="nil"/>
              <w:tr2bl w:val="nil"/>
            </w:tcBorders>
            <w:vAlign w:val="center"/>
          </w:tcPr>
          <w:p w14:paraId="71B8E491">
            <w:pPr>
              <w:widowControl/>
              <w:snapToGrid w:val="0"/>
              <w:spacing w:line="240" w:lineRule="auto"/>
              <w:ind w:firstLine="0" w:firstLineChars="0"/>
              <w:jc w:val="center"/>
              <w:rPr>
                <w:color w:val="auto"/>
                <w:sz w:val="21"/>
                <w:szCs w:val="21"/>
                <w:highlight w:val="none"/>
              </w:rPr>
            </w:pPr>
            <w:r>
              <w:rPr>
                <w:rFonts w:hint="eastAsia"/>
                <w:color w:val="auto"/>
                <w:kern w:val="0"/>
                <w:sz w:val="21"/>
                <w:szCs w:val="21"/>
                <w:highlight w:val="none"/>
                <w:lang w:eastAsia="zh-CN"/>
              </w:rPr>
              <w:t>纬度</w:t>
            </w:r>
          </w:p>
        </w:tc>
        <w:tc>
          <w:tcPr>
            <w:tcW w:w="502" w:type="pct"/>
            <w:vMerge w:val="continue"/>
            <w:tcBorders>
              <w:tl2br w:val="nil"/>
              <w:tr2bl w:val="nil"/>
            </w:tcBorders>
            <w:vAlign w:val="center"/>
          </w:tcPr>
          <w:p w14:paraId="71236D74">
            <w:pPr>
              <w:widowControl/>
              <w:snapToGrid w:val="0"/>
              <w:spacing w:line="240" w:lineRule="auto"/>
              <w:ind w:firstLine="0" w:firstLineChars="0"/>
              <w:jc w:val="center"/>
              <w:rPr>
                <w:color w:val="auto"/>
                <w:sz w:val="21"/>
                <w:szCs w:val="21"/>
                <w:highlight w:val="none"/>
              </w:rPr>
            </w:pPr>
          </w:p>
        </w:tc>
        <w:tc>
          <w:tcPr>
            <w:tcW w:w="276" w:type="pct"/>
            <w:vMerge w:val="continue"/>
            <w:tcBorders>
              <w:tl2br w:val="nil"/>
              <w:tr2bl w:val="nil"/>
            </w:tcBorders>
            <w:vAlign w:val="center"/>
          </w:tcPr>
          <w:p w14:paraId="3D51A5A2">
            <w:pPr>
              <w:widowControl/>
              <w:snapToGrid w:val="0"/>
              <w:spacing w:line="240" w:lineRule="auto"/>
              <w:ind w:firstLine="0" w:firstLineChars="0"/>
              <w:jc w:val="center"/>
              <w:rPr>
                <w:color w:val="auto"/>
                <w:sz w:val="21"/>
                <w:szCs w:val="21"/>
                <w:highlight w:val="none"/>
              </w:rPr>
            </w:pPr>
          </w:p>
        </w:tc>
        <w:tc>
          <w:tcPr>
            <w:tcW w:w="604" w:type="pct"/>
            <w:tcBorders>
              <w:tl2br w:val="nil"/>
              <w:tr2bl w:val="nil"/>
            </w:tcBorders>
            <w:vAlign w:val="center"/>
          </w:tcPr>
          <w:p w14:paraId="31DA9B2E">
            <w:pPr>
              <w:widowControl/>
              <w:snapToGrid w:val="0"/>
              <w:spacing w:line="240" w:lineRule="auto"/>
              <w:ind w:firstLine="0" w:firstLineChars="0"/>
              <w:jc w:val="center"/>
              <w:rPr>
                <w:rFonts w:hint="eastAsia" w:eastAsia="宋体"/>
                <w:color w:val="auto"/>
                <w:sz w:val="21"/>
                <w:szCs w:val="21"/>
                <w:highlight w:val="none"/>
                <w:lang w:eastAsia="zh-CN"/>
              </w:rPr>
            </w:pPr>
            <w:r>
              <w:rPr>
                <w:rFonts w:hint="eastAsia"/>
                <w:color w:val="auto"/>
                <w:sz w:val="21"/>
                <w:szCs w:val="21"/>
                <w:highlight w:val="none"/>
                <w:lang w:eastAsia="zh-CN"/>
              </w:rPr>
              <w:t>经度</w:t>
            </w:r>
          </w:p>
        </w:tc>
        <w:tc>
          <w:tcPr>
            <w:tcW w:w="628" w:type="pct"/>
            <w:tcBorders>
              <w:tl2br w:val="nil"/>
              <w:tr2bl w:val="nil"/>
            </w:tcBorders>
            <w:vAlign w:val="center"/>
          </w:tcPr>
          <w:p w14:paraId="4350B4E1">
            <w:pPr>
              <w:widowControl/>
              <w:snapToGrid w:val="0"/>
              <w:spacing w:line="240" w:lineRule="auto"/>
              <w:ind w:firstLine="0" w:firstLineChars="0"/>
              <w:jc w:val="center"/>
              <w:rPr>
                <w:rFonts w:hint="eastAsia" w:eastAsia="宋体"/>
                <w:color w:val="auto"/>
                <w:sz w:val="21"/>
                <w:szCs w:val="21"/>
                <w:highlight w:val="none"/>
                <w:lang w:eastAsia="zh-CN"/>
              </w:rPr>
            </w:pPr>
            <w:r>
              <w:rPr>
                <w:rFonts w:hint="eastAsia"/>
                <w:color w:val="auto"/>
                <w:sz w:val="21"/>
                <w:szCs w:val="21"/>
                <w:highlight w:val="none"/>
                <w:lang w:eastAsia="zh-CN"/>
              </w:rPr>
              <w:t>纬度</w:t>
            </w:r>
          </w:p>
        </w:tc>
        <w:tc>
          <w:tcPr>
            <w:tcW w:w="686" w:type="pct"/>
            <w:vMerge w:val="continue"/>
            <w:tcBorders>
              <w:tl2br w:val="nil"/>
              <w:tr2bl w:val="nil"/>
            </w:tcBorders>
            <w:vAlign w:val="center"/>
          </w:tcPr>
          <w:p w14:paraId="39AEC277">
            <w:pPr>
              <w:widowControl/>
              <w:snapToGrid w:val="0"/>
              <w:spacing w:line="240" w:lineRule="auto"/>
              <w:ind w:firstLine="0" w:firstLineChars="0"/>
              <w:jc w:val="center"/>
              <w:rPr>
                <w:rFonts w:hint="eastAsia"/>
                <w:color w:val="auto"/>
                <w:sz w:val="21"/>
                <w:szCs w:val="21"/>
                <w:highlight w:val="none"/>
                <w:lang w:eastAsia="zh-CN"/>
              </w:rPr>
            </w:pPr>
          </w:p>
        </w:tc>
      </w:tr>
      <w:tr w14:paraId="3DD9D2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91" w:hRule="atLeast"/>
        </w:trPr>
        <w:tc>
          <w:tcPr>
            <w:tcW w:w="531" w:type="pct"/>
            <w:vMerge w:val="restart"/>
            <w:tcBorders>
              <w:tl2br w:val="nil"/>
              <w:tr2bl w:val="nil"/>
            </w:tcBorders>
            <w:vAlign w:val="center"/>
          </w:tcPr>
          <w:p w14:paraId="3866B5DA">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cs="Times New Roman"/>
                <w:bCs/>
                <w:color w:val="auto"/>
                <w:sz w:val="21"/>
                <w:szCs w:val="21"/>
                <w:highlight w:val="none"/>
                <w:lang w:eastAsia="zh-CN"/>
              </w:rPr>
              <w:t>编号及坐标</w:t>
            </w:r>
          </w:p>
        </w:tc>
        <w:tc>
          <w:tcPr>
            <w:tcW w:w="589" w:type="pct"/>
            <w:tcBorders>
              <w:tl2br w:val="nil"/>
              <w:tr2bl w:val="nil"/>
            </w:tcBorders>
            <w:vAlign w:val="center"/>
          </w:tcPr>
          <w:p w14:paraId="191A2B80">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平安镇安平村瓦盆窑饮用水水源地</w:t>
            </w:r>
          </w:p>
        </w:tc>
        <w:tc>
          <w:tcPr>
            <w:tcW w:w="579" w:type="pct"/>
            <w:tcBorders>
              <w:tl2br w:val="nil"/>
              <w:tr2bl w:val="nil"/>
            </w:tcBorders>
            <w:vAlign w:val="center"/>
          </w:tcPr>
          <w:p w14:paraId="4FEC62C4">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127°39'03.9200"</w:t>
            </w:r>
          </w:p>
        </w:tc>
        <w:tc>
          <w:tcPr>
            <w:tcW w:w="600" w:type="pct"/>
            <w:tcBorders>
              <w:tl2br w:val="nil"/>
              <w:tr2bl w:val="nil"/>
            </w:tcBorders>
            <w:vAlign w:val="center"/>
          </w:tcPr>
          <w:p w14:paraId="51F49D4E">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46°56'26.7200"</w:t>
            </w:r>
          </w:p>
        </w:tc>
        <w:tc>
          <w:tcPr>
            <w:tcW w:w="502" w:type="pct"/>
            <w:vMerge w:val="restart"/>
            <w:tcBorders>
              <w:tl2br w:val="nil"/>
              <w:tr2bl w:val="nil"/>
            </w:tcBorders>
            <w:vAlign w:val="center"/>
          </w:tcPr>
          <w:p w14:paraId="6DD89047">
            <w:pPr>
              <w:widowControl/>
              <w:spacing w:line="240" w:lineRule="auto"/>
              <w:ind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bidi="ar"/>
              </w:rPr>
              <w:t>庆安县平安镇</w:t>
            </w:r>
            <w:r>
              <w:rPr>
                <w:rFonts w:hint="eastAsia" w:ascii="Times New Roman" w:hAnsi="Times New Roman" w:eastAsia="宋体" w:cs="Times New Roman"/>
                <w:color w:val="auto"/>
                <w:kern w:val="0"/>
                <w:sz w:val="21"/>
                <w:szCs w:val="21"/>
                <w:highlight w:val="none"/>
                <w:lang w:bidi="ar"/>
              </w:rPr>
              <w:t>饮用水水源地</w:t>
            </w:r>
          </w:p>
        </w:tc>
        <w:tc>
          <w:tcPr>
            <w:tcW w:w="276" w:type="pct"/>
            <w:tcBorders>
              <w:tl2br w:val="nil"/>
              <w:tr2bl w:val="nil"/>
            </w:tcBorders>
            <w:vAlign w:val="center"/>
          </w:tcPr>
          <w:p w14:paraId="7ACB7CCC">
            <w:pPr>
              <w:widowControl/>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kern w:val="0"/>
                <w:sz w:val="21"/>
                <w:szCs w:val="21"/>
                <w:highlight w:val="none"/>
                <w:lang w:val="en-US" w:eastAsia="zh-CN"/>
              </w:rPr>
              <w:t>1#</w:t>
            </w:r>
          </w:p>
        </w:tc>
        <w:tc>
          <w:tcPr>
            <w:tcW w:w="604" w:type="pct"/>
            <w:tcBorders>
              <w:tl2br w:val="nil"/>
              <w:tr2bl w:val="nil"/>
            </w:tcBorders>
            <w:vAlign w:val="center"/>
          </w:tcPr>
          <w:p w14:paraId="7DC48F0F">
            <w:pPr>
              <w:widowControl/>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127°39'08.4694"</w:t>
            </w:r>
          </w:p>
        </w:tc>
        <w:tc>
          <w:tcPr>
            <w:tcW w:w="628" w:type="pct"/>
            <w:tcBorders>
              <w:tl2br w:val="nil"/>
              <w:tr2bl w:val="nil"/>
            </w:tcBorders>
            <w:vAlign w:val="center"/>
          </w:tcPr>
          <w:p w14:paraId="61304134">
            <w:pPr>
              <w:widowControl/>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46°56'28.1322"</w:t>
            </w:r>
          </w:p>
        </w:tc>
        <w:tc>
          <w:tcPr>
            <w:tcW w:w="686" w:type="pct"/>
            <w:vMerge w:val="restart"/>
            <w:tcBorders>
              <w:tl2br w:val="nil"/>
              <w:tr2bl w:val="nil"/>
            </w:tcBorders>
            <w:vAlign w:val="center"/>
          </w:tcPr>
          <w:p w14:paraId="64DC55DE">
            <w:pPr>
              <w:widowControl/>
              <w:snapToGrid w:val="0"/>
              <w:spacing w:line="240" w:lineRule="auto"/>
              <w:ind w:firstLine="0" w:firstLineChars="0"/>
              <w:jc w:val="both"/>
              <w:rPr>
                <w:rFonts w:hint="eastAsia"/>
                <w:color w:val="auto"/>
                <w:kern w:val="0"/>
                <w:sz w:val="21"/>
                <w:szCs w:val="21"/>
                <w:highlight w:val="none"/>
                <w:lang w:val="en-US" w:eastAsia="zh-CN"/>
              </w:rPr>
            </w:pPr>
            <w:r>
              <w:rPr>
                <w:rFonts w:hint="eastAsia"/>
                <w:color w:val="auto"/>
                <w:kern w:val="0"/>
                <w:sz w:val="21"/>
                <w:szCs w:val="21"/>
                <w:highlight w:val="none"/>
                <w:lang w:val="en-US" w:eastAsia="zh-CN"/>
              </w:rPr>
              <w:t>本次调整的平安镇安平村瓦盆窑饮用水水源地、平安镇和平村饮用水水源地、平安镇永平村后姜店饮用水水源地、平安镇升平村西高家屯饮用水水源地。</w:t>
            </w:r>
          </w:p>
          <w:p w14:paraId="2C590CC6">
            <w:pPr>
              <w:widowControl/>
              <w:snapToGrid w:val="0"/>
              <w:spacing w:line="240" w:lineRule="auto"/>
              <w:ind w:firstLine="0" w:firstLineChars="0"/>
              <w:jc w:val="both"/>
              <w:rPr>
                <w:rFonts w:hint="default" w:ascii="Times New Roman" w:hAnsi="Times New Roman" w:eastAsia="宋体" w:cs="Times New Roman"/>
                <w:color w:val="auto"/>
                <w:kern w:val="0"/>
                <w:sz w:val="21"/>
                <w:szCs w:val="21"/>
                <w:highlight w:val="none"/>
                <w:lang w:val="en-US" w:eastAsia="zh-CN"/>
              </w:rPr>
            </w:pPr>
            <w:r>
              <w:rPr>
                <w:rFonts w:hint="eastAsia"/>
                <w:color w:val="auto"/>
                <w:kern w:val="0"/>
                <w:sz w:val="21"/>
                <w:szCs w:val="21"/>
                <w:highlight w:val="none"/>
                <w:lang w:val="en-US" w:eastAsia="zh-CN"/>
              </w:rPr>
              <w:t>本次调整后</w:t>
            </w:r>
            <w:r>
              <w:rPr>
                <w:rFonts w:hint="default"/>
                <w:color w:val="auto"/>
                <w:kern w:val="0"/>
                <w:sz w:val="21"/>
                <w:szCs w:val="21"/>
                <w:highlight w:val="none"/>
                <w:lang w:val="en-US" w:eastAsia="zh-CN"/>
              </w:rPr>
              <w:t>通过多</w:t>
            </w:r>
            <w:r>
              <w:rPr>
                <w:rFonts w:hint="default" w:ascii="Times New Roman" w:hAnsi="Times New Roman" w:eastAsia="宋体" w:cs="Times New Roman"/>
                <w:color w:val="auto"/>
                <w:sz w:val="21"/>
                <w:szCs w:val="21"/>
                <w:highlight w:val="none"/>
                <w:lang w:val="en-US" w:eastAsia="zh-CN"/>
              </w:rPr>
              <w:t>水源联网、管网互联互通、规模化集中供水，供水保障率、供水稳定性、水质达标率进一步提升，有效解决了原分散式水源地规模小、易污染、运维难度大等问题，群众饮水安全更有保障</w:t>
            </w:r>
            <w:r>
              <w:rPr>
                <w:rFonts w:hint="eastAsia" w:cs="Times New Roman"/>
                <w:color w:val="auto"/>
                <w:sz w:val="21"/>
                <w:szCs w:val="21"/>
                <w:highlight w:val="none"/>
                <w:lang w:val="en-US" w:eastAsia="zh-CN"/>
              </w:rPr>
              <w:t>。</w:t>
            </w:r>
          </w:p>
        </w:tc>
      </w:tr>
      <w:tr w14:paraId="43F04D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31" w:type="pct"/>
            <w:vMerge w:val="continue"/>
            <w:tcBorders>
              <w:tl2br w:val="nil"/>
              <w:tr2bl w:val="nil"/>
            </w:tcBorders>
            <w:vAlign w:val="center"/>
          </w:tcPr>
          <w:p w14:paraId="2080D43A">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p>
        </w:tc>
        <w:tc>
          <w:tcPr>
            <w:tcW w:w="589" w:type="pct"/>
            <w:tcBorders>
              <w:tl2br w:val="nil"/>
              <w:tr2bl w:val="nil"/>
            </w:tcBorders>
            <w:vAlign w:val="center"/>
          </w:tcPr>
          <w:p w14:paraId="73CE0B7B">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79" w:type="pct"/>
            <w:tcBorders>
              <w:tl2br w:val="nil"/>
              <w:tr2bl w:val="nil"/>
            </w:tcBorders>
            <w:vAlign w:val="center"/>
          </w:tcPr>
          <w:p w14:paraId="2CC3F96D">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w:t>
            </w:r>
          </w:p>
        </w:tc>
        <w:tc>
          <w:tcPr>
            <w:tcW w:w="600" w:type="pct"/>
            <w:tcBorders>
              <w:tl2br w:val="nil"/>
              <w:tr2bl w:val="nil"/>
            </w:tcBorders>
            <w:vAlign w:val="center"/>
          </w:tcPr>
          <w:p w14:paraId="0ABAE313">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w:t>
            </w:r>
          </w:p>
        </w:tc>
        <w:tc>
          <w:tcPr>
            <w:tcW w:w="502" w:type="pct"/>
            <w:vMerge w:val="continue"/>
            <w:tcBorders>
              <w:tl2br w:val="nil"/>
              <w:tr2bl w:val="nil"/>
            </w:tcBorders>
            <w:vAlign w:val="center"/>
          </w:tcPr>
          <w:p w14:paraId="66F526F9">
            <w:pPr>
              <w:widowControl/>
              <w:spacing w:line="240" w:lineRule="auto"/>
              <w:ind w:firstLine="0" w:firstLineChars="0"/>
              <w:jc w:val="center"/>
              <w:textAlignment w:val="center"/>
              <w:rPr>
                <w:rFonts w:hint="default" w:ascii="Times New Roman" w:hAnsi="Times New Roman" w:eastAsia="宋体" w:cs="Times New Roman"/>
                <w:color w:val="auto"/>
                <w:sz w:val="21"/>
                <w:szCs w:val="21"/>
                <w:highlight w:val="none"/>
                <w:lang w:val="en-US" w:eastAsia="zh-CN"/>
              </w:rPr>
            </w:pPr>
          </w:p>
        </w:tc>
        <w:tc>
          <w:tcPr>
            <w:tcW w:w="276" w:type="pct"/>
            <w:tcBorders>
              <w:tl2br w:val="nil"/>
              <w:tr2bl w:val="nil"/>
            </w:tcBorders>
            <w:vAlign w:val="center"/>
          </w:tcPr>
          <w:p w14:paraId="7C1119FB">
            <w:pPr>
              <w:widowControl/>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kern w:val="0"/>
                <w:sz w:val="21"/>
                <w:szCs w:val="21"/>
                <w:highlight w:val="none"/>
                <w:lang w:val="en-US" w:eastAsia="zh-CN"/>
              </w:rPr>
              <w:t>2#</w:t>
            </w:r>
          </w:p>
        </w:tc>
        <w:tc>
          <w:tcPr>
            <w:tcW w:w="604" w:type="pct"/>
            <w:tcBorders>
              <w:tl2br w:val="nil"/>
              <w:tr2bl w:val="nil"/>
            </w:tcBorders>
            <w:vAlign w:val="center"/>
          </w:tcPr>
          <w:p w14:paraId="4EBC722B">
            <w:pPr>
              <w:widowControl/>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127°39'30.1433"</w:t>
            </w:r>
          </w:p>
        </w:tc>
        <w:tc>
          <w:tcPr>
            <w:tcW w:w="628" w:type="pct"/>
            <w:tcBorders>
              <w:tl2br w:val="nil"/>
              <w:tr2bl w:val="nil"/>
            </w:tcBorders>
            <w:vAlign w:val="center"/>
          </w:tcPr>
          <w:p w14:paraId="46602EB9">
            <w:pPr>
              <w:widowControl/>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46°56'29.5097"</w:t>
            </w:r>
          </w:p>
        </w:tc>
        <w:tc>
          <w:tcPr>
            <w:tcW w:w="686" w:type="pct"/>
            <w:vMerge w:val="continue"/>
            <w:tcBorders>
              <w:tl2br w:val="nil"/>
              <w:tr2bl w:val="nil"/>
            </w:tcBorders>
            <w:vAlign w:val="center"/>
          </w:tcPr>
          <w:p w14:paraId="30E47807">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p>
        </w:tc>
      </w:tr>
      <w:tr w14:paraId="50831E7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31" w:type="pct"/>
            <w:tcBorders>
              <w:tl2br w:val="nil"/>
              <w:tr2bl w:val="nil"/>
            </w:tcBorders>
            <w:shd w:val="clear" w:color="auto" w:fill="auto"/>
            <w:vAlign w:val="center"/>
          </w:tcPr>
          <w:p w14:paraId="01E05413">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水井数量</w:t>
            </w:r>
          </w:p>
        </w:tc>
        <w:tc>
          <w:tcPr>
            <w:tcW w:w="1769" w:type="pct"/>
            <w:gridSpan w:val="3"/>
            <w:tcBorders>
              <w:tl2br w:val="nil"/>
              <w:tr2bl w:val="nil"/>
            </w:tcBorders>
            <w:shd w:val="clear" w:color="auto" w:fill="auto"/>
            <w:vAlign w:val="center"/>
          </w:tcPr>
          <w:p w14:paraId="5F7F46FE">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1</w:t>
            </w:r>
            <w:r>
              <w:rPr>
                <w:rFonts w:hint="eastAsia" w:ascii="Times New Roman" w:hAnsi="Times New Roman" w:eastAsia="宋体" w:cs="Times New Roman"/>
                <w:color w:val="auto"/>
                <w:kern w:val="0"/>
                <w:sz w:val="21"/>
                <w:szCs w:val="21"/>
                <w:highlight w:val="none"/>
                <w:lang w:val="en-US" w:eastAsia="zh-CN" w:bidi="ar"/>
              </w:rPr>
              <w:t>眼</w:t>
            </w:r>
          </w:p>
        </w:tc>
        <w:tc>
          <w:tcPr>
            <w:tcW w:w="2011" w:type="pct"/>
            <w:gridSpan w:val="4"/>
            <w:tcBorders>
              <w:tl2br w:val="nil"/>
              <w:tr2bl w:val="nil"/>
            </w:tcBorders>
            <w:shd w:val="clear" w:color="auto" w:fill="auto"/>
            <w:vAlign w:val="center"/>
          </w:tcPr>
          <w:p w14:paraId="1F844A3F">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rPr>
              <w:t>2眼</w:t>
            </w:r>
          </w:p>
        </w:tc>
        <w:tc>
          <w:tcPr>
            <w:tcW w:w="686" w:type="pct"/>
            <w:vMerge w:val="continue"/>
            <w:tcBorders>
              <w:tl2br w:val="nil"/>
              <w:tr2bl w:val="nil"/>
            </w:tcBorders>
            <w:shd w:val="clear" w:color="auto" w:fill="auto"/>
            <w:vAlign w:val="center"/>
          </w:tcPr>
          <w:p w14:paraId="310FF707">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p>
        </w:tc>
      </w:tr>
      <w:tr w14:paraId="03C0CE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31" w:type="pct"/>
            <w:tcBorders>
              <w:tl2br w:val="nil"/>
              <w:tr2bl w:val="nil"/>
            </w:tcBorders>
            <w:shd w:val="clear" w:color="auto" w:fill="auto"/>
            <w:vAlign w:val="center"/>
          </w:tcPr>
          <w:p w14:paraId="17A01353">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服务范围</w:t>
            </w:r>
          </w:p>
        </w:tc>
        <w:tc>
          <w:tcPr>
            <w:tcW w:w="1769" w:type="pct"/>
            <w:gridSpan w:val="3"/>
            <w:tcBorders>
              <w:tl2br w:val="nil"/>
              <w:tr2bl w:val="nil"/>
            </w:tcBorders>
            <w:shd w:val="clear" w:color="auto" w:fill="auto"/>
            <w:vAlign w:val="center"/>
          </w:tcPr>
          <w:p w14:paraId="48FE885D">
            <w:pPr>
              <w:widowControl/>
              <w:snapToGrid w:val="0"/>
              <w:spacing w:line="240" w:lineRule="auto"/>
              <w:ind w:firstLine="0" w:firstLineChars="0"/>
              <w:jc w:val="both"/>
              <w:rPr>
                <w:rFonts w:hint="eastAsia"/>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安平村张粉房、王玉堂、四马架、瓦盆窑、小八队、于江、徐油房；高老八、于桂林、小姜店</w:t>
            </w:r>
          </w:p>
        </w:tc>
        <w:tc>
          <w:tcPr>
            <w:tcW w:w="2011" w:type="pct"/>
            <w:gridSpan w:val="4"/>
            <w:tcBorders>
              <w:tl2br w:val="nil"/>
              <w:tr2bl w:val="nil"/>
            </w:tcBorders>
            <w:shd w:val="clear" w:color="auto" w:fill="auto"/>
            <w:vAlign w:val="center"/>
          </w:tcPr>
          <w:p w14:paraId="55A1E518">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color w:val="auto"/>
                <w:kern w:val="0"/>
                <w:sz w:val="21"/>
                <w:szCs w:val="21"/>
                <w:highlight w:val="none"/>
                <w:lang w:val="en-US" w:eastAsia="zh-CN"/>
              </w:rPr>
              <w:t>平安镇内和平村、安平村、升平村、太平村、永平村，共计5个行政村46个自然屯</w:t>
            </w:r>
          </w:p>
        </w:tc>
        <w:tc>
          <w:tcPr>
            <w:tcW w:w="686" w:type="pct"/>
            <w:vMerge w:val="continue"/>
            <w:tcBorders>
              <w:tl2br w:val="nil"/>
              <w:tr2bl w:val="nil"/>
            </w:tcBorders>
            <w:shd w:val="clear" w:color="auto" w:fill="auto"/>
            <w:vAlign w:val="center"/>
          </w:tcPr>
          <w:p w14:paraId="2FD31B01">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p>
        </w:tc>
      </w:tr>
      <w:tr w14:paraId="70D46A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31" w:type="pct"/>
            <w:tcBorders>
              <w:tl2br w:val="nil"/>
              <w:tr2bl w:val="nil"/>
            </w:tcBorders>
            <w:shd w:val="clear" w:color="auto" w:fill="auto"/>
            <w:vAlign w:val="center"/>
          </w:tcPr>
          <w:p w14:paraId="374A1552">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服务人口</w:t>
            </w:r>
          </w:p>
        </w:tc>
        <w:tc>
          <w:tcPr>
            <w:tcW w:w="1769" w:type="pct"/>
            <w:gridSpan w:val="3"/>
            <w:tcBorders>
              <w:tl2br w:val="nil"/>
              <w:tr2bl w:val="nil"/>
            </w:tcBorders>
            <w:shd w:val="clear" w:color="auto" w:fill="auto"/>
            <w:vAlign w:val="center"/>
          </w:tcPr>
          <w:p w14:paraId="4D6E9EBA">
            <w:pPr>
              <w:widowControl/>
              <w:spacing w:line="240" w:lineRule="auto"/>
              <w:ind w:firstLine="0" w:firstLineChars="0"/>
              <w:jc w:val="center"/>
              <w:textAlignment w:val="center"/>
              <w:rPr>
                <w:rFonts w:hint="eastAsia"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服务人口数量约为</w:t>
            </w:r>
            <w:r>
              <w:rPr>
                <w:rFonts w:hint="default" w:ascii="Times New Roman" w:hAnsi="Times New Roman" w:cs="Times New Roman"/>
                <w:color w:val="auto"/>
                <w:kern w:val="0"/>
                <w:sz w:val="21"/>
                <w:szCs w:val="21"/>
                <w:highlight w:val="none"/>
                <w:lang w:val="en-US" w:eastAsia="zh-CN"/>
              </w:rPr>
              <w:t>2002</w:t>
            </w:r>
            <w:r>
              <w:rPr>
                <w:rFonts w:hint="eastAsia"/>
                <w:color w:val="auto"/>
                <w:kern w:val="0"/>
                <w:sz w:val="21"/>
                <w:szCs w:val="21"/>
                <w:highlight w:val="none"/>
                <w:lang w:val="en-US" w:eastAsia="zh-CN"/>
              </w:rPr>
              <w:t>人</w:t>
            </w:r>
          </w:p>
        </w:tc>
        <w:tc>
          <w:tcPr>
            <w:tcW w:w="2011" w:type="pct"/>
            <w:gridSpan w:val="4"/>
            <w:tcBorders>
              <w:tl2br w:val="nil"/>
              <w:tr2bl w:val="nil"/>
            </w:tcBorders>
            <w:shd w:val="clear" w:color="auto" w:fill="auto"/>
            <w:vAlign w:val="center"/>
          </w:tcPr>
          <w:p w14:paraId="3475BF94">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color w:val="auto"/>
                <w:kern w:val="0"/>
                <w:sz w:val="21"/>
                <w:szCs w:val="21"/>
                <w:highlight w:val="none"/>
                <w:lang w:val="en-US" w:eastAsia="zh-CN"/>
              </w:rPr>
              <w:t>服务人口5200人</w:t>
            </w:r>
          </w:p>
        </w:tc>
        <w:tc>
          <w:tcPr>
            <w:tcW w:w="686" w:type="pct"/>
            <w:vMerge w:val="continue"/>
            <w:tcBorders>
              <w:tl2br w:val="nil"/>
              <w:tr2bl w:val="nil"/>
            </w:tcBorders>
            <w:shd w:val="clear" w:color="auto" w:fill="auto"/>
            <w:vAlign w:val="center"/>
          </w:tcPr>
          <w:p w14:paraId="73EC32D2">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p>
        </w:tc>
      </w:tr>
      <w:tr w14:paraId="018463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31" w:type="pct"/>
            <w:tcBorders>
              <w:tl2br w:val="nil"/>
              <w:tr2bl w:val="nil"/>
            </w:tcBorders>
            <w:shd w:val="clear" w:color="auto" w:fill="auto"/>
            <w:vAlign w:val="center"/>
          </w:tcPr>
          <w:p w14:paraId="3A731F2A">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埋藏条件</w:t>
            </w:r>
          </w:p>
        </w:tc>
        <w:tc>
          <w:tcPr>
            <w:tcW w:w="1769" w:type="pct"/>
            <w:gridSpan w:val="3"/>
            <w:tcBorders>
              <w:tl2br w:val="nil"/>
              <w:tr2bl w:val="nil"/>
            </w:tcBorders>
            <w:shd w:val="clear" w:color="auto" w:fill="auto"/>
            <w:vAlign w:val="center"/>
          </w:tcPr>
          <w:p w14:paraId="0A4798F1">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承压水</w:t>
            </w:r>
          </w:p>
        </w:tc>
        <w:tc>
          <w:tcPr>
            <w:tcW w:w="2011" w:type="pct"/>
            <w:gridSpan w:val="4"/>
            <w:tcBorders>
              <w:tl2br w:val="nil"/>
              <w:tr2bl w:val="nil"/>
            </w:tcBorders>
            <w:shd w:val="clear" w:color="auto" w:fill="auto"/>
            <w:vAlign w:val="center"/>
          </w:tcPr>
          <w:p w14:paraId="2E18B7EE">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
              </w:rPr>
              <w:t>承压水</w:t>
            </w:r>
          </w:p>
        </w:tc>
        <w:tc>
          <w:tcPr>
            <w:tcW w:w="686" w:type="pct"/>
            <w:vMerge w:val="continue"/>
            <w:tcBorders>
              <w:tl2br w:val="nil"/>
              <w:tr2bl w:val="nil"/>
            </w:tcBorders>
            <w:shd w:val="clear" w:color="auto" w:fill="auto"/>
            <w:vAlign w:val="center"/>
          </w:tcPr>
          <w:p w14:paraId="41F64597">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
              </w:rPr>
            </w:pPr>
          </w:p>
        </w:tc>
      </w:tr>
      <w:tr w14:paraId="5D3479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31" w:type="pct"/>
            <w:tcBorders>
              <w:tl2br w:val="nil"/>
              <w:tr2bl w:val="nil"/>
            </w:tcBorders>
            <w:shd w:val="clear" w:color="auto" w:fill="auto"/>
            <w:vAlign w:val="center"/>
          </w:tcPr>
          <w:p w14:paraId="6CCF7DED">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color w:val="auto"/>
                <w:kern w:val="0"/>
                <w:sz w:val="21"/>
                <w:szCs w:val="21"/>
                <w:highlight w:val="none"/>
              </w:rPr>
              <w:t>保护区半径</w:t>
            </w:r>
          </w:p>
        </w:tc>
        <w:tc>
          <w:tcPr>
            <w:tcW w:w="1769" w:type="pct"/>
            <w:gridSpan w:val="3"/>
            <w:tcBorders>
              <w:tl2br w:val="nil"/>
              <w:tr2bl w:val="nil"/>
            </w:tcBorders>
            <w:shd w:val="clear" w:color="auto" w:fill="auto"/>
            <w:vAlign w:val="center"/>
          </w:tcPr>
          <w:p w14:paraId="459C44C9">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color w:val="auto"/>
                <w:kern w:val="0"/>
                <w:sz w:val="21"/>
                <w:szCs w:val="21"/>
                <w:highlight w:val="none"/>
                <w:lang w:val="en-US" w:eastAsia="zh-CN"/>
              </w:rPr>
              <w:t>30</w:t>
            </w:r>
            <w:r>
              <w:rPr>
                <w:color w:val="auto"/>
                <w:kern w:val="0"/>
                <w:sz w:val="21"/>
                <w:szCs w:val="21"/>
                <w:highlight w:val="none"/>
              </w:rPr>
              <w:t>米</w:t>
            </w:r>
          </w:p>
        </w:tc>
        <w:tc>
          <w:tcPr>
            <w:tcW w:w="2011" w:type="pct"/>
            <w:gridSpan w:val="4"/>
            <w:tcBorders>
              <w:tl2br w:val="nil"/>
              <w:tr2bl w:val="nil"/>
            </w:tcBorders>
            <w:shd w:val="clear" w:color="auto" w:fill="auto"/>
            <w:vAlign w:val="center"/>
          </w:tcPr>
          <w:p w14:paraId="0BEFDA2A">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color w:val="auto"/>
                <w:kern w:val="0"/>
                <w:sz w:val="21"/>
                <w:szCs w:val="21"/>
                <w:highlight w:val="none"/>
                <w:lang w:val="en-US" w:eastAsia="zh-CN"/>
              </w:rPr>
              <w:t>30</w:t>
            </w:r>
            <w:r>
              <w:rPr>
                <w:color w:val="auto"/>
                <w:kern w:val="0"/>
                <w:sz w:val="21"/>
                <w:szCs w:val="21"/>
                <w:highlight w:val="none"/>
              </w:rPr>
              <w:t>米</w:t>
            </w:r>
          </w:p>
        </w:tc>
        <w:tc>
          <w:tcPr>
            <w:tcW w:w="686" w:type="pct"/>
            <w:vMerge w:val="continue"/>
            <w:tcBorders>
              <w:tl2br w:val="nil"/>
              <w:tr2bl w:val="nil"/>
            </w:tcBorders>
            <w:shd w:val="clear" w:color="auto" w:fill="auto"/>
            <w:vAlign w:val="center"/>
          </w:tcPr>
          <w:p w14:paraId="7C09725F">
            <w:pPr>
              <w:widowControl/>
              <w:snapToGrid w:val="0"/>
              <w:spacing w:line="240" w:lineRule="auto"/>
              <w:ind w:firstLine="0" w:firstLineChars="0"/>
              <w:jc w:val="center"/>
              <w:rPr>
                <w:rFonts w:hint="eastAsia"/>
                <w:color w:val="auto"/>
                <w:kern w:val="0"/>
                <w:sz w:val="21"/>
                <w:szCs w:val="21"/>
                <w:highlight w:val="none"/>
                <w:lang w:val="en-US" w:eastAsia="zh-CN"/>
              </w:rPr>
            </w:pPr>
          </w:p>
        </w:tc>
      </w:tr>
      <w:tr w14:paraId="41C98B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31" w:type="pct"/>
            <w:tcBorders>
              <w:tl2br w:val="nil"/>
              <w:tr2bl w:val="nil"/>
            </w:tcBorders>
            <w:shd w:val="clear" w:color="auto" w:fill="auto"/>
            <w:vAlign w:val="center"/>
          </w:tcPr>
          <w:p w14:paraId="24D71ACD">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color w:val="auto"/>
                <w:kern w:val="0"/>
                <w:sz w:val="21"/>
                <w:szCs w:val="21"/>
                <w:highlight w:val="none"/>
              </w:rPr>
              <w:t>一级保护区面积（平</w:t>
            </w:r>
            <w:r>
              <w:rPr>
                <w:rFonts w:hint="eastAsia"/>
                <w:color w:val="auto"/>
                <w:kern w:val="0"/>
                <w:sz w:val="21"/>
                <w:szCs w:val="21"/>
                <w:highlight w:val="none"/>
              </w:rPr>
              <w:t>方米</w:t>
            </w:r>
            <w:r>
              <w:rPr>
                <w:rFonts w:hint="eastAsia"/>
                <w:color w:val="auto"/>
                <w:kern w:val="0"/>
                <w:sz w:val="21"/>
                <w:szCs w:val="21"/>
                <w:highlight w:val="none"/>
                <w:lang w:eastAsia="zh-CN"/>
              </w:rPr>
              <w:t>）</w:t>
            </w:r>
          </w:p>
        </w:tc>
        <w:tc>
          <w:tcPr>
            <w:tcW w:w="1769" w:type="pct"/>
            <w:gridSpan w:val="3"/>
            <w:tcBorders>
              <w:tl2br w:val="nil"/>
              <w:tr2bl w:val="nil"/>
            </w:tcBorders>
            <w:shd w:val="clear" w:color="auto" w:fill="auto"/>
            <w:vAlign w:val="center"/>
          </w:tcPr>
          <w:p w14:paraId="309ABE48">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2826</w:t>
            </w:r>
          </w:p>
        </w:tc>
        <w:tc>
          <w:tcPr>
            <w:tcW w:w="2011" w:type="pct"/>
            <w:gridSpan w:val="4"/>
            <w:tcBorders>
              <w:tl2br w:val="nil"/>
              <w:tr2bl w:val="nil"/>
            </w:tcBorders>
            <w:shd w:val="clear" w:color="auto" w:fill="auto"/>
            <w:vAlign w:val="center"/>
          </w:tcPr>
          <w:p w14:paraId="3619C841">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color w:val="auto"/>
                <w:sz w:val="21"/>
                <w:szCs w:val="21"/>
                <w:highlight w:val="none"/>
                <w:lang w:val="en-US" w:eastAsia="zh-CN"/>
              </w:rPr>
              <w:t>5652</w:t>
            </w:r>
          </w:p>
        </w:tc>
        <w:tc>
          <w:tcPr>
            <w:tcW w:w="686" w:type="pct"/>
            <w:vMerge w:val="continue"/>
            <w:tcBorders>
              <w:tl2br w:val="nil"/>
              <w:tr2bl w:val="nil"/>
            </w:tcBorders>
            <w:shd w:val="clear" w:color="auto" w:fill="auto"/>
            <w:vAlign w:val="center"/>
          </w:tcPr>
          <w:p w14:paraId="1E0E3B0C">
            <w:pPr>
              <w:widowControl/>
              <w:snapToGrid w:val="0"/>
              <w:spacing w:line="240" w:lineRule="auto"/>
              <w:ind w:firstLine="0" w:firstLineChars="0"/>
              <w:jc w:val="center"/>
              <w:rPr>
                <w:rFonts w:hint="eastAsia"/>
                <w:color w:val="auto"/>
                <w:sz w:val="21"/>
                <w:szCs w:val="21"/>
                <w:highlight w:val="none"/>
                <w:lang w:val="en-US" w:eastAsia="zh-CN"/>
              </w:rPr>
            </w:pPr>
          </w:p>
        </w:tc>
      </w:tr>
      <w:tr w14:paraId="62F7AB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31" w:type="pct"/>
            <w:tcBorders>
              <w:tl2br w:val="nil"/>
              <w:tr2bl w:val="nil"/>
            </w:tcBorders>
            <w:shd w:val="clear" w:color="auto" w:fill="auto"/>
            <w:vAlign w:val="center"/>
          </w:tcPr>
          <w:p w14:paraId="6808B67A">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color w:val="auto"/>
                <w:kern w:val="0"/>
                <w:sz w:val="21"/>
                <w:szCs w:val="21"/>
                <w:highlight w:val="none"/>
              </w:rPr>
              <w:t>二级保护区</w:t>
            </w:r>
            <w:r>
              <w:rPr>
                <w:rFonts w:hint="eastAsia"/>
                <w:color w:val="auto"/>
                <w:kern w:val="0"/>
                <w:sz w:val="21"/>
                <w:szCs w:val="21"/>
                <w:highlight w:val="none"/>
                <w:lang w:eastAsia="zh-CN"/>
              </w:rPr>
              <w:t>、</w:t>
            </w:r>
            <w:r>
              <w:rPr>
                <w:color w:val="auto"/>
                <w:kern w:val="0"/>
                <w:sz w:val="21"/>
                <w:szCs w:val="21"/>
                <w:highlight w:val="none"/>
              </w:rPr>
              <w:t>准保护区面积（平方</w:t>
            </w:r>
            <w:r>
              <w:rPr>
                <w:rFonts w:hint="eastAsia"/>
                <w:color w:val="auto"/>
                <w:kern w:val="0"/>
                <w:sz w:val="21"/>
                <w:szCs w:val="21"/>
                <w:highlight w:val="none"/>
              </w:rPr>
              <w:t>米</w:t>
            </w:r>
            <w:r>
              <w:rPr>
                <w:color w:val="auto"/>
                <w:kern w:val="0"/>
                <w:sz w:val="21"/>
                <w:szCs w:val="21"/>
                <w:highlight w:val="none"/>
              </w:rPr>
              <w:t>）</w:t>
            </w:r>
          </w:p>
        </w:tc>
        <w:tc>
          <w:tcPr>
            <w:tcW w:w="1769" w:type="pct"/>
            <w:gridSpan w:val="3"/>
            <w:tcBorders>
              <w:tl2br w:val="nil"/>
              <w:tr2bl w:val="nil"/>
            </w:tcBorders>
            <w:shd w:val="clear" w:color="auto" w:fill="auto"/>
            <w:vAlign w:val="center"/>
          </w:tcPr>
          <w:p w14:paraId="403EA329">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无</w:t>
            </w:r>
          </w:p>
        </w:tc>
        <w:tc>
          <w:tcPr>
            <w:tcW w:w="2011" w:type="pct"/>
            <w:gridSpan w:val="4"/>
            <w:tcBorders>
              <w:tl2br w:val="nil"/>
              <w:tr2bl w:val="nil"/>
            </w:tcBorders>
            <w:shd w:val="clear" w:color="auto" w:fill="auto"/>
            <w:vAlign w:val="center"/>
          </w:tcPr>
          <w:p w14:paraId="24F64CB5">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
              </w:rPr>
              <w:t>无</w:t>
            </w:r>
          </w:p>
        </w:tc>
        <w:tc>
          <w:tcPr>
            <w:tcW w:w="686" w:type="pct"/>
            <w:vMerge w:val="continue"/>
            <w:tcBorders>
              <w:tl2br w:val="nil"/>
              <w:tr2bl w:val="nil"/>
            </w:tcBorders>
            <w:shd w:val="clear" w:color="auto" w:fill="auto"/>
            <w:vAlign w:val="center"/>
          </w:tcPr>
          <w:p w14:paraId="178D7D27">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
              </w:rPr>
            </w:pPr>
          </w:p>
        </w:tc>
      </w:tr>
      <w:tr w14:paraId="28A32E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31" w:type="pct"/>
            <w:tcBorders>
              <w:tl2br w:val="nil"/>
              <w:tr2bl w:val="nil"/>
            </w:tcBorders>
            <w:shd w:val="clear" w:color="auto" w:fill="auto"/>
            <w:vAlign w:val="center"/>
          </w:tcPr>
          <w:p w14:paraId="2DB37DAE">
            <w:pPr>
              <w:widowControl/>
              <w:spacing w:line="240" w:lineRule="auto"/>
              <w:ind w:firstLine="0" w:firstLineChars="0"/>
              <w:jc w:val="center"/>
              <w:textAlignment w:val="center"/>
              <w:rPr>
                <w:color w:val="auto"/>
                <w:kern w:val="0"/>
                <w:sz w:val="21"/>
                <w:szCs w:val="21"/>
                <w:highlight w:val="none"/>
              </w:rPr>
            </w:pPr>
            <w:r>
              <w:rPr>
                <w:rFonts w:hint="eastAsia" w:ascii="Times New Roman" w:cs="Times New Roman"/>
                <w:color w:val="auto"/>
                <w:sz w:val="21"/>
                <w:szCs w:val="21"/>
                <w:highlight w:val="none"/>
              </w:rPr>
              <w:t>调整后保护区增减面积</w:t>
            </w:r>
            <w:r>
              <w:rPr>
                <w:color w:val="auto"/>
                <w:kern w:val="0"/>
                <w:sz w:val="21"/>
                <w:szCs w:val="21"/>
                <w:highlight w:val="none"/>
              </w:rPr>
              <w:t>（平方</w:t>
            </w:r>
            <w:r>
              <w:rPr>
                <w:rFonts w:hint="eastAsia"/>
                <w:color w:val="auto"/>
                <w:kern w:val="0"/>
                <w:sz w:val="21"/>
                <w:szCs w:val="21"/>
                <w:highlight w:val="none"/>
              </w:rPr>
              <w:t>米</w:t>
            </w:r>
            <w:r>
              <w:rPr>
                <w:color w:val="auto"/>
                <w:kern w:val="0"/>
                <w:sz w:val="21"/>
                <w:szCs w:val="21"/>
                <w:highlight w:val="none"/>
              </w:rPr>
              <w:t>）</w:t>
            </w:r>
          </w:p>
        </w:tc>
        <w:tc>
          <w:tcPr>
            <w:tcW w:w="3781" w:type="pct"/>
            <w:gridSpan w:val="7"/>
            <w:tcBorders>
              <w:tl2br w:val="nil"/>
              <w:tr2bl w:val="nil"/>
            </w:tcBorders>
            <w:shd w:val="clear" w:color="auto" w:fill="auto"/>
            <w:vAlign w:val="center"/>
          </w:tcPr>
          <w:p w14:paraId="7D05F489">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+2826</w:t>
            </w:r>
          </w:p>
        </w:tc>
        <w:tc>
          <w:tcPr>
            <w:tcW w:w="686" w:type="pct"/>
            <w:vMerge w:val="continue"/>
            <w:tcBorders>
              <w:tl2br w:val="nil"/>
              <w:tr2bl w:val="nil"/>
            </w:tcBorders>
            <w:shd w:val="clear" w:color="auto" w:fill="auto"/>
            <w:vAlign w:val="center"/>
          </w:tcPr>
          <w:p w14:paraId="45B02489">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
              </w:rPr>
            </w:pPr>
          </w:p>
        </w:tc>
      </w:tr>
    </w:tbl>
    <w:p w14:paraId="0666E8AD">
      <w:pPr>
        <w:pStyle w:val="13"/>
        <w:spacing w:line="360" w:lineRule="auto"/>
        <w:ind w:left="0" w:leftChars="0" w:firstLine="0" w:firstLineChars="0"/>
        <w:jc w:val="center"/>
        <w:rPr>
          <w:rFonts w:hint="eastAsia" w:ascii="Times New Roman" w:hAnsi="Times New Roman" w:eastAsia="宋体" w:cs="Times New Roman"/>
          <w:color w:val="auto"/>
          <w:sz w:val="24"/>
          <w:szCs w:val="24"/>
          <w:highlight w:val="none"/>
          <w:lang w:val="zh-CN" w:eastAsia="zh-CN"/>
        </w:rPr>
      </w:pPr>
      <w:r>
        <w:rPr>
          <w:rFonts w:hint="eastAsia" w:ascii="Times New Roman" w:hAnsi="Times New Roman" w:eastAsia="宋体" w:cs="Times New Roman"/>
          <w:color w:val="auto"/>
          <w:sz w:val="24"/>
          <w:szCs w:val="24"/>
          <w:highlight w:val="none"/>
          <w:lang w:val="zh-CN" w:eastAsia="zh-CN"/>
        </w:rPr>
        <w:drawing>
          <wp:inline distT="0" distB="0" distL="114300" distR="114300">
            <wp:extent cx="7367270" cy="5208905"/>
            <wp:effectExtent l="0" t="0" r="5080" b="10795"/>
            <wp:docPr id="88" name="图片 88" descr="水源地调整对比_瓦盆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水源地调整对比_瓦盆窑"/>
                    <pic:cNvPicPr>
                      <a:picLocks noChangeAspect="1"/>
                    </pic:cNvPicPr>
                  </pic:nvPicPr>
                  <pic:blipFill>
                    <a:blip r:embed="rId97"/>
                    <a:stretch>
                      <a:fillRect/>
                    </a:stretch>
                  </pic:blipFill>
                  <pic:spPr>
                    <a:xfrm>
                      <a:off x="0" y="0"/>
                      <a:ext cx="7367270" cy="5208905"/>
                    </a:xfrm>
                    <a:prstGeom prst="rect">
                      <a:avLst/>
                    </a:prstGeom>
                  </pic:spPr>
                </pic:pic>
              </a:graphicData>
            </a:graphic>
          </wp:inline>
        </w:drawing>
      </w:r>
    </w:p>
    <w:p w14:paraId="75D4C016">
      <w:pPr>
        <w:pStyle w:val="13"/>
        <w:spacing w:line="360" w:lineRule="auto"/>
        <w:ind w:left="0" w:leftChars="0" w:firstLine="0" w:firstLineChars="0"/>
        <w:jc w:val="center"/>
        <w:rPr>
          <w:rFonts w:hint="default" w:ascii="Times New Roman" w:hAnsi="Times New Roman" w:eastAsia="黑体" w:cs="Times New Roman"/>
          <w:color w:val="auto"/>
          <w:sz w:val="24"/>
          <w:szCs w:val="24"/>
          <w:highlight w:val="none"/>
          <w:lang w:val="zh-CN" w:eastAsia="zh-CN"/>
        </w:rPr>
      </w:pPr>
      <w:r>
        <w:rPr>
          <w:rFonts w:hint="default" w:ascii="Times New Roman" w:hAnsi="Times New Roman" w:eastAsia="黑体" w:cs="Times New Roman"/>
          <w:color w:val="auto"/>
          <w:sz w:val="24"/>
          <w:szCs w:val="24"/>
          <w:highlight w:val="none"/>
          <w:lang w:val="zh-CN" w:eastAsia="zh-CN"/>
        </w:rPr>
        <w:t>图</w:t>
      </w:r>
      <w:r>
        <w:rPr>
          <w:rFonts w:hint="default" w:ascii="Times New Roman" w:hAnsi="Times New Roman" w:eastAsia="黑体" w:cs="Times New Roman"/>
          <w:color w:val="auto"/>
          <w:sz w:val="24"/>
          <w:szCs w:val="24"/>
          <w:highlight w:val="none"/>
          <w:lang w:val="en-US" w:eastAsia="zh-CN"/>
        </w:rPr>
        <w:t xml:space="preserve">3-14  </w:t>
      </w:r>
      <w:r>
        <w:rPr>
          <w:rFonts w:hint="default" w:ascii="Times New Roman" w:hAnsi="Times New Roman" w:eastAsia="黑体" w:cs="Times New Roman"/>
          <w:color w:val="auto"/>
          <w:sz w:val="24"/>
          <w:szCs w:val="24"/>
          <w:highlight w:val="none"/>
          <w:lang w:val="zh-CN" w:eastAsia="zh-CN"/>
        </w:rPr>
        <w:t>绥化市庆安县平安镇饮用水水源</w:t>
      </w:r>
      <w:r>
        <w:rPr>
          <w:rFonts w:hint="default" w:ascii="Times New Roman" w:hAnsi="Times New Roman" w:eastAsia="黑体" w:cs="Times New Roman"/>
          <w:color w:val="auto"/>
          <w:sz w:val="24"/>
          <w:szCs w:val="24"/>
          <w:highlight w:val="none"/>
          <w:lang w:val="en-US" w:eastAsia="zh-CN"/>
        </w:rPr>
        <w:t>保护区划分</w:t>
      </w:r>
      <w:r>
        <w:rPr>
          <w:rFonts w:hint="default" w:ascii="Times New Roman" w:hAnsi="Times New Roman" w:eastAsia="黑体" w:cs="Times New Roman"/>
          <w:color w:val="auto"/>
          <w:sz w:val="24"/>
          <w:szCs w:val="24"/>
          <w:highlight w:val="none"/>
          <w:lang w:val="zh-CN" w:eastAsia="zh-CN"/>
        </w:rPr>
        <w:t>前后对比图</w:t>
      </w:r>
    </w:p>
    <w:p w14:paraId="05FD148A">
      <w:pPr>
        <w:bidi w:val="0"/>
        <w:rPr>
          <w:color w:val="auto"/>
          <w:highlight w:val="none"/>
        </w:rPr>
        <w:sectPr>
          <w:footerReference r:id="rId15" w:type="default"/>
          <w:pgSz w:w="16838" w:h="11905" w:orient="landscape"/>
          <w:pgMar w:top="1474" w:right="1474" w:bottom="1474" w:left="1474" w:header="964" w:footer="992" w:gutter="0"/>
          <w:pgBorders>
            <w:top w:val="none" w:sz="0" w:space="0"/>
            <w:left w:val="none" w:sz="0" w:space="0"/>
            <w:bottom w:val="none" w:sz="0" w:space="0"/>
            <w:right w:val="none" w:sz="0" w:space="0"/>
          </w:pgBorders>
          <w:pgNumType w:fmt="decimal"/>
          <w:cols w:space="720" w:num="1"/>
          <w:docGrid w:type="linesAndChars" w:linePitch="347" w:charSpace="-1024"/>
        </w:sectPr>
      </w:pPr>
    </w:p>
    <w:p w14:paraId="78CC5BB3">
      <w:pPr>
        <w:pStyle w:val="2"/>
        <w:keepNext/>
        <w:wordWrap w:val="0"/>
        <w:overflowPunct w:val="0"/>
        <w:autoSpaceDE w:val="0"/>
        <w:autoSpaceDN w:val="0"/>
        <w:rPr>
          <w:rFonts w:cs="黑体"/>
          <w:color w:val="auto"/>
          <w:kern w:val="0"/>
          <w:highlight w:val="none"/>
        </w:rPr>
      </w:pPr>
      <w:bookmarkStart w:id="92" w:name="_Toc855"/>
      <w:bookmarkStart w:id="93" w:name="_Toc30976"/>
      <w:r>
        <w:rPr>
          <w:rFonts w:hint="eastAsia" w:cs="黑体"/>
          <w:color w:val="auto"/>
          <w:kern w:val="0"/>
          <w:highlight w:val="none"/>
        </w:rPr>
        <w:t>4 饮用水水源保护区规范化建设与管理要求</w:t>
      </w:r>
      <w:bookmarkEnd w:id="92"/>
      <w:bookmarkEnd w:id="93"/>
    </w:p>
    <w:p w14:paraId="022FF020">
      <w:pPr>
        <w:pStyle w:val="3"/>
        <w:rPr>
          <w:color w:val="auto"/>
          <w:highlight w:val="none"/>
          <w:lang w:val="en-US"/>
        </w:rPr>
      </w:pPr>
      <w:bookmarkStart w:id="94" w:name="_Toc29951"/>
      <w:bookmarkStart w:id="95" w:name="_Toc26245"/>
      <w:r>
        <w:rPr>
          <w:rFonts w:hint="eastAsia"/>
          <w:color w:val="auto"/>
          <w:highlight w:val="none"/>
          <w:lang w:val="en-US"/>
        </w:rPr>
        <w:t>4.1水源水质水量要求</w:t>
      </w:r>
      <w:bookmarkEnd w:id="94"/>
      <w:bookmarkEnd w:id="95"/>
    </w:p>
    <w:p w14:paraId="3B434B62">
      <w:pPr>
        <w:pStyle w:val="4"/>
        <w:rPr>
          <w:color w:val="auto"/>
          <w:highlight w:val="none"/>
        </w:rPr>
      </w:pPr>
      <w:bookmarkStart w:id="96" w:name="_Toc22810"/>
      <w:r>
        <w:rPr>
          <w:rFonts w:hint="eastAsia"/>
          <w:color w:val="auto"/>
          <w:highlight w:val="none"/>
        </w:rPr>
        <w:t>4.1.1水源水量要求</w:t>
      </w:r>
      <w:bookmarkEnd w:id="96"/>
    </w:p>
    <w:p w14:paraId="2B8D02AA">
      <w:pPr>
        <w:spacing w:line="360" w:lineRule="auto"/>
        <w:ind w:firstLine="472" w:firstLineChars="200"/>
        <w:rPr>
          <w:rFonts w:hint="eastAsia"/>
          <w:color w:val="auto"/>
          <w:kern w:val="0"/>
          <w:sz w:val="24"/>
          <w:szCs w:val="24"/>
          <w:highlight w:val="none"/>
        </w:rPr>
      </w:pPr>
      <w:r>
        <w:rPr>
          <w:rFonts w:hint="eastAsia"/>
          <w:color w:val="auto"/>
          <w:sz w:val="24"/>
          <w:szCs w:val="24"/>
          <w:highlight w:val="none"/>
        </w:rPr>
        <w:t>根据2.9.1章节水量分析，</w:t>
      </w:r>
      <w:r>
        <w:rPr>
          <w:rFonts w:hint="eastAsia"/>
          <w:color w:val="auto"/>
          <w:sz w:val="24"/>
          <w:szCs w:val="24"/>
          <w:highlight w:val="none"/>
          <w:lang w:eastAsia="zh-CN"/>
        </w:rPr>
        <w:t>本次划分各</w:t>
      </w:r>
      <w:r>
        <w:rPr>
          <w:rFonts w:hint="eastAsia"/>
          <w:color w:val="auto"/>
          <w:sz w:val="24"/>
          <w:szCs w:val="24"/>
          <w:highlight w:val="none"/>
        </w:rPr>
        <w:t>饮用水水源地取</w:t>
      </w:r>
      <w:r>
        <w:rPr>
          <w:rFonts w:hint="eastAsia"/>
          <w:color w:val="auto"/>
          <w:kern w:val="0"/>
          <w:sz w:val="24"/>
          <w:szCs w:val="24"/>
          <w:highlight w:val="none"/>
        </w:rPr>
        <w:t>水井均可满足服务范围内近期需水量要求，规划远期至2035年需水量按</w:t>
      </w:r>
      <w:r>
        <w:rPr>
          <w:rFonts w:hint="eastAsia"/>
          <w:color w:val="auto"/>
          <w:kern w:val="0"/>
          <w:sz w:val="24"/>
          <w:szCs w:val="24"/>
          <w:highlight w:val="none"/>
          <w:lang w:val="en-US" w:eastAsia="zh-CN"/>
        </w:rPr>
        <w:t>100</w:t>
      </w:r>
      <w:r>
        <w:rPr>
          <w:color w:val="auto"/>
          <w:kern w:val="0"/>
          <w:sz w:val="24"/>
          <w:szCs w:val="24"/>
          <w:highlight w:val="none"/>
        </w:rPr>
        <w:t>升</w:t>
      </w:r>
      <w:r>
        <w:rPr>
          <w:rFonts w:hint="eastAsia"/>
          <w:color w:val="auto"/>
          <w:kern w:val="0"/>
          <w:sz w:val="24"/>
          <w:szCs w:val="24"/>
          <w:highlight w:val="none"/>
        </w:rPr>
        <w:t>/人</w:t>
      </w:r>
      <w:r>
        <w:rPr>
          <w:color w:val="auto"/>
          <w:kern w:val="0"/>
          <w:sz w:val="24"/>
          <w:szCs w:val="24"/>
          <w:highlight w:val="none"/>
        </w:rPr>
        <w:t>·</w:t>
      </w:r>
      <w:r>
        <w:rPr>
          <w:rFonts w:hint="eastAsia"/>
          <w:color w:val="auto"/>
          <w:kern w:val="0"/>
          <w:sz w:val="24"/>
          <w:szCs w:val="24"/>
          <w:highlight w:val="none"/>
        </w:rPr>
        <w:t>天计，则需水量估算如下：</w:t>
      </w:r>
    </w:p>
    <w:p w14:paraId="26ED93A1">
      <w:pPr>
        <w:spacing w:line="360" w:lineRule="auto"/>
        <w:ind w:firstLine="472" w:firstLineChars="200"/>
        <w:rPr>
          <w:rFonts w:hint="eastAsia"/>
          <w:color w:val="auto"/>
          <w:kern w:val="0"/>
          <w:sz w:val="24"/>
          <w:szCs w:val="24"/>
          <w:highlight w:val="none"/>
        </w:rPr>
      </w:pPr>
      <w:r>
        <w:rPr>
          <w:rFonts w:hint="eastAsia" w:ascii="Times New Roman" w:hAnsi="Times New Roman" w:cs="Times New Roman"/>
          <w:color w:val="auto"/>
          <w:kern w:val="0"/>
          <w:sz w:val="24"/>
          <w:szCs w:val="24"/>
          <w:highlight w:val="none"/>
          <w:lang w:val="en-US" w:eastAsia="zh-CN" w:bidi="ar"/>
        </w:rPr>
        <w:t>（1）</w:t>
      </w:r>
      <w:r>
        <w:rPr>
          <w:rFonts w:hint="eastAsia" w:ascii="Times New Roman" w:hAnsi="Times New Roman" w:eastAsia="宋体" w:cs="Times New Roman"/>
          <w:color w:val="auto"/>
          <w:kern w:val="0"/>
          <w:sz w:val="24"/>
          <w:szCs w:val="24"/>
          <w:highlight w:val="none"/>
          <w:lang w:val="en-US" w:eastAsia="zh-CN" w:bidi="ar"/>
        </w:rPr>
        <w:t>绥化市庆安县发展乡</w:t>
      </w:r>
      <w:r>
        <w:rPr>
          <w:rFonts w:ascii="Times New Roman" w:hAnsi="Times New Roman" w:eastAsia="宋体" w:cs="Times New Roman"/>
          <w:color w:val="auto"/>
          <w:kern w:val="0"/>
          <w:sz w:val="24"/>
          <w:szCs w:val="24"/>
          <w:highlight w:val="none"/>
          <w:lang w:bidi="ar"/>
        </w:rPr>
        <w:t>饮用水水源地</w:t>
      </w:r>
      <w:r>
        <w:rPr>
          <w:rFonts w:hint="eastAsia"/>
          <w:color w:val="auto"/>
          <w:sz w:val="24"/>
          <w:szCs w:val="24"/>
          <w:highlight w:val="none"/>
        </w:rPr>
        <w:t>：</w:t>
      </w:r>
      <w:r>
        <w:rPr>
          <w:rFonts w:hint="eastAsia"/>
          <w:color w:val="auto"/>
          <w:kern w:val="0"/>
          <w:sz w:val="24"/>
          <w:szCs w:val="24"/>
          <w:highlight w:val="none"/>
          <w:lang w:eastAsia="zh-CN"/>
        </w:rPr>
        <w:t>设计取水量</w:t>
      </w:r>
      <w:r>
        <w:rPr>
          <w:rFonts w:hint="default" w:ascii="Times New Roman" w:hAnsi="Times New Roman" w:eastAsia="宋体" w:cs="Times New Roman"/>
          <w:color w:val="auto"/>
          <w:sz w:val="24"/>
          <w:szCs w:val="24"/>
          <w:highlight w:val="none"/>
          <w:lang w:val="en-US" w:eastAsia="zh-CN"/>
        </w:rPr>
        <w:t>（即水源地允许开采量）</w:t>
      </w:r>
      <w:r>
        <w:rPr>
          <w:rFonts w:hint="eastAsia"/>
          <w:color w:val="auto"/>
          <w:kern w:val="0"/>
          <w:sz w:val="24"/>
          <w:szCs w:val="24"/>
          <w:highlight w:val="none"/>
        </w:rPr>
        <w:t>为</w:t>
      </w:r>
      <w:r>
        <w:rPr>
          <w:rFonts w:hint="eastAsia"/>
          <w:color w:val="auto"/>
          <w:kern w:val="0"/>
          <w:sz w:val="24"/>
          <w:szCs w:val="24"/>
          <w:highlight w:val="none"/>
          <w:lang w:val="en-US" w:eastAsia="zh-CN"/>
        </w:rPr>
        <w:t>1259.46</w:t>
      </w:r>
      <w:r>
        <w:rPr>
          <w:rFonts w:hint="eastAsia"/>
          <w:color w:val="auto"/>
          <w:kern w:val="0"/>
          <w:sz w:val="24"/>
          <w:szCs w:val="24"/>
          <w:highlight w:val="none"/>
        </w:rPr>
        <w:t>立方米/天，</w:t>
      </w:r>
      <w:r>
        <w:rPr>
          <w:rFonts w:hint="eastAsia"/>
          <w:color w:val="auto"/>
          <w:sz w:val="24"/>
          <w:szCs w:val="24"/>
          <w:highlight w:val="none"/>
        </w:rPr>
        <w:t>服务人口</w:t>
      </w:r>
      <w:r>
        <w:rPr>
          <w:rFonts w:hint="eastAsia"/>
          <w:color w:val="auto"/>
          <w:sz w:val="24"/>
          <w:szCs w:val="24"/>
          <w:highlight w:val="none"/>
          <w:lang w:val="en-US" w:eastAsia="zh-CN"/>
        </w:rPr>
        <w:t>9865</w:t>
      </w:r>
      <w:r>
        <w:rPr>
          <w:rFonts w:hint="eastAsia"/>
          <w:color w:val="auto"/>
          <w:sz w:val="24"/>
          <w:szCs w:val="24"/>
          <w:highlight w:val="none"/>
        </w:rPr>
        <w:t>人</w:t>
      </w:r>
      <w:r>
        <w:rPr>
          <w:rFonts w:hint="eastAsia"/>
          <w:color w:val="auto"/>
          <w:kern w:val="0"/>
          <w:sz w:val="24"/>
          <w:szCs w:val="24"/>
          <w:highlight w:val="none"/>
        </w:rPr>
        <w:t>，</w:t>
      </w:r>
      <w:r>
        <w:rPr>
          <w:rFonts w:hint="eastAsia"/>
          <w:color w:val="auto"/>
          <w:kern w:val="0"/>
          <w:sz w:val="24"/>
          <w:szCs w:val="24"/>
          <w:highlight w:val="none"/>
          <w:lang w:eastAsia="zh-CN"/>
        </w:rPr>
        <w:t>预计</w:t>
      </w:r>
      <w:r>
        <w:rPr>
          <w:rFonts w:hint="eastAsia"/>
          <w:color w:val="auto"/>
          <w:kern w:val="0"/>
          <w:sz w:val="24"/>
          <w:szCs w:val="24"/>
          <w:highlight w:val="none"/>
        </w:rPr>
        <w:t>远期取水量为</w:t>
      </w:r>
      <w:r>
        <w:rPr>
          <w:rFonts w:hint="eastAsia"/>
          <w:color w:val="auto"/>
          <w:kern w:val="0"/>
          <w:sz w:val="24"/>
          <w:szCs w:val="24"/>
          <w:highlight w:val="none"/>
          <w:lang w:val="en-US" w:eastAsia="zh-CN"/>
        </w:rPr>
        <w:t>986.5</w:t>
      </w:r>
      <w:r>
        <w:rPr>
          <w:rFonts w:hint="eastAsia"/>
          <w:color w:val="auto"/>
          <w:kern w:val="0"/>
          <w:sz w:val="24"/>
          <w:szCs w:val="24"/>
          <w:highlight w:val="none"/>
        </w:rPr>
        <w:t>立方米/天，</w:t>
      </w:r>
      <w:r>
        <w:rPr>
          <w:rFonts w:hint="default" w:ascii="Times New Roman" w:hAnsi="Times New Roman" w:eastAsia="宋体" w:cs="Times New Roman"/>
          <w:color w:val="auto"/>
          <w:sz w:val="24"/>
          <w:szCs w:val="24"/>
          <w:highlight w:val="none"/>
          <w:lang w:val="en-US" w:eastAsia="zh-CN"/>
        </w:rPr>
        <w:t>设计取水量大于远期需水量，可满足服务范围内远期需水量要求。</w:t>
      </w:r>
    </w:p>
    <w:p w14:paraId="5E1859AA">
      <w:pPr>
        <w:spacing w:line="360" w:lineRule="auto"/>
        <w:ind w:firstLine="472" w:firstLineChars="200"/>
        <w:rPr>
          <w:rFonts w:hint="eastAsia"/>
          <w:color w:val="auto"/>
          <w:sz w:val="24"/>
          <w:szCs w:val="24"/>
          <w:highlight w:val="none"/>
        </w:rPr>
      </w:pPr>
      <w:r>
        <w:rPr>
          <w:rFonts w:hint="eastAsia"/>
          <w:color w:val="auto"/>
          <w:sz w:val="24"/>
          <w:szCs w:val="24"/>
          <w:highlight w:val="none"/>
          <w:lang w:val="en-US" w:eastAsia="zh-CN"/>
        </w:rPr>
        <w:t>（2</w:t>
      </w:r>
      <w:r>
        <w:rPr>
          <w:rFonts w:hint="eastAsia"/>
          <w:color w:val="auto"/>
          <w:sz w:val="24"/>
          <w:szCs w:val="24"/>
          <w:highlight w:val="none"/>
          <w:lang w:eastAsia="zh-CN"/>
        </w:rPr>
        <w:t>）</w:t>
      </w:r>
      <w:r>
        <w:rPr>
          <w:rFonts w:hint="eastAsia" w:ascii="Times New Roman" w:hAnsi="Times New Roman" w:eastAsia="宋体" w:cs="Times New Roman"/>
          <w:color w:val="auto"/>
          <w:kern w:val="0"/>
          <w:sz w:val="24"/>
          <w:szCs w:val="24"/>
          <w:highlight w:val="none"/>
          <w:lang w:val="en-US" w:eastAsia="zh-CN" w:bidi="ar"/>
        </w:rPr>
        <w:t>绥化市庆安县建民乡</w:t>
      </w:r>
      <w:r>
        <w:rPr>
          <w:rFonts w:ascii="Times New Roman" w:hAnsi="Times New Roman" w:eastAsia="宋体" w:cs="Times New Roman"/>
          <w:color w:val="auto"/>
          <w:kern w:val="0"/>
          <w:sz w:val="24"/>
          <w:szCs w:val="24"/>
          <w:highlight w:val="none"/>
          <w:lang w:bidi="ar"/>
        </w:rPr>
        <w:t>饮用水水源地</w:t>
      </w:r>
      <w:r>
        <w:rPr>
          <w:rFonts w:hint="eastAsia"/>
          <w:color w:val="auto"/>
          <w:sz w:val="24"/>
          <w:szCs w:val="24"/>
          <w:highlight w:val="none"/>
        </w:rPr>
        <w:t>：</w:t>
      </w:r>
      <w:r>
        <w:rPr>
          <w:rFonts w:hint="eastAsia"/>
          <w:color w:val="auto"/>
          <w:kern w:val="0"/>
          <w:sz w:val="24"/>
          <w:szCs w:val="24"/>
          <w:highlight w:val="none"/>
          <w:lang w:eastAsia="zh-CN"/>
        </w:rPr>
        <w:t>设计取水量</w:t>
      </w:r>
      <w:r>
        <w:rPr>
          <w:rFonts w:hint="default" w:ascii="Times New Roman" w:hAnsi="Times New Roman" w:eastAsia="宋体" w:cs="Times New Roman"/>
          <w:color w:val="auto"/>
          <w:sz w:val="24"/>
          <w:szCs w:val="24"/>
          <w:highlight w:val="none"/>
          <w:lang w:val="en-US" w:eastAsia="zh-CN"/>
        </w:rPr>
        <w:t>（即水源地允许开采量）</w:t>
      </w:r>
      <w:r>
        <w:rPr>
          <w:rFonts w:hint="eastAsia"/>
          <w:color w:val="auto"/>
          <w:kern w:val="0"/>
          <w:sz w:val="24"/>
          <w:szCs w:val="24"/>
          <w:highlight w:val="none"/>
        </w:rPr>
        <w:t>为</w:t>
      </w:r>
      <w:r>
        <w:rPr>
          <w:rFonts w:hint="eastAsia"/>
          <w:color w:val="auto"/>
          <w:kern w:val="0"/>
          <w:sz w:val="24"/>
          <w:szCs w:val="24"/>
          <w:highlight w:val="none"/>
          <w:lang w:val="en-US" w:eastAsia="zh-CN"/>
        </w:rPr>
        <w:t>881</w:t>
      </w:r>
      <w:r>
        <w:rPr>
          <w:rFonts w:hint="eastAsia"/>
          <w:color w:val="auto"/>
          <w:kern w:val="0"/>
          <w:sz w:val="24"/>
          <w:szCs w:val="24"/>
          <w:highlight w:val="none"/>
        </w:rPr>
        <w:t>立方米/天，</w:t>
      </w:r>
      <w:r>
        <w:rPr>
          <w:rFonts w:hint="eastAsia"/>
          <w:color w:val="auto"/>
          <w:sz w:val="24"/>
          <w:szCs w:val="24"/>
          <w:highlight w:val="none"/>
        </w:rPr>
        <w:t>服务人口</w:t>
      </w:r>
      <w:r>
        <w:rPr>
          <w:rFonts w:hint="eastAsia"/>
          <w:color w:val="auto"/>
          <w:sz w:val="24"/>
          <w:szCs w:val="24"/>
          <w:highlight w:val="none"/>
          <w:lang w:val="en-US" w:eastAsia="zh-CN"/>
        </w:rPr>
        <w:t>8655</w:t>
      </w:r>
      <w:r>
        <w:rPr>
          <w:rFonts w:hint="eastAsia"/>
          <w:color w:val="auto"/>
          <w:sz w:val="24"/>
          <w:szCs w:val="24"/>
          <w:highlight w:val="none"/>
        </w:rPr>
        <w:t>人</w:t>
      </w:r>
      <w:r>
        <w:rPr>
          <w:rFonts w:hint="eastAsia"/>
          <w:color w:val="auto"/>
          <w:kern w:val="0"/>
          <w:sz w:val="24"/>
          <w:szCs w:val="24"/>
          <w:highlight w:val="none"/>
        </w:rPr>
        <w:t>，</w:t>
      </w:r>
      <w:r>
        <w:rPr>
          <w:rFonts w:hint="eastAsia"/>
          <w:color w:val="auto"/>
          <w:kern w:val="0"/>
          <w:sz w:val="24"/>
          <w:szCs w:val="24"/>
          <w:highlight w:val="none"/>
          <w:lang w:eastAsia="zh-CN"/>
        </w:rPr>
        <w:t>预计</w:t>
      </w:r>
      <w:r>
        <w:rPr>
          <w:rFonts w:hint="eastAsia"/>
          <w:color w:val="auto"/>
          <w:kern w:val="0"/>
          <w:sz w:val="24"/>
          <w:szCs w:val="24"/>
          <w:highlight w:val="none"/>
        </w:rPr>
        <w:t>远期取水量为</w:t>
      </w:r>
      <w:r>
        <w:rPr>
          <w:rFonts w:hint="eastAsia"/>
          <w:color w:val="auto"/>
          <w:kern w:val="0"/>
          <w:sz w:val="24"/>
          <w:szCs w:val="24"/>
          <w:highlight w:val="none"/>
          <w:lang w:val="en-US" w:eastAsia="zh-CN"/>
        </w:rPr>
        <w:t>865.5</w:t>
      </w:r>
      <w:r>
        <w:rPr>
          <w:rFonts w:hint="eastAsia"/>
          <w:color w:val="auto"/>
          <w:kern w:val="0"/>
          <w:sz w:val="24"/>
          <w:szCs w:val="24"/>
          <w:highlight w:val="none"/>
        </w:rPr>
        <w:t>立方米/天，</w:t>
      </w:r>
      <w:r>
        <w:rPr>
          <w:rFonts w:hint="default" w:ascii="Times New Roman" w:hAnsi="Times New Roman" w:eastAsia="宋体" w:cs="Times New Roman"/>
          <w:color w:val="auto"/>
          <w:sz w:val="24"/>
          <w:szCs w:val="24"/>
          <w:highlight w:val="none"/>
          <w:lang w:val="en-US" w:eastAsia="zh-CN"/>
        </w:rPr>
        <w:t>设计取水量大于远期需水量，可满足服务范围内远期需水量要求。</w:t>
      </w:r>
    </w:p>
    <w:p w14:paraId="34811AD6">
      <w:pPr>
        <w:spacing w:line="360" w:lineRule="auto"/>
        <w:ind w:firstLine="472" w:firstLineChars="200"/>
        <w:rPr>
          <w:rFonts w:hint="eastAsia"/>
          <w:color w:val="auto"/>
          <w:sz w:val="24"/>
          <w:szCs w:val="24"/>
          <w:highlight w:val="none"/>
        </w:rPr>
      </w:pPr>
      <w:r>
        <w:rPr>
          <w:rFonts w:hint="eastAsia"/>
          <w:color w:val="auto"/>
          <w:sz w:val="24"/>
          <w:szCs w:val="24"/>
          <w:highlight w:val="none"/>
          <w:lang w:val="en-US" w:eastAsia="zh-CN"/>
        </w:rPr>
        <w:t>（3</w:t>
      </w:r>
      <w:r>
        <w:rPr>
          <w:rFonts w:hint="eastAsia"/>
          <w:color w:val="auto"/>
          <w:sz w:val="24"/>
          <w:szCs w:val="24"/>
          <w:highlight w:val="none"/>
          <w:lang w:eastAsia="zh-CN"/>
        </w:rPr>
        <w:t>）</w:t>
      </w:r>
      <w:r>
        <w:rPr>
          <w:rFonts w:hint="eastAsia" w:ascii="Times New Roman" w:hAnsi="Times New Roman" w:eastAsia="宋体" w:cs="Times New Roman"/>
          <w:color w:val="auto"/>
          <w:kern w:val="0"/>
          <w:sz w:val="24"/>
          <w:szCs w:val="24"/>
          <w:highlight w:val="none"/>
          <w:lang w:val="en-US" w:eastAsia="zh-CN" w:bidi="ar"/>
        </w:rPr>
        <w:t>绥化市庆安县同乐镇</w:t>
      </w:r>
      <w:r>
        <w:rPr>
          <w:rFonts w:ascii="Times New Roman" w:hAnsi="Times New Roman" w:eastAsia="宋体" w:cs="Times New Roman"/>
          <w:color w:val="auto"/>
          <w:kern w:val="0"/>
          <w:sz w:val="24"/>
          <w:szCs w:val="24"/>
          <w:highlight w:val="none"/>
          <w:lang w:bidi="ar"/>
        </w:rPr>
        <w:t>饮用水水源地</w:t>
      </w:r>
      <w:r>
        <w:rPr>
          <w:rFonts w:hint="eastAsia"/>
          <w:color w:val="auto"/>
          <w:sz w:val="24"/>
          <w:szCs w:val="24"/>
          <w:highlight w:val="none"/>
        </w:rPr>
        <w:t>：</w:t>
      </w:r>
      <w:r>
        <w:rPr>
          <w:rFonts w:hint="eastAsia"/>
          <w:color w:val="auto"/>
          <w:kern w:val="0"/>
          <w:sz w:val="24"/>
          <w:szCs w:val="24"/>
          <w:highlight w:val="none"/>
          <w:lang w:eastAsia="zh-CN"/>
        </w:rPr>
        <w:t>设计取水量</w:t>
      </w:r>
      <w:r>
        <w:rPr>
          <w:rFonts w:hint="default" w:ascii="Times New Roman" w:hAnsi="Times New Roman" w:eastAsia="宋体" w:cs="Times New Roman"/>
          <w:color w:val="auto"/>
          <w:sz w:val="24"/>
          <w:szCs w:val="24"/>
          <w:highlight w:val="none"/>
          <w:lang w:val="en-US" w:eastAsia="zh-CN"/>
        </w:rPr>
        <w:t>（即水源地允许开采量）</w:t>
      </w:r>
      <w:r>
        <w:rPr>
          <w:rFonts w:hint="eastAsia"/>
          <w:color w:val="auto"/>
          <w:kern w:val="0"/>
          <w:sz w:val="24"/>
          <w:szCs w:val="24"/>
          <w:highlight w:val="none"/>
        </w:rPr>
        <w:t>为</w:t>
      </w:r>
      <w:r>
        <w:rPr>
          <w:rFonts w:hint="eastAsia"/>
          <w:color w:val="auto"/>
          <w:kern w:val="0"/>
          <w:sz w:val="24"/>
          <w:szCs w:val="24"/>
          <w:highlight w:val="none"/>
          <w:lang w:val="en-US" w:eastAsia="zh-CN"/>
        </w:rPr>
        <w:t>1395</w:t>
      </w:r>
      <w:r>
        <w:rPr>
          <w:rFonts w:hint="eastAsia"/>
          <w:color w:val="auto"/>
          <w:kern w:val="0"/>
          <w:sz w:val="24"/>
          <w:szCs w:val="24"/>
          <w:highlight w:val="none"/>
        </w:rPr>
        <w:t>立方米/天，</w:t>
      </w:r>
      <w:r>
        <w:rPr>
          <w:rFonts w:hint="eastAsia"/>
          <w:color w:val="auto"/>
          <w:sz w:val="24"/>
          <w:szCs w:val="24"/>
          <w:highlight w:val="none"/>
        </w:rPr>
        <w:t>服务人口</w:t>
      </w:r>
      <w:r>
        <w:rPr>
          <w:rFonts w:hint="eastAsia"/>
          <w:color w:val="auto"/>
          <w:sz w:val="24"/>
          <w:szCs w:val="24"/>
          <w:highlight w:val="none"/>
          <w:lang w:val="en-US" w:eastAsia="zh-CN"/>
        </w:rPr>
        <w:t>9891</w:t>
      </w:r>
      <w:r>
        <w:rPr>
          <w:rFonts w:hint="eastAsia"/>
          <w:color w:val="auto"/>
          <w:sz w:val="24"/>
          <w:szCs w:val="24"/>
          <w:highlight w:val="none"/>
        </w:rPr>
        <w:t>人</w:t>
      </w:r>
      <w:r>
        <w:rPr>
          <w:rFonts w:hint="eastAsia"/>
          <w:color w:val="auto"/>
          <w:kern w:val="0"/>
          <w:sz w:val="24"/>
          <w:szCs w:val="24"/>
          <w:highlight w:val="none"/>
        </w:rPr>
        <w:t>，</w:t>
      </w:r>
      <w:r>
        <w:rPr>
          <w:rFonts w:hint="eastAsia"/>
          <w:color w:val="auto"/>
          <w:kern w:val="0"/>
          <w:sz w:val="24"/>
          <w:szCs w:val="24"/>
          <w:highlight w:val="none"/>
          <w:lang w:eastAsia="zh-CN"/>
        </w:rPr>
        <w:t>预计</w:t>
      </w:r>
      <w:r>
        <w:rPr>
          <w:rFonts w:hint="eastAsia"/>
          <w:color w:val="auto"/>
          <w:kern w:val="0"/>
          <w:sz w:val="24"/>
          <w:szCs w:val="24"/>
          <w:highlight w:val="none"/>
        </w:rPr>
        <w:t>远期取水量为</w:t>
      </w:r>
      <w:r>
        <w:rPr>
          <w:rFonts w:hint="eastAsia"/>
          <w:color w:val="auto"/>
          <w:kern w:val="0"/>
          <w:sz w:val="24"/>
          <w:szCs w:val="24"/>
          <w:highlight w:val="none"/>
          <w:lang w:val="en-US" w:eastAsia="zh-CN"/>
        </w:rPr>
        <w:t>989.1</w:t>
      </w:r>
      <w:r>
        <w:rPr>
          <w:rFonts w:hint="eastAsia"/>
          <w:color w:val="auto"/>
          <w:kern w:val="0"/>
          <w:sz w:val="24"/>
          <w:szCs w:val="24"/>
          <w:highlight w:val="none"/>
        </w:rPr>
        <w:t>立方米/天，</w:t>
      </w:r>
      <w:r>
        <w:rPr>
          <w:rFonts w:hint="default" w:ascii="Times New Roman" w:hAnsi="Times New Roman" w:eastAsia="宋体" w:cs="Times New Roman"/>
          <w:color w:val="auto"/>
          <w:sz w:val="24"/>
          <w:szCs w:val="24"/>
          <w:highlight w:val="none"/>
          <w:lang w:val="en-US" w:eastAsia="zh-CN"/>
        </w:rPr>
        <w:t>设计取水量大于远期需水量，可满足服务范围内远期需水量要求。</w:t>
      </w:r>
    </w:p>
    <w:p w14:paraId="3B74B034">
      <w:pPr>
        <w:spacing w:line="360" w:lineRule="auto"/>
        <w:ind w:firstLine="472" w:firstLineChars="200"/>
        <w:rPr>
          <w:rFonts w:hint="eastAsia"/>
          <w:color w:val="auto"/>
          <w:sz w:val="24"/>
          <w:szCs w:val="24"/>
          <w:highlight w:val="none"/>
        </w:rPr>
      </w:pPr>
      <w:r>
        <w:rPr>
          <w:rFonts w:hint="eastAsia"/>
          <w:color w:val="auto"/>
          <w:sz w:val="24"/>
          <w:szCs w:val="24"/>
          <w:highlight w:val="none"/>
          <w:lang w:val="en-US" w:eastAsia="zh-CN"/>
        </w:rPr>
        <w:t>（4</w:t>
      </w:r>
      <w:r>
        <w:rPr>
          <w:rFonts w:hint="eastAsia"/>
          <w:color w:val="auto"/>
          <w:sz w:val="24"/>
          <w:szCs w:val="24"/>
          <w:highlight w:val="none"/>
          <w:lang w:eastAsia="zh-CN"/>
        </w:rPr>
        <w:t>）</w:t>
      </w:r>
      <w:r>
        <w:rPr>
          <w:rFonts w:hint="eastAsia" w:ascii="Times New Roman" w:hAnsi="Times New Roman" w:eastAsia="宋体" w:cs="Times New Roman"/>
          <w:color w:val="auto"/>
          <w:kern w:val="0"/>
          <w:sz w:val="24"/>
          <w:szCs w:val="24"/>
          <w:highlight w:val="none"/>
          <w:lang w:val="en-US" w:eastAsia="zh-CN" w:bidi="ar"/>
        </w:rPr>
        <w:t>绥化市庆安县柳河镇饮用水水源地</w:t>
      </w:r>
      <w:r>
        <w:rPr>
          <w:rFonts w:hint="eastAsia"/>
          <w:color w:val="auto"/>
          <w:sz w:val="24"/>
          <w:szCs w:val="24"/>
          <w:highlight w:val="none"/>
        </w:rPr>
        <w:t>：</w:t>
      </w:r>
      <w:r>
        <w:rPr>
          <w:rFonts w:hint="eastAsia"/>
          <w:color w:val="auto"/>
          <w:kern w:val="0"/>
          <w:sz w:val="24"/>
          <w:szCs w:val="24"/>
          <w:highlight w:val="none"/>
          <w:lang w:eastAsia="zh-CN"/>
        </w:rPr>
        <w:t>设计取水量</w:t>
      </w:r>
      <w:r>
        <w:rPr>
          <w:rFonts w:hint="default" w:ascii="Times New Roman" w:hAnsi="Times New Roman" w:eastAsia="宋体" w:cs="Times New Roman"/>
          <w:color w:val="auto"/>
          <w:sz w:val="24"/>
          <w:szCs w:val="24"/>
          <w:highlight w:val="none"/>
          <w:lang w:val="en-US" w:eastAsia="zh-CN"/>
        </w:rPr>
        <w:t>（即水源地允许开采量）</w:t>
      </w:r>
      <w:r>
        <w:rPr>
          <w:rFonts w:hint="eastAsia"/>
          <w:color w:val="auto"/>
          <w:kern w:val="0"/>
          <w:sz w:val="24"/>
          <w:szCs w:val="24"/>
          <w:highlight w:val="none"/>
        </w:rPr>
        <w:t>为</w:t>
      </w:r>
      <w:r>
        <w:rPr>
          <w:rFonts w:hint="eastAsia"/>
          <w:color w:val="auto"/>
          <w:kern w:val="0"/>
          <w:sz w:val="24"/>
          <w:szCs w:val="24"/>
          <w:highlight w:val="none"/>
          <w:lang w:val="en-US" w:eastAsia="zh-CN"/>
        </w:rPr>
        <w:t>1378.56</w:t>
      </w:r>
      <w:r>
        <w:rPr>
          <w:rFonts w:hint="eastAsia"/>
          <w:color w:val="auto"/>
          <w:kern w:val="0"/>
          <w:sz w:val="24"/>
          <w:szCs w:val="24"/>
          <w:highlight w:val="none"/>
        </w:rPr>
        <w:t>立方米/天，</w:t>
      </w:r>
      <w:r>
        <w:rPr>
          <w:rFonts w:hint="eastAsia"/>
          <w:color w:val="auto"/>
          <w:sz w:val="24"/>
          <w:szCs w:val="24"/>
          <w:highlight w:val="none"/>
        </w:rPr>
        <w:t>服务人口</w:t>
      </w:r>
      <w:r>
        <w:rPr>
          <w:rFonts w:hint="eastAsia"/>
          <w:color w:val="auto"/>
          <w:sz w:val="24"/>
          <w:szCs w:val="24"/>
          <w:highlight w:val="none"/>
          <w:lang w:val="en-US" w:eastAsia="zh-CN"/>
        </w:rPr>
        <w:t>8631</w:t>
      </w:r>
      <w:r>
        <w:rPr>
          <w:rFonts w:hint="eastAsia"/>
          <w:color w:val="auto"/>
          <w:sz w:val="24"/>
          <w:szCs w:val="24"/>
          <w:highlight w:val="none"/>
        </w:rPr>
        <w:t>人</w:t>
      </w:r>
      <w:r>
        <w:rPr>
          <w:rFonts w:hint="eastAsia"/>
          <w:color w:val="auto"/>
          <w:kern w:val="0"/>
          <w:sz w:val="24"/>
          <w:szCs w:val="24"/>
          <w:highlight w:val="none"/>
        </w:rPr>
        <w:t>，</w:t>
      </w:r>
      <w:r>
        <w:rPr>
          <w:rFonts w:hint="eastAsia"/>
          <w:color w:val="auto"/>
          <w:kern w:val="0"/>
          <w:sz w:val="24"/>
          <w:szCs w:val="24"/>
          <w:highlight w:val="none"/>
          <w:lang w:eastAsia="zh-CN"/>
        </w:rPr>
        <w:t>预计</w:t>
      </w:r>
      <w:r>
        <w:rPr>
          <w:rFonts w:hint="eastAsia"/>
          <w:color w:val="auto"/>
          <w:kern w:val="0"/>
          <w:sz w:val="24"/>
          <w:szCs w:val="24"/>
          <w:highlight w:val="none"/>
        </w:rPr>
        <w:t>远期取水量为</w:t>
      </w:r>
      <w:r>
        <w:rPr>
          <w:rFonts w:hint="eastAsia"/>
          <w:color w:val="auto"/>
          <w:kern w:val="0"/>
          <w:sz w:val="24"/>
          <w:szCs w:val="24"/>
          <w:highlight w:val="none"/>
          <w:lang w:val="en-US" w:eastAsia="zh-CN"/>
        </w:rPr>
        <w:t>863.1</w:t>
      </w:r>
      <w:r>
        <w:rPr>
          <w:rFonts w:hint="eastAsia"/>
          <w:color w:val="auto"/>
          <w:kern w:val="0"/>
          <w:sz w:val="24"/>
          <w:szCs w:val="24"/>
          <w:highlight w:val="none"/>
        </w:rPr>
        <w:t>立方米/天，</w:t>
      </w:r>
      <w:r>
        <w:rPr>
          <w:rFonts w:hint="default" w:ascii="Times New Roman" w:hAnsi="Times New Roman" w:eastAsia="宋体" w:cs="Times New Roman"/>
          <w:color w:val="auto"/>
          <w:sz w:val="24"/>
          <w:szCs w:val="24"/>
          <w:highlight w:val="none"/>
          <w:lang w:val="en-US" w:eastAsia="zh-CN"/>
        </w:rPr>
        <w:t>设计取水量大于远期需水量，可满足服务范围内远期需水量要求。</w:t>
      </w:r>
    </w:p>
    <w:p w14:paraId="419E4CBE">
      <w:pPr>
        <w:spacing w:line="360" w:lineRule="auto"/>
        <w:ind w:firstLine="472" w:firstLineChars="200"/>
        <w:rPr>
          <w:color w:val="auto"/>
          <w:sz w:val="24"/>
          <w:szCs w:val="24"/>
          <w:highlight w:val="none"/>
        </w:rPr>
      </w:pPr>
      <w:r>
        <w:rPr>
          <w:rFonts w:hint="eastAsia"/>
          <w:color w:val="auto"/>
          <w:sz w:val="24"/>
          <w:szCs w:val="24"/>
          <w:highlight w:val="none"/>
          <w:lang w:val="en-US" w:eastAsia="zh-CN"/>
        </w:rPr>
        <w:t>（5</w:t>
      </w:r>
      <w:r>
        <w:rPr>
          <w:rFonts w:hint="eastAsia"/>
          <w:color w:val="auto"/>
          <w:sz w:val="24"/>
          <w:szCs w:val="24"/>
          <w:highlight w:val="none"/>
          <w:lang w:eastAsia="zh-CN"/>
        </w:rPr>
        <w:t>）</w:t>
      </w:r>
      <w:r>
        <w:rPr>
          <w:rFonts w:hint="eastAsia" w:ascii="Times New Roman" w:hAnsi="Times New Roman" w:eastAsia="宋体" w:cs="Times New Roman"/>
          <w:color w:val="auto"/>
          <w:kern w:val="0"/>
          <w:sz w:val="24"/>
          <w:szCs w:val="24"/>
          <w:highlight w:val="none"/>
          <w:lang w:val="en-US" w:eastAsia="zh-CN" w:bidi="ar"/>
        </w:rPr>
        <w:t>绥化市庆安县柳河镇新强村饮用水水源地</w:t>
      </w:r>
      <w:r>
        <w:rPr>
          <w:rFonts w:hint="eastAsia" w:ascii="Times New Roman" w:hAnsi="Times New Roman" w:cs="Times New Roman"/>
          <w:color w:val="auto"/>
          <w:kern w:val="0"/>
          <w:sz w:val="24"/>
          <w:szCs w:val="24"/>
          <w:highlight w:val="none"/>
          <w:lang w:val="en-US" w:eastAsia="zh-CN" w:bidi="ar"/>
        </w:rPr>
        <w:t>：</w:t>
      </w:r>
      <w:r>
        <w:rPr>
          <w:rFonts w:hint="eastAsia"/>
          <w:color w:val="auto"/>
          <w:kern w:val="0"/>
          <w:sz w:val="24"/>
          <w:szCs w:val="24"/>
          <w:highlight w:val="none"/>
          <w:lang w:eastAsia="zh-CN"/>
        </w:rPr>
        <w:t>设计取水量</w:t>
      </w:r>
      <w:r>
        <w:rPr>
          <w:rFonts w:hint="default" w:ascii="Times New Roman" w:hAnsi="Times New Roman" w:eastAsia="宋体" w:cs="Times New Roman"/>
          <w:color w:val="auto"/>
          <w:sz w:val="24"/>
          <w:szCs w:val="24"/>
          <w:highlight w:val="none"/>
          <w:lang w:val="en-US" w:eastAsia="zh-CN"/>
        </w:rPr>
        <w:t>（即水源地允许开采量）</w:t>
      </w:r>
      <w:r>
        <w:rPr>
          <w:rFonts w:hint="eastAsia"/>
          <w:color w:val="auto"/>
          <w:kern w:val="0"/>
          <w:sz w:val="24"/>
          <w:szCs w:val="24"/>
          <w:highlight w:val="none"/>
        </w:rPr>
        <w:t>为</w:t>
      </w:r>
      <w:r>
        <w:rPr>
          <w:rFonts w:hint="eastAsia"/>
          <w:color w:val="auto"/>
          <w:kern w:val="0"/>
          <w:sz w:val="24"/>
          <w:szCs w:val="24"/>
          <w:highlight w:val="none"/>
          <w:lang w:val="en-US" w:eastAsia="zh-CN"/>
        </w:rPr>
        <w:t>1379.67</w:t>
      </w:r>
      <w:r>
        <w:rPr>
          <w:rFonts w:hint="eastAsia"/>
          <w:color w:val="auto"/>
          <w:kern w:val="0"/>
          <w:sz w:val="24"/>
          <w:szCs w:val="24"/>
          <w:highlight w:val="none"/>
        </w:rPr>
        <w:t>立方米/天，</w:t>
      </w:r>
      <w:r>
        <w:rPr>
          <w:rFonts w:hint="eastAsia"/>
          <w:color w:val="auto"/>
          <w:sz w:val="24"/>
          <w:szCs w:val="24"/>
          <w:highlight w:val="none"/>
        </w:rPr>
        <w:t>服务人口</w:t>
      </w:r>
      <w:r>
        <w:rPr>
          <w:rFonts w:hint="eastAsia"/>
          <w:color w:val="auto"/>
          <w:sz w:val="24"/>
          <w:szCs w:val="24"/>
          <w:highlight w:val="none"/>
          <w:lang w:val="en-US" w:eastAsia="zh-CN"/>
        </w:rPr>
        <w:t>6091</w:t>
      </w:r>
      <w:r>
        <w:rPr>
          <w:rFonts w:hint="eastAsia"/>
          <w:color w:val="auto"/>
          <w:sz w:val="24"/>
          <w:szCs w:val="24"/>
          <w:highlight w:val="none"/>
        </w:rPr>
        <w:t>人</w:t>
      </w:r>
      <w:r>
        <w:rPr>
          <w:rFonts w:hint="eastAsia"/>
          <w:color w:val="auto"/>
          <w:kern w:val="0"/>
          <w:sz w:val="24"/>
          <w:szCs w:val="24"/>
          <w:highlight w:val="none"/>
        </w:rPr>
        <w:t>，</w:t>
      </w:r>
      <w:r>
        <w:rPr>
          <w:rFonts w:hint="eastAsia"/>
          <w:color w:val="auto"/>
          <w:kern w:val="0"/>
          <w:sz w:val="24"/>
          <w:szCs w:val="24"/>
          <w:highlight w:val="none"/>
          <w:lang w:eastAsia="zh-CN"/>
        </w:rPr>
        <w:t>预计</w:t>
      </w:r>
      <w:r>
        <w:rPr>
          <w:rFonts w:hint="eastAsia"/>
          <w:color w:val="auto"/>
          <w:kern w:val="0"/>
          <w:sz w:val="24"/>
          <w:szCs w:val="24"/>
          <w:highlight w:val="none"/>
        </w:rPr>
        <w:t>远期取水量为</w:t>
      </w:r>
      <w:r>
        <w:rPr>
          <w:rFonts w:hint="eastAsia"/>
          <w:color w:val="auto"/>
          <w:kern w:val="0"/>
          <w:sz w:val="24"/>
          <w:szCs w:val="24"/>
          <w:highlight w:val="none"/>
          <w:lang w:val="en-US" w:eastAsia="zh-CN"/>
        </w:rPr>
        <w:t>609.1</w:t>
      </w:r>
      <w:r>
        <w:rPr>
          <w:rFonts w:hint="eastAsia"/>
          <w:color w:val="auto"/>
          <w:kern w:val="0"/>
          <w:sz w:val="24"/>
          <w:szCs w:val="24"/>
          <w:highlight w:val="none"/>
        </w:rPr>
        <w:t>立方米/天，</w:t>
      </w:r>
      <w:r>
        <w:rPr>
          <w:rFonts w:hint="default" w:ascii="Times New Roman" w:hAnsi="Times New Roman" w:eastAsia="宋体" w:cs="Times New Roman"/>
          <w:color w:val="auto"/>
          <w:sz w:val="24"/>
          <w:szCs w:val="24"/>
          <w:highlight w:val="none"/>
          <w:lang w:val="en-US" w:eastAsia="zh-CN"/>
        </w:rPr>
        <w:t>设计取水量大于远期需水量，可满足服务范围内远期需水量要求。</w:t>
      </w:r>
    </w:p>
    <w:p w14:paraId="6980529D">
      <w:pPr>
        <w:spacing w:line="360" w:lineRule="auto"/>
        <w:ind w:firstLine="472" w:firstLineChars="200"/>
        <w:rPr>
          <w:rFonts w:hint="eastAsia"/>
          <w:color w:val="auto"/>
          <w:sz w:val="24"/>
          <w:szCs w:val="24"/>
          <w:highlight w:val="none"/>
        </w:rPr>
      </w:pPr>
      <w:r>
        <w:rPr>
          <w:rFonts w:hint="eastAsia"/>
          <w:color w:val="auto"/>
          <w:sz w:val="24"/>
          <w:szCs w:val="24"/>
          <w:highlight w:val="none"/>
          <w:lang w:val="en-US" w:eastAsia="zh-CN"/>
        </w:rPr>
        <w:t>（6</w:t>
      </w:r>
      <w:r>
        <w:rPr>
          <w:rFonts w:hint="eastAsia"/>
          <w:color w:val="auto"/>
          <w:sz w:val="24"/>
          <w:szCs w:val="24"/>
          <w:highlight w:val="none"/>
          <w:lang w:eastAsia="zh-CN"/>
        </w:rPr>
        <w:t>）</w:t>
      </w:r>
      <w:r>
        <w:rPr>
          <w:rFonts w:hint="eastAsia" w:ascii="Times New Roman" w:hAnsi="Times New Roman" w:eastAsia="宋体" w:cs="Times New Roman"/>
          <w:color w:val="auto"/>
          <w:kern w:val="0"/>
          <w:sz w:val="24"/>
          <w:szCs w:val="24"/>
          <w:highlight w:val="none"/>
          <w:lang w:val="en-US" w:eastAsia="zh-CN" w:bidi="ar"/>
        </w:rPr>
        <w:t>绥化市庆安县丰收乡饮用水水源地</w:t>
      </w:r>
      <w:r>
        <w:rPr>
          <w:rFonts w:hint="eastAsia"/>
          <w:color w:val="auto"/>
          <w:sz w:val="24"/>
          <w:szCs w:val="24"/>
          <w:highlight w:val="none"/>
        </w:rPr>
        <w:t>：</w:t>
      </w:r>
      <w:r>
        <w:rPr>
          <w:rFonts w:hint="eastAsia"/>
          <w:color w:val="auto"/>
          <w:kern w:val="0"/>
          <w:sz w:val="24"/>
          <w:szCs w:val="24"/>
          <w:highlight w:val="none"/>
          <w:lang w:eastAsia="zh-CN"/>
        </w:rPr>
        <w:t>设计取水量</w:t>
      </w:r>
      <w:r>
        <w:rPr>
          <w:rFonts w:hint="default" w:ascii="Times New Roman" w:hAnsi="Times New Roman" w:eastAsia="宋体" w:cs="Times New Roman"/>
          <w:color w:val="auto"/>
          <w:sz w:val="24"/>
          <w:szCs w:val="24"/>
          <w:highlight w:val="none"/>
          <w:lang w:val="en-US" w:eastAsia="zh-CN"/>
        </w:rPr>
        <w:t>（即水源地允许开采量）</w:t>
      </w:r>
      <w:r>
        <w:rPr>
          <w:rFonts w:hint="eastAsia"/>
          <w:color w:val="auto"/>
          <w:kern w:val="0"/>
          <w:sz w:val="24"/>
          <w:szCs w:val="24"/>
          <w:highlight w:val="none"/>
        </w:rPr>
        <w:t>为</w:t>
      </w:r>
      <w:r>
        <w:rPr>
          <w:rFonts w:hint="eastAsia"/>
          <w:color w:val="auto"/>
          <w:kern w:val="0"/>
          <w:sz w:val="24"/>
          <w:szCs w:val="24"/>
          <w:highlight w:val="none"/>
          <w:lang w:val="en-US" w:eastAsia="zh-CN"/>
        </w:rPr>
        <w:t>2074.52</w:t>
      </w:r>
      <w:r>
        <w:rPr>
          <w:rFonts w:hint="eastAsia"/>
          <w:color w:val="auto"/>
          <w:kern w:val="0"/>
          <w:sz w:val="24"/>
          <w:szCs w:val="24"/>
          <w:highlight w:val="none"/>
        </w:rPr>
        <w:t>立方米/天，</w:t>
      </w:r>
      <w:r>
        <w:rPr>
          <w:rFonts w:hint="eastAsia"/>
          <w:color w:val="auto"/>
          <w:sz w:val="24"/>
          <w:szCs w:val="24"/>
          <w:highlight w:val="none"/>
        </w:rPr>
        <w:t>服务人口</w:t>
      </w:r>
      <w:r>
        <w:rPr>
          <w:rFonts w:hint="eastAsia"/>
          <w:color w:val="auto"/>
          <w:sz w:val="24"/>
          <w:szCs w:val="24"/>
          <w:highlight w:val="none"/>
          <w:lang w:val="en-US" w:eastAsia="zh-CN"/>
        </w:rPr>
        <w:t>9130</w:t>
      </w:r>
      <w:r>
        <w:rPr>
          <w:rFonts w:hint="eastAsia"/>
          <w:color w:val="auto"/>
          <w:sz w:val="24"/>
          <w:szCs w:val="24"/>
          <w:highlight w:val="none"/>
        </w:rPr>
        <w:t>人</w:t>
      </w:r>
      <w:r>
        <w:rPr>
          <w:rFonts w:hint="eastAsia"/>
          <w:color w:val="auto"/>
          <w:kern w:val="0"/>
          <w:sz w:val="24"/>
          <w:szCs w:val="24"/>
          <w:highlight w:val="none"/>
        </w:rPr>
        <w:t>，</w:t>
      </w:r>
      <w:r>
        <w:rPr>
          <w:rFonts w:hint="eastAsia"/>
          <w:color w:val="auto"/>
          <w:kern w:val="0"/>
          <w:sz w:val="24"/>
          <w:szCs w:val="24"/>
          <w:highlight w:val="none"/>
          <w:lang w:eastAsia="zh-CN"/>
        </w:rPr>
        <w:t>预计</w:t>
      </w:r>
      <w:r>
        <w:rPr>
          <w:rFonts w:hint="eastAsia"/>
          <w:color w:val="auto"/>
          <w:kern w:val="0"/>
          <w:sz w:val="24"/>
          <w:szCs w:val="24"/>
          <w:highlight w:val="none"/>
        </w:rPr>
        <w:t>远期取水量为</w:t>
      </w:r>
      <w:r>
        <w:rPr>
          <w:rFonts w:hint="eastAsia"/>
          <w:color w:val="auto"/>
          <w:kern w:val="0"/>
          <w:sz w:val="24"/>
          <w:szCs w:val="24"/>
          <w:highlight w:val="none"/>
          <w:lang w:val="en-US" w:eastAsia="zh-CN"/>
        </w:rPr>
        <w:t>913</w:t>
      </w:r>
      <w:r>
        <w:rPr>
          <w:rFonts w:hint="eastAsia"/>
          <w:color w:val="auto"/>
          <w:kern w:val="0"/>
          <w:sz w:val="24"/>
          <w:szCs w:val="24"/>
          <w:highlight w:val="none"/>
        </w:rPr>
        <w:t>立方米/天，</w:t>
      </w:r>
      <w:r>
        <w:rPr>
          <w:rFonts w:hint="default" w:ascii="Times New Roman" w:hAnsi="Times New Roman" w:eastAsia="宋体" w:cs="Times New Roman"/>
          <w:color w:val="auto"/>
          <w:sz w:val="24"/>
          <w:szCs w:val="24"/>
          <w:highlight w:val="none"/>
          <w:lang w:val="en-US" w:eastAsia="zh-CN"/>
        </w:rPr>
        <w:t>设计取水量大于远期需水量，可满足服务范围内远期需水量要求。</w:t>
      </w:r>
    </w:p>
    <w:p w14:paraId="1A5D7AB1">
      <w:pPr>
        <w:spacing w:line="360" w:lineRule="auto"/>
        <w:ind w:firstLine="472" w:firstLineChars="200"/>
        <w:rPr>
          <w:rFonts w:hint="eastAsia"/>
          <w:color w:val="auto"/>
          <w:sz w:val="24"/>
          <w:szCs w:val="24"/>
          <w:highlight w:val="none"/>
        </w:rPr>
      </w:pPr>
      <w:r>
        <w:rPr>
          <w:rFonts w:hint="eastAsia"/>
          <w:color w:val="auto"/>
          <w:sz w:val="24"/>
          <w:szCs w:val="24"/>
          <w:highlight w:val="none"/>
          <w:lang w:val="en-US" w:eastAsia="zh-CN"/>
        </w:rPr>
        <w:t>（7</w:t>
      </w:r>
      <w:r>
        <w:rPr>
          <w:rFonts w:hint="eastAsia"/>
          <w:color w:val="auto"/>
          <w:sz w:val="24"/>
          <w:szCs w:val="24"/>
          <w:highlight w:val="none"/>
          <w:lang w:eastAsia="zh-CN"/>
        </w:rPr>
        <w:t>）</w:t>
      </w:r>
      <w:r>
        <w:rPr>
          <w:rFonts w:hint="eastAsia" w:cs="Times New Roman"/>
          <w:color w:val="auto"/>
          <w:kern w:val="0"/>
          <w:sz w:val="24"/>
          <w:szCs w:val="24"/>
          <w:highlight w:val="none"/>
          <w:lang w:val="en-US" w:eastAsia="zh-CN" w:bidi="ar"/>
        </w:rPr>
        <w:t>绥化市庆安县</w:t>
      </w:r>
      <w:r>
        <w:rPr>
          <w:rFonts w:hint="eastAsia" w:ascii="Times New Roman" w:hAnsi="Times New Roman" w:eastAsia="宋体" w:cs="Times New Roman"/>
          <w:color w:val="auto"/>
          <w:kern w:val="0"/>
          <w:sz w:val="24"/>
          <w:szCs w:val="24"/>
          <w:highlight w:val="none"/>
          <w:lang w:val="en-US" w:eastAsia="zh-CN" w:bidi="ar"/>
        </w:rPr>
        <w:t>平安镇饮用水水源地</w:t>
      </w:r>
      <w:r>
        <w:rPr>
          <w:rFonts w:hint="eastAsia"/>
          <w:color w:val="auto"/>
          <w:sz w:val="24"/>
          <w:szCs w:val="24"/>
          <w:highlight w:val="none"/>
        </w:rPr>
        <w:t>：</w:t>
      </w:r>
      <w:r>
        <w:rPr>
          <w:rFonts w:hint="eastAsia"/>
          <w:color w:val="auto"/>
          <w:kern w:val="0"/>
          <w:sz w:val="24"/>
          <w:szCs w:val="24"/>
          <w:highlight w:val="none"/>
          <w:lang w:eastAsia="zh-CN"/>
        </w:rPr>
        <w:t>设计取水量</w:t>
      </w:r>
      <w:r>
        <w:rPr>
          <w:rFonts w:hint="default" w:ascii="Times New Roman" w:hAnsi="Times New Roman" w:eastAsia="宋体" w:cs="Times New Roman"/>
          <w:color w:val="auto"/>
          <w:sz w:val="24"/>
          <w:szCs w:val="24"/>
          <w:highlight w:val="none"/>
          <w:lang w:val="en-US" w:eastAsia="zh-CN"/>
        </w:rPr>
        <w:t>（即水源地允许开采量）</w:t>
      </w:r>
      <w:r>
        <w:rPr>
          <w:rFonts w:hint="eastAsia"/>
          <w:color w:val="auto"/>
          <w:kern w:val="0"/>
          <w:sz w:val="24"/>
          <w:szCs w:val="24"/>
          <w:highlight w:val="none"/>
        </w:rPr>
        <w:t>为</w:t>
      </w:r>
      <w:r>
        <w:rPr>
          <w:rFonts w:hint="eastAsia"/>
          <w:color w:val="auto"/>
          <w:kern w:val="0"/>
          <w:sz w:val="24"/>
          <w:szCs w:val="24"/>
          <w:highlight w:val="none"/>
          <w:lang w:val="en-US" w:eastAsia="zh-CN"/>
        </w:rPr>
        <w:t>1141.26</w:t>
      </w:r>
      <w:r>
        <w:rPr>
          <w:rFonts w:hint="eastAsia"/>
          <w:color w:val="auto"/>
          <w:kern w:val="0"/>
          <w:sz w:val="24"/>
          <w:szCs w:val="24"/>
          <w:highlight w:val="none"/>
        </w:rPr>
        <w:t>立方米/天，</w:t>
      </w:r>
      <w:r>
        <w:rPr>
          <w:rFonts w:hint="eastAsia"/>
          <w:color w:val="auto"/>
          <w:sz w:val="24"/>
          <w:szCs w:val="24"/>
          <w:highlight w:val="none"/>
        </w:rPr>
        <w:t>服务人口</w:t>
      </w:r>
      <w:r>
        <w:rPr>
          <w:rFonts w:hint="eastAsia"/>
          <w:color w:val="auto"/>
          <w:sz w:val="24"/>
          <w:szCs w:val="24"/>
          <w:highlight w:val="none"/>
          <w:lang w:val="en-US" w:eastAsia="zh-CN"/>
        </w:rPr>
        <w:t>5200</w:t>
      </w:r>
      <w:r>
        <w:rPr>
          <w:rFonts w:hint="eastAsia"/>
          <w:color w:val="auto"/>
          <w:sz w:val="24"/>
          <w:szCs w:val="24"/>
          <w:highlight w:val="none"/>
        </w:rPr>
        <w:t>人</w:t>
      </w:r>
      <w:r>
        <w:rPr>
          <w:rFonts w:hint="eastAsia"/>
          <w:color w:val="auto"/>
          <w:kern w:val="0"/>
          <w:sz w:val="24"/>
          <w:szCs w:val="24"/>
          <w:highlight w:val="none"/>
        </w:rPr>
        <w:t>，</w:t>
      </w:r>
      <w:r>
        <w:rPr>
          <w:rFonts w:hint="eastAsia"/>
          <w:color w:val="auto"/>
          <w:kern w:val="0"/>
          <w:sz w:val="24"/>
          <w:szCs w:val="24"/>
          <w:highlight w:val="none"/>
          <w:lang w:eastAsia="zh-CN"/>
        </w:rPr>
        <w:t>预计</w:t>
      </w:r>
      <w:r>
        <w:rPr>
          <w:rFonts w:hint="eastAsia"/>
          <w:color w:val="auto"/>
          <w:kern w:val="0"/>
          <w:sz w:val="24"/>
          <w:szCs w:val="24"/>
          <w:highlight w:val="none"/>
        </w:rPr>
        <w:t>远期取水量为</w:t>
      </w:r>
      <w:r>
        <w:rPr>
          <w:rFonts w:hint="eastAsia"/>
          <w:color w:val="auto"/>
          <w:kern w:val="0"/>
          <w:sz w:val="24"/>
          <w:szCs w:val="24"/>
          <w:highlight w:val="none"/>
          <w:lang w:val="en-US" w:eastAsia="zh-CN"/>
        </w:rPr>
        <w:t>520</w:t>
      </w:r>
      <w:r>
        <w:rPr>
          <w:rFonts w:hint="eastAsia"/>
          <w:color w:val="auto"/>
          <w:kern w:val="0"/>
          <w:sz w:val="24"/>
          <w:szCs w:val="24"/>
          <w:highlight w:val="none"/>
        </w:rPr>
        <w:t>立方米/天，</w:t>
      </w:r>
      <w:r>
        <w:rPr>
          <w:rFonts w:hint="default" w:ascii="Times New Roman" w:hAnsi="Times New Roman" w:eastAsia="宋体" w:cs="Times New Roman"/>
          <w:color w:val="auto"/>
          <w:sz w:val="24"/>
          <w:szCs w:val="24"/>
          <w:highlight w:val="none"/>
          <w:lang w:val="en-US" w:eastAsia="zh-CN"/>
        </w:rPr>
        <w:t>设计取水量大于远期需水量，可满足服务范围内远期需水量要求。</w:t>
      </w:r>
    </w:p>
    <w:p w14:paraId="77CD51A7">
      <w:pPr>
        <w:pStyle w:val="4"/>
        <w:rPr>
          <w:color w:val="auto"/>
          <w:highlight w:val="none"/>
        </w:rPr>
      </w:pPr>
      <w:bookmarkStart w:id="97" w:name="_Toc27248"/>
      <w:r>
        <w:rPr>
          <w:rFonts w:hint="eastAsia"/>
          <w:color w:val="auto"/>
          <w:highlight w:val="none"/>
        </w:rPr>
        <w:t>4.1.2水源水质要求</w:t>
      </w:r>
      <w:bookmarkEnd w:id="97"/>
    </w:p>
    <w:p w14:paraId="20EF498C">
      <w:pPr>
        <w:ind w:firstLine="470"/>
        <w:rPr>
          <w:rFonts w:hint="eastAsia" w:eastAsia="宋体"/>
          <w:color w:val="auto"/>
          <w:highlight w:val="none"/>
          <w:lang w:eastAsia="zh-CN"/>
        </w:rPr>
      </w:pPr>
      <w:r>
        <w:rPr>
          <w:rFonts w:hint="eastAsia" w:ascii="Times New Roman" w:hAnsi="Times New Roman" w:eastAsia="宋体" w:cs="Times New Roman"/>
          <w:color w:val="auto"/>
          <w:sz w:val="24"/>
          <w:szCs w:val="24"/>
          <w:highlight w:val="none"/>
          <w:lang w:val="en-US" w:eastAsia="zh-CN"/>
        </w:rPr>
        <w:t>本次调整涉及水源为地下水型集中式生活饮用水水源</w:t>
      </w:r>
      <w:r>
        <w:rPr>
          <w:color w:val="auto"/>
          <w:highlight w:val="none"/>
        </w:rPr>
        <w:t>，执行《地下水质量标准》（GB/T</w:t>
      </w:r>
      <w:r>
        <w:rPr>
          <w:rFonts w:hint="eastAsia"/>
          <w:color w:val="auto"/>
          <w:highlight w:val="none"/>
        </w:rPr>
        <w:t xml:space="preserve"> </w:t>
      </w:r>
      <w:r>
        <w:rPr>
          <w:color w:val="auto"/>
          <w:highlight w:val="none"/>
        </w:rPr>
        <w:t>14848-2017）中Ⅲ类标准。</w:t>
      </w:r>
      <w:r>
        <w:rPr>
          <w:color w:val="auto"/>
          <w:kern w:val="0"/>
          <w:sz w:val="24"/>
          <w:szCs w:val="24"/>
          <w:highlight w:val="none"/>
        </w:rPr>
        <w:t>根据</w:t>
      </w:r>
      <w:r>
        <w:rPr>
          <w:rFonts w:hint="eastAsia" w:ascii="Times New Roman" w:hAnsi="Times New Roman" w:eastAsia="宋体" w:cs="Times New Roman"/>
          <w:color w:val="auto"/>
          <w:sz w:val="24"/>
          <w:szCs w:val="24"/>
          <w:highlight w:val="none"/>
        </w:rPr>
        <w:t>中科指南针（黑龙江）检验检测有限公司</w:t>
      </w:r>
      <w:r>
        <w:rPr>
          <w:rFonts w:hint="eastAsia"/>
          <w:color w:val="auto"/>
          <w:kern w:val="0"/>
          <w:sz w:val="24"/>
          <w:szCs w:val="24"/>
          <w:highlight w:val="none"/>
        </w:rPr>
        <w:t>出具</w:t>
      </w:r>
      <w:r>
        <w:rPr>
          <w:color w:val="auto"/>
          <w:kern w:val="0"/>
          <w:sz w:val="24"/>
          <w:szCs w:val="24"/>
          <w:highlight w:val="none"/>
        </w:rPr>
        <w:t>的原水监测数据，</w:t>
      </w:r>
      <w:r>
        <w:rPr>
          <w:rFonts w:hint="eastAsia"/>
          <w:color w:val="auto"/>
          <w:sz w:val="24"/>
          <w:szCs w:val="24"/>
          <w:highlight w:val="none"/>
        </w:rPr>
        <w:t>原水各指标除锰外均符合《地下水质量标准》（GB/T 14848-2017）中的</w:t>
      </w:r>
      <w:r>
        <w:rPr>
          <w:rFonts w:hint="eastAsia" w:ascii="宋体" w:hAnsi="宋体" w:cs="宋体"/>
          <w:color w:val="auto"/>
          <w:sz w:val="24"/>
          <w:szCs w:val="24"/>
          <w:highlight w:val="none"/>
        </w:rPr>
        <w:t>Ⅲ</w:t>
      </w:r>
      <w:r>
        <w:rPr>
          <w:rFonts w:hint="eastAsia"/>
          <w:color w:val="auto"/>
          <w:sz w:val="24"/>
          <w:szCs w:val="24"/>
          <w:highlight w:val="none"/>
        </w:rPr>
        <w:t>类要求，水质较好，锰超标主要受区域原生地质因素影响</w:t>
      </w:r>
      <w:r>
        <w:rPr>
          <w:rFonts w:hint="eastAsia"/>
          <w:color w:val="auto"/>
          <w:kern w:val="0"/>
          <w:sz w:val="24"/>
          <w:szCs w:val="24"/>
          <w:highlight w:val="none"/>
        </w:rPr>
        <w:t>。</w:t>
      </w:r>
      <w:r>
        <w:rPr>
          <w:rFonts w:hint="eastAsia"/>
          <w:color w:val="auto"/>
          <w:highlight w:val="none"/>
          <w:lang w:eastAsia="zh-CN"/>
        </w:rPr>
        <w:t>各水源地</w:t>
      </w:r>
      <w:r>
        <w:rPr>
          <w:rFonts w:hint="eastAsia"/>
          <w:color w:val="auto"/>
          <w:highlight w:val="none"/>
        </w:rPr>
        <w:t>取水井输水管线均已铺设完毕，</w:t>
      </w:r>
      <w:r>
        <w:rPr>
          <w:rFonts w:hint="eastAsia"/>
          <w:color w:val="auto"/>
          <w:sz w:val="24"/>
          <w:szCs w:val="24"/>
          <w:highlight w:val="none"/>
        </w:rPr>
        <w:t>各净水间均设有</w:t>
      </w:r>
      <w:r>
        <w:rPr>
          <w:rFonts w:hint="eastAsia"/>
          <w:color w:val="auto"/>
          <w:sz w:val="24"/>
          <w:szCs w:val="24"/>
          <w:highlight w:val="none"/>
          <w:lang w:eastAsia="zh-CN"/>
        </w:rPr>
        <w:t>净化</w:t>
      </w:r>
      <w:r>
        <w:rPr>
          <w:rFonts w:hint="eastAsia"/>
          <w:color w:val="auto"/>
          <w:sz w:val="24"/>
          <w:szCs w:val="24"/>
          <w:highlight w:val="none"/>
        </w:rPr>
        <w:t>装置</w:t>
      </w:r>
      <w:r>
        <w:rPr>
          <w:rFonts w:hint="eastAsia"/>
          <w:color w:val="auto"/>
          <w:highlight w:val="none"/>
        </w:rPr>
        <w:t>，</w:t>
      </w:r>
      <w:r>
        <w:rPr>
          <w:rFonts w:hint="eastAsia" w:ascii="Times New Roman" w:hAnsi="Times New Roman" w:cs="Times New Roman"/>
          <w:color w:val="auto"/>
          <w:highlight w:val="none"/>
        </w:rPr>
        <w:t>经“机械曝气→锰砂过滤</w:t>
      </w:r>
      <w:r>
        <w:rPr>
          <w:rFonts w:hint="eastAsia" w:ascii="Times New Roman" w:hAnsi="Times New Roman" w:cs="Times New Roman"/>
          <w:color w:val="auto"/>
          <w:highlight w:val="none"/>
          <w:lang w:val="en-US" w:eastAsia="zh-CN"/>
        </w:rPr>
        <w:t>/二级除铁锰</w:t>
      </w:r>
      <w:r>
        <w:rPr>
          <w:rFonts w:hint="eastAsia" w:ascii="Times New Roman" w:hAnsi="Times New Roman" w:cs="Times New Roman"/>
          <w:color w:val="auto"/>
          <w:highlight w:val="none"/>
        </w:rPr>
        <w:t>→消毒（次氯酸钠</w:t>
      </w:r>
      <w:r>
        <w:rPr>
          <w:rFonts w:hint="eastAsia" w:ascii="Times New Roman" w:hAnsi="Times New Roman" w:cs="Times New Roman"/>
          <w:color w:val="auto"/>
          <w:highlight w:val="none"/>
          <w:lang w:val="en-US" w:eastAsia="zh-CN"/>
        </w:rPr>
        <w:t>/二氧化</w:t>
      </w:r>
      <w:r>
        <w:rPr>
          <w:rFonts w:hint="eastAsia"/>
          <w:color w:val="auto"/>
          <w:highlight w:val="none"/>
          <w:lang w:val="en-US" w:eastAsia="zh-CN"/>
        </w:rPr>
        <w:t>氯</w:t>
      </w:r>
      <w:r>
        <w:rPr>
          <w:rFonts w:hint="eastAsia"/>
          <w:color w:val="auto"/>
          <w:highlight w:val="none"/>
        </w:rPr>
        <w:t>消毒）”处理后可有效去除原水中锰等污染物</w:t>
      </w:r>
      <w:r>
        <w:rPr>
          <w:rFonts w:hint="eastAsia"/>
          <w:color w:val="auto"/>
          <w:highlight w:val="none"/>
          <w:lang w:eastAsia="zh-CN"/>
        </w:rPr>
        <w:t>。</w:t>
      </w:r>
    </w:p>
    <w:p w14:paraId="3CECA9E4">
      <w:pPr>
        <w:pStyle w:val="3"/>
        <w:rPr>
          <w:color w:val="auto"/>
          <w:highlight w:val="none"/>
          <w:lang w:val="en-US"/>
        </w:rPr>
      </w:pPr>
      <w:bookmarkStart w:id="98" w:name="_Toc27565"/>
      <w:bookmarkStart w:id="99" w:name="_Toc28138"/>
      <w:r>
        <w:rPr>
          <w:rFonts w:hint="eastAsia"/>
          <w:color w:val="auto"/>
          <w:highlight w:val="none"/>
          <w:lang w:val="en-US"/>
        </w:rPr>
        <w:t>4.2保护区建设要求</w:t>
      </w:r>
      <w:bookmarkEnd w:id="98"/>
      <w:bookmarkEnd w:id="99"/>
    </w:p>
    <w:p w14:paraId="1D706AA0">
      <w:pPr>
        <w:pStyle w:val="4"/>
        <w:rPr>
          <w:color w:val="auto"/>
          <w:highlight w:val="none"/>
        </w:rPr>
      </w:pPr>
      <w:bookmarkStart w:id="100" w:name="_Toc15785"/>
      <w:r>
        <w:rPr>
          <w:rFonts w:hint="eastAsia"/>
          <w:color w:val="auto"/>
          <w:highlight w:val="none"/>
        </w:rPr>
        <w:t>4.2.1保护区划分</w:t>
      </w:r>
      <w:bookmarkEnd w:id="100"/>
    </w:p>
    <w:p w14:paraId="2DBFEC71">
      <w:pPr>
        <w:ind w:firstLine="470"/>
        <w:rPr>
          <w:color w:val="auto"/>
          <w:highlight w:val="none"/>
        </w:rPr>
      </w:pPr>
      <w:r>
        <w:rPr>
          <w:color w:val="auto"/>
          <w:highlight w:val="none"/>
        </w:rPr>
        <w:t>本次划分工作参照《饮用水水源保护区划分技术规范》（HJ 338-2018），结合当地实际情况划分饮用水水源保护区。</w:t>
      </w:r>
    </w:p>
    <w:p w14:paraId="75C4A521">
      <w:pPr>
        <w:pStyle w:val="4"/>
        <w:rPr>
          <w:color w:val="auto"/>
          <w:highlight w:val="none"/>
        </w:rPr>
      </w:pPr>
      <w:bookmarkStart w:id="101" w:name="_Toc9802"/>
      <w:r>
        <w:rPr>
          <w:rFonts w:hint="eastAsia"/>
          <w:color w:val="auto"/>
          <w:highlight w:val="none"/>
        </w:rPr>
        <w:t>4.2.2保护区标志设置</w:t>
      </w:r>
      <w:bookmarkEnd w:id="101"/>
    </w:p>
    <w:p w14:paraId="66E1F98F">
      <w:pPr>
        <w:spacing w:line="360" w:lineRule="auto"/>
        <w:ind w:firstLine="472" w:firstLineChars="200"/>
        <w:rPr>
          <w:rFonts w:hint="eastAsia"/>
          <w:color w:val="auto"/>
          <w:sz w:val="24"/>
          <w:szCs w:val="24"/>
          <w:highlight w:val="none"/>
        </w:rPr>
      </w:pPr>
      <w:r>
        <w:rPr>
          <w:color w:val="auto"/>
          <w:highlight w:val="none"/>
        </w:rPr>
        <w:t>为加强对水源保护区的监督和管理，明确水源保护区地理界限，应在保护区边界设立明显的标志。标志包括饮用水水源保护区界标、饮用水水源保护区交通警示牌和饮用水水源保护区宣传牌。</w:t>
      </w:r>
    </w:p>
    <w:p w14:paraId="699968D6">
      <w:pPr>
        <w:ind w:firstLine="470"/>
        <w:rPr>
          <w:color w:val="auto"/>
          <w:highlight w:val="none"/>
        </w:rPr>
      </w:pPr>
      <w:r>
        <w:rPr>
          <w:rFonts w:hint="eastAsia"/>
          <w:color w:val="auto"/>
          <w:highlight w:val="none"/>
          <w:lang w:eastAsia="zh-CN"/>
        </w:rPr>
        <w:t>（</w:t>
      </w:r>
      <w:r>
        <w:rPr>
          <w:rFonts w:hint="eastAsia"/>
          <w:color w:val="auto"/>
          <w:highlight w:val="none"/>
          <w:lang w:val="en-US" w:eastAsia="zh-CN"/>
        </w:rPr>
        <w:t>1</w:t>
      </w:r>
      <w:r>
        <w:rPr>
          <w:rFonts w:hint="eastAsia"/>
          <w:color w:val="auto"/>
          <w:highlight w:val="none"/>
          <w:lang w:eastAsia="zh-CN"/>
        </w:rPr>
        <w:t>）</w:t>
      </w:r>
      <w:r>
        <w:rPr>
          <w:color w:val="auto"/>
          <w:highlight w:val="none"/>
        </w:rPr>
        <w:t>饮用水水源保护区界标</w:t>
      </w:r>
    </w:p>
    <w:p w14:paraId="30E00684">
      <w:pPr>
        <w:ind w:firstLine="470"/>
        <w:rPr>
          <w:color w:val="auto"/>
          <w:highlight w:val="none"/>
        </w:rPr>
      </w:pPr>
      <w:r>
        <w:rPr>
          <w:color w:val="auto"/>
          <w:highlight w:val="none"/>
        </w:rPr>
        <w:t>1）饮用水水源保护区界标内容</w:t>
      </w:r>
    </w:p>
    <w:p w14:paraId="4B86A173">
      <w:pPr>
        <w:ind w:firstLine="470"/>
        <w:rPr>
          <w:color w:val="auto"/>
          <w:highlight w:val="none"/>
        </w:rPr>
      </w:pPr>
      <w:r>
        <w:rPr>
          <w:color w:val="auto"/>
          <w:highlight w:val="none"/>
        </w:rPr>
        <w:t>本项目建议在取水井水源地一级保护区边界埋设界标</w:t>
      </w:r>
      <w:r>
        <w:rPr>
          <w:rFonts w:hint="eastAsia"/>
          <w:color w:val="auto"/>
          <w:highlight w:val="none"/>
          <w:lang w:val="en-US" w:eastAsia="zh-CN"/>
        </w:rPr>
        <w:t>116</w:t>
      </w:r>
      <w:r>
        <w:rPr>
          <w:color w:val="auto"/>
          <w:highlight w:val="none"/>
        </w:rPr>
        <w:t>处</w:t>
      </w:r>
      <w:r>
        <w:rPr>
          <w:rFonts w:hint="eastAsia"/>
          <w:color w:val="auto"/>
          <w:highlight w:val="none"/>
        </w:rPr>
        <w:t>，每眼取水井四周各</w:t>
      </w:r>
      <w:r>
        <w:rPr>
          <w:rFonts w:hint="eastAsia"/>
          <w:color w:val="auto"/>
          <w:highlight w:val="none"/>
          <w:lang w:val="en-US" w:eastAsia="zh-CN"/>
        </w:rPr>
        <w:t>1</w:t>
      </w:r>
      <w:r>
        <w:rPr>
          <w:rFonts w:hint="eastAsia"/>
          <w:color w:val="auto"/>
          <w:highlight w:val="none"/>
        </w:rPr>
        <w:t>处，</w:t>
      </w:r>
      <w:r>
        <w:rPr>
          <w:color w:val="auto"/>
          <w:highlight w:val="none"/>
        </w:rPr>
        <w:t>根据《饮用水水源保护区标志技术要求》（HJ/T 433-2008）确定标志颜色、尺寸、支持方式及材质。界标正面的上方为饮用水水源保护区图形；中下方书写饮用水水源保护区名称，如饮用水水源一级保护区等；下方为</w:t>
      </w:r>
      <w:r>
        <w:rPr>
          <w:rFonts w:hint="eastAsia" w:ascii="宋体" w:hAnsi="宋体" w:cs="宋体"/>
          <w:color w:val="auto"/>
          <w:highlight w:val="none"/>
        </w:rPr>
        <w:t>“</w:t>
      </w:r>
      <w:r>
        <w:rPr>
          <w:color w:val="auto"/>
          <w:highlight w:val="none"/>
        </w:rPr>
        <w:t>监督管理电话：××××××</w:t>
      </w:r>
      <w:r>
        <w:rPr>
          <w:rFonts w:hint="eastAsia" w:ascii="宋体" w:hAnsi="宋体" w:cs="宋体"/>
          <w:color w:val="auto"/>
          <w:highlight w:val="none"/>
        </w:rPr>
        <w:t>”</w:t>
      </w:r>
      <w:r>
        <w:rPr>
          <w:color w:val="auto"/>
          <w:highlight w:val="none"/>
        </w:rPr>
        <w:t>等监督管理方面的信息，监督管理电话一般为当地环境保护行政主管部门联系电话，本项目环境保护行政主管部门为</w:t>
      </w:r>
      <w:r>
        <w:rPr>
          <w:rFonts w:hint="eastAsia"/>
          <w:color w:val="auto"/>
          <w:highlight w:val="none"/>
          <w:lang w:eastAsia="zh-CN"/>
        </w:rPr>
        <w:t>绥化市庆安</w:t>
      </w:r>
      <w:r>
        <w:rPr>
          <w:rFonts w:hint="eastAsia"/>
          <w:color w:val="auto"/>
          <w:highlight w:val="none"/>
        </w:rPr>
        <w:t>生态环境局</w:t>
      </w:r>
      <w:r>
        <w:rPr>
          <w:color w:val="auto"/>
          <w:highlight w:val="none"/>
        </w:rPr>
        <w:t>。</w:t>
      </w:r>
    </w:p>
    <w:p w14:paraId="010969F4">
      <w:pPr>
        <w:ind w:firstLine="470"/>
        <w:rPr>
          <w:color w:val="auto"/>
          <w:highlight w:val="none"/>
        </w:rPr>
      </w:pPr>
      <w:r>
        <w:rPr>
          <w:color w:val="auto"/>
          <w:highlight w:val="none"/>
        </w:rPr>
        <w:t>界标背面的上方用清晰、易懂的图形或文字说明根据《饮用水水源保护区划分技术规范》（HJ/T 338-2018）划定的饮用水水源保护区范围，以标明保护区准确地理坐标和范围参数。中下方书写饮用水水源保护区具体的管理要求，并引用《</w:t>
      </w:r>
      <w:r>
        <w:rPr>
          <w:rFonts w:hint="eastAsia"/>
          <w:color w:val="auto"/>
          <w:highlight w:val="none"/>
        </w:rPr>
        <w:t>中华人民共和国</w:t>
      </w:r>
      <w:r>
        <w:rPr>
          <w:color w:val="auto"/>
          <w:highlight w:val="none"/>
        </w:rPr>
        <w:t>水污染防治法》中关于饮用水水源保护区的条款和内容。最下方靠右处书写</w:t>
      </w:r>
      <w:r>
        <w:rPr>
          <w:rFonts w:hint="eastAsia" w:ascii="宋体" w:hAnsi="宋体" w:cs="宋体"/>
          <w:color w:val="auto"/>
          <w:highlight w:val="none"/>
        </w:rPr>
        <w:t>“</w:t>
      </w:r>
      <w:r>
        <w:rPr>
          <w:color w:val="auto"/>
          <w:highlight w:val="none"/>
        </w:rPr>
        <w:t>××政府××年设立</w:t>
      </w:r>
      <w:r>
        <w:rPr>
          <w:rFonts w:hint="eastAsia" w:ascii="宋体" w:hAnsi="宋体" w:cs="宋体"/>
          <w:color w:val="auto"/>
          <w:highlight w:val="none"/>
        </w:rPr>
        <w:t>”</w:t>
      </w:r>
      <w:r>
        <w:rPr>
          <w:color w:val="auto"/>
          <w:highlight w:val="none"/>
        </w:rPr>
        <w:t>字样。界标内容的示意图如图4-1。</w:t>
      </w:r>
    </w:p>
    <w:p w14:paraId="16B838E4">
      <w:pPr>
        <w:ind w:firstLine="470"/>
        <w:jc w:val="center"/>
        <w:rPr>
          <w:color w:val="auto"/>
          <w:highlight w:val="none"/>
        </w:rPr>
      </w:pPr>
      <w:r>
        <w:rPr>
          <w:color w:val="auto"/>
          <w:szCs w:val="28"/>
          <w:highlight w:val="none"/>
        </w:rPr>
        <w:drawing>
          <wp:inline distT="0" distB="0" distL="0" distR="0">
            <wp:extent cx="4229100" cy="2522220"/>
            <wp:effectExtent l="19050" t="0" r="0" b="0"/>
            <wp:docPr id="5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8"/>
                    <pic:cNvPicPr>
                      <a:picLocks noChangeAspect="1" noChangeArrowheads="1"/>
                    </pic:cNvPicPr>
                  </pic:nvPicPr>
                  <pic:blipFill>
                    <a:blip r:embed="rId98" cstate="print"/>
                    <a:srcRect/>
                    <a:stretch>
                      <a:fillRect/>
                    </a:stretch>
                  </pic:blipFill>
                  <pic:spPr>
                    <a:xfrm>
                      <a:off x="0" y="0"/>
                      <a:ext cx="4229100" cy="2522220"/>
                    </a:xfrm>
                    <a:prstGeom prst="rect">
                      <a:avLst/>
                    </a:prstGeom>
                    <a:noFill/>
                    <a:ln w="9525">
                      <a:noFill/>
                      <a:miter lim="800000"/>
                      <a:headEnd/>
                      <a:tailEnd/>
                    </a:ln>
                    <a:effectLst/>
                  </pic:spPr>
                </pic:pic>
              </a:graphicData>
            </a:graphic>
          </wp:inline>
        </w:drawing>
      </w:r>
    </w:p>
    <w:p w14:paraId="481E7EA9">
      <w:pPr>
        <w:ind w:firstLine="470"/>
        <w:jc w:val="center"/>
        <w:rPr>
          <w:rFonts w:ascii="黑体" w:hAnsi="黑体" w:eastAsia="黑体" w:cs="黑体"/>
          <w:color w:val="auto"/>
          <w:highlight w:val="none"/>
        </w:rPr>
      </w:pPr>
      <w:r>
        <w:rPr>
          <w:rFonts w:hint="eastAsia" w:ascii="黑体" w:hAnsi="黑体" w:eastAsia="黑体" w:cs="黑体"/>
          <w:color w:val="auto"/>
          <w:highlight w:val="none"/>
        </w:rPr>
        <w:t>界标正面                      界标背面</w:t>
      </w:r>
    </w:p>
    <w:p w14:paraId="3E2F6755">
      <w:pPr>
        <w:pStyle w:val="28"/>
        <w:rPr>
          <w:rFonts w:hint="default"/>
          <w:color w:val="auto"/>
          <w:highlight w:val="none"/>
        </w:rPr>
      </w:pPr>
      <w:r>
        <w:rPr>
          <w:rFonts w:hint="default"/>
          <w:color w:val="auto"/>
          <w:highlight w:val="none"/>
        </w:rPr>
        <w:t>图4-1 水源保护区界标示意图</w:t>
      </w:r>
    </w:p>
    <w:p w14:paraId="7891242E">
      <w:pPr>
        <w:ind w:firstLine="470"/>
        <w:rPr>
          <w:color w:val="auto"/>
          <w:highlight w:val="none"/>
        </w:rPr>
      </w:pPr>
      <w:r>
        <w:rPr>
          <w:color w:val="auto"/>
          <w:highlight w:val="none"/>
        </w:rPr>
        <w:t>2）饮用水水源保护区界标设立位置</w:t>
      </w:r>
    </w:p>
    <w:p w14:paraId="7F80C4FB">
      <w:pPr>
        <w:ind w:firstLine="470"/>
        <w:rPr>
          <w:color w:val="auto"/>
          <w:highlight w:val="none"/>
        </w:rPr>
      </w:pPr>
      <w:r>
        <w:rPr>
          <w:color w:val="auto"/>
          <w:highlight w:val="none"/>
        </w:rPr>
        <w:t>根据《饮用水水源保护区标志技术要求》（HJ/T 433-2008），本项目考虑保护区界线、地形特点，界标设置情况详见表</w:t>
      </w:r>
      <w:r>
        <w:rPr>
          <w:rFonts w:hint="eastAsia"/>
          <w:color w:val="auto"/>
          <w:highlight w:val="none"/>
        </w:rPr>
        <w:t>3-2</w:t>
      </w:r>
      <w:r>
        <w:rPr>
          <w:rFonts w:hint="eastAsia"/>
          <w:color w:val="auto"/>
          <w:highlight w:val="none"/>
          <w:lang w:eastAsia="zh-CN"/>
        </w:rPr>
        <w:t>、表</w:t>
      </w:r>
      <w:r>
        <w:rPr>
          <w:rFonts w:hint="eastAsia"/>
          <w:color w:val="auto"/>
          <w:highlight w:val="none"/>
          <w:lang w:val="en-US" w:eastAsia="zh-CN"/>
        </w:rPr>
        <w:t>3-3</w:t>
      </w:r>
      <w:r>
        <w:rPr>
          <w:color w:val="auto"/>
          <w:highlight w:val="none"/>
        </w:rPr>
        <w:t>。</w:t>
      </w:r>
    </w:p>
    <w:p w14:paraId="520B6D76">
      <w:pPr>
        <w:ind w:firstLine="470"/>
        <w:rPr>
          <w:color w:val="auto"/>
          <w:highlight w:val="none"/>
        </w:rPr>
      </w:pPr>
      <w:r>
        <w:rPr>
          <w:rFonts w:hint="eastAsia"/>
          <w:color w:val="auto"/>
          <w:highlight w:val="none"/>
          <w:lang w:eastAsia="zh-CN"/>
        </w:rPr>
        <w:t>（</w:t>
      </w:r>
      <w:r>
        <w:rPr>
          <w:rFonts w:hint="eastAsia"/>
          <w:color w:val="auto"/>
          <w:highlight w:val="none"/>
          <w:lang w:val="en-US" w:eastAsia="zh-CN"/>
        </w:rPr>
        <w:t>2</w:t>
      </w:r>
      <w:r>
        <w:rPr>
          <w:rFonts w:hint="eastAsia"/>
          <w:color w:val="auto"/>
          <w:highlight w:val="none"/>
          <w:lang w:eastAsia="zh-CN"/>
        </w:rPr>
        <w:t>）</w:t>
      </w:r>
      <w:r>
        <w:rPr>
          <w:color w:val="auto"/>
          <w:highlight w:val="none"/>
        </w:rPr>
        <w:t>饮用水水源保护区道路警示牌</w:t>
      </w:r>
    </w:p>
    <w:p w14:paraId="043C2F3A">
      <w:pPr>
        <w:ind w:firstLine="470"/>
        <w:rPr>
          <w:color w:val="auto"/>
          <w:highlight w:val="none"/>
        </w:rPr>
      </w:pPr>
      <w:r>
        <w:rPr>
          <w:color w:val="auto"/>
          <w:highlight w:val="none"/>
        </w:rPr>
        <w:t>1）饮用水水源保护区道路警示牌内容</w:t>
      </w:r>
    </w:p>
    <w:p w14:paraId="7DB6AA59">
      <w:pPr>
        <w:ind w:firstLine="470"/>
        <w:rPr>
          <w:color w:val="auto"/>
          <w:highlight w:val="none"/>
        </w:rPr>
      </w:pPr>
      <w:r>
        <w:rPr>
          <w:color w:val="auto"/>
          <w:highlight w:val="none"/>
        </w:rPr>
        <w:t>道路警示牌采用《道路交通标志和标线》（GB 5768-2009）中告示牌的形式。左边为饮用水水源保护区图形标，右边书写</w:t>
      </w:r>
      <w:r>
        <w:rPr>
          <w:rFonts w:hint="eastAsia" w:ascii="宋体" w:hAnsi="宋体" w:cs="宋体"/>
          <w:color w:val="auto"/>
          <w:highlight w:val="none"/>
        </w:rPr>
        <w:t>“</w:t>
      </w:r>
      <w:r>
        <w:rPr>
          <w:color w:val="auto"/>
          <w:highlight w:val="none"/>
        </w:rPr>
        <w:t>您已进入XX饮用水水源一级保护区全长XX公里</w:t>
      </w:r>
      <w:r>
        <w:rPr>
          <w:rFonts w:hint="eastAsia" w:ascii="宋体" w:hAnsi="宋体" w:cs="宋体"/>
          <w:color w:val="auto"/>
          <w:highlight w:val="none"/>
        </w:rPr>
        <w:t>”</w:t>
      </w:r>
      <w:r>
        <w:rPr>
          <w:color w:val="auto"/>
          <w:highlight w:val="none"/>
        </w:rPr>
        <w:t>或</w:t>
      </w:r>
      <w:r>
        <w:rPr>
          <w:rFonts w:hint="eastAsia" w:ascii="宋体" w:hAnsi="宋体" w:cs="宋体"/>
          <w:color w:val="auto"/>
          <w:highlight w:val="none"/>
        </w:rPr>
        <w:t>“</w:t>
      </w:r>
      <w:r>
        <w:rPr>
          <w:color w:val="auto"/>
          <w:highlight w:val="none"/>
        </w:rPr>
        <w:t>您已进入XX饮用水水源一级保护区从XX至XX</w:t>
      </w:r>
      <w:r>
        <w:rPr>
          <w:rFonts w:hint="eastAsia" w:ascii="宋体" w:hAnsi="宋体" w:cs="宋体"/>
          <w:color w:val="auto"/>
          <w:highlight w:val="none"/>
        </w:rPr>
        <w:t>”</w:t>
      </w:r>
      <w:r>
        <w:rPr>
          <w:color w:val="auto"/>
          <w:highlight w:val="none"/>
        </w:rPr>
        <w:t>，提示过往车辆及行人谨慎驾驶或行为。</w:t>
      </w:r>
      <w:r>
        <w:rPr>
          <w:rFonts w:hint="eastAsia"/>
          <w:color w:val="auto"/>
          <w:highlight w:val="none"/>
          <w:lang w:eastAsia="zh-CN"/>
        </w:rPr>
        <w:t>一般</w:t>
      </w:r>
      <w:r>
        <w:rPr>
          <w:color w:val="auto"/>
          <w:highlight w:val="none"/>
        </w:rPr>
        <w:t>道路采用蓝色。饮用水水源保护区道路警示牌的示意图如图4-2。</w:t>
      </w:r>
    </w:p>
    <w:p w14:paraId="32D172CB">
      <w:pPr>
        <w:ind w:firstLine="0" w:firstLineChars="0"/>
        <w:jc w:val="center"/>
        <w:rPr>
          <w:color w:val="auto"/>
          <w:highlight w:val="none"/>
        </w:rPr>
      </w:pPr>
      <w:r>
        <w:rPr>
          <w:color w:val="auto"/>
          <w:highlight w:val="none"/>
        </w:rPr>
        <w:drawing>
          <wp:inline distT="0" distB="0" distL="0" distR="0">
            <wp:extent cx="2743200" cy="1112520"/>
            <wp:effectExtent l="19050" t="0" r="0" b="0"/>
            <wp:docPr id="5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9"/>
                    <pic:cNvPicPr>
                      <a:picLocks noChangeAspect="1" noChangeArrowheads="1"/>
                    </pic:cNvPicPr>
                  </pic:nvPicPr>
                  <pic:blipFill>
                    <a:blip r:embed="rId99" cstate="print"/>
                    <a:srcRect/>
                    <a:stretch>
                      <a:fillRect/>
                    </a:stretch>
                  </pic:blipFill>
                  <pic:spPr>
                    <a:xfrm>
                      <a:off x="0" y="0"/>
                      <a:ext cx="2743200" cy="1112520"/>
                    </a:xfrm>
                    <a:prstGeom prst="rect">
                      <a:avLst/>
                    </a:prstGeom>
                    <a:noFill/>
                    <a:ln w="9525">
                      <a:noFill/>
                      <a:miter lim="800000"/>
                      <a:headEnd/>
                      <a:tailEnd/>
                    </a:ln>
                    <a:effectLst/>
                  </pic:spPr>
                </pic:pic>
              </a:graphicData>
            </a:graphic>
          </wp:inline>
        </w:drawing>
      </w:r>
      <w:r>
        <w:rPr>
          <w:color w:val="auto"/>
          <w:highlight w:val="none"/>
        </w:rPr>
        <w:drawing>
          <wp:inline distT="0" distB="0" distL="0" distR="0">
            <wp:extent cx="2773680" cy="1112520"/>
            <wp:effectExtent l="19050" t="0" r="7620" b="0"/>
            <wp:docPr id="5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2"/>
                    <pic:cNvPicPr>
                      <a:picLocks noChangeAspect="1" noChangeArrowheads="1"/>
                    </pic:cNvPicPr>
                  </pic:nvPicPr>
                  <pic:blipFill>
                    <a:blip r:embed="rId100" cstate="print"/>
                    <a:srcRect/>
                    <a:stretch>
                      <a:fillRect/>
                    </a:stretch>
                  </pic:blipFill>
                  <pic:spPr>
                    <a:xfrm>
                      <a:off x="0" y="0"/>
                      <a:ext cx="2773680" cy="1112520"/>
                    </a:xfrm>
                    <a:prstGeom prst="rect">
                      <a:avLst/>
                    </a:prstGeom>
                    <a:noFill/>
                    <a:ln w="9525">
                      <a:noFill/>
                      <a:miter lim="800000"/>
                      <a:headEnd/>
                      <a:tailEnd/>
                    </a:ln>
                    <a:effectLst/>
                  </pic:spPr>
                </pic:pic>
              </a:graphicData>
            </a:graphic>
          </wp:inline>
        </w:drawing>
      </w:r>
    </w:p>
    <w:p w14:paraId="2D90AC44">
      <w:pPr>
        <w:pStyle w:val="28"/>
        <w:rPr>
          <w:rFonts w:hint="default"/>
          <w:color w:val="auto"/>
          <w:highlight w:val="none"/>
        </w:rPr>
      </w:pPr>
      <w:r>
        <w:rPr>
          <w:rFonts w:hint="default"/>
          <w:color w:val="auto"/>
          <w:highlight w:val="none"/>
        </w:rPr>
        <w:t>图4-2 饮用水水源保护区驶入驶出道路图形标示意图</w:t>
      </w:r>
    </w:p>
    <w:p w14:paraId="0D25AA51">
      <w:pPr>
        <w:ind w:firstLine="470"/>
        <w:rPr>
          <w:color w:val="auto"/>
          <w:highlight w:val="none"/>
        </w:rPr>
      </w:pPr>
      <w:r>
        <w:rPr>
          <w:color w:val="auto"/>
          <w:highlight w:val="none"/>
        </w:rPr>
        <w:t>2）饮用水水源保护区道路警示牌位置</w:t>
      </w:r>
    </w:p>
    <w:p w14:paraId="0A8E3FCB">
      <w:pPr>
        <w:ind w:firstLine="470"/>
        <w:rPr>
          <w:rFonts w:hint="eastAsia" w:eastAsia="宋体"/>
          <w:color w:val="auto"/>
          <w:highlight w:val="none"/>
          <w:lang w:eastAsia="zh-CN"/>
        </w:rPr>
      </w:pPr>
      <w:r>
        <w:rPr>
          <w:color w:val="auto"/>
          <w:highlight w:val="none"/>
        </w:rPr>
        <w:t>根据实际情况，本次划分水源地一级保护区内无</w:t>
      </w:r>
      <w:bookmarkStart w:id="102" w:name="OLE_LINK128"/>
      <w:bookmarkStart w:id="103" w:name="OLE_LINK129"/>
      <w:r>
        <w:rPr>
          <w:color w:val="auto"/>
          <w:highlight w:val="none"/>
        </w:rPr>
        <w:t>县级及以上道路穿越</w:t>
      </w:r>
      <w:bookmarkEnd w:id="102"/>
      <w:bookmarkEnd w:id="103"/>
      <w:r>
        <w:rPr>
          <w:color w:val="auto"/>
          <w:highlight w:val="none"/>
        </w:rPr>
        <w:t>，</w:t>
      </w:r>
      <w:r>
        <w:rPr>
          <w:rFonts w:hint="eastAsia"/>
          <w:color w:val="auto"/>
          <w:highlight w:val="none"/>
          <w:lang w:eastAsia="zh-CN"/>
        </w:rPr>
        <w:t>无须设置道路警示牌。</w:t>
      </w:r>
    </w:p>
    <w:p w14:paraId="0AE24153">
      <w:pPr>
        <w:ind w:firstLine="470"/>
        <w:rPr>
          <w:color w:val="auto"/>
          <w:highlight w:val="none"/>
        </w:rPr>
      </w:pPr>
      <w:r>
        <w:rPr>
          <w:rFonts w:hint="eastAsia"/>
          <w:color w:val="auto"/>
          <w:highlight w:val="none"/>
          <w:lang w:val="en-US" w:eastAsia="zh-CN"/>
        </w:rPr>
        <w:t>3</w:t>
      </w:r>
      <w:r>
        <w:rPr>
          <w:rFonts w:hint="eastAsia"/>
          <w:color w:val="auto"/>
          <w:highlight w:val="none"/>
          <w:lang w:eastAsia="zh-CN"/>
        </w:rPr>
        <w:t>）</w:t>
      </w:r>
      <w:r>
        <w:rPr>
          <w:color w:val="auto"/>
          <w:highlight w:val="none"/>
        </w:rPr>
        <w:t>饮用水水源保护区宣传牌</w:t>
      </w:r>
    </w:p>
    <w:p w14:paraId="2385D3E7">
      <w:pPr>
        <w:ind w:firstLine="470"/>
        <w:rPr>
          <w:color w:val="auto"/>
          <w:highlight w:val="none"/>
        </w:rPr>
      </w:pPr>
      <w:r>
        <w:rPr>
          <w:color w:val="auto"/>
          <w:highlight w:val="none"/>
        </w:rPr>
        <w:t>饮用水水源保护区宣传牌宜在明显位置，采用饮用水水源保护区图形标，根据实际需求设计宣传牌上的图形和文字，可介绍当地饮用水水源保护区的地形地貌、划分情况、保护现状、管理要求等。饮用水水源保护区图形标的示意图如图4-3。本</w:t>
      </w:r>
      <w:r>
        <w:rPr>
          <w:rFonts w:hint="eastAsia"/>
          <w:color w:val="auto"/>
          <w:highlight w:val="none"/>
        </w:rPr>
        <w:t>次建议</w:t>
      </w:r>
      <w:r>
        <w:rPr>
          <w:color w:val="auto"/>
          <w:highlight w:val="none"/>
        </w:rPr>
        <w:t>水源保护区在一级保护区边界</w:t>
      </w:r>
      <w:r>
        <w:rPr>
          <w:rFonts w:hint="eastAsia"/>
          <w:color w:val="auto"/>
          <w:highlight w:val="none"/>
        </w:rPr>
        <w:t>且</w:t>
      </w:r>
      <w:r>
        <w:rPr>
          <w:color w:val="auto"/>
          <w:highlight w:val="none"/>
        </w:rPr>
        <w:t>人员流动频繁地点</w:t>
      </w:r>
      <w:r>
        <w:rPr>
          <w:rFonts w:hint="eastAsia"/>
          <w:color w:val="auto"/>
          <w:highlight w:val="none"/>
          <w:lang w:eastAsia="zh-CN"/>
        </w:rPr>
        <w:t>设置</w:t>
      </w:r>
      <w:r>
        <w:rPr>
          <w:color w:val="auto"/>
          <w:highlight w:val="none"/>
        </w:rPr>
        <w:t>宣传牌</w:t>
      </w:r>
      <w:r>
        <w:rPr>
          <w:rFonts w:hint="eastAsia"/>
          <w:color w:val="auto"/>
          <w:highlight w:val="none"/>
          <w:lang w:val="en-US" w:eastAsia="zh-CN"/>
        </w:rPr>
        <w:t>7</w:t>
      </w:r>
      <w:r>
        <w:rPr>
          <w:rFonts w:hint="eastAsia"/>
          <w:color w:val="auto"/>
          <w:highlight w:val="none"/>
        </w:rPr>
        <w:t>处，宣传牌设置情况详见表4-</w:t>
      </w:r>
      <w:r>
        <w:rPr>
          <w:rFonts w:hint="eastAsia"/>
          <w:color w:val="auto"/>
          <w:highlight w:val="none"/>
          <w:lang w:val="en-US" w:eastAsia="zh-CN"/>
        </w:rPr>
        <w:t>1</w:t>
      </w:r>
      <w:r>
        <w:rPr>
          <w:color w:val="auto"/>
          <w:highlight w:val="none"/>
        </w:rPr>
        <w:t>。</w:t>
      </w:r>
    </w:p>
    <w:p w14:paraId="61D441BD">
      <w:pPr>
        <w:pStyle w:val="28"/>
        <w:rPr>
          <w:rFonts w:hint="default"/>
          <w:color w:val="auto"/>
          <w:highlight w:val="none"/>
        </w:rPr>
      </w:pPr>
      <w:r>
        <w:rPr>
          <w:rFonts w:hint="default"/>
          <w:color w:val="auto"/>
          <w:highlight w:val="none"/>
        </w:rPr>
        <w:t>表4-</w:t>
      </w:r>
      <w:r>
        <w:rPr>
          <w:rFonts w:hint="eastAsia"/>
          <w:color w:val="auto"/>
          <w:highlight w:val="none"/>
          <w:lang w:val="en-US" w:eastAsia="zh-CN"/>
        </w:rPr>
        <w:t>1</w:t>
      </w:r>
      <w:r>
        <w:rPr>
          <w:rFonts w:hint="default"/>
          <w:color w:val="auto"/>
          <w:highlight w:val="none"/>
        </w:rPr>
        <w:t xml:space="preserve"> 饮用水水源保护区</w:t>
      </w:r>
      <w:r>
        <w:rPr>
          <w:color w:val="auto"/>
          <w:highlight w:val="none"/>
        </w:rPr>
        <w:t>宣传牌</w:t>
      </w:r>
      <w:r>
        <w:rPr>
          <w:rFonts w:hint="default"/>
          <w:color w:val="auto"/>
          <w:highlight w:val="none"/>
        </w:rPr>
        <w:t>设置情况一览表</w:t>
      </w:r>
    </w:p>
    <w:tbl>
      <w:tblPr>
        <w:tblStyle w:val="21"/>
        <w:tblW w:w="4996"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96"/>
        <w:gridCol w:w="1291"/>
        <w:gridCol w:w="1810"/>
        <w:gridCol w:w="1967"/>
        <w:gridCol w:w="2402"/>
      </w:tblGrid>
      <w:tr w14:paraId="683C79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925" w:type="pct"/>
            <w:vMerge w:val="restart"/>
            <w:vAlign w:val="center"/>
          </w:tcPr>
          <w:p w14:paraId="1F6A3CF2">
            <w:pPr>
              <w:pStyle w:val="30"/>
              <w:rPr>
                <w:rFonts w:hint="default"/>
                <w:color w:val="auto"/>
                <w:highlight w:val="none"/>
              </w:rPr>
            </w:pPr>
            <w:r>
              <w:rPr>
                <w:rFonts w:hint="default"/>
                <w:color w:val="auto"/>
                <w:highlight w:val="none"/>
              </w:rPr>
              <w:t>标志名称</w:t>
            </w:r>
          </w:p>
        </w:tc>
        <w:tc>
          <w:tcPr>
            <w:tcW w:w="704" w:type="pct"/>
            <w:vMerge w:val="restart"/>
            <w:vAlign w:val="center"/>
          </w:tcPr>
          <w:p w14:paraId="008C4ED9">
            <w:pPr>
              <w:pStyle w:val="30"/>
              <w:rPr>
                <w:rFonts w:hint="default"/>
                <w:color w:val="auto"/>
                <w:highlight w:val="none"/>
              </w:rPr>
            </w:pPr>
            <w:r>
              <w:rPr>
                <w:rFonts w:hint="default"/>
                <w:color w:val="auto"/>
                <w:highlight w:val="none"/>
              </w:rPr>
              <w:t>序号</w:t>
            </w:r>
          </w:p>
        </w:tc>
        <w:tc>
          <w:tcPr>
            <w:tcW w:w="2060" w:type="pct"/>
            <w:gridSpan w:val="2"/>
            <w:vAlign w:val="center"/>
          </w:tcPr>
          <w:p w14:paraId="6441C118">
            <w:pPr>
              <w:pStyle w:val="30"/>
              <w:rPr>
                <w:rFonts w:hint="default"/>
                <w:color w:val="auto"/>
                <w:highlight w:val="none"/>
              </w:rPr>
            </w:pPr>
            <w:r>
              <w:rPr>
                <w:rFonts w:hint="default"/>
                <w:color w:val="auto"/>
                <w:highlight w:val="none"/>
              </w:rPr>
              <w:t>坐标</w:t>
            </w:r>
            <w:r>
              <w:rPr>
                <w:color w:val="auto"/>
                <w:highlight w:val="none"/>
              </w:rPr>
              <w:t>（2000坐标系）</w:t>
            </w:r>
          </w:p>
        </w:tc>
        <w:tc>
          <w:tcPr>
            <w:tcW w:w="1310" w:type="pct"/>
            <w:vMerge w:val="restart"/>
            <w:vAlign w:val="center"/>
          </w:tcPr>
          <w:p w14:paraId="288FD479">
            <w:pPr>
              <w:pStyle w:val="30"/>
              <w:rPr>
                <w:rFonts w:hint="default"/>
                <w:color w:val="auto"/>
                <w:highlight w:val="none"/>
              </w:rPr>
            </w:pPr>
            <w:r>
              <w:rPr>
                <w:color w:val="auto"/>
                <w:highlight w:val="none"/>
              </w:rPr>
              <w:t>备注</w:t>
            </w:r>
          </w:p>
        </w:tc>
      </w:tr>
      <w:tr w14:paraId="04706D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925" w:type="pct"/>
            <w:vMerge w:val="continue"/>
            <w:vAlign w:val="center"/>
          </w:tcPr>
          <w:p w14:paraId="29FE019E">
            <w:pPr>
              <w:pStyle w:val="30"/>
              <w:rPr>
                <w:rFonts w:hint="default"/>
                <w:color w:val="auto"/>
                <w:highlight w:val="none"/>
              </w:rPr>
            </w:pPr>
          </w:p>
        </w:tc>
        <w:tc>
          <w:tcPr>
            <w:tcW w:w="704" w:type="pct"/>
            <w:vMerge w:val="continue"/>
            <w:vAlign w:val="center"/>
          </w:tcPr>
          <w:p w14:paraId="47BB8129">
            <w:pPr>
              <w:pStyle w:val="30"/>
              <w:rPr>
                <w:rFonts w:hint="default"/>
                <w:color w:val="auto"/>
                <w:highlight w:val="none"/>
              </w:rPr>
            </w:pPr>
          </w:p>
        </w:tc>
        <w:tc>
          <w:tcPr>
            <w:tcW w:w="987" w:type="pct"/>
            <w:vAlign w:val="center"/>
          </w:tcPr>
          <w:p w14:paraId="0870FCDB">
            <w:pPr>
              <w:pStyle w:val="30"/>
              <w:rPr>
                <w:rFonts w:hint="default"/>
                <w:color w:val="auto"/>
                <w:highlight w:val="none"/>
              </w:rPr>
            </w:pPr>
            <w:r>
              <w:rPr>
                <w:color w:val="auto"/>
                <w:highlight w:val="none"/>
              </w:rPr>
              <w:t>东经E</w:t>
            </w:r>
          </w:p>
        </w:tc>
        <w:tc>
          <w:tcPr>
            <w:tcW w:w="1072" w:type="pct"/>
            <w:vAlign w:val="center"/>
          </w:tcPr>
          <w:p w14:paraId="15F33343">
            <w:pPr>
              <w:pStyle w:val="30"/>
              <w:rPr>
                <w:rFonts w:hint="default"/>
                <w:color w:val="auto"/>
                <w:highlight w:val="none"/>
              </w:rPr>
            </w:pPr>
            <w:r>
              <w:rPr>
                <w:color w:val="auto"/>
                <w:highlight w:val="none"/>
              </w:rPr>
              <w:t>北纬N</w:t>
            </w:r>
          </w:p>
        </w:tc>
        <w:tc>
          <w:tcPr>
            <w:tcW w:w="1310" w:type="pct"/>
            <w:vMerge w:val="continue"/>
            <w:vAlign w:val="center"/>
          </w:tcPr>
          <w:p w14:paraId="20731E3F">
            <w:pPr>
              <w:pStyle w:val="30"/>
              <w:rPr>
                <w:rFonts w:hint="default"/>
                <w:color w:val="auto"/>
                <w:highlight w:val="none"/>
              </w:rPr>
            </w:pPr>
          </w:p>
        </w:tc>
      </w:tr>
      <w:tr w14:paraId="3F45C7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25" w:type="pct"/>
            <w:vMerge w:val="restart"/>
            <w:vAlign w:val="center"/>
          </w:tcPr>
          <w:p w14:paraId="38C7F7E4">
            <w:pPr>
              <w:pStyle w:val="30"/>
              <w:rPr>
                <w:rFonts w:hint="default"/>
                <w:color w:val="auto"/>
                <w:highlight w:val="none"/>
              </w:rPr>
            </w:pPr>
            <w:r>
              <w:rPr>
                <w:rFonts w:hint="default"/>
                <w:color w:val="auto"/>
                <w:highlight w:val="none"/>
              </w:rPr>
              <w:t>宣传牌</w:t>
            </w:r>
          </w:p>
        </w:tc>
        <w:tc>
          <w:tcPr>
            <w:tcW w:w="704" w:type="pct"/>
            <w:vAlign w:val="center"/>
          </w:tcPr>
          <w:p w14:paraId="2E4F6A0A">
            <w:pPr>
              <w:pStyle w:val="30"/>
              <w:rPr>
                <w:rFonts w:hint="default"/>
                <w:color w:val="auto"/>
                <w:highlight w:val="none"/>
              </w:rPr>
            </w:pPr>
            <w:r>
              <w:rPr>
                <w:rFonts w:hint="default"/>
                <w:color w:val="auto"/>
                <w:highlight w:val="none"/>
              </w:rPr>
              <w:t>1</w:t>
            </w:r>
          </w:p>
        </w:tc>
        <w:tc>
          <w:tcPr>
            <w:tcW w:w="1810" w:type="dxa"/>
            <w:vAlign w:val="center"/>
          </w:tcPr>
          <w:p w14:paraId="273E5749">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127°40'44.4879"</w:t>
            </w:r>
          </w:p>
        </w:tc>
        <w:tc>
          <w:tcPr>
            <w:tcW w:w="1967" w:type="dxa"/>
            <w:vAlign w:val="center"/>
          </w:tcPr>
          <w:p w14:paraId="27A25483">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47°03'03.3567"</w:t>
            </w:r>
          </w:p>
        </w:tc>
        <w:tc>
          <w:tcPr>
            <w:tcW w:w="2402" w:type="dxa"/>
            <w:vAlign w:val="center"/>
          </w:tcPr>
          <w:p w14:paraId="3E1739F6">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发展乡水井1#</w:t>
            </w:r>
          </w:p>
        </w:tc>
      </w:tr>
      <w:tr w14:paraId="5C74DC2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25" w:type="pct"/>
            <w:vMerge w:val="continue"/>
            <w:vAlign w:val="center"/>
          </w:tcPr>
          <w:p w14:paraId="5A36079D">
            <w:pPr>
              <w:pStyle w:val="30"/>
              <w:rPr>
                <w:rFonts w:hint="default"/>
                <w:color w:val="auto"/>
                <w:highlight w:val="none"/>
              </w:rPr>
            </w:pPr>
          </w:p>
        </w:tc>
        <w:tc>
          <w:tcPr>
            <w:tcW w:w="704" w:type="pct"/>
            <w:vAlign w:val="center"/>
          </w:tcPr>
          <w:p w14:paraId="196421B9">
            <w:pPr>
              <w:pStyle w:val="30"/>
              <w:rPr>
                <w:rFonts w:hint="default"/>
                <w:color w:val="auto"/>
                <w:highlight w:val="none"/>
              </w:rPr>
            </w:pPr>
            <w:r>
              <w:rPr>
                <w:rFonts w:hint="default"/>
                <w:color w:val="auto"/>
                <w:highlight w:val="none"/>
              </w:rPr>
              <w:t>2</w:t>
            </w:r>
          </w:p>
        </w:tc>
        <w:tc>
          <w:tcPr>
            <w:tcW w:w="1810" w:type="dxa"/>
            <w:shd w:val="clear" w:color="auto" w:fill="auto"/>
            <w:vAlign w:val="center"/>
          </w:tcPr>
          <w:p w14:paraId="625C7EAD">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127°39'07.8755"</w:t>
            </w:r>
          </w:p>
        </w:tc>
        <w:tc>
          <w:tcPr>
            <w:tcW w:w="1967" w:type="dxa"/>
            <w:shd w:val="clear" w:color="auto" w:fill="auto"/>
            <w:vAlign w:val="center"/>
          </w:tcPr>
          <w:p w14:paraId="765D986C">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46°56'21.9318"</w:t>
            </w:r>
          </w:p>
        </w:tc>
        <w:tc>
          <w:tcPr>
            <w:tcW w:w="2402" w:type="dxa"/>
            <w:vAlign w:val="center"/>
          </w:tcPr>
          <w:p w14:paraId="1DCC9F0B">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平安镇水井2#</w:t>
            </w:r>
          </w:p>
        </w:tc>
      </w:tr>
      <w:tr w14:paraId="233480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25" w:type="pct"/>
            <w:vMerge w:val="continue"/>
            <w:vAlign w:val="center"/>
          </w:tcPr>
          <w:p w14:paraId="5B4961EB">
            <w:pPr>
              <w:pStyle w:val="30"/>
              <w:rPr>
                <w:rFonts w:hint="default"/>
                <w:color w:val="auto"/>
                <w:highlight w:val="none"/>
              </w:rPr>
            </w:pPr>
          </w:p>
        </w:tc>
        <w:tc>
          <w:tcPr>
            <w:tcW w:w="704" w:type="pct"/>
            <w:vAlign w:val="center"/>
          </w:tcPr>
          <w:p w14:paraId="6D3806F4">
            <w:pPr>
              <w:pStyle w:val="30"/>
              <w:rPr>
                <w:rFonts w:hint="default"/>
                <w:color w:val="auto"/>
                <w:highlight w:val="none"/>
              </w:rPr>
            </w:pPr>
            <w:r>
              <w:rPr>
                <w:rFonts w:hint="default"/>
                <w:color w:val="auto"/>
                <w:highlight w:val="none"/>
              </w:rPr>
              <w:t>3</w:t>
            </w:r>
          </w:p>
        </w:tc>
        <w:tc>
          <w:tcPr>
            <w:tcW w:w="1810" w:type="dxa"/>
            <w:vAlign w:val="center"/>
          </w:tcPr>
          <w:p w14:paraId="29DF00D6">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127°29'35.6348"</w:t>
            </w:r>
          </w:p>
        </w:tc>
        <w:tc>
          <w:tcPr>
            <w:tcW w:w="1967" w:type="dxa"/>
            <w:vAlign w:val="center"/>
          </w:tcPr>
          <w:p w14:paraId="31CEA5B9">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47°07'45.9308"</w:t>
            </w:r>
          </w:p>
        </w:tc>
        <w:tc>
          <w:tcPr>
            <w:tcW w:w="2402" w:type="dxa"/>
            <w:vAlign w:val="center"/>
          </w:tcPr>
          <w:p w14:paraId="07BEC1D0">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同乐镇水井1#</w:t>
            </w:r>
          </w:p>
        </w:tc>
      </w:tr>
      <w:tr w14:paraId="27179D9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25" w:type="pct"/>
            <w:vMerge w:val="continue"/>
            <w:vAlign w:val="center"/>
          </w:tcPr>
          <w:p w14:paraId="16B6F87F">
            <w:pPr>
              <w:pStyle w:val="30"/>
              <w:rPr>
                <w:rFonts w:hint="default"/>
                <w:color w:val="auto"/>
                <w:highlight w:val="none"/>
              </w:rPr>
            </w:pPr>
          </w:p>
        </w:tc>
        <w:tc>
          <w:tcPr>
            <w:tcW w:w="704" w:type="pct"/>
            <w:vAlign w:val="center"/>
          </w:tcPr>
          <w:p w14:paraId="479299E0">
            <w:pPr>
              <w:pStyle w:val="30"/>
              <w:rPr>
                <w:rFonts w:hint="eastAsia" w:eastAsia="宋体"/>
                <w:color w:val="auto"/>
                <w:highlight w:val="none"/>
                <w:lang w:val="en-US" w:eastAsia="zh-CN"/>
              </w:rPr>
            </w:pPr>
            <w:r>
              <w:rPr>
                <w:rFonts w:hint="eastAsia"/>
                <w:color w:val="auto"/>
                <w:highlight w:val="none"/>
                <w:lang w:val="en-US" w:eastAsia="zh-CN"/>
              </w:rPr>
              <w:t>4</w:t>
            </w:r>
          </w:p>
        </w:tc>
        <w:tc>
          <w:tcPr>
            <w:tcW w:w="1810" w:type="dxa"/>
            <w:vAlign w:val="center"/>
          </w:tcPr>
          <w:p w14:paraId="6554E415">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127°43'19.5000"</w:t>
            </w:r>
          </w:p>
        </w:tc>
        <w:tc>
          <w:tcPr>
            <w:tcW w:w="1967" w:type="dxa"/>
            <w:vAlign w:val="center"/>
          </w:tcPr>
          <w:p w14:paraId="23CAB56C">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46°51'51.0015"</w:t>
            </w:r>
          </w:p>
        </w:tc>
        <w:tc>
          <w:tcPr>
            <w:tcW w:w="2402" w:type="dxa"/>
            <w:vAlign w:val="center"/>
          </w:tcPr>
          <w:p w14:paraId="2444C9CD">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丰收乡水井1#</w:t>
            </w:r>
          </w:p>
        </w:tc>
      </w:tr>
      <w:tr w14:paraId="68EF80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25" w:type="pct"/>
            <w:vMerge w:val="continue"/>
            <w:vAlign w:val="center"/>
          </w:tcPr>
          <w:p w14:paraId="2C7A5047">
            <w:pPr>
              <w:pStyle w:val="30"/>
              <w:rPr>
                <w:rFonts w:hint="default"/>
                <w:color w:val="auto"/>
                <w:highlight w:val="none"/>
              </w:rPr>
            </w:pPr>
          </w:p>
        </w:tc>
        <w:tc>
          <w:tcPr>
            <w:tcW w:w="704" w:type="pct"/>
            <w:vAlign w:val="center"/>
          </w:tcPr>
          <w:p w14:paraId="59611E73">
            <w:pPr>
              <w:pStyle w:val="30"/>
              <w:rPr>
                <w:rFonts w:hint="eastAsia" w:eastAsia="宋体"/>
                <w:color w:val="auto"/>
                <w:highlight w:val="none"/>
                <w:lang w:val="en-US" w:eastAsia="zh-CN"/>
              </w:rPr>
            </w:pPr>
            <w:r>
              <w:rPr>
                <w:rFonts w:hint="eastAsia"/>
                <w:color w:val="auto"/>
                <w:highlight w:val="none"/>
                <w:lang w:val="en-US" w:eastAsia="zh-CN"/>
              </w:rPr>
              <w:t>5</w:t>
            </w:r>
          </w:p>
        </w:tc>
        <w:tc>
          <w:tcPr>
            <w:tcW w:w="1810" w:type="dxa"/>
            <w:vAlign w:val="center"/>
          </w:tcPr>
          <w:p w14:paraId="3A0F28B6">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127°30'23.4607"</w:t>
            </w:r>
          </w:p>
        </w:tc>
        <w:tc>
          <w:tcPr>
            <w:tcW w:w="1967" w:type="dxa"/>
            <w:vAlign w:val="center"/>
          </w:tcPr>
          <w:p w14:paraId="6D0A0C56">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46°42'29.1500"</w:t>
            </w:r>
          </w:p>
        </w:tc>
        <w:tc>
          <w:tcPr>
            <w:tcW w:w="2402" w:type="dxa"/>
            <w:vAlign w:val="center"/>
          </w:tcPr>
          <w:p w14:paraId="2AF96965">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建民乡水井2#</w:t>
            </w:r>
          </w:p>
        </w:tc>
      </w:tr>
      <w:tr w14:paraId="31F29D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25" w:type="pct"/>
            <w:vMerge w:val="continue"/>
            <w:vAlign w:val="center"/>
          </w:tcPr>
          <w:p w14:paraId="0B70A79F">
            <w:pPr>
              <w:pStyle w:val="30"/>
              <w:rPr>
                <w:rFonts w:hint="default"/>
                <w:color w:val="auto"/>
                <w:highlight w:val="none"/>
              </w:rPr>
            </w:pPr>
          </w:p>
        </w:tc>
        <w:tc>
          <w:tcPr>
            <w:tcW w:w="704" w:type="pct"/>
            <w:vAlign w:val="center"/>
          </w:tcPr>
          <w:p w14:paraId="13C20B3A">
            <w:pPr>
              <w:pStyle w:val="30"/>
              <w:rPr>
                <w:rFonts w:hint="eastAsia" w:eastAsia="宋体"/>
                <w:color w:val="auto"/>
                <w:highlight w:val="none"/>
                <w:lang w:val="en-US" w:eastAsia="zh-CN"/>
              </w:rPr>
            </w:pPr>
            <w:r>
              <w:rPr>
                <w:rFonts w:hint="eastAsia"/>
                <w:color w:val="auto"/>
                <w:highlight w:val="none"/>
                <w:lang w:val="en-US" w:eastAsia="zh-CN"/>
              </w:rPr>
              <w:t>6</w:t>
            </w:r>
          </w:p>
        </w:tc>
        <w:tc>
          <w:tcPr>
            <w:tcW w:w="1810" w:type="dxa"/>
            <w:vAlign w:val="center"/>
          </w:tcPr>
          <w:p w14:paraId="471E605F">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127°35'39.9249"</w:t>
            </w:r>
          </w:p>
        </w:tc>
        <w:tc>
          <w:tcPr>
            <w:tcW w:w="1967" w:type="dxa"/>
            <w:vAlign w:val="center"/>
          </w:tcPr>
          <w:p w14:paraId="01D3BC3C">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46°43'47.3774"</w:t>
            </w:r>
          </w:p>
        </w:tc>
        <w:tc>
          <w:tcPr>
            <w:tcW w:w="2402" w:type="dxa"/>
            <w:vAlign w:val="center"/>
          </w:tcPr>
          <w:p w14:paraId="4C21FEE4">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柳河镇新强村水井3#</w:t>
            </w:r>
          </w:p>
        </w:tc>
      </w:tr>
      <w:tr w14:paraId="19AAED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25" w:type="pct"/>
            <w:vMerge w:val="continue"/>
            <w:vAlign w:val="center"/>
          </w:tcPr>
          <w:p w14:paraId="5D90F091">
            <w:pPr>
              <w:pStyle w:val="30"/>
              <w:rPr>
                <w:rFonts w:hint="default"/>
                <w:color w:val="auto"/>
                <w:highlight w:val="none"/>
              </w:rPr>
            </w:pPr>
          </w:p>
        </w:tc>
        <w:tc>
          <w:tcPr>
            <w:tcW w:w="704" w:type="pct"/>
            <w:vAlign w:val="center"/>
          </w:tcPr>
          <w:p w14:paraId="3BEC5D8A">
            <w:pPr>
              <w:pStyle w:val="30"/>
              <w:rPr>
                <w:rFonts w:hint="eastAsia" w:eastAsia="宋体"/>
                <w:color w:val="auto"/>
                <w:highlight w:val="none"/>
                <w:lang w:val="en-US" w:eastAsia="zh-CN"/>
              </w:rPr>
            </w:pPr>
            <w:r>
              <w:rPr>
                <w:rFonts w:hint="eastAsia"/>
                <w:color w:val="auto"/>
                <w:highlight w:val="none"/>
                <w:lang w:val="en-US" w:eastAsia="zh-CN"/>
              </w:rPr>
              <w:t>7</w:t>
            </w:r>
          </w:p>
        </w:tc>
        <w:tc>
          <w:tcPr>
            <w:tcW w:w="1810" w:type="dxa"/>
            <w:vAlign w:val="center"/>
          </w:tcPr>
          <w:p w14:paraId="2C7E8FBA">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127°41'46.2621"</w:t>
            </w:r>
          </w:p>
        </w:tc>
        <w:tc>
          <w:tcPr>
            <w:tcW w:w="1967" w:type="dxa"/>
            <w:vAlign w:val="center"/>
          </w:tcPr>
          <w:p w14:paraId="3831FBCB">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46°43'02.6572"</w:t>
            </w:r>
          </w:p>
        </w:tc>
        <w:tc>
          <w:tcPr>
            <w:tcW w:w="2402" w:type="dxa"/>
            <w:vAlign w:val="center"/>
          </w:tcPr>
          <w:p w14:paraId="39667AF9">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柳河镇水井5#</w:t>
            </w:r>
          </w:p>
        </w:tc>
      </w:tr>
    </w:tbl>
    <w:p w14:paraId="547A69DA">
      <w:pPr>
        <w:pStyle w:val="28"/>
        <w:rPr>
          <w:rFonts w:hint="default"/>
          <w:color w:val="auto"/>
          <w:highlight w:val="none"/>
        </w:rPr>
      </w:pPr>
      <w:r>
        <w:rPr>
          <w:color w:val="auto"/>
          <w:highlight w:val="none"/>
        </w:rPr>
        <w:drawing>
          <wp:inline distT="0" distB="0" distL="0" distR="0">
            <wp:extent cx="2613660" cy="2529840"/>
            <wp:effectExtent l="0" t="0" r="15240" b="3810"/>
            <wp:docPr id="5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1"/>
                    <pic:cNvPicPr>
                      <a:picLocks noChangeAspect="1" noChangeArrowheads="1"/>
                    </pic:cNvPicPr>
                  </pic:nvPicPr>
                  <pic:blipFill>
                    <a:blip r:embed="rId101" cstate="print"/>
                    <a:srcRect/>
                    <a:stretch>
                      <a:fillRect/>
                    </a:stretch>
                  </pic:blipFill>
                  <pic:spPr>
                    <a:xfrm>
                      <a:off x="0" y="0"/>
                      <a:ext cx="2613660" cy="2529840"/>
                    </a:xfrm>
                    <a:prstGeom prst="rect">
                      <a:avLst/>
                    </a:prstGeom>
                    <a:noFill/>
                    <a:ln w="9525">
                      <a:noFill/>
                      <a:miter lim="800000"/>
                      <a:headEnd/>
                      <a:tailEnd/>
                    </a:ln>
                  </pic:spPr>
                </pic:pic>
              </a:graphicData>
            </a:graphic>
          </wp:inline>
        </w:drawing>
      </w:r>
    </w:p>
    <w:p w14:paraId="363B2960">
      <w:pPr>
        <w:pStyle w:val="28"/>
        <w:rPr>
          <w:rFonts w:hint="default"/>
          <w:color w:val="auto"/>
          <w:highlight w:val="none"/>
        </w:rPr>
      </w:pPr>
      <w:r>
        <w:rPr>
          <w:rFonts w:hint="default"/>
          <w:color w:val="auto"/>
          <w:highlight w:val="none"/>
        </w:rPr>
        <w:t>图4-3 饮用水水源保护区图形标示意图</w:t>
      </w:r>
    </w:p>
    <w:p w14:paraId="393F4381">
      <w:pPr>
        <w:pStyle w:val="4"/>
        <w:rPr>
          <w:color w:val="auto"/>
          <w:highlight w:val="none"/>
        </w:rPr>
      </w:pPr>
      <w:bookmarkStart w:id="104" w:name="_Toc29083"/>
      <w:r>
        <w:rPr>
          <w:color w:val="auto"/>
          <w:highlight w:val="none"/>
        </w:rPr>
        <w:t>4.2.3保护区隔离防护</w:t>
      </w:r>
      <w:bookmarkEnd w:id="104"/>
    </w:p>
    <w:p w14:paraId="46518A3C">
      <w:pPr>
        <w:spacing w:line="360" w:lineRule="auto"/>
        <w:ind w:firstLine="472" w:firstLineChars="200"/>
        <w:rPr>
          <w:color w:val="auto"/>
          <w:highlight w:val="none"/>
        </w:rPr>
      </w:pPr>
      <w:bookmarkStart w:id="105" w:name="_Toc23866"/>
      <w:r>
        <w:rPr>
          <w:color w:val="auto"/>
          <w:highlight w:val="none"/>
        </w:rPr>
        <w:t>依据《集中式饮用水水源地规范化建设环境保护技术要求》（HJ 773-2015），</w:t>
      </w:r>
      <w:r>
        <w:rPr>
          <w:rFonts w:hint="eastAsia" w:ascii="宋体" w:hAnsi="宋体" w:cs="宋体"/>
          <w:color w:val="auto"/>
          <w:highlight w:val="none"/>
        </w:rPr>
        <w:t>“</w:t>
      </w:r>
      <w:r>
        <w:rPr>
          <w:color w:val="auto"/>
          <w:highlight w:val="none"/>
        </w:rPr>
        <w:t>在一级保护区周边人类活动频繁的区域设置隔离防护设施</w:t>
      </w:r>
      <w:r>
        <w:rPr>
          <w:rFonts w:hint="eastAsia" w:ascii="宋体" w:hAnsi="宋体" w:cs="宋体"/>
          <w:color w:val="auto"/>
          <w:highlight w:val="none"/>
        </w:rPr>
        <w:t>”，</w:t>
      </w:r>
      <w:r>
        <w:rPr>
          <w:rFonts w:hint="eastAsia"/>
          <w:color w:val="auto"/>
          <w:sz w:val="24"/>
          <w:szCs w:val="24"/>
          <w:highlight w:val="none"/>
        </w:rPr>
        <w:t>根据现场踏查，各水源地</w:t>
      </w:r>
      <w:r>
        <w:rPr>
          <w:rFonts w:hint="eastAsia"/>
          <w:color w:val="auto"/>
          <w:sz w:val="24"/>
          <w:szCs w:val="24"/>
          <w:highlight w:val="none"/>
          <w:lang w:eastAsia="zh-CN"/>
        </w:rPr>
        <w:t>水井及水井井房</w:t>
      </w:r>
      <w:r>
        <w:rPr>
          <w:rFonts w:hint="eastAsia"/>
          <w:color w:val="auto"/>
          <w:sz w:val="24"/>
          <w:szCs w:val="24"/>
          <w:highlight w:val="none"/>
        </w:rPr>
        <w:t>周边已设置封闭围栏，具体见2.</w:t>
      </w:r>
      <w:r>
        <w:rPr>
          <w:rFonts w:hint="eastAsia"/>
          <w:color w:val="auto"/>
          <w:sz w:val="24"/>
          <w:szCs w:val="24"/>
          <w:highlight w:val="none"/>
          <w:lang w:val="en-US" w:eastAsia="zh-CN"/>
        </w:rPr>
        <w:t>6</w:t>
      </w:r>
      <w:r>
        <w:rPr>
          <w:rFonts w:hint="eastAsia"/>
          <w:color w:val="auto"/>
          <w:sz w:val="24"/>
          <w:szCs w:val="24"/>
          <w:highlight w:val="none"/>
        </w:rPr>
        <w:t>.3章节及图</w:t>
      </w:r>
      <w:r>
        <w:rPr>
          <w:rFonts w:hint="eastAsia"/>
          <w:color w:val="auto"/>
          <w:sz w:val="24"/>
          <w:szCs w:val="24"/>
          <w:highlight w:val="none"/>
          <w:lang w:val="en-US" w:eastAsia="zh-CN"/>
        </w:rPr>
        <w:t>2-8</w:t>
      </w:r>
      <w:r>
        <w:rPr>
          <w:rFonts w:hint="eastAsia"/>
          <w:color w:val="auto"/>
          <w:sz w:val="24"/>
          <w:szCs w:val="24"/>
          <w:highlight w:val="none"/>
        </w:rPr>
        <w:t>。但已设立的保护区隔离防护不符合饮用水水源保护区隔离防护设立的要求。</w:t>
      </w:r>
      <w:r>
        <w:rPr>
          <w:rFonts w:hint="eastAsia"/>
          <w:color w:val="auto"/>
          <w:sz w:val="24"/>
          <w:szCs w:val="24"/>
          <w:highlight w:val="none"/>
          <w:lang w:eastAsia="zh-CN"/>
        </w:rPr>
        <w:t>本次调整水源井</w:t>
      </w:r>
      <w:r>
        <w:rPr>
          <w:rFonts w:hint="eastAsia"/>
          <w:color w:val="auto"/>
          <w:highlight w:val="none"/>
        </w:rPr>
        <w:t>可根据实际情况，</w:t>
      </w:r>
      <w:r>
        <w:rPr>
          <w:color w:val="auto"/>
          <w:highlight w:val="none"/>
        </w:rPr>
        <w:t>同时考虑地形、地标、地物界限特征等影响</w:t>
      </w:r>
      <w:r>
        <w:rPr>
          <w:rFonts w:hint="eastAsia"/>
          <w:color w:val="auto"/>
          <w:highlight w:val="none"/>
        </w:rPr>
        <w:t>，在新建</w:t>
      </w:r>
      <w:r>
        <w:rPr>
          <w:rFonts w:hint="eastAsia"/>
          <w:color w:val="auto"/>
          <w:highlight w:val="none"/>
          <w:lang w:val="en-US" w:eastAsia="zh-CN"/>
        </w:rPr>
        <w:t>29</w:t>
      </w:r>
      <w:r>
        <w:rPr>
          <w:rFonts w:hint="eastAsia"/>
          <w:color w:val="auto"/>
          <w:highlight w:val="none"/>
        </w:rPr>
        <w:t>眼水井一级保护区边界设置规范化围栏。</w:t>
      </w:r>
    </w:p>
    <w:p w14:paraId="77E1891E">
      <w:pPr>
        <w:pStyle w:val="3"/>
        <w:rPr>
          <w:color w:val="auto"/>
          <w:highlight w:val="none"/>
          <w:lang w:val="en-US"/>
        </w:rPr>
      </w:pPr>
      <w:bookmarkStart w:id="106" w:name="_Toc7905"/>
      <w:r>
        <w:rPr>
          <w:rFonts w:hint="eastAsia"/>
          <w:color w:val="auto"/>
          <w:highlight w:val="none"/>
          <w:lang w:val="en-US"/>
        </w:rPr>
        <w:t>4.3保护区整治要求</w:t>
      </w:r>
      <w:bookmarkEnd w:id="105"/>
      <w:bookmarkEnd w:id="106"/>
    </w:p>
    <w:p w14:paraId="3C33CB98">
      <w:pPr>
        <w:ind w:firstLine="470"/>
        <w:rPr>
          <w:color w:val="auto"/>
          <w:highlight w:val="none"/>
        </w:rPr>
      </w:pPr>
      <w:r>
        <w:rPr>
          <w:color w:val="auto"/>
          <w:highlight w:val="none"/>
        </w:rPr>
        <w:t>根据《中华人民共和国水污染防治法》和《饮用水水源保护区污染防治管理规定》《集中式饮用水水源地规范化建设环境保护技术要求》（HJ 773-2015）及</w:t>
      </w:r>
      <w:r>
        <w:rPr>
          <w:rFonts w:hint="eastAsia" w:ascii="宋体" w:hAnsi="宋体" w:cs="宋体"/>
          <w:color w:val="auto"/>
          <w:highlight w:val="none"/>
        </w:rPr>
        <w:t>“</w:t>
      </w:r>
      <w:r>
        <w:rPr>
          <w:color w:val="auto"/>
          <w:highlight w:val="none"/>
        </w:rPr>
        <w:t>关于答复全国集中式饮用水水源地环境保护专项行动有关问题的函（环办环监函〔2018〕767号）</w:t>
      </w:r>
      <w:r>
        <w:rPr>
          <w:rFonts w:hint="eastAsia" w:ascii="宋体" w:hAnsi="宋体" w:cs="宋体"/>
          <w:color w:val="auto"/>
          <w:highlight w:val="none"/>
        </w:rPr>
        <w:t>”</w:t>
      </w:r>
      <w:r>
        <w:rPr>
          <w:color w:val="auto"/>
          <w:highlight w:val="none"/>
        </w:rPr>
        <w:t>等文件要求，对保护区提出整治要求。</w:t>
      </w:r>
    </w:p>
    <w:p w14:paraId="5FCCEC4F">
      <w:pPr>
        <w:pStyle w:val="5"/>
        <w:bidi w:val="0"/>
        <w:ind w:firstLine="472" w:firstLineChars="200"/>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（1）整治要求</w:t>
      </w:r>
    </w:p>
    <w:p w14:paraId="3A6BD1E0">
      <w:pPr>
        <w:ind w:firstLine="470"/>
        <w:rPr>
          <w:color w:val="auto"/>
          <w:highlight w:val="none"/>
        </w:rPr>
      </w:pPr>
      <w:r>
        <w:rPr>
          <w:color w:val="auto"/>
          <w:highlight w:val="none"/>
        </w:rPr>
        <w:t>饮用水水源一级保护区内必须遵守下列要求：</w:t>
      </w:r>
    </w:p>
    <w:p w14:paraId="3CEFD7CC">
      <w:pPr>
        <w:ind w:firstLine="470"/>
        <w:rPr>
          <w:color w:val="auto"/>
          <w:highlight w:val="none"/>
        </w:rPr>
      </w:pPr>
      <w:r>
        <w:rPr>
          <w:color w:val="auto"/>
          <w:highlight w:val="none"/>
        </w:rPr>
        <w:t>1）保护区内不存在与供水设施和保护水源无关的建设项目，保护区划定前已有的建设项目拆除或关闭，并视情进行生态修复。</w:t>
      </w:r>
    </w:p>
    <w:p w14:paraId="5AE9DE87">
      <w:pPr>
        <w:ind w:firstLine="470"/>
        <w:rPr>
          <w:color w:val="auto"/>
          <w:highlight w:val="none"/>
        </w:rPr>
      </w:pPr>
      <w:r>
        <w:rPr>
          <w:color w:val="auto"/>
          <w:highlight w:val="none"/>
        </w:rPr>
        <w:t>2）</w:t>
      </w:r>
      <w:r>
        <w:rPr>
          <w:rFonts w:hint="eastAsia"/>
          <w:color w:val="auto"/>
          <w:highlight w:val="none"/>
          <w:lang w:val="en-US" w:eastAsia="zh-CN"/>
        </w:rPr>
        <w:t>保护区内无工业、生活排污口。保护区划定前已有的工业排污口拆除或关闭，生活排污口关闭或迁出。</w:t>
      </w:r>
    </w:p>
    <w:p w14:paraId="6B6C3C71">
      <w:pPr>
        <w:ind w:firstLine="470"/>
        <w:rPr>
          <w:color w:val="auto"/>
          <w:highlight w:val="none"/>
        </w:rPr>
      </w:pPr>
      <w:r>
        <w:rPr>
          <w:rFonts w:hint="eastAsia"/>
          <w:color w:val="auto"/>
          <w:highlight w:val="none"/>
          <w:lang w:val="en-US" w:eastAsia="zh-CN"/>
        </w:rPr>
        <w:t>3）保护区内无畜禽养殖、网箱养殖、旅游、游泳、垂钓或者其他可能污染水源的活动。保护区划定前已有的畜禽养殖、网箱养殖和旅游设施拆除或关闭。</w:t>
      </w:r>
    </w:p>
    <w:p w14:paraId="4F02F77E">
      <w:pPr>
        <w:ind w:firstLine="470"/>
        <w:rPr>
          <w:color w:val="auto"/>
          <w:highlight w:val="none"/>
        </w:rPr>
      </w:pPr>
      <w:r>
        <w:rPr>
          <w:color w:val="auto"/>
          <w:highlight w:val="none"/>
        </w:rPr>
        <w:t>4）保护区内无新增农业种植和经济林。保护区划定前已有的农业种植和经济林，严格控制化肥、农药等非点源污染，并逐步退出。</w:t>
      </w:r>
    </w:p>
    <w:p w14:paraId="526036EF">
      <w:pPr>
        <w:ind w:firstLine="470"/>
        <w:rPr>
          <w:rFonts w:hint="eastAsia" w:ascii="Times New Roman" w:hAnsi="Times New Roman" w:eastAsia="宋体" w:cs="Times New Roman"/>
          <w:color w:val="auto"/>
          <w:highlight w:val="none"/>
          <w:lang w:eastAsia="zh-CN"/>
        </w:rPr>
      </w:pPr>
      <w:r>
        <w:rPr>
          <w:rFonts w:hint="eastAsia" w:ascii="Times New Roman" w:hAnsi="Times New Roman" w:cs="Times New Roman"/>
          <w:color w:val="auto"/>
          <w:highlight w:val="none"/>
          <w:lang w:val="en-US" w:eastAsia="zh-CN"/>
        </w:rPr>
        <w:t>5</w:t>
      </w:r>
      <w:r>
        <w:rPr>
          <w:rFonts w:hint="eastAsia" w:ascii="Times New Roman" w:hAnsi="Times New Roman" w:cs="Times New Roman"/>
          <w:color w:val="auto"/>
          <w:highlight w:val="none"/>
          <w:lang w:eastAsia="zh-CN"/>
        </w:rPr>
        <w:t>）</w:t>
      </w:r>
      <w:r>
        <w:rPr>
          <w:rFonts w:ascii="Times New Roman" w:hAnsi="Times New Roman" w:cs="Times New Roman"/>
          <w:color w:val="auto"/>
          <w:highlight w:val="none"/>
        </w:rPr>
        <w:t>饮用水水源二级保护区内乡级及以下道路和景观步行道应做好与饮用水水体的隔离防护，避免人类活动对水质的影响</w:t>
      </w:r>
      <w:r>
        <w:rPr>
          <w:rFonts w:hint="eastAsia" w:ascii="Times New Roman" w:hAnsi="Times New Roman" w:cs="Times New Roman"/>
          <w:color w:val="auto"/>
          <w:highlight w:val="none"/>
          <w:lang w:val="en-US" w:eastAsia="zh-CN"/>
        </w:rPr>
        <w:t>。</w:t>
      </w:r>
    </w:p>
    <w:p w14:paraId="4C5FB7A9">
      <w:pPr>
        <w:ind w:firstLine="470"/>
        <w:rPr>
          <w:rFonts w:ascii="Times New Roman" w:hAnsi="Times New Roman" w:cs="Times New Roman"/>
          <w:color w:val="auto"/>
          <w:highlight w:val="none"/>
        </w:rPr>
      </w:pPr>
      <w:r>
        <w:rPr>
          <w:rFonts w:hint="eastAsia" w:ascii="Times New Roman" w:hAnsi="Times New Roman" w:cs="Times New Roman"/>
          <w:color w:val="auto"/>
          <w:highlight w:val="none"/>
          <w:lang w:val="en-US" w:eastAsia="zh-CN"/>
        </w:rPr>
        <w:t>6</w:t>
      </w:r>
      <w:r>
        <w:rPr>
          <w:rFonts w:hint="eastAsia" w:ascii="Times New Roman" w:hAnsi="Times New Roman" w:cs="Times New Roman"/>
          <w:color w:val="auto"/>
          <w:highlight w:val="none"/>
          <w:lang w:eastAsia="zh-CN"/>
        </w:rPr>
        <w:t>）</w:t>
      </w:r>
      <w:r>
        <w:rPr>
          <w:rFonts w:ascii="Times New Roman" w:hAnsi="Times New Roman" w:cs="Times New Roman"/>
          <w:color w:val="auto"/>
          <w:highlight w:val="none"/>
        </w:rPr>
        <w:t>原住居民住宅允许在饮用水水源保护区内保留，其生产的生活污水和垃圾必须收集处理；仅针对原住居民的非经营性新农村建设、安居工程建设项目，可以在饮用水水源二级保护区内保留，但产生的生活污水和垃圾必须进行收集处理。为上述情形配套建设的污染治理设施可以在饮用水水源保护区内保留，但处理后的污水原则上引到保护区外排放，不具备外引条件的，可通过农田灌溉、植树、造林等方式回用，或排入湿地进行二次处理。</w:t>
      </w:r>
    </w:p>
    <w:p w14:paraId="68810BCB">
      <w:pPr>
        <w:pStyle w:val="5"/>
        <w:bidi w:val="0"/>
        <w:ind w:firstLine="472" w:firstLineChars="200"/>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（2）环境现状</w:t>
      </w:r>
    </w:p>
    <w:p w14:paraId="46D500B4">
      <w:pPr>
        <w:ind w:firstLine="470"/>
        <w:rPr>
          <w:rFonts w:ascii="Times New Roman" w:hAnsi="Times New Roman" w:eastAsia="宋体" w:cs="Times New Roman"/>
          <w:color w:val="auto"/>
          <w:highlight w:val="none"/>
        </w:rPr>
      </w:pPr>
      <w:r>
        <w:rPr>
          <w:color w:val="auto"/>
          <w:highlight w:val="none"/>
        </w:rPr>
        <w:t>根据现场踏查</w:t>
      </w:r>
      <w:r>
        <w:rPr>
          <w:rFonts w:ascii="Times New Roman" w:hAnsi="Times New Roman" w:eastAsia="宋体" w:cs="Times New Roman"/>
          <w:color w:val="auto"/>
          <w:highlight w:val="none"/>
        </w:rPr>
        <w:t>，水源地</w:t>
      </w:r>
      <w:r>
        <w:rPr>
          <w:rFonts w:hint="eastAsia" w:ascii="Times New Roman" w:hAnsi="Times New Roman" w:eastAsia="宋体" w:cs="Times New Roman"/>
          <w:color w:val="auto"/>
          <w:highlight w:val="none"/>
        </w:rPr>
        <w:t>一级</w:t>
      </w:r>
      <w:r>
        <w:rPr>
          <w:rFonts w:ascii="Times New Roman" w:hAnsi="Times New Roman" w:eastAsia="宋体" w:cs="Times New Roman"/>
          <w:color w:val="auto"/>
          <w:highlight w:val="none"/>
        </w:rPr>
        <w:t>保护区用地现状</w:t>
      </w:r>
      <w:r>
        <w:rPr>
          <w:rFonts w:hint="eastAsia" w:ascii="Times New Roman" w:hAnsi="Times New Roman" w:eastAsia="宋体" w:cs="Times New Roman"/>
          <w:color w:val="auto"/>
          <w:highlight w:val="none"/>
          <w:lang w:eastAsia="zh-CN"/>
        </w:rPr>
        <w:t>见下表</w:t>
      </w:r>
      <w:r>
        <w:rPr>
          <w:rFonts w:ascii="Times New Roman" w:hAnsi="Times New Roman" w:eastAsia="宋体" w:cs="Times New Roman"/>
          <w:color w:val="auto"/>
          <w:highlight w:val="none"/>
        </w:rPr>
        <w:t>。</w:t>
      </w:r>
    </w:p>
    <w:p w14:paraId="0159A2D3">
      <w:pPr>
        <w:ind w:left="0" w:leftChars="0" w:firstLine="0" w:firstLineChars="0"/>
        <w:jc w:val="center"/>
        <w:rPr>
          <w:rFonts w:eastAsia="黑体"/>
          <w:color w:val="auto"/>
          <w:highlight w:val="none"/>
        </w:rPr>
      </w:pPr>
      <w:r>
        <w:rPr>
          <w:rFonts w:eastAsia="黑体"/>
          <w:color w:val="auto"/>
          <w:highlight w:val="none"/>
        </w:rPr>
        <w:t>表4-</w:t>
      </w:r>
      <w:r>
        <w:rPr>
          <w:rFonts w:hint="eastAsia" w:eastAsia="黑体"/>
          <w:color w:val="auto"/>
          <w:highlight w:val="none"/>
          <w:lang w:val="en-US" w:eastAsia="zh-CN"/>
        </w:rPr>
        <w:t>2</w:t>
      </w:r>
      <w:r>
        <w:rPr>
          <w:rFonts w:eastAsia="黑体"/>
          <w:color w:val="auto"/>
          <w:highlight w:val="none"/>
        </w:rPr>
        <w:t xml:space="preserve"> 水源地</w:t>
      </w:r>
      <w:r>
        <w:rPr>
          <w:rFonts w:hint="eastAsia" w:eastAsia="黑体"/>
          <w:color w:val="auto"/>
          <w:highlight w:val="none"/>
        </w:rPr>
        <w:t>一级</w:t>
      </w:r>
      <w:r>
        <w:rPr>
          <w:rFonts w:eastAsia="黑体"/>
          <w:color w:val="auto"/>
          <w:highlight w:val="none"/>
        </w:rPr>
        <w:t>保护区用地现状表</w:t>
      </w:r>
    </w:p>
    <w:tbl>
      <w:tblPr>
        <w:tblStyle w:val="21"/>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24"/>
        <w:gridCol w:w="1181"/>
        <w:gridCol w:w="1370"/>
        <w:gridCol w:w="992"/>
        <w:gridCol w:w="862"/>
        <w:gridCol w:w="853"/>
        <w:gridCol w:w="853"/>
        <w:gridCol w:w="915"/>
        <w:gridCol w:w="916"/>
      </w:tblGrid>
      <w:tr w14:paraId="3F3C64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667" w:type="pct"/>
            <w:vAlign w:val="center"/>
          </w:tcPr>
          <w:p w14:paraId="26A76A08">
            <w:pPr>
              <w:pStyle w:val="30"/>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sz w:val="21"/>
                <w:szCs w:val="21"/>
                <w:highlight w:val="none"/>
                <w:lang w:val="zh-CN"/>
              </w:rPr>
            </w:pPr>
            <w:r>
              <w:rPr>
                <w:color w:val="auto"/>
                <w:sz w:val="21"/>
                <w:szCs w:val="21"/>
                <w:highlight w:val="none"/>
                <w:lang w:eastAsia="en-US"/>
              </w:rPr>
              <w:t>水源地名称</w:t>
            </w:r>
          </w:p>
        </w:tc>
        <w:tc>
          <w:tcPr>
            <w:tcW w:w="644" w:type="pct"/>
            <w:vAlign w:val="center"/>
          </w:tcPr>
          <w:p w14:paraId="634F8860">
            <w:pPr>
              <w:pStyle w:val="30"/>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sz w:val="21"/>
                <w:szCs w:val="21"/>
                <w:highlight w:val="none"/>
                <w:lang w:val="zh-CN"/>
              </w:rPr>
            </w:pPr>
            <w:r>
              <w:rPr>
                <w:color w:val="auto"/>
                <w:sz w:val="21"/>
                <w:szCs w:val="21"/>
                <w:highlight w:val="none"/>
                <w:lang w:val="zh-CN"/>
              </w:rPr>
              <w:t>水井名称</w:t>
            </w:r>
          </w:p>
        </w:tc>
        <w:tc>
          <w:tcPr>
            <w:tcW w:w="747" w:type="pct"/>
            <w:vAlign w:val="center"/>
          </w:tcPr>
          <w:p w14:paraId="2302BA18">
            <w:pPr>
              <w:pStyle w:val="30"/>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sz w:val="21"/>
                <w:szCs w:val="21"/>
                <w:highlight w:val="none"/>
                <w:lang w:val="zh-CN"/>
              </w:rPr>
            </w:pPr>
            <w:r>
              <w:rPr>
                <w:color w:val="auto"/>
                <w:sz w:val="21"/>
                <w:szCs w:val="21"/>
                <w:highlight w:val="none"/>
                <w:lang w:val="zh-CN"/>
              </w:rPr>
              <w:t>保护区半径（米）</w:t>
            </w:r>
          </w:p>
        </w:tc>
        <w:tc>
          <w:tcPr>
            <w:tcW w:w="541" w:type="pct"/>
            <w:vAlign w:val="center"/>
          </w:tcPr>
          <w:p w14:paraId="7F4DFD72">
            <w:pPr>
              <w:pStyle w:val="30"/>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z w:val="21"/>
                <w:szCs w:val="21"/>
                <w:highlight w:val="none"/>
                <w:lang w:val="zh-CN"/>
              </w:rPr>
            </w:pPr>
            <w:r>
              <w:rPr>
                <w:rFonts w:hint="eastAsia" w:ascii="Times New Roman" w:hAnsi="Times New Roman" w:eastAsia="宋体" w:cs="Times New Roman"/>
                <w:color w:val="auto"/>
                <w:sz w:val="21"/>
                <w:szCs w:val="21"/>
                <w:highlight w:val="none"/>
                <w:lang w:val="zh-CN" w:eastAsia="zh-CN"/>
              </w:rPr>
              <w:t>耕地</w:t>
            </w:r>
            <w:r>
              <w:rPr>
                <w:rFonts w:ascii="Times New Roman" w:hAnsi="Times New Roman" w:eastAsia="宋体" w:cs="Times New Roman"/>
                <w:color w:val="auto"/>
                <w:sz w:val="21"/>
                <w:szCs w:val="21"/>
                <w:highlight w:val="none"/>
                <w:lang w:val="zh-CN"/>
              </w:rPr>
              <w:t>（</w:t>
            </w:r>
            <w:r>
              <w:rPr>
                <w:rFonts w:hint="default" w:ascii="Times New Roman" w:hAnsi="Times New Roman" w:eastAsia="宋体" w:cs="Times New Roman"/>
                <w:color w:val="auto"/>
                <w:sz w:val="21"/>
                <w:szCs w:val="21"/>
                <w:highlight w:val="none"/>
                <w:lang w:val="en-US"/>
              </w:rPr>
              <w:t>公顷</w:t>
            </w:r>
            <w:r>
              <w:rPr>
                <w:rFonts w:ascii="Times New Roman" w:hAnsi="Times New Roman" w:eastAsia="宋体" w:cs="Times New Roman"/>
                <w:color w:val="auto"/>
                <w:sz w:val="21"/>
                <w:szCs w:val="21"/>
                <w:highlight w:val="none"/>
                <w:lang w:val="zh-CN"/>
              </w:rPr>
              <w:t>）</w:t>
            </w:r>
          </w:p>
        </w:tc>
        <w:tc>
          <w:tcPr>
            <w:tcW w:w="470" w:type="pct"/>
            <w:vAlign w:val="center"/>
          </w:tcPr>
          <w:p w14:paraId="3FD26648">
            <w:pPr>
              <w:pStyle w:val="30"/>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z w:val="21"/>
                <w:szCs w:val="21"/>
                <w:highlight w:val="none"/>
                <w:lang w:val="zh-CN"/>
              </w:rPr>
            </w:pPr>
            <w:r>
              <w:rPr>
                <w:rFonts w:hint="eastAsia" w:ascii="Times New Roman" w:hAnsi="Times New Roman" w:eastAsia="宋体" w:cs="Times New Roman"/>
                <w:color w:val="auto"/>
                <w:sz w:val="21"/>
                <w:szCs w:val="21"/>
                <w:highlight w:val="none"/>
                <w:lang w:val="zh-CN" w:eastAsia="zh-CN"/>
              </w:rPr>
              <w:t>林地</w:t>
            </w:r>
            <w:r>
              <w:rPr>
                <w:rFonts w:hint="eastAsia" w:ascii="Times New Roman" w:hAnsi="Times New Roman" w:eastAsia="宋体" w:cs="Times New Roman"/>
                <w:color w:val="auto"/>
                <w:sz w:val="21"/>
                <w:szCs w:val="21"/>
                <w:highlight w:val="none"/>
                <w:lang w:val="zh-CN" w:eastAsia="en-US"/>
              </w:rPr>
              <w:t>（公顷</w:t>
            </w:r>
            <w:r>
              <w:rPr>
                <w:rFonts w:ascii="Times New Roman" w:hAnsi="Times New Roman" w:eastAsia="宋体" w:cs="Times New Roman"/>
                <w:color w:val="auto"/>
                <w:sz w:val="21"/>
                <w:szCs w:val="21"/>
                <w:highlight w:val="none"/>
                <w:lang w:val="zh-CN" w:eastAsia="en-US"/>
              </w:rPr>
              <w:t>）</w:t>
            </w:r>
          </w:p>
        </w:tc>
        <w:tc>
          <w:tcPr>
            <w:tcW w:w="465" w:type="pct"/>
            <w:vAlign w:val="center"/>
          </w:tcPr>
          <w:p w14:paraId="15CDD11B">
            <w:pPr>
              <w:pStyle w:val="30"/>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Times New Roman" w:hAnsi="Times New Roman" w:eastAsia="宋体" w:cs="Times New Roman"/>
                <w:color w:val="auto"/>
                <w:sz w:val="21"/>
                <w:szCs w:val="21"/>
                <w:highlight w:val="none"/>
                <w:lang w:val="zh-CN" w:eastAsia="zh-CN"/>
              </w:rPr>
            </w:pPr>
            <w:r>
              <w:rPr>
                <w:rFonts w:hint="eastAsia" w:cs="Times New Roman"/>
                <w:color w:val="auto"/>
                <w:sz w:val="21"/>
                <w:szCs w:val="21"/>
                <w:highlight w:val="none"/>
                <w:lang w:val="zh-CN" w:eastAsia="zh-CN"/>
              </w:rPr>
              <w:t>沟渠</w:t>
            </w:r>
          </w:p>
        </w:tc>
        <w:tc>
          <w:tcPr>
            <w:tcW w:w="465" w:type="pct"/>
            <w:vAlign w:val="center"/>
          </w:tcPr>
          <w:p w14:paraId="182100D3">
            <w:pPr>
              <w:pStyle w:val="30"/>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z w:val="21"/>
                <w:szCs w:val="21"/>
                <w:highlight w:val="none"/>
                <w:lang w:val="zh-CN"/>
              </w:rPr>
            </w:pPr>
            <w:r>
              <w:rPr>
                <w:rFonts w:hint="eastAsia" w:cs="Times New Roman"/>
                <w:color w:val="auto"/>
                <w:sz w:val="21"/>
                <w:szCs w:val="21"/>
                <w:highlight w:val="none"/>
                <w:lang w:val="zh-CN" w:eastAsia="en-US"/>
              </w:rPr>
              <w:t>建筑物</w:t>
            </w:r>
          </w:p>
        </w:tc>
        <w:tc>
          <w:tcPr>
            <w:tcW w:w="499" w:type="pct"/>
            <w:vAlign w:val="center"/>
          </w:tcPr>
          <w:p w14:paraId="6A87049E">
            <w:pPr>
              <w:pStyle w:val="30"/>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cs="Times New Roman"/>
                <w:color w:val="auto"/>
                <w:sz w:val="21"/>
                <w:szCs w:val="21"/>
                <w:highlight w:val="none"/>
                <w:lang w:val="zh-CN" w:eastAsia="en-US"/>
              </w:rPr>
            </w:pPr>
            <w:r>
              <w:rPr>
                <w:rFonts w:hint="eastAsia" w:cs="Times New Roman"/>
                <w:color w:val="auto"/>
                <w:sz w:val="21"/>
                <w:szCs w:val="21"/>
                <w:highlight w:val="none"/>
                <w:lang w:val="zh-CN" w:eastAsia="en-US"/>
              </w:rPr>
              <w:t>建筑面积（平方米）</w:t>
            </w:r>
          </w:p>
        </w:tc>
        <w:tc>
          <w:tcPr>
            <w:tcW w:w="499" w:type="pct"/>
            <w:vAlign w:val="center"/>
          </w:tcPr>
          <w:p w14:paraId="0C0CD19E">
            <w:pPr>
              <w:pStyle w:val="30"/>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z w:val="21"/>
                <w:szCs w:val="21"/>
                <w:highlight w:val="none"/>
                <w:lang w:val="zh-CN"/>
              </w:rPr>
            </w:pPr>
            <w:r>
              <w:rPr>
                <w:rFonts w:hint="eastAsia" w:ascii="Times New Roman" w:hAnsi="Times New Roman" w:eastAsia="宋体" w:cs="Times New Roman"/>
                <w:color w:val="auto"/>
                <w:sz w:val="21"/>
                <w:szCs w:val="21"/>
                <w:highlight w:val="none"/>
                <w:lang w:val="zh-CN" w:eastAsia="en-US"/>
              </w:rPr>
              <w:t>道路</w:t>
            </w:r>
          </w:p>
        </w:tc>
      </w:tr>
      <w:tr w14:paraId="09FCC9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7" w:type="pct"/>
            <w:vMerge w:val="restart"/>
            <w:vAlign w:val="center"/>
          </w:tcPr>
          <w:p w14:paraId="0EB2E5A1">
            <w:pPr>
              <w:widowControl/>
              <w:spacing w:line="240" w:lineRule="auto"/>
              <w:ind w:firstLine="0" w:firstLineChars="0"/>
              <w:jc w:val="center"/>
              <w:textAlignment w:val="center"/>
              <w:rPr>
                <w:rFonts w:hint="default"/>
                <w:color w:val="auto"/>
                <w:sz w:val="21"/>
                <w:szCs w:val="21"/>
                <w:highlight w:val="none"/>
                <w:lang w:val="zh-CN"/>
              </w:rPr>
            </w:pPr>
            <w:r>
              <w:rPr>
                <w:rFonts w:hint="eastAsia" w:ascii="Times New Roman" w:hAnsi="Times New Roman" w:eastAsia="宋体" w:cs="Times New Roman"/>
                <w:color w:val="auto"/>
                <w:kern w:val="0"/>
                <w:sz w:val="21"/>
                <w:szCs w:val="21"/>
                <w:highlight w:val="none"/>
                <w:lang w:val="en-US" w:eastAsia="zh-CN" w:bidi="ar"/>
              </w:rPr>
              <w:t>绥化市庆安县发展乡</w:t>
            </w:r>
            <w:r>
              <w:rPr>
                <w:rFonts w:ascii="Times New Roman" w:hAnsi="Times New Roman" w:eastAsia="宋体" w:cs="Times New Roman"/>
                <w:color w:val="auto"/>
                <w:kern w:val="0"/>
                <w:sz w:val="21"/>
                <w:szCs w:val="21"/>
                <w:highlight w:val="none"/>
                <w:lang w:bidi="ar"/>
              </w:rPr>
              <w:t>饮用水水源地</w:t>
            </w:r>
          </w:p>
        </w:tc>
        <w:tc>
          <w:tcPr>
            <w:tcW w:w="644" w:type="pct"/>
            <w:vAlign w:val="center"/>
          </w:tcPr>
          <w:p w14:paraId="79CD57A0">
            <w:pPr>
              <w:pStyle w:val="30"/>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sz w:val="21"/>
                <w:szCs w:val="21"/>
                <w:highlight w:val="none"/>
                <w:lang w:val="zh-CN"/>
              </w:rPr>
            </w:pPr>
            <w:r>
              <w:rPr>
                <w:color w:val="auto"/>
                <w:sz w:val="21"/>
                <w:szCs w:val="21"/>
                <w:highlight w:val="none"/>
              </w:rPr>
              <w:t>1#</w:t>
            </w:r>
          </w:p>
        </w:tc>
        <w:tc>
          <w:tcPr>
            <w:tcW w:w="747" w:type="pct"/>
            <w:vAlign w:val="center"/>
          </w:tcPr>
          <w:p w14:paraId="0E79826C">
            <w:pPr>
              <w:pStyle w:val="30"/>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sz w:val="21"/>
                <w:szCs w:val="21"/>
                <w:highlight w:val="none"/>
                <w:lang w:val="zh-CN"/>
              </w:rPr>
            </w:pPr>
            <w:r>
              <w:rPr>
                <w:color w:val="auto"/>
                <w:sz w:val="21"/>
                <w:szCs w:val="21"/>
                <w:highlight w:val="none"/>
                <w:lang w:val="zh-CN"/>
              </w:rPr>
              <w:t>30</w:t>
            </w:r>
          </w:p>
        </w:tc>
        <w:tc>
          <w:tcPr>
            <w:tcW w:w="541" w:type="pct"/>
            <w:vAlign w:val="center"/>
          </w:tcPr>
          <w:p w14:paraId="052F833E">
            <w:pPr>
              <w:pStyle w:val="30"/>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0.104</w:t>
            </w:r>
          </w:p>
        </w:tc>
        <w:tc>
          <w:tcPr>
            <w:tcW w:w="470" w:type="pct"/>
            <w:vAlign w:val="center"/>
          </w:tcPr>
          <w:p w14:paraId="5ED07B5B">
            <w:pPr>
              <w:pStyle w:val="30"/>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0.130</w:t>
            </w:r>
          </w:p>
        </w:tc>
        <w:tc>
          <w:tcPr>
            <w:tcW w:w="465" w:type="pct"/>
            <w:vAlign w:val="center"/>
          </w:tcPr>
          <w:p w14:paraId="470D73C4">
            <w:pPr>
              <w:pStyle w:val="30"/>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eastAsia="宋体"/>
                <w:color w:val="auto"/>
                <w:sz w:val="21"/>
                <w:szCs w:val="21"/>
                <w:highlight w:val="none"/>
                <w:lang w:eastAsia="zh-CN"/>
              </w:rPr>
            </w:pPr>
            <w:r>
              <w:rPr>
                <w:rFonts w:hint="eastAsia"/>
                <w:color w:val="auto"/>
                <w:sz w:val="21"/>
                <w:szCs w:val="21"/>
                <w:highlight w:val="none"/>
                <w:lang w:eastAsia="zh-CN"/>
              </w:rPr>
              <w:t>无</w:t>
            </w:r>
          </w:p>
        </w:tc>
        <w:tc>
          <w:tcPr>
            <w:tcW w:w="465" w:type="pct"/>
            <w:vAlign w:val="center"/>
          </w:tcPr>
          <w:p w14:paraId="0D399FD6">
            <w:pPr>
              <w:pStyle w:val="30"/>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eastAsia="宋体"/>
                <w:color w:val="auto"/>
                <w:sz w:val="21"/>
                <w:szCs w:val="21"/>
                <w:highlight w:val="none"/>
                <w:lang w:eastAsia="zh-CN"/>
              </w:rPr>
            </w:pPr>
            <w:r>
              <w:rPr>
                <w:rFonts w:hint="eastAsia"/>
                <w:color w:val="auto"/>
                <w:sz w:val="21"/>
                <w:szCs w:val="21"/>
                <w:highlight w:val="none"/>
                <w:lang w:eastAsia="zh-CN"/>
              </w:rPr>
              <w:t>水厂用房</w:t>
            </w:r>
          </w:p>
        </w:tc>
        <w:tc>
          <w:tcPr>
            <w:tcW w:w="499" w:type="pct"/>
            <w:vAlign w:val="center"/>
          </w:tcPr>
          <w:p w14:paraId="2CC235B6">
            <w:pPr>
              <w:pStyle w:val="30"/>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sz w:val="21"/>
                <w:szCs w:val="21"/>
                <w:highlight w:val="none"/>
                <w:lang w:val="en-US" w:eastAsia="zh-CN"/>
              </w:rPr>
            </w:pPr>
            <w:r>
              <w:rPr>
                <w:rFonts w:hint="eastAsia"/>
                <w:color w:val="auto"/>
                <w:sz w:val="21"/>
                <w:szCs w:val="21"/>
                <w:highlight w:val="none"/>
                <w:lang w:val="en-US" w:eastAsia="zh-CN"/>
              </w:rPr>
              <w:t>/</w:t>
            </w:r>
          </w:p>
        </w:tc>
        <w:tc>
          <w:tcPr>
            <w:tcW w:w="499" w:type="pct"/>
            <w:vAlign w:val="center"/>
          </w:tcPr>
          <w:p w14:paraId="03406AAD">
            <w:pPr>
              <w:pStyle w:val="30"/>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eastAsia="宋体"/>
                <w:color w:val="auto"/>
                <w:sz w:val="21"/>
                <w:szCs w:val="21"/>
                <w:highlight w:val="none"/>
                <w:lang w:val="en-US" w:eastAsia="zh-CN"/>
              </w:rPr>
            </w:pPr>
            <w:r>
              <w:rPr>
                <w:rFonts w:hint="eastAsia"/>
                <w:color w:val="auto"/>
                <w:kern w:val="0"/>
                <w:sz w:val="21"/>
                <w:szCs w:val="21"/>
                <w:highlight w:val="none"/>
                <w:lang w:eastAsia="zh-CN"/>
              </w:rPr>
              <w:t>乡村道路</w:t>
            </w:r>
            <w:r>
              <w:rPr>
                <w:rFonts w:hint="eastAsia"/>
                <w:color w:val="auto"/>
                <w:sz w:val="21"/>
                <w:szCs w:val="21"/>
                <w:highlight w:val="none"/>
                <w:lang w:val="en-US" w:eastAsia="zh-CN"/>
              </w:rPr>
              <w:t>27米</w:t>
            </w:r>
          </w:p>
        </w:tc>
      </w:tr>
      <w:tr w14:paraId="79313D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7" w:type="pct"/>
            <w:vMerge w:val="continue"/>
            <w:vAlign w:val="center"/>
          </w:tcPr>
          <w:p w14:paraId="331FF9F9">
            <w:pPr>
              <w:pStyle w:val="30"/>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sz w:val="21"/>
                <w:szCs w:val="21"/>
                <w:highlight w:val="none"/>
                <w:lang w:val="zh-CN"/>
              </w:rPr>
            </w:pPr>
          </w:p>
        </w:tc>
        <w:tc>
          <w:tcPr>
            <w:tcW w:w="644" w:type="pct"/>
            <w:vAlign w:val="center"/>
          </w:tcPr>
          <w:p w14:paraId="764DCCA8">
            <w:pPr>
              <w:pStyle w:val="30"/>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sz w:val="21"/>
                <w:szCs w:val="21"/>
                <w:highlight w:val="none"/>
                <w:lang w:val="zh-CN"/>
              </w:rPr>
            </w:pPr>
            <w:r>
              <w:rPr>
                <w:color w:val="auto"/>
                <w:sz w:val="21"/>
                <w:szCs w:val="21"/>
                <w:highlight w:val="none"/>
              </w:rPr>
              <w:t>2#</w:t>
            </w:r>
          </w:p>
        </w:tc>
        <w:tc>
          <w:tcPr>
            <w:tcW w:w="747" w:type="pct"/>
            <w:vAlign w:val="center"/>
          </w:tcPr>
          <w:p w14:paraId="088AE94C">
            <w:pPr>
              <w:pStyle w:val="30"/>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sz w:val="21"/>
                <w:szCs w:val="21"/>
                <w:highlight w:val="none"/>
                <w:lang w:val="zh-CN"/>
              </w:rPr>
            </w:pPr>
            <w:r>
              <w:rPr>
                <w:color w:val="auto"/>
                <w:sz w:val="21"/>
                <w:szCs w:val="21"/>
                <w:highlight w:val="none"/>
                <w:lang w:val="zh-CN"/>
              </w:rPr>
              <w:t>30</w:t>
            </w:r>
          </w:p>
        </w:tc>
        <w:tc>
          <w:tcPr>
            <w:tcW w:w="541" w:type="pct"/>
            <w:vAlign w:val="center"/>
          </w:tcPr>
          <w:p w14:paraId="7A930713">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0.082</w:t>
            </w:r>
          </w:p>
        </w:tc>
        <w:tc>
          <w:tcPr>
            <w:tcW w:w="470" w:type="pct"/>
            <w:vAlign w:val="center"/>
          </w:tcPr>
          <w:p w14:paraId="63D0B1DD">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0.200</w:t>
            </w:r>
          </w:p>
        </w:tc>
        <w:tc>
          <w:tcPr>
            <w:tcW w:w="465" w:type="pct"/>
            <w:vAlign w:val="center"/>
          </w:tcPr>
          <w:p w14:paraId="23395C36">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rFonts w:hint="eastAsia"/>
                <w:color w:val="auto"/>
                <w:sz w:val="21"/>
                <w:szCs w:val="21"/>
                <w:highlight w:val="none"/>
                <w:lang w:eastAsia="zh-CN"/>
              </w:rPr>
              <w:t>无</w:t>
            </w:r>
          </w:p>
        </w:tc>
        <w:tc>
          <w:tcPr>
            <w:tcW w:w="465" w:type="pct"/>
            <w:vAlign w:val="center"/>
          </w:tcPr>
          <w:p w14:paraId="1A88E55A">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rFonts w:hint="eastAsia"/>
                <w:color w:val="auto"/>
                <w:sz w:val="21"/>
                <w:szCs w:val="21"/>
                <w:highlight w:val="none"/>
                <w:lang w:eastAsia="zh-CN"/>
              </w:rPr>
              <w:t>无</w:t>
            </w:r>
          </w:p>
        </w:tc>
        <w:tc>
          <w:tcPr>
            <w:tcW w:w="499" w:type="pct"/>
            <w:vAlign w:val="center"/>
          </w:tcPr>
          <w:p w14:paraId="0E2E9680">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en-US" w:eastAsia="zh-CN"/>
              </w:rPr>
            </w:pPr>
            <w:r>
              <w:rPr>
                <w:rFonts w:hint="eastAsia"/>
                <w:color w:val="auto"/>
                <w:sz w:val="21"/>
                <w:szCs w:val="21"/>
                <w:highlight w:val="none"/>
                <w:lang w:val="en-US" w:eastAsia="zh-CN"/>
              </w:rPr>
              <w:t>/</w:t>
            </w:r>
          </w:p>
        </w:tc>
        <w:tc>
          <w:tcPr>
            <w:tcW w:w="499" w:type="pct"/>
            <w:vAlign w:val="center"/>
          </w:tcPr>
          <w:p w14:paraId="0226B908">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rFonts w:hint="eastAsia"/>
                <w:color w:val="auto"/>
                <w:sz w:val="21"/>
                <w:szCs w:val="21"/>
                <w:highlight w:val="none"/>
                <w:lang w:eastAsia="zh-CN"/>
              </w:rPr>
              <w:t>无</w:t>
            </w:r>
          </w:p>
        </w:tc>
      </w:tr>
      <w:tr w14:paraId="78A2B0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7" w:type="pct"/>
            <w:vMerge w:val="continue"/>
            <w:vAlign w:val="center"/>
          </w:tcPr>
          <w:p w14:paraId="6D4BBD58">
            <w:pPr>
              <w:pStyle w:val="30"/>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sz w:val="21"/>
                <w:szCs w:val="21"/>
                <w:highlight w:val="none"/>
                <w:lang w:val="zh-CN"/>
              </w:rPr>
            </w:pPr>
          </w:p>
        </w:tc>
        <w:tc>
          <w:tcPr>
            <w:tcW w:w="644" w:type="pct"/>
            <w:vAlign w:val="center"/>
          </w:tcPr>
          <w:p w14:paraId="422383E6">
            <w:pPr>
              <w:pStyle w:val="30"/>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sz w:val="21"/>
                <w:szCs w:val="21"/>
                <w:highlight w:val="none"/>
                <w:lang w:val="zh-CN"/>
              </w:rPr>
            </w:pPr>
            <w:r>
              <w:rPr>
                <w:color w:val="auto"/>
                <w:sz w:val="21"/>
                <w:szCs w:val="21"/>
                <w:highlight w:val="none"/>
              </w:rPr>
              <w:t>3#</w:t>
            </w:r>
          </w:p>
        </w:tc>
        <w:tc>
          <w:tcPr>
            <w:tcW w:w="747" w:type="pct"/>
            <w:vAlign w:val="center"/>
          </w:tcPr>
          <w:p w14:paraId="1C45F0AC">
            <w:pPr>
              <w:pStyle w:val="30"/>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sz w:val="21"/>
                <w:szCs w:val="21"/>
                <w:highlight w:val="none"/>
                <w:lang w:val="zh-CN"/>
              </w:rPr>
            </w:pPr>
            <w:r>
              <w:rPr>
                <w:color w:val="auto"/>
                <w:sz w:val="21"/>
                <w:szCs w:val="21"/>
                <w:highlight w:val="none"/>
                <w:lang w:val="zh-CN"/>
              </w:rPr>
              <w:t>30</w:t>
            </w:r>
          </w:p>
        </w:tc>
        <w:tc>
          <w:tcPr>
            <w:tcW w:w="541" w:type="pct"/>
            <w:vAlign w:val="center"/>
          </w:tcPr>
          <w:p w14:paraId="2E59192E">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0.077</w:t>
            </w:r>
          </w:p>
        </w:tc>
        <w:tc>
          <w:tcPr>
            <w:tcW w:w="470" w:type="pct"/>
            <w:vAlign w:val="center"/>
          </w:tcPr>
          <w:p w14:paraId="3F48280C">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0.191</w:t>
            </w:r>
          </w:p>
        </w:tc>
        <w:tc>
          <w:tcPr>
            <w:tcW w:w="465" w:type="pct"/>
            <w:vAlign w:val="center"/>
          </w:tcPr>
          <w:p w14:paraId="4B05975B">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rPr>
            </w:pPr>
            <w:r>
              <w:rPr>
                <w:rFonts w:hint="eastAsia"/>
                <w:color w:val="auto"/>
                <w:sz w:val="21"/>
                <w:szCs w:val="21"/>
                <w:highlight w:val="none"/>
                <w:lang w:eastAsia="zh-CN"/>
              </w:rPr>
              <w:t>无</w:t>
            </w:r>
          </w:p>
        </w:tc>
        <w:tc>
          <w:tcPr>
            <w:tcW w:w="465" w:type="pct"/>
            <w:vAlign w:val="center"/>
          </w:tcPr>
          <w:p w14:paraId="01ECA788">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rPr>
            </w:pPr>
            <w:r>
              <w:rPr>
                <w:rFonts w:hint="eastAsia"/>
                <w:color w:val="auto"/>
                <w:sz w:val="21"/>
                <w:szCs w:val="21"/>
                <w:highlight w:val="none"/>
                <w:lang w:eastAsia="zh-CN"/>
              </w:rPr>
              <w:t>无</w:t>
            </w:r>
          </w:p>
        </w:tc>
        <w:tc>
          <w:tcPr>
            <w:tcW w:w="499" w:type="pct"/>
            <w:shd w:val="clear" w:color="auto" w:fill="auto"/>
            <w:vAlign w:val="center"/>
          </w:tcPr>
          <w:p w14:paraId="787B14C1">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en-US" w:eastAsia="zh-CN"/>
              </w:rPr>
            </w:pPr>
            <w:r>
              <w:rPr>
                <w:rFonts w:hint="eastAsia"/>
                <w:color w:val="auto"/>
                <w:sz w:val="21"/>
                <w:szCs w:val="21"/>
                <w:highlight w:val="none"/>
                <w:lang w:val="en-US" w:eastAsia="zh-CN"/>
              </w:rPr>
              <w:t>/</w:t>
            </w:r>
          </w:p>
        </w:tc>
        <w:tc>
          <w:tcPr>
            <w:tcW w:w="499" w:type="pct"/>
            <w:shd w:val="clear" w:color="auto" w:fill="auto"/>
            <w:vAlign w:val="center"/>
          </w:tcPr>
          <w:p w14:paraId="3D6B26A3">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olor w:val="auto"/>
                <w:kern w:val="0"/>
                <w:sz w:val="21"/>
                <w:szCs w:val="21"/>
                <w:highlight w:val="none"/>
                <w:lang w:eastAsia="zh-CN"/>
              </w:rPr>
              <w:t>无</w:t>
            </w:r>
          </w:p>
        </w:tc>
      </w:tr>
      <w:tr w14:paraId="7DFA98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7" w:type="pct"/>
            <w:vMerge w:val="continue"/>
            <w:vAlign w:val="center"/>
          </w:tcPr>
          <w:p w14:paraId="355C4A1A">
            <w:pPr>
              <w:pStyle w:val="30"/>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sz w:val="21"/>
                <w:szCs w:val="21"/>
                <w:highlight w:val="none"/>
                <w:lang w:val="zh-CN"/>
              </w:rPr>
            </w:pPr>
          </w:p>
        </w:tc>
        <w:tc>
          <w:tcPr>
            <w:tcW w:w="644" w:type="pct"/>
            <w:vAlign w:val="center"/>
          </w:tcPr>
          <w:p w14:paraId="3D5761A2">
            <w:pPr>
              <w:pStyle w:val="30"/>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sz w:val="21"/>
                <w:szCs w:val="21"/>
                <w:highlight w:val="none"/>
                <w:lang w:val="zh-CN"/>
              </w:rPr>
            </w:pPr>
            <w:r>
              <w:rPr>
                <w:color w:val="auto"/>
                <w:sz w:val="21"/>
                <w:szCs w:val="21"/>
                <w:highlight w:val="none"/>
              </w:rPr>
              <w:t>4#</w:t>
            </w:r>
          </w:p>
        </w:tc>
        <w:tc>
          <w:tcPr>
            <w:tcW w:w="747" w:type="pct"/>
            <w:vAlign w:val="center"/>
          </w:tcPr>
          <w:p w14:paraId="498FC9AE">
            <w:pPr>
              <w:pStyle w:val="30"/>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sz w:val="21"/>
                <w:szCs w:val="21"/>
                <w:highlight w:val="none"/>
                <w:lang w:val="zh-CN"/>
              </w:rPr>
            </w:pPr>
            <w:r>
              <w:rPr>
                <w:color w:val="auto"/>
                <w:sz w:val="21"/>
                <w:szCs w:val="21"/>
                <w:highlight w:val="none"/>
                <w:lang w:val="zh-CN"/>
              </w:rPr>
              <w:t>30</w:t>
            </w:r>
          </w:p>
        </w:tc>
        <w:tc>
          <w:tcPr>
            <w:tcW w:w="541" w:type="pct"/>
            <w:vAlign w:val="center"/>
          </w:tcPr>
          <w:p w14:paraId="6EED2836">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0.109</w:t>
            </w:r>
          </w:p>
        </w:tc>
        <w:tc>
          <w:tcPr>
            <w:tcW w:w="470" w:type="pct"/>
            <w:vAlign w:val="center"/>
          </w:tcPr>
          <w:p w14:paraId="77C7715E">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0.173</w:t>
            </w:r>
          </w:p>
        </w:tc>
        <w:tc>
          <w:tcPr>
            <w:tcW w:w="465" w:type="pct"/>
            <w:vAlign w:val="center"/>
          </w:tcPr>
          <w:p w14:paraId="301B46C3">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rPr>
            </w:pPr>
            <w:r>
              <w:rPr>
                <w:rFonts w:hint="eastAsia"/>
                <w:color w:val="auto"/>
                <w:sz w:val="21"/>
                <w:szCs w:val="21"/>
                <w:highlight w:val="none"/>
                <w:lang w:eastAsia="zh-CN"/>
              </w:rPr>
              <w:t>无</w:t>
            </w:r>
          </w:p>
        </w:tc>
        <w:tc>
          <w:tcPr>
            <w:tcW w:w="465" w:type="pct"/>
            <w:vAlign w:val="center"/>
          </w:tcPr>
          <w:p w14:paraId="4074B527">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rFonts w:hint="eastAsia"/>
                <w:color w:val="auto"/>
                <w:sz w:val="21"/>
                <w:szCs w:val="21"/>
                <w:highlight w:val="none"/>
                <w:lang w:eastAsia="zh-CN"/>
              </w:rPr>
              <w:t>无</w:t>
            </w:r>
          </w:p>
        </w:tc>
        <w:tc>
          <w:tcPr>
            <w:tcW w:w="499" w:type="pct"/>
            <w:vAlign w:val="center"/>
          </w:tcPr>
          <w:p w14:paraId="29E1EE0E">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en-US" w:eastAsia="zh-CN"/>
              </w:rPr>
            </w:pPr>
            <w:r>
              <w:rPr>
                <w:rFonts w:hint="eastAsia"/>
                <w:color w:val="auto"/>
                <w:sz w:val="21"/>
                <w:szCs w:val="21"/>
                <w:highlight w:val="none"/>
                <w:lang w:val="en-US" w:eastAsia="zh-CN"/>
              </w:rPr>
              <w:t>/</w:t>
            </w:r>
          </w:p>
        </w:tc>
        <w:tc>
          <w:tcPr>
            <w:tcW w:w="499" w:type="pct"/>
            <w:vAlign w:val="center"/>
          </w:tcPr>
          <w:p w14:paraId="3A4CFDEA">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rFonts w:hint="eastAsia"/>
                <w:color w:val="auto"/>
                <w:sz w:val="21"/>
                <w:szCs w:val="21"/>
                <w:highlight w:val="none"/>
                <w:lang w:eastAsia="zh-CN"/>
              </w:rPr>
              <w:t>无</w:t>
            </w:r>
          </w:p>
        </w:tc>
      </w:tr>
      <w:tr w14:paraId="45EE18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7" w:type="pct"/>
            <w:vMerge w:val="continue"/>
            <w:vAlign w:val="center"/>
          </w:tcPr>
          <w:p w14:paraId="4828BFFF">
            <w:pPr>
              <w:pStyle w:val="30"/>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sz w:val="21"/>
                <w:szCs w:val="21"/>
                <w:highlight w:val="none"/>
                <w:lang w:val="zh-CN"/>
              </w:rPr>
            </w:pPr>
          </w:p>
        </w:tc>
        <w:tc>
          <w:tcPr>
            <w:tcW w:w="644" w:type="pct"/>
            <w:vAlign w:val="center"/>
          </w:tcPr>
          <w:p w14:paraId="45887C6C">
            <w:pPr>
              <w:pStyle w:val="30"/>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sz w:val="21"/>
                <w:szCs w:val="21"/>
                <w:highlight w:val="none"/>
                <w:lang w:val="zh-CN"/>
              </w:rPr>
            </w:pPr>
            <w:r>
              <w:rPr>
                <w:color w:val="auto"/>
                <w:sz w:val="21"/>
                <w:szCs w:val="21"/>
                <w:highlight w:val="none"/>
              </w:rPr>
              <w:t>5#</w:t>
            </w:r>
          </w:p>
        </w:tc>
        <w:tc>
          <w:tcPr>
            <w:tcW w:w="747" w:type="pct"/>
            <w:vAlign w:val="center"/>
          </w:tcPr>
          <w:p w14:paraId="14274AEC">
            <w:pPr>
              <w:pStyle w:val="30"/>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sz w:val="21"/>
                <w:szCs w:val="21"/>
                <w:highlight w:val="none"/>
                <w:lang w:val="zh-CN"/>
              </w:rPr>
            </w:pPr>
            <w:r>
              <w:rPr>
                <w:color w:val="auto"/>
                <w:sz w:val="21"/>
                <w:szCs w:val="21"/>
                <w:highlight w:val="none"/>
                <w:lang w:val="zh-CN"/>
              </w:rPr>
              <w:t>30</w:t>
            </w:r>
          </w:p>
        </w:tc>
        <w:tc>
          <w:tcPr>
            <w:tcW w:w="541" w:type="pct"/>
            <w:vAlign w:val="center"/>
          </w:tcPr>
          <w:p w14:paraId="0017BD23">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0.085</w:t>
            </w:r>
          </w:p>
        </w:tc>
        <w:tc>
          <w:tcPr>
            <w:tcW w:w="470" w:type="pct"/>
            <w:vAlign w:val="center"/>
          </w:tcPr>
          <w:p w14:paraId="2D8E03EC">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0.197</w:t>
            </w:r>
          </w:p>
        </w:tc>
        <w:tc>
          <w:tcPr>
            <w:tcW w:w="465" w:type="pct"/>
            <w:vAlign w:val="center"/>
          </w:tcPr>
          <w:p w14:paraId="22684129">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rPr>
            </w:pPr>
            <w:r>
              <w:rPr>
                <w:rFonts w:hint="eastAsia"/>
                <w:color w:val="auto"/>
                <w:sz w:val="21"/>
                <w:szCs w:val="21"/>
                <w:highlight w:val="none"/>
                <w:lang w:eastAsia="zh-CN"/>
              </w:rPr>
              <w:t>无</w:t>
            </w:r>
          </w:p>
        </w:tc>
        <w:tc>
          <w:tcPr>
            <w:tcW w:w="465" w:type="pct"/>
            <w:vAlign w:val="center"/>
          </w:tcPr>
          <w:p w14:paraId="5FFFEEDA">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rPr>
            </w:pPr>
            <w:r>
              <w:rPr>
                <w:rFonts w:hint="eastAsia"/>
                <w:color w:val="auto"/>
                <w:sz w:val="21"/>
                <w:szCs w:val="21"/>
                <w:highlight w:val="none"/>
                <w:lang w:eastAsia="zh-CN"/>
              </w:rPr>
              <w:t>无</w:t>
            </w:r>
          </w:p>
        </w:tc>
        <w:tc>
          <w:tcPr>
            <w:tcW w:w="499" w:type="pct"/>
            <w:vAlign w:val="center"/>
          </w:tcPr>
          <w:p w14:paraId="65790CA6">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en-US" w:eastAsia="zh-CN"/>
              </w:rPr>
            </w:pPr>
            <w:r>
              <w:rPr>
                <w:rFonts w:hint="eastAsia"/>
                <w:color w:val="auto"/>
                <w:sz w:val="21"/>
                <w:szCs w:val="21"/>
                <w:highlight w:val="none"/>
                <w:lang w:val="en-US" w:eastAsia="zh-CN"/>
              </w:rPr>
              <w:t>/</w:t>
            </w:r>
          </w:p>
        </w:tc>
        <w:tc>
          <w:tcPr>
            <w:tcW w:w="499" w:type="pct"/>
            <w:vAlign w:val="center"/>
          </w:tcPr>
          <w:p w14:paraId="0797EED6">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rFonts w:hint="eastAsia"/>
                <w:color w:val="auto"/>
                <w:sz w:val="21"/>
                <w:szCs w:val="21"/>
                <w:highlight w:val="none"/>
                <w:lang w:eastAsia="zh-CN"/>
              </w:rPr>
              <w:t>无</w:t>
            </w:r>
          </w:p>
        </w:tc>
      </w:tr>
      <w:tr w14:paraId="4939B2B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7" w:type="pct"/>
            <w:vMerge w:val="continue"/>
            <w:vAlign w:val="center"/>
          </w:tcPr>
          <w:p w14:paraId="0E159820">
            <w:pPr>
              <w:pStyle w:val="30"/>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sz w:val="21"/>
                <w:szCs w:val="21"/>
                <w:highlight w:val="none"/>
                <w:lang w:val="zh-CN"/>
              </w:rPr>
            </w:pPr>
          </w:p>
        </w:tc>
        <w:tc>
          <w:tcPr>
            <w:tcW w:w="644" w:type="pct"/>
            <w:vAlign w:val="center"/>
          </w:tcPr>
          <w:p w14:paraId="1FDAF1A7">
            <w:pPr>
              <w:pStyle w:val="30"/>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sz w:val="21"/>
                <w:szCs w:val="21"/>
                <w:highlight w:val="none"/>
                <w:lang w:val="zh-CN"/>
              </w:rPr>
            </w:pPr>
            <w:r>
              <w:rPr>
                <w:color w:val="auto"/>
                <w:sz w:val="21"/>
                <w:szCs w:val="21"/>
                <w:highlight w:val="none"/>
              </w:rPr>
              <w:t>6#</w:t>
            </w:r>
          </w:p>
        </w:tc>
        <w:tc>
          <w:tcPr>
            <w:tcW w:w="747" w:type="pct"/>
            <w:vAlign w:val="center"/>
          </w:tcPr>
          <w:p w14:paraId="5E79D9A7">
            <w:pPr>
              <w:pStyle w:val="30"/>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sz w:val="21"/>
                <w:szCs w:val="21"/>
                <w:highlight w:val="none"/>
                <w:lang w:val="zh-CN"/>
              </w:rPr>
            </w:pPr>
            <w:r>
              <w:rPr>
                <w:color w:val="auto"/>
                <w:sz w:val="21"/>
                <w:szCs w:val="21"/>
                <w:highlight w:val="none"/>
                <w:lang w:val="zh-CN"/>
              </w:rPr>
              <w:t>30</w:t>
            </w:r>
          </w:p>
        </w:tc>
        <w:tc>
          <w:tcPr>
            <w:tcW w:w="541" w:type="pct"/>
            <w:vAlign w:val="center"/>
          </w:tcPr>
          <w:p w14:paraId="1608F77D">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0.174</w:t>
            </w:r>
          </w:p>
        </w:tc>
        <w:tc>
          <w:tcPr>
            <w:tcW w:w="470" w:type="pct"/>
            <w:vAlign w:val="center"/>
          </w:tcPr>
          <w:p w14:paraId="5ECB44C5">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0.108</w:t>
            </w:r>
          </w:p>
        </w:tc>
        <w:tc>
          <w:tcPr>
            <w:tcW w:w="465" w:type="pct"/>
            <w:vAlign w:val="center"/>
          </w:tcPr>
          <w:p w14:paraId="1D4ADB5C">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rFonts w:hint="eastAsia"/>
                <w:color w:val="auto"/>
                <w:sz w:val="21"/>
                <w:szCs w:val="21"/>
                <w:highlight w:val="none"/>
                <w:lang w:eastAsia="zh-CN"/>
              </w:rPr>
              <w:t>无</w:t>
            </w:r>
          </w:p>
        </w:tc>
        <w:tc>
          <w:tcPr>
            <w:tcW w:w="465" w:type="pct"/>
            <w:vAlign w:val="center"/>
          </w:tcPr>
          <w:p w14:paraId="193268F7">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rFonts w:hint="eastAsia"/>
                <w:color w:val="auto"/>
                <w:sz w:val="21"/>
                <w:szCs w:val="21"/>
                <w:highlight w:val="none"/>
                <w:lang w:eastAsia="zh-CN"/>
              </w:rPr>
              <w:t>无</w:t>
            </w:r>
          </w:p>
        </w:tc>
        <w:tc>
          <w:tcPr>
            <w:tcW w:w="499" w:type="pct"/>
            <w:vAlign w:val="center"/>
          </w:tcPr>
          <w:p w14:paraId="3B44F870">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en-US" w:eastAsia="zh-CN"/>
              </w:rPr>
            </w:pPr>
            <w:r>
              <w:rPr>
                <w:rFonts w:hint="eastAsia"/>
                <w:color w:val="auto"/>
                <w:sz w:val="21"/>
                <w:szCs w:val="21"/>
                <w:highlight w:val="none"/>
                <w:lang w:val="en-US" w:eastAsia="zh-CN"/>
              </w:rPr>
              <w:t>/</w:t>
            </w:r>
          </w:p>
        </w:tc>
        <w:tc>
          <w:tcPr>
            <w:tcW w:w="499" w:type="pct"/>
            <w:vAlign w:val="center"/>
          </w:tcPr>
          <w:p w14:paraId="3C4F246E">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rFonts w:hint="eastAsia"/>
                <w:color w:val="auto"/>
                <w:sz w:val="21"/>
                <w:szCs w:val="21"/>
                <w:highlight w:val="none"/>
                <w:lang w:eastAsia="zh-CN"/>
              </w:rPr>
              <w:t>无</w:t>
            </w:r>
          </w:p>
        </w:tc>
      </w:tr>
      <w:tr w14:paraId="31DD7B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7" w:type="pct"/>
            <w:vMerge w:val="continue"/>
            <w:vAlign w:val="center"/>
          </w:tcPr>
          <w:p w14:paraId="49BAA1FC">
            <w:pPr>
              <w:pStyle w:val="30"/>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sz w:val="21"/>
                <w:szCs w:val="21"/>
                <w:highlight w:val="none"/>
                <w:lang w:val="zh-CN"/>
              </w:rPr>
            </w:pPr>
          </w:p>
        </w:tc>
        <w:tc>
          <w:tcPr>
            <w:tcW w:w="644" w:type="pct"/>
            <w:vAlign w:val="center"/>
          </w:tcPr>
          <w:p w14:paraId="49DF394B">
            <w:pPr>
              <w:pStyle w:val="30"/>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sz w:val="21"/>
                <w:szCs w:val="21"/>
                <w:highlight w:val="none"/>
                <w:lang w:val="zh-CN"/>
              </w:rPr>
            </w:pPr>
            <w:r>
              <w:rPr>
                <w:color w:val="auto"/>
                <w:sz w:val="21"/>
                <w:szCs w:val="21"/>
                <w:highlight w:val="none"/>
              </w:rPr>
              <w:t>7#</w:t>
            </w:r>
          </w:p>
        </w:tc>
        <w:tc>
          <w:tcPr>
            <w:tcW w:w="747" w:type="pct"/>
            <w:vAlign w:val="center"/>
          </w:tcPr>
          <w:p w14:paraId="43881F95">
            <w:pPr>
              <w:pStyle w:val="30"/>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sz w:val="21"/>
                <w:szCs w:val="21"/>
                <w:highlight w:val="none"/>
                <w:lang w:val="zh-CN"/>
              </w:rPr>
            </w:pPr>
            <w:r>
              <w:rPr>
                <w:color w:val="auto"/>
                <w:sz w:val="21"/>
                <w:szCs w:val="21"/>
                <w:highlight w:val="none"/>
                <w:lang w:val="zh-CN"/>
              </w:rPr>
              <w:t>30</w:t>
            </w:r>
          </w:p>
        </w:tc>
        <w:tc>
          <w:tcPr>
            <w:tcW w:w="541" w:type="pct"/>
            <w:vAlign w:val="center"/>
          </w:tcPr>
          <w:p w14:paraId="3A07DA2C">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0.178</w:t>
            </w:r>
          </w:p>
        </w:tc>
        <w:tc>
          <w:tcPr>
            <w:tcW w:w="470" w:type="pct"/>
            <w:vAlign w:val="center"/>
          </w:tcPr>
          <w:p w14:paraId="47C400D7">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0.104</w:t>
            </w:r>
          </w:p>
        </w:tc>
        <w:tc>
          <w:tcPr>
            <w:tcW w:w="465" w:type="pct"/>
            <w:vAlign w:val="center"/>
          </w:tcPr>
          <w:p w14:paraId="79884EFE">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rFonts w:hint="eastAsia"/>
                <w:color w:val="auto"/>
                <w:sz w:val="21"/>
                <w:szCs w:val="21"/>
                <w:highlight w:val="none"/>
                <w:lang w:eastAsia="zh-CN"/>
              </w:rPr>
              <w:t>无</w:t>
            </w:r>
          </w:p>
        </w:tc>
        <w:tc>
          <w:tcPr>
            <w:tcW w:w="465" w:type="pct"/>
            <w:vAlign w:val="center"/>
          </w:tcPr>
          <w:p w14:paraId="6783A37C">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rFonts w:hint="eastAsia"/>
                <w:color w:val="auto"/>
                <w:sz w:val="21"/>
                <w:szCs w:val="21"/>
                <w:highlight w:val="none"/>
                <w:lang w:eastAsia="zh-CN"/>
              </w:rPr>
              <w:t>无</w:t>
            </w:r>
          </w:p>
        </w:tc>
        <w:tc>
          <w:tcPr>
            <w:tcW w:w="499" w:type="pct"/>
            <w:vAlign w:val="center"/>
          </w:tcPr>
          <w:p w14:paraId="0C088F95">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en-US" w:eastAsia="zh-CN"/>
              </w:rPr>
            </w:pPr>
            <w:r>
              <w:rPr>
                <w:rFonts w:hint="eastAsia"/>
                <w:color w:val="auto"/>
                <w:sz w:val="21"/>
                <w:szCs w:val="21"/>
                <w:highlight w:val="none"/>
                <w:lang w:val="en-US" w:eastAsia="zh-CN"/>
              </w:rPr>
              <w:t>/</w:t>
            </w:r>
          </w:p>
        </w:tc>
        <w:tc>
          <w:tcPr>
            <w:tcW w:w="499" w:type="pct"/>
            <w:vAlign w:val="center"/>
          </w:tcPr>
          <w:p w14:paraId="31788532">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rFonts w:hint="eastAsia"/>
                <w:color w:val="auto"/>
                <w:sz w:val="21"/>
                <w:szCs w:val="21"/>
                <w:highlight w:val="none"/>
                <w:lang w:eastAsia="zh-CN"/>
              </w:rPr>
              <w:t>无</w:t>
            </w:r>
          </w:p>
        </w:tc>
      </w:tr>
      <w:tr w14:paraId="4B9101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7" w:type="pct"/>
            <w:vMerge w:val="continue"/>
            <w:vAlign w:val="center"/>
          </w:tcPr>
          <w:p w14:paraId="64F397D0">
            <w:pPr>
              <w:pStyle w:val="30"/>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sz w:val="21"/>
                <w:szCs w:val="21"/>
                <w:highlight w:val="none"/>
                <w:lang w:val="zh-CN"/>
              </w:rPr>
            </w:pPr>
          </w:p>
        </w:tc>
        <w:tc>
          <w:tcPr>
            <w:tcW w:w="644" w:type="pct"/>
            <w:vAlign w:val="center"/>
          </w:tcPr>
          <w:p w14:paraId="3C2C33A4">
            <w:pPr>
              <w:pStyle w:val="30"/>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sz w:val="21"/>
                <w:szCs w:val="21"/>
                <w:highlight w:val="none"/>
                <w:lang w:val="zh-CN"/>
              </w:rPr>
            </w:pPr>
            <w:r>
              <w:rPr>
                <w:color w:val="auto"/>
                <w:sz w:val="21"/>
                <w:szCs w:val="21"/>
                <w:highlight w:val="none"/>
              </w:rPr>
              <w:t>8#</w:t>
            </w:r>
          </w:p>
        </w:tc>
        <w:tc>
          <w:tcPr>
            <w:tcW w:w="747" w:type="pct"/>
            <w:vAlign w:val="center"/>
          </w:tcPr>
          <w:p w14:paraId="1DF258F1">
            <w:pPr>
              <w:pStyle w:val="30"/>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sz w:val="21"/>
                <w:szCs w:val="21"/>
                <w:highlight w:val="none"/>
                <w:lang w:val="zh-CN"/>
              </w:rPr>
            </w:pPr>
            <w:r>
              <w:rPr>
                <w:color w:val="auto"/>
                <w:sz w:val="21"/>
                <w:szCs w:val="21"/>
                <w:highlight w:val="none"/>
                <w:lang w:val="zh-CN"/>
              </w:rPr>
              <w:t>30</w:t>
            </w:r>
          </w:p>
        </w:tc>
        <w:tc>
          <w:tcPr>
            <w:tcW w:w="541" w:type="pct"/>
            <w:vAlign w:val="center"/>
          </w:tcPr>
          <w:p w14:paraId="4D5204E5">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0.070</w:t>
            </w:r>
          </w:p>
        </w:tc>
        <w:tc>
          <w:tcPr>
            <w:tcW w:w="470" w:type="pct"/>
            <w:vAlign w:val="center"/>
          </w:tcPr>
          <w:p w14:paraId="176EE85E">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0.192</w:t>
            </w:r>
          </w:p>
        </w:tc>
        <w:tc>
          <w:tcPr>
            <w:tcW w:w="465" w:type="pct"/>
            <w:vAlign w:val="center"/>
          </w:tcPr>
          <w:p w14:paraId="1D487DC8">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rFonts w:hint="eastAsia"/>
                <w:color w:val="auto"/>
                <w:sz w:val="21"/>
                <w:szCs w:val="21"/>
                <w:highlight w:val="none"/>
                <w:lang w:eastAsia="zh-CN"/>
              </w:rPr>
              <w:t>无</w:t>
            </w:r>
          </w:p>
        </w:tc>
        <w:tc>
          <w:tcPr>
            <w:tcW w:w="465" w:type="pct"/>
            <w:vAlign w:val="center"/>
          </w:tcPr>
          <w:p w14:paraId="377B3B2F">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rFonts w:hint="eastAsia"/>
                <w:color w:val="auto"/>
                <w:sz w:val="21"/>
                <w:szCs w:val="21"/>
                <w:highlight w:val="none"/>
                <w:lang w:eastAsia="zh-CN"/>
              </w:rPr>
              <w:t>无</w:t>
            </w:r>
          </w:p>
        </w:tc>
        <w:tc>
          <w:tcPr>
            <w:tcW w:w="499" w:type="pct"/>
            <w:vAlign w:val="center"/>
          </w:tcPr>
          <w:p w14:paraId="1CEA5722">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en-US" w:eastAsia="zh-CN"/>
              </w:rPr>
            </w:pPr>
            <w:r>
              <w:rPr>
                <w:rFonts w:hint="eastAsia"/>
                <w:color w:val="auto"/>
                <w:sz w:val="21"/>
                <w:szCs w:val="21"/>
                <w:highlight w:val="none"/>
                <w:lang w:val="en-US" w:eastAsia="zh-CN"/>
              </w:rPr>
              <w:t>/</w:t>
            </w:r>
          </w:p>
        </w:tc>
        <w:tc>
          <w:tcPr>
            <w:tcW w:w="499" w:type="pct"/>
            <w:vAlign w:val="center"/>
          </w:tcPr>
          <w:p w14:paraId="17C919CE">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eastAsia="宋体"/>
                <w:color w:val="auto"/>
                <w:sz w:val="21"/>
                <w:szCs w:val="21"/>
                <w:highlight w:val="none"/>
                <w:lang w:val="en-US" w:eastAsia="zh-CN"/>
              </w:rPr>
            </w:pPr>
            <w:r>
              <w:rPr>
                <w:rFonts w:hint="eastAsia"/>
                <w:color w:val="auto"/>
                <w:kern w:val="0"/>
                <w:sz w:val="21"/>
                <w:szCs w:val="21"/>
                <w:highlight w:val="none"/>
                <w:lang w:eastAsia="zh-CN"/>
              </w:rPr>
              <w:t>乡村道路</w:t>
            </w:r>
            <w:r>
              <w:rPr>
                <w:rFonts w:hint="eastAsia"/>
                <w:color w:val="auto"/>
                <w:kern w:val="0"/>
                <w:sz w:val="21"/>
                <w:szCs w:val="21"/>
                <w:highlight w:val="none"/>
                <w:lang w:val="en-US" w:eastAsia="zh-CN"/>
              </w:rPr>
              <w:t>6</w:t>
            </w:r>
            <w:r>
              <w:rPr>
                <w:rFonts w:hint="eastAsia"/>
                <w:color w:val="auto"/>
                <w:sz w:val="21"/>
                <w:szCs w:val="21"/>
                <w:highlight w:val="none"/>
                <w:lang w:val="en-US" w:eastAsia="zh-CN"/>
              </w:rPr>
              <w:t>0米</w:t>
            </w:r>
          </w:p>
        </w:tc>
      </w:tr>
      <w:tr w14:paraId="7CBFC9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7" w:type="pct"/>
            <w:vMerge w:val="restart"/>
            <w:vAlign w:val="center"/>
          </w:tcPr>
          <w:p w14:paraId="6E5BDC95">
            <w:pPr>
              <w:widowControl/>
              <w:spacing w:line="240" w:lineRule="auto"/>
              <w:ind w:firstLine="0" w:firstLineChars="0"/>
              <w:jc w:val="center"/>
              <w:textAlignment w:val="center"/>
              <w:rPr>
                <w:rFonts w:hint="default"/>
                <w:color w:val="auto"/>
                <w:sz w:val="21"/>
                <w:szCs w:val="21"/>
                <w:highlight w:val="none"/>
                <w:lang w:val="zh-CN"/>
              </w:rPr>
            </w:pPr>
            <w:r>
              <w:rPr>
                <w:rFonts w:hint="eastAsia" w:ascii="Times New Roman" w:hAnsi="Times New Roman" w:eastAsia="宋体" w:cs="Times New Roman"/>
                <w:color w:val="auto"/>
                <w:kern w:val="0"/>
                <w:sz w:val="21"/>
                <w:szCs w:val="21"/>
                <w:highlight w:val="none"/>
                <w:lang w:val="en-US" w:eastAsia="zh-CN" w:bidi="ar"/>
              </w:rPr>
              <w:t>绥化市庆安县建民乡</w:t>
            </w:r>
            <w:r>
              <w:rPr>
                <w:rFonts w:ascii="Times New Roman" w:hAnsi="Times New Roman" w:eastAsia="宋体" w:cs="Times New Roman"/>
                <w:color w:val="auto"/>
                <w:kern w:val="0"/>
                <w:sz w:val="21"/>
                <w:szCs w:val="21"/>
                <w:highlight w:val="none"/>
                <w:lang w:bidi="ar"/>
              </w:rPr>
              <w:t>饮用水水源地</w:t>
            </w:r>
          </w:p>
        </w:tc>
        <w:tc>
          <w:tcPr>
            <w:tcW w:w="644" w:type="pct"/>
            <w:vAlign w:val="center"/>
          </w:tcPr>
          <w:p w14:paraId="347BFC42">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color w:val="auto"/>
                <w:sz w:val="21"/>
                <w:szCs w:val="21"/>
                <w:highlight w:val="none"/>
              </w:rPr>
              <w:t>1#</w:t>
            </w:r>
          </w:p>
        </w:tc>
        <w:tc>
          <w:tcPr>
            <w:tcW w:w="747" w:type="pct"/>
            <w:vAlign w:val="center"/>
          </w:tcPr>
          <w:p w14:paraId="5909E17D">
            <w:pPr>
              <w:pStyle w:val="30"/>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sz w:val="21"/>
                <w:szCs w:val="21"/>
                <w:highlight w:val="none"/>
                <w:lang w:val="zh-CN"/>
              </w:rPr>
            </w:pPr>
            <w:r>
              <w:rPr>
                <w:color w:val="auto"/>
                <w:sz w:val="21"/>
                <w:szCs w:val="21"/>
                <w:highlight w:val="none"/>
                <w:lang w:val="zh-CN"/>
              </w:rPr>
              <w:t>30</w:t>
            </w:r>
          </w:p>
        </w:tc>
        <w:tc>
          <w:tcPr>
            <w:tcW w:w="541" w:type="pct"/>
            <w:vAlign w:val="center"/>
          </w:tcPr>
          <w:p w14:paraId="0D7C337E">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0.001</w:t>
            </w:r>
          </w:p>
        </w:tc>
        <w:tc>
          <w:tcPr>
            <w:tcW w:w="470" w:type="pct"/>
            <w:vAlign w:val="center"/>
          </w:tcPr>
          <w:p w14:paraId="154DE120">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0.247</w:t>
            </w:r>
          </w:p>
        </w:tc>
        <w:tc>
          <w:tcPr>
            <w:tcW w:w="465" w:type="pct"/>
            <w:vAlign w:val="center"/>
          </w:tcPr>
          <w:p w14:paraId="03835E84">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36米</w:t>
            </w:r>
          </w:p>
        </w:tc>
        <w:tc>
          <w:tcPr>
            <w:tcW w:w="465" w:type="pct"/>
            <w:vAlign w:val="center"/>
          </w:tcPr>
          <w:p w14:paraId="37C93CB7">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rFonts w:hint="eastAsia"/>
                <w:color w:val="auto"/>
                <w:sz w:val="21"/>
                <w:szCs w:val="21"/>
                <w:highlight w:val="none"/>
                <w:lang w:eastAsia="zh-CN"/>
              </w:rPr>
              <w:t>无</w:t>
            </w:r>
          </w:p>
        </w:tc>
        <w:tc>
          <w:tcPr>
            <w:tcW w:w="499" w:type="pct"/>
            <w:vAlign w:val="center"/>
          </w:tcPr>
          <w:p w14:paraId="72165BF6">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en-US" w:eastAsia="zh-CN"/>
              </w:rPr>
            </w:pPr>
            <w:r>
              <w:rPr>
                <w:rFonts w:hint="eastAsia"/>
                <w:color w:val="auto"/>
                <w:sz w:val="21"/>
                <w:szCs w:val="21"/>
                <w:highlight w:val="none"/>
                <w:lang w:val="en-US" w:eastAsia="zh-CN"/>
              </w:rPr>
              <w:t>/</w:t>
            </w:r>
          </w:p>
        </w:tc>
        <w:tc>
          <w:tcPr>
            <w:tcW w:w="499" w:type="pct"/>
            <w:vAlign w:val="center"/>
          </w:tcPr>
          <w:p w14:paraId="061F3260">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eastAsia="宋体"/>
                <w:color w:val="auto"/>
                <w:sz w:val="21"/>
                <w:szCs w:val="21"/>
                <w:highlight w:val="none"/>
                <w:lang w:val="en-US" w:eastAsia="zh-CN"/>
              </w:rPr>
            </w:pPr>
            <w:r>
              <w:rPr>
                <w:rFonts w:hint="eastAsia"/>
                <w:color w:val="auto"/>
                <w:kern w:val="0"/>
                <w:sz w:val="21"/>
                <w:szCs w:val="21"/>
                <w:highlight w:val="none"/>
                <w:lang w:eastAsia="zh-CN"/>
              </w:rPr>
              <w:t>乡村道路</w:t>
            </w:r>
            <w:r>
              <w:rPr>
                <w:rFonts w:hint="eastAsia"/>
                <w:color w:val="auto"/>
                <w:sz w:val="21"/>
                <w:szCs w:val="21"/>
                <w:highlight w:val="none"/>
                <w:lang w:val="en-US" w:eastAsia="zh-CN"/>
              </w:rPr>
              <w:t>25米</w:t>
            </w:r>
          </w:p>
        </w:tc>
      </w:tr>
      <w:tr w14:paraId="283153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7" w:type="pct"/>
            <w:vMerge w:val="continue"/>
            <w:vAlign w:val="center"/>
          </w:tcPr>
          <w:p w14:paraId="758F29F0">
            <w:pPr>
              <w:pStyle w:val="30"/>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sz w:val="21"/>
                <w:szCs w:val="21"/>
                <w:highlight w:val="none"/>
                <w:lang w:val="zh-CN"/>
              </w:rPr>
            </w:pPr>
          </w:p>
        </w:tc>
        <w:tc>
          <w:tcPr>
            <w:tcW w:w="644" w:type="pct"/>
            <w:vAlign w:val="center"/>
          </w:tcPr>
          <w:p w14:paraId="1365CC97">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color w:val="auto"/>
                <w:sz w:val="21"/>
                <w:szCs w:val="21"/>
                <w:highlight w:val="none"/>
              </w:rPr>
              <w:t>2#</w:t>
            </w:r>
          </w:p>
        </w:tc>
        <w:tc>
          <w:tcPr>
            <w:tcW w:w="747" w:type="pct"/>
            <w:vAlign w:val="center"/>
          </w:tcPr>
          <w:p w14:paraId="109C3CBE">
            <w:pPr>
              <w:pStyle w:val="30"/>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sz w:val="21"/>
                <w:szCs w:val="21"/>
                <w:highlight w:val="none"/>
                <w:lang w:val="zh-CN"/>
              </w:rPr>
            </w:pPr>
            <w:r>
              <w:rPr>
                <w:color w:val="auto"/>
                <w:sz w:val="21"/>
                <w:szCs w:val="21"/>
                <w:highlight w:val="none"/>
                <w:lang w:val="zh-CN"/>
              </w:rPr>
              <w:t>30</w:t>
            </w:r>
          </w:p>
        </w:tc>
        <w:tc>
          <w:tcPr>
            <w:tcW w:w="541" w:type="pct"/>
            <w:vAlign w:val="center"/>
          </w:tcPr>
          <w:p w14:paraId="11CB10C4">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0.094</w:t>
            </w:r>
          </w:p>
        </w:tc>
        <w:tc>
          <w:tcPr>
            <w:tcW w:w="470" w:type="pct"/>
            <w:vAlign w:val="center"/>
          </w:tcPr>
          <w:p w14:paraId="390FC995">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0.159</w:t>
            </w:r>
          </w:p>
        </w:tc>
        <w:tc>
          <w:tcPr>
            <w:tcW w:w="465" w:type="pct"/>
            <w:vAlign w:val="center"/>
          </w:tcPr>
          <w:p w14:paraId="1F47D707">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rFonts w:hint="eastAsia"/>
                <w:color w:val="auto"/>
                <w:sz w:val="21"/>
                <w:szCs w:val="21"/>
                <w:highlight w:val="none"/>
                <w:lang w:eastAsia="zh-CN"/>
              </w:rPr>
              <w:t>无</w:t>
            </w:r>
          </w:p>
        </w:tc>
        <w:tc>
          <w:tcPr>
            <w:tcW w:w="465" w:type="pct"/>
            <w:vAlign w:val="center"/>
          </w:tcPr>
          <w:p w14:paraId="2886ED30">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rFonts w:hint="eastAsia"/>
                <w:color w:val="auto"/>
                <w:sz w:val="21"/>
                <w:szCs w:val="21"/>
                <w:highlight w:val="none"/>
                <w:lang w:eastAsia="zh-CN"/>
              </w:rPr>
              <w:t>无</w:t>
            </w:r>
          </w:p>
        </w:tc>
        <w:tc>
          <w:tcPr>
            <w:tcW w:w="499" w:type="pct"/>
            <w:vAlign w:val="center"/>
          </w:tcPr>
          <w:p w14:paraId="3F6C4C7F">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en-US" w:eastAsia="zh-CN"/>
              </w:rPr>
            </w:pPr>
            <w:r>
              <w:rPr>
                <w:rFonts w:hint="eastAsia"/>
                <w:color w:val="auto"/>
                <w:sz w:val="21"/>
                <w:szCs w:val="21"/>
                <w:highlight w:val="none"/>
                <w:lang w:val="en-US" w:eastAsia="zh-CN"/>
              </w:rPr>
              <w:t>/</w:t>
            </w:r>
          </w:p>
        </w:tc>
        <w:tc>
          <w:tcPr>
            <w:tcW w:w="499" w:type="pct"/>
            <w:vAlign w:val="center"/>
          </w:tcPr>
          <w:p w14:paraId="2BDA07F8">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eastAsia="宋体"/>
                <w:color w:val="auto"/>
                <w:sz w:val="21"/>
                <w:szCs w:val="21"/>
                <w:highlight w:val="none"/>
                <w:lang w:val="en-US" w:eastAsia="zh-CN"/>
              </w:rPr>
            </w:pPr>
            <w:r>
              <w:rPr>
                <w:rFonts w:hint="eastAsia"/>
                <w:color w:val="auto"/>
                <w:kern w:val="0"/>
                <w:sz w:val="21"/>
                <w:szCs w:val="21"/>
                <w:highlight w:val="none"/>
                <w:lang w:eastAsia="zh-CN"/>
              </w:rPr>
              <w:t>乡村道路</w:t>
            </w:r>
            <w:r>
              <w:rPr>
                <w:rFonts w:hint="eastAsia"/>
                <w:color w:val="auto"/>
                <w:sz w:val="21"/>
                <w:szCs w:val="21"/>
                <w:highlight w:val="none"/>
                <w:lang w:val="en-US" w:eastAsia="zh-CN"/>
              </w:rPr>
              <w:t>26米</w:t>
            </w:r>
          </w:p>
        </w:tc>
      </w:tr>
      <w:tr w14:paraId="179574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7" w:type="pct"/>
            <w:vMerge w:val="continue"/>
            <w:vAlign w:val="center"/>
          </w:tcPr>
          <w:p w14:paraId="701D9608">
            <w:pPr>
              <w:pStyle w:val="30"/>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sz w:val="21"/>
                <w:szCs w:val="21"/>
                <w:highlight w:val="none"/>
                <w:lang w:val="zh-CN"/>
              </w:rPr>
            </w:pPr>
          </w:p>
        </w:tc>
        <w:tc>
          <w:tcPr>
            <w:tcW w:w="644" w:type="pct"/>
            <w:vAlign w:val="center"/>
          </w:tcPr>
          <w:p w14:paraId="3A8AD086">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color w:val="auto"/>
                <w:sz w:val="21"/>
                <w:szCs w:val="21"/>
                <w:highlight w:val="none"/>
              </w:rPr>
              <w:t>3#</w:t>
            </w:r>
          </w:p>
        </w:tc>
        <w:tc>
          <w:tcPr>
            <w:tcW w:w="747" w:type="pct"/>
            <w:vAlign w:val="center"/>
          </w:tcPr>
          <w:p w14:paraId="3938B0BC">
            <w:pPr>
              <w:pStyle w:val="30"/>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sz w:val="21"/>
                <w:szCs w:val="21"/>
                <w:highlight w:val="none"/>
                <w:lang w:val="zh-CN"/>
              </w:rPr>
            </w:pPr>
            <w:r>
              <w:rPr>
                <w:color w:val="auto"/>
                <w:sz w:val="21"/>
                <w:szCs w:val="21"/>
                <w:highlight w:val="none"/>
                <w:lang w:val="zh-CN"/>
              </w:rPr>
              <w:t>30</w:t>
            </w:r>
          </w:p>
        </w:tc>
        <w:tc>
          <w:tcPr>
            <w:tcW w:w="541" w:type="pct"/>
            <w:vAlign w:val="center"/>
          </w:tcPr>
          <w:p w14:paraId="66B4D97E">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0.282</w:t>
            </w:r>
          </w:p>
        </w:tc>
        <w:tc>
          <w:tcPr>
            <w:tcW w:w="470" w:type="pct"/>
            <w:vAlign w:val="center"/>
          </w:tcPr>
          <w:p w14:paraId="33B39497">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rFonts w:hint="eastAsia"/>
                <w:color w:val="auto"/>
                <w:sz w:val="21"/>
                <w:szCs w:val="21"/>
                <w:highlight w:val="none"/>
                <w:lang w:val="zh-CN"/>
              </w:rPr>
              <w:t>无</w:t>
            </w:r>
          </w:p>
        </w:tc>
        <w:tc>
          <w:tcPr>
            <w:tcW w:w="465" w:type="pct"/>
            <w:vAlign w:val="center"/>
          </w:tcPr>
          <w:p w14:paraId="16852764">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rFonts w:hint="eastAsia"/>
                <w:color w:val="auto"/>
                <w:sz w:val="21"/>
                <w:szCs w:val="21"/>
                <w:highlight w:val="none"/>
                <w:lang w:eastAsia="zh-CN"/>
              </w:rPr>
              <w:t>无</w:t>
            </w:r>
          </w:p>
        </w:tc>
        <w:tc>
          <w:tcPr>
            <w:tcW w:w="465" w:type="pct"/>
            <w:vAlign w:val="center"/>
          </w:tcPr>
          <w:p w14:paraId="2FA09CC2">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eastAsia="宋体"/>
                <w:color w:val="auto"/>
                <w:sz w:val="21"/>
                <w:szCs w:val="21"/>
                <w:highlight w:val="none"/>
                <w:lang w:val="en-US" w:eastAsia="zh-CN"/>
              </w:rPr>
            </w:pPr>
            <w:r>
              <w:rPr>
                <w:rFonts w:hint="eastAsia"/>
                <w:color w:val="auto"/>
                <w:sz w:val="21"/>
                <w:szCs w:val="21"/>
                <w:highlight w:val="none"/>
                <w:lang w:eastAsia="zh-CN"/>
              </w:rPr>
              <w:t>无</w:t>
            </w:r>
          </w:p>
        </w:tc>
        <w:tc>
          <w:tcPr>
            <w:tcW w:w="499" w:type="pct"/>
            <w:vAlign w:val="center"/>
          </w:tcPr>
          <w:p w14:paraId="12820098">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en-US" w:eastAsia="zh-CN"/>
              </w:rPr>
            </w:pPr>
            <w:r>
              <w:rPr>
                <w:rFonts w:hint="eastAsia"/>
                <w:color w:val="auto"/>
                <w:sz w:val="21"/>
                <w:szCs w:val="21"/>
                <w:highlight w:val="none"/>
                <w:lang w:val="en-US" w:eastAsia="zh-CN"/>
              </w:rPr>
              <w:t>/</w:t>
            </w:r>
          </w:p>
        </w:tc>
        <w:tc>
          <w:tcPr>
            <w:tcW w:w="499" w:type="pct"/>
            <w:vAlign w:val="center"/>
          </w:tcPr>
          <w:p w14:paraId="39BCFED1">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eastAsia="宋体"/>
                <w:color w:val="auto"/>
                <w:sz w:val="21"/>
                <w:szCs w:val="21"/>
                <w:highlight w:val="none"/>
                <w:lang w:val="en-US" w:eastAsia="zh-CN"/>
              </w:rPr>
            </w:pPr>
            <w:r>
              <w:rPr>
                <w:rFonts w:hint="eastAsia"/>
                <w:color w:val="auto"/>
                <w:kern w:val="0"/>
                <w:sz w:val="21"/>
                <w:szCs w:val="21"/>
                <w:highlight w:val="none"/>
                <w:lang w:eastAsia="zh-CN"/>
              </w:rPr>
              <w:t>无</w:t>
            </w:r>
          </w:p>
        </w:tc>
      </w:tr>
      <w:tr w14:paraId="636E40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7" w:type="pct"/>
            <w:vMerge w:val="restart"/>
            <w:vAlign w:val="center"/>
          </w:tcPr>
          <w:p w14:paraId="50981AB6">
            <w:pPr>
              <w:widowControl/>
              <w:spacing w:line="240" w:lineRule="auto"/>
              <w:ind w:firstLine="0" w:firstLineChars="0"/>
              <w:jc w:val="center"/>
              <w:textAlignment w:val="center"/>
              <w:rPr>
                <w:rFonts w:hint="default"/>
                <w:color w:val="auto"/>
                <w:sz w:val="21"/>
                <w:szCs w:val="21"/>
                <w:highlight w:val="none"/>
                <w:lang w:val="zh-CN"/>
              </w:rPr>
            </w:pPr>
            <w:r>
              <w:rPr>
                <w:rFonts w:hint="eastAsia" w:ascii="Times New Roman" w:hAnsi="Times New Roman" w:eastAsia="宋体" w:cs="Times New Roman"/>
                <w:color w:val="auto"/>
                <w:kern w:val="0"/>
                <w:sz w:val="21"/>
                <w:szCs w:val="21"/>
                <w:highlight w:val="none"/>
                <w:lang w:val="en-US" w:eastAsia="zh-CN" w:bidi="ar"/>
              </w:rPr>
              <w:t>绥化市庆安县同乐镇</w:t>
            </w:r>
            <w:r>
              <w:rPr>
                <w:rFonts w:ascii="Times New Roman" w:hAnsi="Times New Roman" w:eastAsia="宋体" w:cs="Times New Roman"/>
                <w:color w:val="auto"/>
                <w:kern w:val="0"/>
                <w:sz w:val="21"/>
                <w:szCs w:val="21"/>
                <w:highlight w:val="none"/>
                <w:lang w:bidi="ar"/>
              </w:rPr>
              <w:t>饮用水水源地</w:t>
            </w:r>
          </w:p>
        </w:tc>
        <w:tc>
          <w:tcPr>
            <w:tcW w:w="644" w:type="pct"/>
            <w:vAlign w:val="center"/>
          </w:tcPr>
          <w:p w14:paraId="15DCB141">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color w:val="auto"/>
                <w:sz w:val="21"/>
                <w:szCs w:val="21"/>
                <w:highlight w:val="none"/>
              </w:rPr>
              <w:t>1#</w:t>
            </w:r>
          </w:p>
        </w:tc>
        <w:tc>
          <w:tcPr>
            <w:tcW w:w="747" w:type="pct"/>
            <w:vAlign w:val="center"/>
          </w:tcPr>
          <w:p w14:paraId="135EBE8A">
            <w:pPr>
              <w:pStyle w:val="30"/>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sz w:val="21"/>
                <w:szCs w:val="21"/>
                <w:highlight w:val="none"/>
                <w:lang w:val="zh-CN"/>
              </w:rPr>
            </w:pPr>
            <w:r>
              <w:rPr>
                <w:color w:val="auto"/>
                <w:sz w:val="21"/>
                <w:szCs w:val="21"/>
                <w:highlight w:val="none"/>
                <w:lang w:val="zh-CN"/>
              </w:rPr>
              <w:t>30</w:t>
            </w:r>
          </w:p>
        </w:tc>
        <w:tc>
          <w:tcPr>
            <w:tcW w:w="541" w:type="pct"/>
            <w:vAlign w:val="center"/>
          </w:tcPr>
          <w:p w14:paraId="5EBB2750">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0.167</w:t>
            </w:r>
          </w:p>
        </w:tc>
        <w:tc>
          <w:tcPr>
            <w:tcW w:w="470" w:type="pct"/>
            <w:vAlign w:val="center"/>
          </w:tcPr>
          <w:p w14:paraId="793E017E">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0.068</w:t>
            </w:r>
          </w:p>
        </w:tc>
        <w:tc>
          <w:tcPr>
            <w:tcW w:w="465" w:type="pct"/>
            <w:vAlign w:val="center"/>
          </w:tcPr>
          <w:p w14:paraId="7F202822">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rFonts w:hint="eastAsia"/>
                <w:color w:val="auto"/>
                <w:sz w:val="21"/>
                <w:szCs w:val="21"/>
                <w:highlight w:val="none"/>
                <w:lang w:eastAsia="zh-CN"/>
              </w:rPr>
              <w:t>无</w:t>
            </w:r>
          </w:p>
        </w:tc>
        <w:tc>
          <w:tcPr>
            <w:tcW w:w="465" w:type="pct"/>
            <w:vAlign w:val="center"/>
          </w:tcPr>
          <w:p w14:paraId="3281FCBE">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rFonts w:hint="eastAsia"/>
                <w:color w:val="auto"/>
                <w:sz w:val="21"/>
                <w:szCs w:val="21"/>
                <w:highlight w:val="none"/>
                <w:lang w:val="zh-CN"/>
              </w:rPr>
              <w:t>水厂用房</w:t>
            </w:r>
          </w:p>
        </w:tc>
        <w:tc>
          <w:tcPr>
            <w:tcW w:w="499" w:type="pct"/>
            <w:vAlign w:val="center"/>
          </w:tcPr>
          <w:p w14:paraId="16367899">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eastAsia="宋体"/>
                <w:color w:val="auto"/>
                <w:sz w:val="21"/>
                <w:szCs w:val="21"/>
                <w:highlight w:val="none"/>
                <w:lang w:val="en-US" w:eastAsia="zh-CN"/>
              </w:rPr>
            </w:pPr>
            <w:r>
              <w:rPr>
                <w:rFonts w:hint="eastAsia"/>
                <w:color w:val="auto"/>
                <w:sz w:val="21"/>
                <w:szCs w:val="21"/>
                <w:highlight w:val="none"/>
                <w:lang w:val="en-US" w:eastAsia="zh-CN"/>
              </w:rPr>
              <w:t>/</w:t>
            </w:r>
          </w:p>
        </w:tc>
        <w:tc>
          <w:tcPr>
            <w:tcW w:w="499" w:type="pct"/>
            <w:vAlign w:val="center"/>
          </w:tcPr>
          <w:p w14:paraId="4E2AAD95">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rFonts w:hint="eastAsia"/>
                <w:color w:val="auto"/>
                <w:sz w:val="21"/>
                <w:szCs w:val="21"/>
                <w:highlight w:val="none"/>
                <w:lang w:eastAsia="zh-CN"/>
              </w:rPr>
              <w:t>无</w:t>
            </w:r>
          </w:p>
        </w:tc>
      </w:tr>
      <w:tr w14:paraId="1ED0E7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7" w:type="pct"/>
            <w:vMerge w:val="continue"/>
            <w:vAlign w:val="center"/>
          </w:tcPr>
          <w:p w14:paraId="4276D98D">
            <w:pPr>
              <w:pStyle w:val="30"/>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sz w:val="21"/>
                <w:szCs w:val="21"/>
                <w:highlight w:val="none"/>
                <w:lang w:val="zh-CN"/>
              </w:rPr>
            </w:pPr>
          </w:p>
        </w:tc>
        <w:tc>
          <w:tcPr>
            <w:tcW w:w="644" w:type="pct"/>
            <w:vAlign w:val="center"/>
          </w:tcPr>
          <w:p w14:paraId="48E76CA2">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color w:val="auto"/>
                <w:sz w:val="21"/>
                <w:szCs w:val="21"/>
                <w:highlight w:val="none"/>
              </w:rPr>
              <w:t>2#</w:t>
            </w:r>
          </w:p>
        </w:tc>
        <w:tc>
          <w:tcPr>
            <w:tcW w:w="747" w:type="pct"/>
            <w:vAlign w:val="center"/>
          </w:tcPr>
          <w:p w14:paraId="3676ECF7">
            <w:pPr>
              <w:pStyle w:val="30"/>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sz w:val="21"/>
                <w:szCs w:val="21"/>
                <w:highlight w:val="none"/>
                <w:lang w:val="zh-CN"/>
              </w:rPr>
            </w:pPr>
            <w:r>
              <w:rPr>
                <w:color w:val="auto"/>
                <w:sz w:val="21"/>
                <w:szCs w:val="21"/>
                <w:highlight w:val="none"/>
                <w:lang w:val="zh-CN"/>
              </w:rPr>
              <w:t>30</w:t>
            </w:r>
          </w:p>
        </w:tc>
        <w:tc>
          <w:tcPr>
            <w:tcW w:w="541" w:type="pct"/>
            <w:vAlign w:val="center"/>
          </w:tcPr>
          <w:p w14:paraId="02EE272E">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0.158</w:t>
            </w:r>
          </w:p>
        </w:tc>
        <w:tc>
          <w:tcPr>
            <w:tcW w:w="470" w:type="pct"/>
            <w:vAlign w:val="center"/>
          </w:tcPr>
          <w:p w14:paraId="653D96C8">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0.094</w:t>
            </w:r>
          </w:p>
        </w:tc>
        <w:tc>
          <w:tcPr>
            <w:tcW w:w="465" w:type="pct"/>
            <w:vAlign w:val="center"/>
          </w:tcPr>
          <w:p w14:paraId="0DED6DF8">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rFonts w:hint="eastAsia"/>
                <w:color w:val="auto"/>
                <w:sz w:val="21"/>
                <w:szCs w:val="21"/>
                <w:highlight w:val="none"/>
                <w:lang w:eastAsia="zh-CN"/>
              </w:rPr>
              <w:t>无</w:t>
            </w:r>
          </w:p>
        </w:tc>
        <w:tc>
          <w:tcPr>
            <w:tcW w:w="465" w:type="pct"/>
            <w:vAlign w:val="center"/>
          </w:tcPr>
          <w:p w14:paraId="735FF401">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en-US"/>
              </w:rPr>
            </w:pPr>
            <w:r>
              <w:rPr>
                <w:rFonts w:hint="eastAsia"/>
                <w:color w:val="auto"/>
                <w:sz w:val="21"/>
                <w:szCs w:val="21"/>
                <w:highlight w:val="none"/>
                <w:lang w:eastAsia="zh-CN"/>
              </w:rPr>
              <w:t>无</w:t>
            </w:r>
          </w:p>
        </w:tc>
        <w:tc>
          <w:tcPr>
            <w:tcW w:w="499" w:type="pct"/>
            <w:vAlign w:val="center"/>
          </w:tcPr>
          <w:p w14:paraId="27790094">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en-US" w:eastAsia="zh-CN"/>
              </w:rPr>
            </w:pPr>
            <w:r>
              <w:rPr>
                <w:rFonts w:hint="eastAsia"/>
                <w:color w:val="auto"/>
                <w:sz w:val="21"/>
                <w:szCs w:val="21"/>
                <w:highlight w:val="none"/>
                <w:lang w:val="en-US" w:eastAsia="zh-CN"/>
              </w:rPr>
              <w:t>/</w:t>
            </w:r>
          </w:p>
        </w:tc>
        <w:tc>
          <w:tcPr>
            <w:tcW w:w="499" w:type="pct"/>
            <w:vAlign w:val="center"/>
          </w:tcPr>
          <w:p w14:paraId="39001A92">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rFonts w:hint="eastAsia"/>
                <w:color w:val="auto"/>
                <w:kern w:val="0"/>
                <w:sz w:val="21"/>
                <w:szCs w:val="21"/>
                <w:highlight w:val="none"/>
                <w:lang w:eastAsia="zh-CN"/>
              </w:rPr>
              <w:t>乡村道路</w:t>
            </w:r>
            <w:r>
              <w:rPr>
                <w:rFonts w:hint="eastAsia"/>
                <w:color w:val="auto"/>
                <w:sz w:val="21"/>
                <w:szCs w:val="21"/>
                <w:highlight w:val="none"/>
                <w:lang w:val="en-US" w:eastAsia="zh-CN"/>
              </w:rPr>
              <w:t>48米</w:t>
            </w:r>
          </w:p>
        </w:tc>
      </w:tr>
      <w:tr w14:paraId="537C06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7" w:type="pct"/>
            <w:vMerge w:val="continue"/>
            <w:vAlign w:val="center"/>
          </w:tcPr>
          <w:p w14:paraId="1DC59E28">
            <w:pPr>
              <w:pStyle w:val="30"/>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sz w:val="21"/>
                <w:szCs w:val="21"/>
                <w:highlight w:val="none"/>
                <w:lang w:val="zh-CN"/>
              </w:rPr>
            </w:pPr>
          </w:p>
        </w:tc>
        <w:tc>
          <w:tcPr>
            <w:tcW w:w="644" w:type="pct"/>
            <w:vAlign w:val="center"/>
          </w:tcPr>
          <w:p w14:paraId="1760CA63">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color w:val="auto"/>
                <w:sz w:val="21"/>
                <w:szCs w:val="21"/>
                <w:highlight w:val="none"/>
              </w:rPr>
              <w:t>3#</w:t>
            </w:r>
          </w:p>
        </w:tc>
        <w:tc>
          <w:tcPr>
            <w:tcW w:w="747" w:type="pct"/>
            <w:vAlign w:val="center"/>
          </w:tcPr>
          <w:p w14:paraId="4F63EF2E">
            <w:pPr>
              <w:pStyle w:val="30"/>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sz w:val="21"/>
                <w:szCs w:val="21"/>
                <w:highlight w:val="none"/>
                <w:lang w:val="zh-CN"/>
              </w:rPr>
            </w:pPr>
            <w:r>
              <w:rPr>
                <w:color w:val="auto"/>
                <w:sz w:val="21"/>
                <w:szCs w:val="21"/>
                <w:highlight w:val="none"/>
                <w:lang w:val="zh-CN"/>
              </w:rPr>
              <w:t>30</w:t>
            </w:r>
          </w:p>
        </w:tc>
        <w:tc>
          <w:tcPr>
            <w:tcW w:w="541" w:type="pct"/>
            <w:vAlign w:val="center"/>
          </w:tcPr>
          <w:p w14:paraId="1AA8BECB">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0.165</w:t>
            </w:r>
          </w:p>
        </w:tc>
        <w:tc>
          <w:tcPr>
            <w:tcW w:w="470" w:type="pct"/>
            <w:vAlign w:val="center"/>
          </w:tcPr>
          <w:p w14:paraId="036EA861">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0.090</w:t>
            </w:r>
          </w:p>
        </w:tc>
        <w:tc>
          <w:tcPr>
            <w:tcW w:w="465" w:type="pct"/>
            <w:vAlign w:val="center"/>
          </w:tcPr>
          <w:p w14:paraId="2F7C02D3">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rFonts w:hint="eastAsia"/>
                <w:color w:val="auto"/>
                <w:sz w:val="21"/>
                <w:szCs w:val="21"/>
                <w:highlight w:val="none"/>
                <w:lang w:eastAsia="zh-CN"/>
              </w:rPr>
              <w:t>无</w:t>
            </w:r>
          </w:p>
        </w:tc>
        <w:tc>
          <w:tcPr>
            <w:tcW w:w="465" w:type="pct"/>
            <w:vAlign w:val="center"/>
          </w:tcPr>
          <w:p w14:paraId="435A0CC4">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rFonts w:hint="eastAsia"/>
                <w:color w:val="auto"/>
                <w:sz w:val="21"/>
                <w:szCs w:val="21"/>
                <w:highlight w:val="none"/>
                <w:lang w:eastAsia="zh-CN"/>
              </w:rPr>
              <w:t>无</w:t>
            </w:r>
          </w:p>
        </w:tc>
        <w:tc>
          <w:tcPr>
            <w:tcW w:w="499" w:type="pct"/>
            <w:vAlign w:val="center"/>
          </w:tcPr>
          <w:p w14:paraId="7CDFA092">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en-US" w:eastAsia="zh-CN"/>
              </w:rPr>
            </w:pPr>
            <w:r>
              <w:rPr>
                <w:rFonts w:hint="eastAsia"/>
                <w:color w:val="auto"/>
                <w:sz w:val="21"/>
                <w:szCs w:val="21"/>
                <w:highlight w:val="none"/>
                <w:lang w:val="en-US" w:eastAsia="zh-CN"/>
              </w:rPr>
              <w:t>/</w:t>
            </w:r>
          </w:p>
        </w:tc>
        <w:tc>
          <w:tcPr>
            <w:tcW w:w="499" w:type="pct"/>
            <w:vAlign w:val="center"/>
          </w:tcPr>
          <w:p w14:paraId="42D07976">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eastAsia="宋体"/>
                <w:color w:val="auto"/>
                <w:sz w:val="21"/>
                <w:szCs w:val="21"/>
                <w:highlight w:val="none"/>
                <w:lang w:val="en-US" w:eastAsia="zh-CN"/>
              </w:rPr>
            </w:pPr>
            <w:r>
              <w:rPr>
                <w:rFonts w:hint="eastAsia"/>
                <w:color w:val="auto"/>
                <w:kern w:val="0"/>
                <w:sz w:val="21"/>
                <w:szCs w:val="21"/>
                <w:highlight w:val="none"/>
                <w:lang w:eastAsia="zh-CN"/>
              </w:rPr>
              <w:t>乡村道路</w:t>
            </w:r>
            <w:r>
              <w:rPr>
                <w:rFonts w:hint="eastAsia"/>
                <w:color w:val="auto"/>
                <w:sz w:val="21"/>
                <w:szCs w:val="21"/>
                <w:highlight w:val="none"/>
                <w:lang w:val="en-US" w:eastAsia="zh-CN"/>
              </w:rPr>
              <w:t>36米</w:t>
            </w:r>
          </w:p>
        </w:tc>
      </w:tr>
      <w:tr w14:paraId="2C0FD5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7" w:type="pct"/>
            <w:vMerge w:val="restart"/>
            <w:vAlign w:val="center"/>
          </w:tcPr>
          <w:p w14:paraId="30852FD9">
            <w:pPr>
              <w:widowControl/>
              <w:spacing w:line="240" w:lineRule="auto"/>
              <w:ind w:firstLine="0" w:firstLineChars="0"/>
              <w:jc w:val="center"/>
              <w:textAlignment w:val="center"/>
              <w:rPr>
                <w:rFonts w:hint="default"/>
                <w:color w:val="auto"/>
                <w:sz w:val="21"/>
                <w:szCs w:val="21"/>
                <w:highlight w:val="none"/>
                <w:lang w:val="zh-CN"/>
              </w:rPr>
            </w:pPr>
            <w:r>
              <w:rPr>
                <w:rFonts w:hint="eastAsia" w:ascii="Times New Roman" w:hAnsi="Times New Roman" w:eastAsia="宋体" w:cs="Times New Roman"/>
                <w:color w:val="auto"/>
                <w:kern w:val="0"/>
                <w:sz w:val="21"/>
                <w:szCs w:val="21"/>
                <w:highlight w:val="none"/>
                <w:lang w:val="en-US" w:eastAsia="zh-CN" w:bidi="ar"/>
              </w:rPr>
              <w:t>绥化市庆安县柳河镇饮用水水源地</w:t>
            </w:r>
          </w:p>
        </w:tc>
        <w:tc>
          <w:tcPr>
            <w:tcW w:w="644" w:type="pct"/>
            <w:vAlign w:val="center"/>
          </w:tcPr>
          <w:p w14:paraId="08CFDEA9">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color w:val="auto"/>
                <w:sz w:val="21"/>
                <w:szCs w:val="21"/>
                <w:highlight w:val="none"/>
              </w:rPr>
              <w:t>1#</w:t>
            </w:r>
          </w:p>
        </w:tc>
        <w:tc>
          <w:tcPr>
            <w:tcW w:w="747" w:type="pct"/>
            <w:vAlign w:val="center"/>
          </w:tcPr>
          <w:p w14:paraId="7FCE3BE9">
            <w:pPr>
              <w:pStyle w:val="30"/>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sz w:val="21"/>
                <w:szCs w:val="21"/>
                <w:highlight w:val="none"/>
                <w:lang w:val="zh-CN"/>
              </w:rPr>
            </w:pPr>
            <w:r>
              <w:rPr>
                <w:color w:val="auto"/>
                <w:sz w:val="21"/>
                <w:szCs w:val="21"/>
                <w:highlight w:val="none"/>
                <w:lang w:val="zh-CN"/>
              </w:rPr>
              <w:t>30</w:t>
            </w:r>
          </w:p>
        </w:tc>
        <w:tc>
          <w:tcPr>
            <w:tcW w:w="541" w:type="pct"/>
            <w:vAlign w:val="center"/>
          </w:tcPr>
          <w:p w14:paraId="761649C2">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0.135</w:t>
            </w:r>
          </w:p>
        </w:tc>
        <w:tc>
          <w:tcPr>
            <w:tcW w:w="470" w:type="pct"/>
            <w:vAlign w:val="center"/>
          </w:tcPr>
          <w:p w14:paraId="5C0E74C9">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rFonts w:hint="eastAsia"/>
                <w:color w:val="auto"/>
                <w:sz w:val="21"/>
                <w:szCs w:val="21"/>
                <w:highlight w:val="none"/>
                <w:lang w:val="zh-CN"/>
              </w:rPr>
              <w:t>无</w:t>
            </w:r>
          </w:p>
        </w:tc>
        <w:tc>
          <w:tcPr>
            <w:tcW w:w="465" w:type="pct"/>
            <w:vAlign w:val="center"/>
          </w:tcPr>
          <w:p w14:paraId="41E88438">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rFonts w:hint="eastAsia"/>
                <w:color w:val="auto"/>
                <w:sz w:val="21"/>
                <w:szCs w:val="21"/>
                <w:highlight w:val="none"/>
                <w:lang w:eastAsia="zh-CN"/>
              </w:rPr>
              <w:t>无</w:t>
            </w:r>
          </w:p>
        </w:tc>
        <w:tc>
          <w:tcPr>
            <w:tcW w:w="465" w:type="pct"/>
            <w:vAlign w:val="center"/>
          </w:tcPr>
          <w:p w14:paraId="0F44E67C">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eastAsia="宋体"/>
                <w:color w:val="auto"/>
                <w:sz w:val="21"/>
                <w:szCs w:val="21"/>
                <w:highlight w:val="none"/>
                <w:lang w:val="en-US" w:eastAsia="zh-CN"/>
              </w:rPr>
            </w:pPr>
            <w:r>
              <w:rPr>
                <w:rFonts w:hint="eastAsia"/>
                <w:color w:val="auto"/>
                <w:sz w:val="21"/>
                <w:szCs w:val="21"/>
                <w:highlight w:val="none"/>
                <w:lang w:val="zh-CN"/>
              </w:rPr>
              <w:t>水厂用房、</w:t>
            </w:r>
            <w:r>
              <w:rPr>
                <w:rFonts w:hint="eastAsia"/>
                <w:color w:val="auto"/>
                <w:sz w:val="21"/>
                <w:szCs w:val="21"/>
                <w:highlight w:val="none"/>
                <w:lang w:val="zh-CN" w:eastAsia="zh-CN"/>
              </w:rPr>
              <w:t>废弃学校用房</w:t>
            </w:r>
          </w:p>
        </w:tc>
        <w:tc>
          <w:tcPr>
            <w:tcW w:w="499" w:type="pct"/>
            <w:vAlign w:val="center"/>
          </w:tcPr>
          <w:p w14:paraId="2C2C2431">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val="zh-CN"/>
              </w:rPr>
            </w:pPr>
            <w:r>
              <w:rPr>
                <w:rFonts w:hint="eastAsia"/>
                <w:color w:val="auto"/>
                <w:sz w:val="21"/>
                <w:szCs w:val="21"/>
                <w:highlight w:val="none"/>
                <w:lang w:val="en-US" w:eastAsia="zh-CN"/>
              </w:rPr>
              <w:t>522</w:t>
            </w:r>
          </w:p>
        </w:tc>
        <w:tc>
          <w:tcPr>
            <w:tcW w:w="499" w:type="pct"/>
            <w:vAlign w:val="center"/>
          </w:tcPr>
          <w:p w14:paraId="1778796D">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rFonts w:hint="eastAsia"/>
                <w:color w:val="auto"/>
                <w:sz w:val="21"/>
                <w:szCs w:val="21"/>
                <w:highlight w:val="none"/>
                <w:lang w:val="zh-CN"/>
              </w:rPr>
              <w:t>无</w:t>
            </w:r>
          </w:p>
        </w:tc>
      </w:tr>
      <w:tr w14:paraId="676ABF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7" w:type="pct"/>
            <w:vMerge w:val="continue"/>
            <w:vAlign w:val="center"/>
          </w:tcPr>
          <w:p w14:paraId="48E7EBB9">
            <w:pPr>
              <w:pStyle w:val="30"/>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sz w:val="21"/>
                <w:szCs w:val="21"/>
                <w:highlight w:val="none"/>
                <w:lang w:val="zh-CN"/>
              </w:rPr>
            </w:pPr>
          </w:p>
        </w:tc>
        <w:tc>
          <w:tcPr>
            <w:tcW w:w="644" w:type="pct"/>
            <w:vAlign w:val="center"/>
          </w:tcPr>
          <w:p w14:paraId="5452D0C9">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color w:val="auto"/>
                <w:sz w:val="21"/>
                <w:szCs w:val="21"/>
                <w:highlight w:val="none"/>
              </w:rPr>
              <w:t>2#</w:t>
            </w:r>
          </w:p>
        </w:tc>
        <w:tc>
          <w:tcPr>
            <w:tcW w:w="747" w:type="pct"/>
            <w:vAlign w:val="center"/>
          </w:tcPr>
          <w:p w14:paraId="77522288">
            <w:pPr>
              <w:pStyle w:val="30"/>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sz w:val="21"/>
                <w:szCs w:val="21"/>
                <w:highlight w:val="none"/>
                <w:lang w:val="zh-CN"/>
              </w:rPr>
            </w:pPr>
            <w:r>
              <w:rPr>
                <w:color w:val="auto"/>
                <w:sz w:val="21"/>
                <w:szCs w:val="21"/>
                <w:highlight w:val="none"/>
                <w:lang w:val="zh-CN"/>
              </w:rPr>
              <w:t>30</w:t>
            </w:r>
          </w:p>
        </w:tc>
        <w:tc>
          <w:tcPr>
            <w:tcW w:w="541" w:type="pct"/>
            <w:vAlign w:val="center"/>
          </w:tcPr>
          <w:p w14:paraId="5B149ACF">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0.090</w:t>
            </w:r>
          </w:p>
        </w:tc>
        <w:tc>
          <w:tcPr>
            <w:tcW w:w="470" w:type="pct"/>
            <w:vAlign w:val="center"/>
          </w:tcPr>
          <w:p w14:paraId="40CB837C">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0.190</w:t>
            </w:r>
          </w:p>
        </w:tc>
        <w:tc>
          <w:tcPr>
            <w:tcW w:w="465" w:type="pct"/>
            <w:shd w:val="clear" w:color="auto" w:fill="auto"/>
            <w:vAlign w:val="center"/>
          </w:tcPr>
          <w:p w14:paraId="47C2C5E4">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kern w:val="2"/>
                <w:sz w:val="21"/>
                <w:szCs w:val="21"/>
                <w:highlight w:val="none"/>
                <w:lang w:val="zh-CN" w:eastAsia="zh-CN" w:bidi="ar-SA"/>
              </w:rPr>
            </w:pPr>
            <w:r>
              <w:rPr>
                <w:rFonts w:hint="eastAsia"/>
                <w:color w:val="auto"/>
                <w:sz w:val="21"/>
                <w:szCs w:val="21"/>
                <w:highlight w:val="none"/>
                <w:lang w:eastAsia="zh-CN"/>
              </w:rPr>
              <w:t>无</w:t>
            </w:r>
          </w:p>
        </w:tc>
        <w:tc>
          <w:tcPr>
            <w:tcW w:w="465" w:type="pct"/>
            <w:shd w:val="clear" w:color="auto" w:fill="auto"/>
            <w:vAlign w:val="center"/>
          </w:tcPr>
          <w:p w14:paraId="2A86D107">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kern w:val="2"/>
                <w:sz w:val="21"/>
                <w:szCs w:val="21"/>
                <w:highlight w:val="none"/>
                <w:lang w:val="zh-CN" w:eastAsia="zh-CN" w:bidi="ar-SA"/>
              </w:rPr>
            </w:pPr>
            <w:r>
              <w:rPr>
                <w:rFonts w:hint="eastAsia"/>
                <w:color w:val="auto"/>
                <w:sz w:val="21"/>
                <w:szCs w:val="21"/>
                <w:highlight w:val="none"/>
                <w:lang w:eastAsia="zh-CN"/>
              </w:rPr>
              <w:t>简易仓储棚</w:t>
            </w:r>
          </w:p>
        </w:tc>
        <w:tc>
          <w:tcPr>
            <w:tcW w:w="499" w:type="pct"/>
            <w:shd w:val="clear" w:color="auto" w:fill="auto"/>
            <w:vAlign w:val="center"/>
          </w:tcPr>
          <w:p w14:paraId="566352D3">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eastAsia="zh-CN"/>
              </w:rPr>
            </w:pPr>
            <w:r>
              <w:rPr>
                <w:rFonts w:hint="eastAsia"/>
                <w:color w:val="auto"/>
                <w:sz w:val="21"/>
                <w:szCs w:val="21"/>
                <w:highlight w:val="none"/>
                <w:lang w:val="en-US" w:eastAsia="zh-CN"/>
              </w:rPr>
              <w:t>12</w:t>
            </w:r>
          </w:p>
        </w:tc>
        <w:tc>
          <w:tcPr>
            <w:tcW w:w="499" w:type="pct"/>
            <w:shd w:val="clear" w:color="auto" w:fill="auto"/>
            <w:vAlign w:val="center"/>
          </w:tcPr>
          <w:p w14:paraId="04BF37F6">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kern w:val="2"/>
                <w:sz w:val="21"/>
                <w:szCs w:val="21"/>
                <w:highlight w:val="none"/>
                <w:lang w:val="zh-CN" w:eastAsia="zh-CN" w:bidi="ar-SA"/>
              </w:rPr>
            </w:pPr>
            <w:r>
              <w:rPr>
                <w:rFonts w:hint="eastAsia"/>
                <w:color w:val="auto"/>
                <w:sz w:val="21"/>
                <w:szCs w:val="21"/>
                <w:highlight w:val="none"/>
                <w:lang w:eastAsia="zh-CN"/>
              </w:rPr>
              <w:t>无</w:t>
            </w:r>
          </w:p>
        </w:tc>
      </w:tr>
      <w:tr w14:paraId="45D5479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7" w:type="pct"/>
            <w:vMerge w:val="continue"/>
            <w:vAlign w:val="center"/>
          </w:tcPr>
          <w:p w14:paraId="313CEAA0">
            <w:pPr>
              <w:pStyle w:val="30"/>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sz w:val="21"/>
                <w:szCs w:val="21"/>
                <w:highlight w:val="none"/>
                <w:lang w:val="zh-CN"/>
              </w:rPr>
            </w:pPr>
          </w:p>
        </w:tc>
        <w:tc>
          <w:tcPr>
            <w:tcW w:w="644" w:type="pct"/>
            <w:vAlign w:val="center"/>
          </w:tcPr>
          <w:p w14:paraId="10E1DFAB">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color w:val="auto"/>
                <w:sz w:val="21"/>
                <w:szCs w:val="21"/>
                <w:highlight w:val="none"/>
              </w:rPr>
              <w:t>3#</w:t>
            </w:r>
          </w:p>
        </w:tc>
        <w:tc>
          <w:tcPr>
            <w:tcW w:w="747" w:type="pct"/>
            <w:vAlign w:val="center"/>
          </w:tcPr>
          <w:p w14:paraId="180EF1DE">
            <w:pPr>
              <w:pStyle w:val="30"/>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sz w:val="21"/>
                <w:szCs w:val="21"/>
                <w:highlight w:val="none"/>
                <w:lang w:val="zh-CN"/>
              </w:rPr>
            </w:pPr>
            <w:r>
              <w:rPr>
                <w:color w:val="auto"/>
                <w:sz w:val="21"/>
                <w:szCs w:val="21"/>
                <w:highlight w:val="none"/>
                <w:lang w:val="zh-CN"/>
              </w:rPr>
              <w:t>30</w:t>
            </w:r>
          </w:p>
        </w:tc>
        <w:tc>
          <w:tcPr>
            <w:tcW w:w="541" w:type="pct"/>
            <w:vAlign w:val="center"/>
          </w:tcPr>
          <w:p w14:paraId="3D4057F0">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rFonts w:hint="eastAsia"/>
                <w:color w:val="auto"/>
                <w:sz w:val="21"/>
                <w:szCs w:val="21"/>
                <w:highlight w:val="none"/>
                <w:lang w:val="zh-CN"/>
              </w:rPr>
              <w:t>无</w:t>
            </w:r>
          </w:p>
        </w:tc>
        <w:tc>
          <w:tcPr>
            <w:tcW w:w="470" w:type="pct"/>
            <w:vAlign w:val="center"/>
          </w:tcPr>
          <w:p w14:paraId="585B599A">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0.282</w:t>
            </w:r>
          </w:p>
        </w:tc>
        <w:tc>
          <w:tcPr>
            <w:tcW w:w="465" w:type="pct"/>
            <w:shd w:val="clear" w:color="auto" w:fill="auto"/>
            <w:vAlign w:val="center"/>
          </w:tcPr>
          <w:p w14:paraId="2D3C1BEF">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kern w:val="2"/>
                <w:sz w:val="21"/>
                <w:szCs w:val="21"/>
                <w:highlight w:val="none"/>
                <w:lang w:val="zh-CN" w:eastAsia="zh-CN" w:bidi="ar-SA"/>
              </w:rPr>
            </w:pPr>
            <w:r>
              <w:rPr>
                <w:rFonts w:hint="eastAsia"/>
                <w:color w:val="auto"/>
                <w:sz w:val="21"/>
                <w:szCs w:val="21"/>
                <w:highlight w:val="none"/>
                <w:lang w:eastAsia="zh-CN"/>
              </w:rPr>
              <w:t>无</w:t>
            </w:r>
          </w:p>
        </w:tc>
        <w:tc>
          <w:tcPr>
            <w:tcW w:w="465" w:type="pct"/>
            <w:shd w:val="clear" w:color="auto" w:fill="auto"/>
            <w:vAlign w:val="center"/>
          </w:tcPr>
          <w:p w14:paraId="36F4F204">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kern w:val="2"/>
                <w:sz w:val="21"/>
                <w:szCs w:val="21"/>
                <w:highlight w:val="none"/>
                <w:lang w:val="zh-CN" w:eastAsia="zh-CN" w:bidi="ar-SA"/>
              </w:rPr>
            </w:pPr>
            <w:r>
              <w:rPr>
                <w:rFonts w:hint="eastAsia"/>
                <w:color w:val="auto"/>
                <w:sz w:val="21"/>
                <w:szCs w:val="21"/>
                <w:highlight w:val="none"/>
                <w:lang w:eastAsia="zh-CN"/>
              </w:rPr>
              <w:t>无</w:t>
            </w:r>
          </w:p>
        </w:tc>
        <w:tc>
          <w:tcPr>
            <w:tcW w:w="499" w:type="pct"/>
            <w:vAlign w:val="center"/>
          </w:tcPr>
          <w:p w14:paraId="530000FD">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en-US" w:eastAsia="zh-CN"/>
              </w:rPr>
            </w:pPr>
            <w:r>
              <w:rPr>
                <w:rFonts w:hint="eastAsia"/>
                <w:color w:val="auto"/>
                <w:sz w:val="21"/>
                <w:szCs w:val="21"/>
                <w:highlight w:val="none"/>
                <w:lang w:val="en-US" w:eastAsia="zh-CN"/>
              </w:rPr>
              <w:t>/</w:t>
            </w:r>
          </w:p>
        </w:tc>
        <w:tc>
          <w:tcPr>
            <w:tcW w:w="499" w:type="pct"/>
            <w:vAlign w:val="center"/>
          </w:tcPr>
          <w:p w14:paraId="25D1D36F">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en-US"/>
              </w:rPr>
            </w:pPr>
            <w:r>
              <w:rPr>
                <w:rFonts w:hint="eastAsia"/>
                <w:color w:val="auto"/>
                <w:sz w:val="21"/>
                <w:szCs w:val="21"/>
                <w:highlight w:val="none"/>
                <w:lang w:val="en-US" w:eastAsia="zh-CN"/>
              </w:rPr>
              <w:t>无</w:t>
            </w:r>
          </w:p>
        </w:tc>
      </w:tr>
      <w:tr w14:paraId="5FB3BF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7" w:type="pct"/>
            <w:vMerge w:val="continue"/>
            <w:vAlign w:val="center"/>
          </w:tcPr>
          <w:p w14:paraId="77113D0A">
            <w:pPr>
              <w:pStyle w:val="30"/>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sz w:val="21"/>
                <w:szCs w:val="21"/>
                <w:highlight w:val="none"/>
                <w:lang w:val="zh-CN"/>
              </w:rPr>
            </w:pPr>
          </w:p>
        </w:tc>
        <w:tc>
          <w:tcPr>
            <w:tcW w:w="644" w:type="pct"/>
            <w:vAlign w:val="center"/>
          </w:tcPr>
          <w:p w14:paraId="5472E4DF">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auto"/>
                <w:sz w:val="21"/>
                <w:szCs w:val="21"/>
                <w:highlight w:val="none"/>
              </w:rPr>
            </w:pPr>
            <w:r>
              <w:rPr>
                <w:color w:val="auto"/>
                <w:sz w:val="21"/>
                <w:szCs w:val="21"/>
                <w:highlight w:val="none"/>
              </w:rPr>
              <w:t>4#</w:t>
            </w:r>
          </w:p>
        </w:tc>
        <w:tc>
          <w:tcPr>
            <w:tcW w:w="747" w:type="pct"/>
            <w:shd w:val="clear" w:color="auto" w:fill="auto"/>
            <w:vAlign w:val="center"/>
          </w:tcPr>
          <w:p w14:paraId="39DEF39F">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kern w:val="2"/>
                <w:sz w:val="21"/>
                <w:szCs w:val="21"/>
                <w:highlight w:val="none"/>
                <w:lang w:val="zh-CN" w:eastAsia="zh-CN" w:bidi="ar-SA"/>
              </w:rPr>
            </w:pPr>
            <w:r>
              <w:rPr>
                <w:color w:val="auto"/>
                <w:sz w:val="21"/>
                <w:szCs w:val="21"/>
                <w:highlight w:val="none"/>
                <w:lang w:val="zh-CN"/>
              </w:rPr>
              <w:t>30</w:t>
            </w:r>
          </w:p>
        </w:tc>
        <w:tc>
          <w:tcPr>
            <w:tcW w:w="541" w:type="pct"/>
            <w:vAlign w:val="center"/>
          </w:tcPr>
          <w:p w14:paraId="41249837">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0.046</w:t>
            </w:r>
          </w:p>
        </w:tc>
        <w:tc>
          <w:tcPr>
            <w:tcW w:w="470" w:type="pct"/>
            <w:vAlign w:val="center"/>
          </w:tcPr>
          <w:p w14:paraId="5E36CBBE">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0.236</w:t>
            </w:r>
          </w:p>
        </w:tc>
        <w:tc>
          <w:tcPr>
            <w:tcW w:w="465" w:type="pct"/>
            <w:shd w:val="clear" w:color="auto" w:fill="auto"/>
            <w:vAlign w:val="center"/>
          </w:tcPr>
          <w:p w14:paraId="7344D581">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kern w:val="2"/>
                <w:sz w:val="21"/>
                <w:szCs w:val="21"/>
                <w:highlight w:val="none"/>
                <w:lang w:val="zh-CN" w:eastAsia="zh-CN" w:bidi="ar-SA"/>
              </w:rPr>
            </w:pPr>
            <w:r>
              <w:rPr>
                <w:rFonts w:hint="eastAsia"/>
                <w:color w:val="auto"/>
                <w:sz w:val="21"/>
                <w:szCs w:val="21"/>
                <w:highlight w:val="none"/>
                <w:lang w:eastAsia="zh-CN"/>
              </w:rPr>
              <w:t>无</w:t>
            </w:r>
          </w:p>
        </w:tc>
        <w:tc>
          <w:tcPr>
            <w:tcW w:w="465" w:type="pct"/>
            <w:shd w:val="clear" w:color="auto" w:fill="auto"/>
            <w:vAlign w:val="center"/>
          </w:tcPr>
          <w:p w14:paraId="6DDFFF7F">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kern w:val="2"/>
                <w:sz w:val="21"/>
                <w:szCs w:val="21"/>
                <w:highlight w:val="none"/>
                <w:lang w:val="zh-CN" w:eastAsia="zh-CN" w:bidi="ar-SA"/>
              </w:rPr>
            </w:pPr>
            <w:r>
              <w:rPr>
                <w:rFonts w:hint="eastAsia"/>
                <w:color w:val="auto"/>
                <w:sz w:val="21"/>
                <w:szCs w:val="21"/>
                <w:highlight w:val="none"/>
                <w:lang w:eastAsia="zh-CN"/>
              </w:rPr>
              <w:t>无</w:t>
            </w:r>
          </w:p>
        </w:tc>
        <w:tc>
          <w:tcPr>
            <w:tcW w:w="499" w:type="pct"/>
            <w:shd w:val="clear" w:color="auto" w:fill="auto"/>
            <w:vAlign w:val="center"/>
          </w:tcPr>
          <w:p w14:paraId="02A7C424">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en-US" w:eastAsia="zh-CN"/>
              </w:rPr>
            </w:pPr>
            <w:r>
              <w:rPr>
                <w:rFonts w:hint="eastAsia"/>
                <w:color w:val="auto"/>
                <w:sz w:val="21"/>
                <w:szCs w:val="21"/>
                <w:highlight w:val="none"/>
                <w:lang w:val="en-US" w:eastAsia="zh-CN"/>
              </w:rPr>
              <w:t>/</w:t>
            </w:r>
          </w:p>
        </w:tc>
        <w:tc>
          <w:tcPr>
            <w:tcW w:w="499" w:type="pct"/>
            <w:shd w:val="clear" w:color="auto" w:fill="auto"/>
            <w:vAlign w:val="center"/>
          </w:tcPr>
          <w:p w14:paraId="08944788">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kern w:val="2"/>
                <w:sz w:val="21"/>
                <w:szCs w:val="21"/>
                <w:highlight w:val="none"/>
                <w:lang w:val="zh-CN" w:eastAsia="zh-CN" w:bidi="ar-SA"/>
              </w:rPr>
            </w:pPr>
            <w:r>
              <w:rPr>
                <w:rFonts w:hint="eastAsia"/>
                <w:color w:val="auto"/>
                <w:sz w:val="21"/>
                <w:szCs w:val="21"/>
                <w:highlight w:val="none"/>
                <w:lang w:val="en-US" w:eastAsia="zh-CN"/>
              </w:rPr>
              <w:t>乡村道路45米</w:t>
            </w:r>
          </w:p>
        </w:tc>
      </w:tr>
      <w:tr w14:paraId="50F067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7" w:type="pct"/>
            <w:vMerge w:val="continue"/>
            <w:vAlign w:val="center"/>
          </w:tcPr>
          <w:p w14:paraId="6C423375">
            <w:pPr>
              <w:pStyle w:val="30"/>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sz w:val="21"/>
                <w:szCs w:val="21"/>
                <w:highlight w:val="none"/>
                <w:lang w:val="zh-CN"/>
              </w:rPr>
            </w:pPr>
          </w:p>
        </w:tc>
        <w:tc>
          <w:tcPr>
            <w:tcW w:w="644" w:type="pct"/>
            <w:vAlign w:val="center"/>
          </w:tcPr>
          <w:p w14:paraId="2368B602">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color w:val="auto"/>
                <w:sz w:val="21"/>
                <w:szCs w:val="21"/>
                <w:highlight w:val="none"/>
              </w:rPr>
              <w:t>5#</w:t>
            </w:r>
          </w:p>
        </w:tc>
        <w:tc>
          <w:tcPr>
            <w:tcW w:w="747" w:type="pct"/>
            <w:shd w:val="clear" w:color="auto" w:fill="auto"/>
            <w:vAlign w:val="center"/>
          </w:tcPr>
          <w:p w14:paraId="6F89B3CC">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kern w:val="2"/>
                <w:sz w:val="21"/>
                <w:szCs w:val="21"/>
                <w:highlight w:val="none"/>
                <w:lang w:val="zh-CN" w:eastAsia="zh-CN" w:bidi="ar-SA"/>
              </w:rPr>
            </w:pPr>
            <w:r>
              <w:rPr>
                <w:color w:val="auto"/>
                <w:sz w:val="21"/>
                <w:szCs w:val="21"/>
                <w:highlight w:val="none"/>
                <w:lang w:val="zh-CN"/>
              </w:rPr>
              <w:t>30</w:t>
            </w:r>
          </w:p>
        </w:tc>
        <w:tc>
          <w:tcPr>
            <w:tcW w:w="541" w:type="pct"/>
            <w:vAlign w:val="center"/>
          </w:tcPr>
          <w:p w14:paraId="645EFD75">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0.109</w:t>
            </w:r>
          </w:p>
        </w:tc>
        <w:tc>
          <w:tcPr>
            <w:tcW w:w="470" w:type="pct"/>
            <w:vAlign w:val="center"/>
          </w:tcPr>
          <w:p w14:paraId="7642A7D4">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0.172</w:t>
            </w:r>
          </w:p>
        </w:tc>
        <w:tc>
          <w:tcPr>
            <w:tcW w:w="465" w:type="pct"/>
            <w:shd w:val="clear" w:color="auto" w:fill="auto"/>
            <w:vAlign w:val="center"/>
          </w:tcPr>
          <w:p w14:paraId="63BDC14C">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kern w:val="2"/>
                <w:sz w:val="21"/>
                <w:szCs w:val="21"/>
                <w:highlight w:val="none"/>
                <w:lang w:val="zh-CN" w:eastAsia="zh-CN" w:bidi="ar-SA"/>
              </w:rPr>
            </w:pPr>
            <w:r>
              <w:rPr>
                <w:rFonts w:hint="eastAsia"/>
                <w:color w:val="auto"/>
                <w:sz w:val="21"/>
                <w:szCs w:val="21"/>
                <w:highlight w:val="none"/>
                <w:lang w:eastAsia="zh-CN"/>
              </w:rPr>
              <w:t>无</w:t>
            </w:r>
          </w:p>
        </w:tc>
        <w:tc>
          <w:tcPr>
            <w:tcW w:w="465" w:type="pct"/>
            <w:shd w:val="clear" w:color="auto" w:fill="auto"/>
            <w:vAlign w:val="center"/>
          </w:tcPr>
          <w:p w14:paraId="748756D1">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kern w:val="2"/>
                <w:sz w:val="21"/>
                <w:szCs w:val="21"/>
                <w:highlight w:val="none"/>
                <w:lang w:val="zh-CN" w:eastAsia="zh-CN" w:bidi="ar-SA"/>
              </w:rPr>
            </w:pPr>
            <w:r>
              <w:rPr>
                <w:rFonts w:hint="eastAsia"/>
                <w:color w:val="auto"/>
                <w:sz w:val="21"/>
                <w:szCs w:val="21"/>
                <w:highlight w:val="none"/>
                <w:lang w:eastAsia="zh-CN"/>
              </w:rPr>
              <w:t>无</w:t>
            </w:r>
          </w:p>
        </w:tc>
        <w:tc>
          <w:tcPr>
            <w:tcW w:w="499" w:type="pct"/>
            <w:shd w:val="clear" w:color="auto" w:fill="auto"/>
            <w:vAlign w:val="center"/>
          </w:tcPr>
          <w:p w14:paraId="033CC54F">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en-US" w:eastAsia="zh-CN"/>
              </w:rPr>
            </w:pPr>
            <w:r>
              <w:rPr>
                <w:rFonts w:hint="eastAsia"/>
                <w:color w:val="auto"/>
                <w:sz w:val="21"/>
                <w:szCs w:val="21"/>
                <w:highlight w:val="none"/>
                <w:lang w:val="en-US" w:eastAsia="zh-CN"/>
              </w:rPr>
              <w:t>/</w:t>
            </w:r>
          </w:p>
        </w:tc>
        <w:tc>
          <w:tcPr>
            <w:tcW w:w="499" w:type="pct"/>
            <w:shd w:val="clear" w:color="auto" w:fill="auto"/>
            <w:vAlign w:val="center"/>
          </w:tcPr>
          <w:p w14:paraId="763D307E">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kern w:val="2"/>
                <w:sz w:val="21"/>
                <w:szCs w:val="21"/>
                <w:highlight w:val="none"/>
                <w:lang w:val="zh-CN" w:eastAsia="zh-CN" w:bidi="ar-SA"/>
              </w:rPr>
            </w:pPr>
            <w:r>
              <w:rPr>
                <w:rFonts w:hint="eastAsia"/>
                <w:color w:val="auto"/>
                <w:sz w:val="21"/>
                <w:szCs w:val="21"/>
                <w:highlight w:val="none"/>
                <w:lang w:eastAsia="zh-CN"/>
              </w:rPr>
              <w:t>无</w:t>
            </w:r>
          </w:p>
        </w:tc>
      </w:tr>
      <w:tr w14:paraId="7F97DC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7" w:type="pct"/>
            <w:vMerge w:val="restart"/>
            <w:vAlign w:val="center"/>
          </w:tcPr>
          <w:p w14:paraId="54315066">
            <w:pPr>
              <w:widowControl/>
              <w:spacing w:line="240" w:lineRule="auto"/>
              <w:ind w:firstLine="0" w:firstLineChars="0"/>
              <w:jc w:val="center"/>
              <w:textAlignment w:val="center"/>
              <w:rPr>
                <w:rFonts w:hint="default"/>
                <w:color w:val="auto"/>
                <w:sz w:val="21"/>
                <w:szCs w:val="21"/>
                <w:highlight w:val="none"/>
                <w:lang w:val="zh-CN"/>
              </w:rPr>
            </w:pPr>
            <w:r>
              <w:rPr>
                <w:rFonts w:hint="eastAsia" w:ascii="Times New Roman" w:hAnsi="Times New Roman" w:eastAsia="宋体" w:cs="Times New Roman"/>
                <w:color w:val="auto"/>
                <w:kern w:val="0"/>
                <w:sz w:val="21"/>
                <w:szCs w:val="21"/>
                <w:highlight w:val="none"/>
                <w:lang w:val="en-US" w:eastAsia="zh-CN" w:bidi="ar"/>
              </w:rPr>
              <w:t>绥化市庆安县柳河镇新强村饮用水水源地</w:t>
            </w:r>
          </w:p>
        </w:tc>
        <w:tc>
          <w:tcPr>
            <w:tcW w:w="644" w:type="pct"/>
            <w:shd w:val="clear" w:color="auto" w:fill="auto"/>
            <w:vAlign w:val="center"/>
          </w:tcPr>
          <w:p w14:paraId="65A69EA6">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kern w:val="2"/>
                <w:sz w:val="21"/>
                <w:szCs w:val="21"/>
                <w:highlight w:val="none"/>
                <w:lang w:val="zh-CN" w:eastAsia="zh-CN" w:bidi="ar-SA"/>
              </w:rPr>
            </w:pPr>
            <w:r>
              <w:rPr>
                <w:color w:val="auto"/>
                <w:sz w:val="21"/>
                <w:szCs w:val="21"/>
                <w:highlight w:val="none"/>
              </w:rPr>
              <w:t>1#</w:t>
            </w:r>
          </w:p>
        </w:tc>
        <w:tc>
          <w:tcPr>
            <w:tcW w:w="747" w:type="pct"/>
            <w:shd w:val="clear" w:color="auto" w:fill="auto"/>
            <w:vAlign w:val="center"/>
          </w:tcPr>
          <w:p w14:paraId="425EE4DF">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kern w:val="2"/>
                <w:sz w:val="21"/>
                <w:szCs w:val="21"/>
                <w:highlight w:val="none"/>
                <w:lang w:val="zh-CN" w:eastAsia="zh-CN" w:bidi="ar-SA"/>
              </w:rPr>
            </w:pPr>
            <w:r>
              <w:rPr>
                <w:color w:val="auto"/>
                <w:sz w:val="21"/>
                <w:szCs w:val="21"/>
                <w:highlight w:val="none"/>
                <w:lang w:val="zh-CN"/>
              </w:rPr>
              <w:t>30</w:t>
            </w:r>
          </w:p>
        </w:tc>
        <w:tc>
          <w:tcPr>
            <w:tcW w:w="541" w:type="pct"/>
            <w:vAlign w:val="center"/>
          </w:tcPr>
          <w:p w14:paraId="0BD3F03F">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0.131</w:t>
            </w:r>
          </w:p>
        </w:tc>
        <w:tc>
          <w:tcPr>
            <w:tcW w:w="470" w:type="pct"/>
            <w:vAlign w:val="center"/>
          </w:tcPr>
          <w:p w14:paraId="534566C5">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0.063</w:t>
            </w:r>
          </w:p>
        </w:tc>
        <w:tc>
          <w:tcPr>
            <w:tcW w:w="465" w:type="pct"/>
            <w:vAlign w:val="center"/>
          </w:tcPr>
          <w:p w14:paraId="108E045C">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val="zh-CN"/>
              </w:rPr>
            </w:pPr>
            <w:r>
              <w:rPr>
                <w:rFonts w:hint="eastAsia"/>
                <w:color w:val="auto"/>
                <w:sz w:val="21"/>
                <w:szCs w:val="21"/>
                <w:highlight w:val="none"/>
                <w:lang w:eastAsia="zh-CN"/>
              </w:rPr>
              <w:t>无</w:t>
            </w:r>
          </w:p>
        </w:tc>
        <w:tc>
          <w:tcPr>
            <w:tcW w:w="465" w:type="pct"/>
            <w:vAlign w:val="center"/>
          </w:tcPr>
          <w:p w14:paraId="4422E57C">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val="zh-CN"/>
              </w:rPr>
            </w:pPr>
            <w:r>
              <w:rPr>
                <w:rFonts w:hint="eastAsia"/>
                <w:color w:val="auto"/>
                <w:sz w:val="21"/>
                <w:szCs w:val="21"/>
                <w:highlight w:val="none"/>
                <w:lang w:eastAsia="zh-CN"/>
              </w:rPr>
              <w:t>无</w:t>
            </w:r>
          </w:p>
        </w:tc>
        <w:tc>
          <w:tcPr>
            <w:tcW w:w="499" w:type="pct"/>
            <w:vAlign w:val="center"/>
          </w:tcPr>
          <w:p w14:paraId="29DD478F">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en-US" w:eastAsia="zh-CN"/>
              </w:rPr>
            </w:pPr>
            <w:r>
              <w:rPr>
                <w:rFonts w:hint="eastAsia"/>
                <w:color w:val="auto"/>
                <w:sz w:val="21"/>
                <w:szCs w:val="21"/>
                <w:highlight w:val="none"/>
                <w:lang w:val="en-US" w:eastAsia="zh-CN"/>
              </w:rPr>
              <w:t>/</w:t>
            </w:r>
          </w:p>
        </w:tc>
        <w:tc>
          <w:tcPr>
            <w:tcW w:w="499" w:type="pct"/>
            <w:vAlign w:val="center"/>
          </w:tcPr>
          <w:p w14:paraId="133C7E00">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val="zh-CN"/>
              </w:rPr>
            </w:pPr>
            <w:r>
              <w:rPr>
                <w:rFonts w:hint="eastAsia"/>
                <w:color w:val="auto"/>
                <w:sz w:val="21"/>
                <w:szCs w:val="21"/>
                <w:highlight w:val="none"/>
                <w:lang w:val="zh-CN"/>
              </w:rPr>
              <w:t>无</w:t>
            </w:r>
          </w:p>
        </w:tc>
      </w:tr>
      <w:tr w14:paraId="4549DD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7" w:type="pct"/>
            <w:vMerge w:val="continue"/>
            <w:vAlign w:val="center"/>
          </w:tcPr>
          <w:p w14:paraId="179B5982">
            <w:pPr>
              <w:pStyle w:val="30"/>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sz w:val="21"/>
                <w:szCs w:val="21"/>
                <w:highlight w:val="none"/>
                <w:lang w:val="zh-CN"/>
              </w:rPr>
            </w:pPr>
          </w:p>
        </w:tc>
        <w:tc>
          <w:tcPr>
            <w:tcW w:w="644" w:type="pct"/>
            <w:shd w:val="clear" w:color="auto" w:fill="auto"/>
            <w:vAlign w:val="center"/>
          </w:tcPr>
          <w:p w14:paraId="16F3D380">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kern w:val="2"/>
                <w:sz w:val="21"/>
                <w:szCs w:val="21"/>
                <w:highlight w:val="none"/>
                <w:lang w:val="zh-CN" w:eastAsia="zh-CN" w:bidi="ar-SA"/>
              </w:rPr>
            </w:pPr>
            <w:r>
              <w:rPr>
                <w:color w:val="auto"/>
                <w:sz w:val="21"/>
                <w:szCs w:val="21"/>
                <w:highlight w:val="none"/>
              </w:rPr>
              <w:t>2#</w:t>
            </w:r>
          </w:p>
        </w:tc>
        <w:tc>
          <w:tcPr>
            <w:tcW w:w="747" w:type="pct"/>
            <w:shd w:val="clear" w:color="auto" w:fill="auto"/>
            <w:vAlign w:val="center"/>
          </w:tcPr>
          <w:p w14:paraId="02BD37F2">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kern w:val="2"/>
                <w:sz w:val="21"/>
                <w:szCs w:val="21"/>
                <w:highlight w:val="none"/>
                <w:lang w:val="zh-CN" w:eastAsia="zh-CN" w:bidi="ar-SA"/>
              </w:rPr>
            </w:pPr>
            <w:r>
              <w:rPr>
                <w:color w:val="auto"/>
                <w:sz w:val="21"/>
                <w:szCs w:val="21"/>
                <w:highlight w:val="none"/>
                <w:lang w:val="zh-CN"/>
              </w:rPr>
              <w:t>30</w:t>
            </w:r>
          </w:p>
        </w:tc>
        <w:tc>
          <w:tcPr>
            <w:tcW w:w="541" w:type="pct"/>
            <w:vAlign w:val="center"/>
          </w:tcPr>
          <w:p w14:paraId="4A794822">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0.009</w:t>
            </w:r>
          </w:p>
        </w:tc>
        <w:tc>
          <w:tcPr>
            <w:tcW w:w="470" w:type="pct"/>
            <w:vAlign w:val="center"/>
          </w:tcPr>
          <w:p w14:paraId="4E8DAED4">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0.273</w:t>
            </w:r>
          </w:p>
        </w:tc>
        <w:tc>
          <w:tcPr>
            <w:tcW w:w="465" w:type="pct"/>
            <w:vAlign w:val="center"/>
          </w:tcPr>
          <w:p w14:paraId="7EF94DE8">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val="zh-CN"/>
              </w:rPr>
            </w:pPr>
            <w:r>
              <w:rPr>
                <w:rFonts w:hint="eastAsia"/>
                <w:color w:val="auto"/>
                <w:sz w:val="21"/>
                <w:szCs w:val="21"/>
                <w:highlight w:val="none"/>
                <w:lang w:eastAsia="zh-CN"/>
              </w:rPr>
              <w:t>无</w:t>
            </w:r>
          </w:p>
        </w:tc>
        <w:tc>
          <w:tcPr>
            <w:tcW w:w="465" w:type="pct"/>
            <w:vAlign w:val="center"/>
          </w:tcPr>
          <w:p w14:paraId="6998770A">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val="zh-CN"/>
              </w:rPr>
            </w:pPr>
            <w:r>
              <w:rPr>
                <w:rFonts w:hint="eastAsia"/>
                <w:color w:val="auto"/>
                <w:sz w:val="21"/>
                <w:szCs w:val="21"/>
                <w:highlight w:val="none"/>
                <w:lang w:eastAsia="zh-CN"/>
              </w:rPr>
              <w:t>无</w:t>
            </w:r>
          </w:p>
        </w:tc>
        <w:tc>
          <w:tcPr>
            <w:tcW w:w="499" w:type="pct"/>
            <w:vAlign w:val="center"/>
          </w:tcPr>
          <w:p w14:paraId="6B2DC6BF">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en-US" w:eastAsia="zh-CN"/>
              </w:rPr>
            </w:pPr>
            <w:r>
              <w:rPr>
                <w:rFonts w:hint="eastAsia"/>
                <w:color w:val="auto"/>
                <w:sz w:val="21"/>
                <w:szCs w:val="21"/>
                <w:highlight w:val="none"/>
                <w:lang w:val="en-US" w:eastAsia="zh-CN"/>
              </w:rPr>
              <w:t>/</w:t>
            </w:r>
          </w:p>
        </w:tc>
        <w:tc>
          <w:tcPr>
            <w:tcW w:w="499" w:type="pct"/>
            <w:vAlign w:val="center"/>
          </w:tcPr>
          <w:p w14:paraId="5C5FE791">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val="zh-CN"/>
              </w:rPr>
            </w:pPr>
            <w:r>
              <w:rPr>
                <w:rFonts w:hint="eastAsia"/>
                <w:color w:val="auto"/>
                <w:sz w:val="21"/>
                <w:szCs w:val="21"/>
                <w:highlight w:val="none"/>
                <w:lang w:eastAsia="zh-CN"/>
              </w:rPr>
              <w:t>无</w:t>
            </w:r>
          </w:p>
        </w:tc>
      </w:tr>
      <w:tr w14:paraId="788A020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7" w:type="pct"/>
            <w:vMerge w:val="continue"/>
            <w:vAlign w:val="center"/>
          </w:tcPr>
          <w:p w14:paraId="7423BD3D">
            <w:pPr>
              <w:pStyle w:val="30"/>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sz w:val="21"/>
                <w:szCs w:val="21"/>
                <w:highlight w:val="none"/>
                <w:lang w:val="zh-CN"/>
              </w:rPr>
            </w:pPr>
          </w:p>
        </w:tc>
        <w:tc>
          <w:tcPr>
            <w:tcW w:w="644" w:type="pct"/>
            <w:shd w:val="clear" w:color="auto" w:fill="auto"/>
            <w:vAlign w:val="center"/>
          </w:tcPr>
          <w:p w14:paraId="7815092F">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kern w:val="2"/>
                <w:sz w:val="21"/>
                <w:szCs w:val="21"/>
                <w:highlight w:val="none"/>
                <w:lang w:val="zh-CN" w:eastAsia="zh-CN" w:bidi="ar-SA"/>
              </w:rPr>
            </w:pPr>
            <w:r>
              <w:rPr>
                <w:color w:val="auto"/>
                <w:sz w:val="21"/>
                <w:szCs w:val="21"/>
                <w:highlight w:val="none"/>
              </w:rPr>
              <w:t>3#</w:t>
            </w:r>
          </w:p>
        </w:tc>
        <w:tc>
          <w:tcPr>
            <w:tcW w:w="747" w:type="pct"/>
            <w:shd w:val="clear" w:color="auto" w:fill="auto"/>
            <w:vAlign w:val="center"/>
          </w:tcPr>
          <w:p w14:paraId="3640DA4E">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kern w:val="2"/>
                <w:sz w:val="21"/>
                <w:szCs w:val="21"/>
                <w:highlight w:val="none"/>
                <w:lang w:val="zh-CN" w:eastAsia="zh-CN" w:bidi="ar-SA"/>
              </w:rPr>
            </w:pPr>
            <w:r>
              <w:rPr>
                <w:color w:val="auto"/>
                <w:sz w:val="21"/>
                <w:szCs w:val="21"/>
                <w:highlight w:val="none"/>
                <w:lang w:val="zh-CN"/>
              </w:rPr>
              <w:t>30</w:t>
            </w:r>
          </w:p>
        </w:tc>
        <w:tc>
          <w:tcPr>
            <w:tcW w:w="541" w:type="pct"/>
            <w:vAlign w:val="center"/>
          </w:tcPr>
          <w:p w14:paraId="7E5E2B11">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0.001</w:t>
            </w:r>
          </w:p>
        </w:tc>
        <w:tc>
          <w:tcPr>
            <w:tcW w:w="470" w:type="pct"/>
            <w:vAlign w:val="center"/>
          </w:tcPr>
          <w:p w14:paraId="27C672ED">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0.267</w:t>
            </w:r>
          </w:p>
        </w:tc>
        <w:tc>
          <w:tcPr>
            <w:tcW w:w="465" w:type="pct"/>
            <w:shd w:val="clear" w:color="auto" w:fill="auto"/>
            <w:vAlign w:val="center"/>
          </w:tcPr>
          <w:p w14:paraId="77BBE745">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kern w:val="2"/>
                <w:sz w:val="21"/>
                <w:szCs w:val="21"/>
                <w:highlight w:val="none"/>
                <w:lang w:val="zh-CN" w:eastAsia="zh-CN" w:bidi="ar-SA"/>
              </w:rPr>
            </w:pPr>
            <w:r>
              <w:rPr>
                <w:rFonts w:hint="eastAsia"/>
                <w:color w:val="auto"/>
                <w:sz w:val="21"/>
                <w:szCs w:val="21"/>
                <w:highlight w:val="none"/>
                <w:lang w:eastAsia="zh-CN"/>
              </w:rPr>
              <w:t>无</w:t>
            </w:r>
          </w:p>
        </w:tc>
        <w:tc>
          <w:tcPr>
            <w:tcW w:w="465" w:type="pct"/>
            <w:shd w:val="clear" w:color="auto" w:fill="auto"/>
            <w:vAlign w:val="center"/>
          </w:tcPr>
          <w:p w14:paraId="0675E776">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kern w:val="2"/>
                <w:sz w:val="21"/>
                <w:szCs w:val="21"/>
                <w:highlight w:val="none"/>
                <w:lang w:val="zh-CN" w:eastAsia="zh-CN" w:bidi="ar-SA"/>
              </w:rPr>
            </w:pPr>
            <w:r>
              <w:rPr>
                <w:rFonts w:hint="eastAsia"/>
                <w:color w:val="auto"/>
                <w:sz w:val="21"/>
                <w:szCs w:val="21"/>
                <w:highlight w:val="none"/>
                <w:lang w:eastAsia="zh-CN"/>
              </w:rPr>
              <w:t>无</w:t>
            </w:r>
          </w:p>
        </w:tc>
        <w:tc>
          <w:tcPr>
            <w:tcW w:w="499" w:type="pct"/>
            <w:shd w:val="clear" w:color="auto" w:fill="auto"/>
            <w:vAlign w:val="center"/>
          </w:tcPr>
          <w:p w14:paraId="105BF3BB">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en-US" w:eastAsia="zh-CN"/>
              </w:rPr>
            </w:pPr>
            <w:r>
              <w:rPr>
                <w:rFonts w:hint="eastAsia"/>
                <w:color w:val="auto"/>
                <w:sz w:val="21"/>
                <w:szCs w:val="21"/>
                <w:highlight w:val="none"/>
                <w:lang w:val="en-US" w:eastAsia="zh-CN"/>
              </w:rPr>
              <w:t>/</w:t>
            </w:r>
          </w:p>
        </w:tc>
        <w:tc>
          <w:tcPr>
            <w:tcW w:w="499" w:type="pct"/>
            <w:shd w:val="clear" w:color="auto" w:fill="auto"/>
            <w:vAlign w:val="center"/>
          </w:tcPr>
          <w:p w14:paraId="56222511">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kern w:val="2"/>
                <w:sz w:val="21"/>
                <w:szCs w:val="21"/>
                <w:highlight w:val="none"/>
                <w:lang w:val="zh-CN" w:eastAsia="zh-CN" w:bidi="ar-SA"/>
              </w:rPr>
            </w:pPr>
            <w:r>
              <w:rPr>
                <w:rFonts w:hint="eastAsia"/>
                <w:color w:val="auto"/>
                <w:sz w:val="21"/>
                <w:szCs w:val="21"/>
                <w:highlight w:val="none"/>
                <w:lang w:val="en-US" w:eastAsia="zh-CN"/>
              </w:rPr>
              <w:t>乡村道路30米</w:t>
            </w:r>
          </w:p>
        </w:tc>
      </w:tr>
      <w:tr w14:paraId="2D3BEE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7" w:type="pct"/>
            <w:vMerge w:val="continue"/>
            <w:vAlign w:val="center"/>
          </w:tcPr>
          <w:p w14:paraId="35129611">
            <w:pPr>
              <w:pStyle w:val="30"/>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sz w:val="21"/>
                <w:szCs w:val="21"/>
                <w:highlight w:val="none"/>
                <w:lang w:val="zh-CN"/>
              </w:rPr>
            </w:pPr>
          </w:p>
        </w:tc>
        <w:tc>
          <w:tcPr>
            <w:tcW w:w="644" w:type="pct"/>
            <w:shd w:val="clear" w:color="auto" w:fill="auto"/>
            <w:vAlign w:val="center"/>
          </w:tcPr>
          <w:p w14:paraId="71AC4836">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kern w:val="2"/>
                <w:sz w:val="21"/>
                <w:szCs w:val="21"/>
                <w:highlight w:val="none"/>
                <w:lang w:val="en-US" w:eastAsia="zh-CN" w:bidi="ar-SA"/>
              </w:rPr>
            </w:pPr>
            <w:r>
              <w:rPr>
                <w:color w:val="auto"/>
                <w:sz w:val="21"/>
                <w:szCs w:val="21"/>
                <w:highlight w:val="none"/>
              </w:rPr>
              <w:t>4#</w:t>
            </w:r>
          </w:p>
        </w:tc>
        <w:tc>
          <w:tcPr>
            <w:tcW w:w="747" w:type="pct"/>
            <w:vAlign w:val="center"/>
          </w:tcPr>
          <w:p w14:paraId="5809DBCB">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auto"/>
                <w:sz w:val="21"/>
                <w:szCs w:val="21"/>
                <w:highlight w:val="none"/>
                <w:lang w:val="zh-CN"/>
              </w:rPr>
            </w:pPr>
            <w:r>
              <w:rPr>
                <w:color w:val="auto"/>
                <w:sz w:val="21"/>
                <w:szCs w:val="21"/>
                <w:highlight w:val="none"/>
                <w:lang w:val="zh-CN"/>
              </w:rPr>
              <w:t>30</w:t>
            </w:r>
          </w:p>
        </w:tc>
        <w:tc>
          <w:tcPr>
            <w:tcW w:w="541" w:type="pct"/>
            <w:vAlign w:val="center"/>
          </w:tcPr>
          <w:p w14:paraId="21A1A991">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val="zh-CN"/>
              </w:rPr>
            </w:pPr>
            <w:r>
              <w:rPr>
                <w:rFonts w:hint="eastAsia"/>
                <w:color w:val="auto"/>
                <w:sz w:val="21"/>
                <w:szCs w:val="21"/>
                <w:highlight w:val="none"/>
                <w:lang w:val="zh-CN"/>
              </w:rPr>
              <w:t>无</w:t>
            </w:r>
          </w:p>
        </w:tc>
        <w:tc>
          <w:tcPr>
            <w:tcW w:w="470" w:type="pct"/>
            <w:vAlign w:val="center"/>
          </w:tcPr>
          <w:p w14:paraId="5F88AA0A">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0.282</w:t>
            </w:r>
          </w:p>
        </w:tc>
        <w:tc>
          <w:tcPr>
            <w:tcW w:w="465" w:type="pct"/>
            <w:shd w:val="clear" w:color="auto" w:fill="auto"/>
            <w:vAlign w:val="center"/>
          </w:tcPr>
          <w:p w14:paraId="392934D0">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kern w:val="2"/>
                <w:sz w:val="21"/>
                <w:szCs w:val="21"/>
                <w:highlight w:val="none"/>
                <w:lang w:val="zh-CN" w:eastAsia="zh-CN" w:bidi="ar-SA"/>
              </w:rPr>
            </w:pPr>
            <w:r>
              <w:rPr>
                <w:rFonts w:hint="eastAsia"/>
                <w:color w:val="auto"/>
                <w:sz w:val="21"/>
                <w:szCs w:val="21"/>
                <w:highlight w:val="none"/>
                <w:lang w:eastAsia="zh-CN"/>
              </w:rPr>
              <w:t>无</w:t>
            </w:r>
          </w:p>
        </w:tc>
        <w:tc>
          <w:tcPr>
            <w:tcW w:w="465" w:type="pct"/>
            <w:shd w:val="clear" w:color="auto" w:fill="auto"/>
            <w:vAlign w:val="center"/>
          </w:tcPr>
          <w:p w14:paraId="24728A82">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kern w:val="2"/>
                <w:sz w:val="21"/>
                <w:szCs w:val="21"/>
                <w:highlight w:val="none"/>
                <w:lang w:val="zh-CN" w:eastAsia="zh-CN" w:bidi="ar-SA"/>
              </w:rPr>
            </w:pPr>
            <w:r>
              <w:rPr>
                <w:rFonts w:hint="eastAsia"/>
                <w:color w:val="auto"/>
                <w:sz w:val="21"/>
                <w:szCs w:val="21"/>
                <w:highlight w:val="none"/>
                <w:lang w:eastAsia="zh-CN"/>
              </w:rPr>
              <w:t>无</w:t>
            </w:r>
          </w:p>
        </w:tc>
        <w:tc>
          <w:tcPr>
            <w:tcW w:w="499" w:type="pct"/>
            <w:shd w:val="clear" w:color="auto" w:fill="auto"/>
            <w:vAlign w:val="center"/>
          </w:tcPr>
          <w:p w14:paraId="6B7BD4B6">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en-US" w:eastAsia="zh-CN"/>
              </w:rPr>
            </w:pPr>
            <w:r>
              <w:rPr>
                <w:rFonts w:hint="eastAsia"/>
                <w:color w:val="auto"/>
                <w:sz w:val="21"/>
                <w:szCs w:val="21"/>
                <w:highlight w:val="none"/>
                <w:lang w:val="en-US" w:eastAsia="zh-CN"/>
              </w:rPr>
              <w:t>/</w:t>
            </w:r>
          </w:p>
        </w:tc>
        <w:tc>
          <w:tcPr>
            <w:tcW w:w="499" w:type="pct"/>
            <w:shd w:val="clear" w:color="auto" w:fill="auto"/>
            <w:vAlign w:val="center"/>
          </w:tcPr>
          <w:p w14:paraId="4F080220">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无</w:t>
            </w:r>
          </w:p>
        </w:tc>
      </w:tr>
      <w:tr w14:paraId="09212A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7" w:type="pct"/>
            <w:vMerge w:val="continue"/>
            <w:vAlign w:val="center"/>
          </w:tcPr>
          <w:p w14:paraId="42DACD59">
            <w:pPr>
              <w:pStyle w:val="30"/>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sz w:val="21"/>
                <w:szCs w:val="21"/>
                <w:highlight w:val="none"/>
                <w:lang w:val="zh-CN"/>
              </w:rPr>
            </w:pPr>
          </w:p>
        </w:tc>
        <w:tc>
          <w:tcPr>
            <w:tcW w:w="644" w:type="pct"/>
            <w:shd w:val="clear" w:color="auto" w:fill="auto"/>
            <w:vAlign w:val="center"/>
          </w:tcPr>
          <w:p w14:paraId="0CAC0B36">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kern w:val="2"/>
                <w:sz w:val="21"/>
                <w:szCs w:val="21"/>
                <w:highlight w:val="none"/>
                <w:lang w:val="zh-CN" w:eastAsia="zh-CN" w:bidi="ar-SA"/>
              </w:rPr>
            </w:pPr>
            <w:r>
              <w:rPr>
                <w:color w:val="auto"/>
                <w:sz w:val="21"/>
                <w:szCs w:val="21"/>
                <w:highlight w:val="none"/>
              </w:rPr>
              <w:t>5#</w:t>
            </w:r>
          </w:p>
        </w:tc>
        <w:tc>
          <w:tcPr>
            <w:tcW w:w="747" w:type="pct"/>
            <w:vAlign w:val="center"/>
          </w:tcPr>
          <w:p w14:paraId="0612D9E7">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auto"/>
                <w:sz w:val="21"/>
                <w:szCs w:val="21"/>
                <w:highlight w:val="none"/>
                <w:lang w:val="zh-CN"/>
              </w:rPr>
            </w:pPr>
            <w:r>
              <w:rPr>
                <w:color w:val="auto"/>
                <w:sz w:val="21"/>
                <w:szCs w:val="21"/>
                <w:highlight w:val="none"/>
                <w:lang w:val="zh-CN"/>
              </w:rPr>
              <w:t>30</w:t>
            </w:r>
          </w:p>
        </w:tc>
        <w:tc>
          <w:tcPr>
            <w:tcW w:w="541" w:type="pct"/>
            <w:vAlign w:val="center"/>
          </w:tcPr>
          <w:p w14:paraId="5C507DF4">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val="zh-CN"/>
              </w:rPr>
            </w:pPr>
            <w:r>
              <w:rPr>
                <w:rFonts w:hint="eastAsia"/>
                <w:color w:val="auto"/>
                <w:sz w:val="21"/>
                <w:szCs w:val="21"/>
                <w:highlight w:val="none"/>
                <w:lang w:val="zh-CN"/>
              </w:rPr>
              <w:t>无</w:t>
            </w:r>
          </w:p>
        </w:tc>
        <w:tc>
          <w:tcPr>
            <w:tcW w:w="470" w:type="pct"/>
            <w:vAlign w:val="center"/>
          </w:tcPr>
          <w:p w14:paraId="0977D472">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0.282</w:t>
            </w:r>
          </w:p>
        </w:tc>
        <w:tc>
          <w:tcPr>
            <w:tcW w:w="465" w:type="pct"/>
            <w:vAlign w:val="center"/>
          </w:tcPr>
          <w:p w14:paraId="765942CD">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val="zh-CN"/>
              </w:rPr>
            </w:pPr>
            <w:r>
              <w:rPr>
                <w:rFonts w:hint="eastAsia"/>
                <w:color w:val="auto"/>
                <w:sz w:val="21"/>
                <w:szCs w:val="21"/>
                <w:highlight w:val="none"/>
                <w:lang w:eastAsia="zh-CN"/>
              </w:rPr>
              <w:t>无</w:t>
            </w:r>
          </w:p>
        </w:tc>
        <w:tc>
          <w:tcPr>
            <w:tcW w:w="465" w:type="pct"/>
            <w:vAlign w:val="center"/>
          </w:tcPr>
          <w:p w14:paraId="409D49FC">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val="zh-CN"/>
              </w:rPr>
            </w:pPr>
            <w:r>
              <w:rPr>
                <w:rFonts w:hint="eastAsia"/>
                <w:color w:val="auto"/>
                <w:sz w:val="21"/>
                <w:szCs w:val="21"/>
                <w:highlight w:val="none"/>
                <w:lang w:eastAsia="zh-CN"/>
              </w:rPr>
              <w:t>无</w:t>
            </w:r>
          </w:p>
        </w:tc>
        <w:tc>
          <w:tcPr>
            <w:tcW w:w="499" w:type="pct"/>
            <w:vAlign w:val="center"/>
          </w:tcPr>
          <w:p w14:paraId="7349B6F5">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en-US" w:eastAsia="zh-CN"/>
              </w:rPr>
            </w:pPr>
            <w:r>
              <w:rPr>
                <w:rFonts w:hint="eastAsia"/>
                <w:color w:val="auto"/>
                <w:sz w:val="21"/>
                <w:szCs w:val="21"/>
                <w:highlight w:val="none"/>
                <w:lang w:val="en-US" w:eastAsia="zh-CN"/>
              </w:rPr>
              <w:t>/</w:t>
            </w:r>
          </w:p>
        </w:tc>
        <w:tc>
          <w:tcPr>
            <w:tcW w:w="499" w:type="pct"/>
            <w:vAlign w:val="center"/>
          </w:tcPr>
          <w:p w14:paraId="562E80BF">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val="zh-CN"/>
              </w:rPr>
            </w:pPr>
            <w:r>
              <w:rPr>
                <w:rFonts w:hint="eastAsia"/>
                <w:color w:val="auto"/>
                <w:sz w:val="21"/>
                <w:szCs w:val="21"/>
                <w:highlight w:val="none"/>
                <w:lang w:eastAsia="zh-CN"/>
              </w:rPr>
              <w:t>无</w:t>
            </w:r>
          </w:p>
        </w:tc>
      </w:tr>
      <w:tr w14:paraId="2DF27D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7" w:type="pct"/>
            <w:vMerge w:val="restart"/>
            <w:vAlign w:val="center"/>
          </w:tcPr>
          <w:p w14:paraId="504AB7D7">
            <w:pPr>
              <w:widowControl/>
              <w:spacing w:line="240" w:lineRule="auto"/>
              <w:ind w:firstLine="0" w:firstLineChars="0"/>
              <w:jc w:val="center"/>
              <w:textAlignment w:val="center"/>
              <w:rPr>
                <w:rFonts w:hint="default"/>
                <w:color w:val="auto"/>
                <w:sz w:val="21"/>
                <w:szCs w:val="21"/>
                <w:highlight w:val="none"/>
                <w:lang w:val="zh-CN"/>
              </w:rPr>
            </w:pPr>
            <w:r>
              <w:rPr>
                <w:rFonts w:hint="eastAsia" w:ascii="Times New Roman" w:hAnsi="Times New Roman" w:eastAsia="宋体" w:cs="Times New Roman"/>
                <w:color w:val="auto"/>
                <w:kern w:val="0"/>
                <w:sz w:val="21"/>
                <w:szCs w:val="21"/>
                <w:highlight w:val="none"/>
                <w:lang w:val="en-US" w:eastAsia="zh-CN" w:bidi="ar"/>
              </w:rPr>
              <w:t>绥化市庆安县丰收乡饮用水水源地</w:t>
            </w:r>
          </w:p>
        </w:tc>
        <w:tc>
          <w:tcPr>
            <w:tcW w:w="644" w:type="pct"/>
            <w:vAlign w:val="center"/>
          </w:tcPr>
          <w:p w14:paraId="5B2032B2">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auto"/>
                <w:sz w:val="21"/>
                <w:szCs w:val="21"/>
                <w:highlight w:val="none"/>
              </w:rPr>
            </w:pPr>
            <w:r>
              <w:rPr>
                <w:color w:val="auto"/>
                <w:sz w:val="21"/>
                <w:szCs w:val="21"/>
                <w:highlight w:val="none"/>
              </w:rPr>
              <w:t>1#</w:t>
            </w:r>
          </w:p>
        </w:tc>
        <w:tc>
          <w:tcPr>
            <w:tcW w:w="747" w:type="pct"/>
            <w:vAlign w:val="center"/>
          </w:tcPr>
          <w:p w14:paraId="7801DDB4">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auto"/>
                <w:sz w:val="21"/>
                <w:szCs w:val="21"/>
                <w:highlight w:val="none"/>
                <w:lang w:val="zh-CN"/>
              </w:rPr>
            </w:pPr>
            <w:r>
              <w:rPr>
                <w:color w:val="auto"/>
                <w:sz w:val="21"/>
                <w:szCs w:val="21"/>
                <w:highlight w:val="none"/>
                <w:lang w:val="zh-CN"/>
              </w:rPr>
              <w:t>30</w:t>
            </w:r>
          </w:p>
        </w:tc>
        <w:tc>
          <w:tcPr>
            <w:tcW w:w="541" w:type="pct"/>
            <w:vAlign w:val="center"/>
          </w:tcPr>
          <w:p w14:paraId="3E219AC5">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0.180</w:t>
            </w:r>
          </w:p>
        </w:tc>
        <w:tc>
          <w:tcPr>
            <w:tcW w:w="470" w:type="pct"/>
            <w:vAlign w:val="center"/>
          </w:tcPr>
          <w:p w14:paraId="58EF1A87">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0.057</w:t>
            </w:r>
          </w:p>
        </w:tc>
        <w:tc>
          <w:tcPr>
            <w:tcW w:w="465" w:type="pct"/>
            <w:vAlign w:val="center"/>
          </w:tcPr>
          <w:p w14:paraId="6D9CCC57">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val="zh-CN"/>
              </w:rPr>
            </w:pPr>
            <w:r>
              <w:rPr>
                <w:rFonts w:hint="eastAsia"/>
                <w:color w:val="auto"/>
                <w:sz w:val="21"/>
                <w:szCs w:val="21"/>
                <w:highlight w:val="none"/>
                <w:lang w:eastAsia="zh-CN"/>
              </w:rPr>
              <w:t>无</w:t>
            </w:r>
          </w:p>
        </w:tc>
        <w:tc>
          <w:tcPr>
            <w:tcW w:w="465" w:type="pct"/>
            <w:vAlign w:val="center"/>
          </w:tcPr>
          <w:p w14:paraId="4F2C6804">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val="zh-CN"/>
              </w:rPr>
            </w:pPr>
            <w:r>
              <w:rPr>
                <w:rFonts w:hint="eastAsia"/>
                <w:color w:val="auto"/>
                <w:sz w:val="21"/>
                <w:szCs w:val="21"/>
                <w:highlight w:val="none"/>
                <w:lang w:val="zh-CN"/>
              </w:rPr>
              <w:t>水厂用房</w:t>
            </w:r>
          </w:p>
        </w:tc>
        <w:tc>
          <w:tcPr>
            <w:tcW w:w="499" w:type="pct"/>
            <w:vAlign w:val="center"/>
          </w:tcPr>
          <w:p w14:paraId="7D6889F0">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eastAsia="宋体"/>
                <w:color w:val="auto"/>
                <w:sz w:val="21"/>
                <w:szCs w:val="21"/>
                <w:highlight w:val="none"/>
                <w:lang w:val="en-US" w:eastAsia="zh-CN"/>
              </w:rPr>
            </w:pPr>
            <w:r>
              <w:rPr>
                <w:rFonts w:hint="eastAsia"/>
                <w:color w:val="auto"/>
                <w:sz w:val="21"/>
                <w:szCs w:val="21"/>
                <w:highlight w:val="none"/>
                <w:lang w:val="en-US" w:eastAsia="zh-CN"/>
              </w:rPr>
              <w:t>/</w:t>
            </w:r>
          </w:p>
        </w:tc>
        <w:tc>
          <w:tcPr>
            <w:tcW w:w="499" w:type="pct"/>
            <w:vAlign w:val="center"/>
          </w:tcPr>
          <w:p w14:paraId="0D8F4392">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乡村道路57米</w:t>
            </w:r>
          </w:p>
        </w:tc>
      </w:tr>
      <w:tr w14:paraId="7C7014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7" w:type="pct"/>
            <w:vMerge w:val="continue"/>
            <w:vAlign w:val="center"/>
          </w:tcPr>
          <w:p w14:paraId="2F64A0C5">
            <w:pPr>
              <w:pStyle w:val="30"/>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sz w:val="21"/>
                <w:szCs w:val="21"/>
                <w:highlight w:val="none"/>
                <w:lang w:val="zh-CN"/>
              </w:rPr>
            </w:pPr>
          </w:p>
        </w:tc>
        <w:tc>
          <w:tcPr>
            <w:tcW w:w="644" w:type="pct"/>
            <w:vAlign w:val="center"/>
          </w:tcPr>
          <w:p w14:paraId="0DA5ABCA">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auto"/>
                <w:sz w:val="21"/>
                <w:szCs w:val="21"/>
                <w:highlight w:val="none"/>
              </w:rPr>
            </w:pPr>
            <w:r>
              <w:rPr>
                <w:color w:val="auto"/>
                <w:sz w:val="21"/>
                <w:szCs w:val="21"/>
                <w:highlight w:val="none"/>
              </w:rPr>
              <w:t>2#</w:t>
            </w:r>
          </w:p>
        </w:tc>
        <w:tc>
          <w:tcPr>
            <w:tcW w:w="747" w:type="pct"/>
            <w:vAlign w:val="center"/>
          </w:tcPr>
          <w:p w14:paraId="796573B8">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auto"/>
                <w:sz w:val="21"/>
                <w:szCs w:val="21"/>
                <w:highlight w:val="none"/>
                <w:lang w:val="zh-CN"/>
              </w:rPr>
            </w:pPr>
            <w:r>
              <w:rPr>
                <w:color w:val="auto"/>
                <w:sz w:val="21"/>
                <w:szCs w:val="21"/>
                <w:highlight w:val="none"/>
                <w:lang w:val="zh-CN"/>
              </w:rPr>
              <w:t>30</w:t>
            </w:r>
          </w:p>
        </w:tc>
        <w:tc>
          <w:tcPr>
            <w:tcW w:w="541" w:type="pct"/>
            <w:vAlign w:val="center"/>
          </w:tcPr>
          <w:p w14:paraId="3807BCBC">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0.230</w:t>
            </w:r>
          </w:p>
        </w:tc>
        <w:tc>
          <w:tcPr>
            <w:tcW w:w="470" w:type="pct"/>
            <w:vAlign w:val="center"/>
          </w:tcPr>
          <w:p w14:paraId="3BEB4906">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0.052</w:t>
            </w:r>
          </w:p>
        </w:tc>
        <w:tc>
          <w:tcPr>
            <w:tcW w:w="465" w:type="pct"/>
            <w:vAlign w:val="center"/>
          </w:tcPr>
          <w:p w14:paraId="38CF3CC6">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val="zh-CN"/>
              </w:rPr>
            </w:pPr>
            <w:r>
              <w:rPr>
                <w:rFonts w:hint="eastAsia"/>
                <w:color w:val="auto"/>
                <w:sz w:val="21"/>
                <w:szCs w:val="21"/>
                <w:highlight w:val="none"/>
                <w:lang w:eastAsia="zh-CN"/>
              </w:rPr>
              <w:t>无</w:t>
            </w:r>
          </w:p>
        </w:tc>
        <w:tc>
          <w:tcPr>
            <w:tcW w:w="465" w:type="pct"/>
            <w:vAlign w:val="center"/>
          </w:tcPr>
          <w:p w14:paraId="06D6C4AE">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val="zh-CN"/>
              </w:rPr>
            </w:pPr>
            <w:r>
              <w:rPr>
                <w:rFonts w:hint="eastAsia"/>
                <w:color w:val="auto"/>
                <w:sz w:val="21"/>
                <w:szCs w:val="21"/>
                <w:highlight w:val="none"/>
                <w:lang w:eastAsia="zh-CN"/>
              </w:rPr>
              <w:t>无</w:t>
            </w:r>
          </w:p>
        </w:tc>
        <w:tc>
          <w:tcPr>
            <w:tcW w:w="499" w:type="pct"/>
            <w:vAlign w:val="center"/>
          </w:tcPr>
          <w:p w14:paraId="42A75DE4">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en-US" w:eastAsia="zh-CN"/>
              </w:rPr>
            </w:pPr>
            <w:r>
              <w:rPr>
                <w:rFonts w:hint="eastAsia"/>
                <w:color w:val="auto"/>
                <w:sz w:val="21"/>
                <w:szCs w:val="21"/>
                <w:highlight w:val="none"/>
                <w:lang w:val="en-US" w:eastAsia="zh-CN"/>
              </w:rPr>
              <w:t>/</w:t>
            </w:r>
          </w:p>
        </w:tc>
        <w:tc>
          <w:tcPr>
            <w:tcW w:w="499" w:type="pct"/>
            <w:vAlign w:val="center"/>
          </w:tcPr>
          <w:p w14:paraId="2D6C4182">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乡村道路58米</w:t>
            </w:r>
          </w:p>
        </w:tc>
      </w:tr>
      <w:tr w14:paraId="3B45BD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7" w:type="pct"/>
            <w:vMerge w:val="continue"/>
            <w:vAlign w:val="center"/>
          </w:tcPr>
          <w:p w14:paraId="7CFAC06A">
            <w:pPr>
              <w:pStyle w:val="30"/>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sz w:val="21"/>
                <w:szCs w:val="21"/>
                <w:highlight w:val="none"/>
                <w:lang w:val="zh-CN"/>
              </w:rPr>
            </w:pPr>
          </w:p>
        </w:tc>
        <w:tc>
          <w:tcPr>
            <w:tcW w:w="644" w:type="pct"/>
            <w:vAlign w:val="center"/>
          </w:tcPr>
          <w:p w14:paraId="1A4E57E6">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auto"/>
                <w:sz w:val="21"/>
                <w:szCs w:val="21"/>
                <w:highlight w:val="none"/>
              </w:rPr>
            </w:pPr>
            <w:r>
              <w:rPr>
                <w:color w:val="auto"/>
                <w:sz w:val="21"/>
                <w:szCs w:val="21"/>
                <w:highlight w:val="none"/>
              </w:rPr>
              <w:t>3#</w:t>
            </w:r>
          </w:p>
        </w:tc>
        <w:tc>
          <w:tcPr>
            <w:tcW w:w="747" w:type="pct"/>
            <w:vAlign w:val="center"/>
          </w:tcPr>
          <w:p w14:paraId="467A18F0">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auto"/>
                <w:sz w:val="21"/>
                <w:szCs w:val="21"/>
                <w:highlight w:val="none"/>
                <w:lang w:val="zh-CN"/>
              </w:rPr>
            </w:pPr>
            <w:r>
              <w:rPr>
                <w:color w:val="auto"/>
                <w:sz w:val="21"/>
                <w:szCs w:val="21"/>
                <w:highlight w:val="none"/>
                <w:lang w:val="zh-CN"/>
              </w:rPr>
              <w:t>30</w:t>
            </w:r>
          </w:p>
        </w:tc>
        <w:tc>
          <w:tcPr>
            <w:tcW w:w="541" w:type="pct"/>
            <w:vAlign w:val="center"/>
          </w:tcPr>
          <w:p w14:paraId="4176253E">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0.249</w:t>
            </w:r>
          </w:p>
        </w:tc>
        <w:tc>
          <w:tcPr>
            <w:tcW w:w="470" w:type="pct"/>
            <w:vAlign w:val="center"/>
          </w:tcPr>
          <w:p w14:paraId="7DFE0BF1">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val="zh-CN"/>
              </w:rPr>
            </w:pPr>
            <w:r>
              <w:rPr>
                <w:rFonts w:hint="eastAsia"/>
                <w:color w:val="auto"/>
                <w:sz w:val="21"/>
                <w:szCs w:val="21"/>
                <w:highlight w:val="none"/>
                <w:lang w:val="zh-CN"/>
              </w:rPr>
              <w:t>无</w:t>
            </w:r>
          </w:p>
        </w:tc>
        <w:tc>
          <w:tcPr>
            <w:tcW w:w="465" w:type="pct"/>
            <w:vAlign w:val="center"/>
          </w:tcPr>
          <w:p w14:paraId="6E38FF4A">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val="zh-CN"/>
              </w:rPr>
            </w:pPr>
            <w:r>
              <w:rPr>
                <w:rFonts w:hint="eastAsia"/>
                <w:color w:val="auto"/>
                <w:sz w:val="21"/>
                <w:szCs w:val="21"/>
                <w:highlight w:val="none"/>
                <w:lang w:eastAsia="zh-CN"/>
              </w:rPr>
              <w:t>无</w:t>
            </w:r>
          </w:p>
        </w:tc>
        <w:tc>
          <w:tcPr>
            <w:tcW w:w="465" w:type="pct"/>
            <w:vAlign w:val="center"/>
          </w:tcPr>
          <w:p w14:paraId="41C744CB">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en-US"/>
              </w:rPr>
            </w:pPr>
            <w:r>
              <w:rPr>
                <w:rFonts w:hint="eastAsia"/>
                <w:color w:val="auto"/>
                <w:sz w:val="21"/>
                <w:szCs w:val="21"/>
                <w:highlight w:val="none"/>
                <w:lang w:eastAsia="zh-CN"/>
              </w:rPr>
              <w:t>废弃居民房屋</w:t>
            </w:r>
            <w:r>
              <w:rPr>
                <w:rFonts w:hint="eastAsia"/>
                <w:color w:val="auto"/>
                <w:sz w:val="21"/>
                <w:szCs w:val="21"/>
                <w:highlight w:val="none"/>
                <w:lang w:val="en-US" w:eastAsia="zh-CN"/>
              </w:rPr>
              <w:t>1间</w:t>
            </w:r>
          </w:p>
        </w:tc>
        <w:tc>
          <w:tcPr>
            <w:tcW w:w="499" w:type="pct"/>
            <w:vAlign w:val="center"/>
          </w:tcPr>
          <w:p w14:paraId="427ED252">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eastAsia="zh-CN"/>
              </w:rPr>
            </w:pPr>
            <w:r>
              <w:rPr>
                <w:rFonts w:hint="eastAsia"/>
                <w:color w:val="auto"/>
                <w:sz w:val="21"/>
                <w:szCs w:val="21"/>
                <w:highlight w:val="none"/>
                <w:lang w:val="en-US" w:eastAsia="zh-CN"/>
              </w:rPr>
              <w:t>53</w:t>
            </w:r>
          </w:p>
        </w:tc>
        <w:tc>
          <w:tcPr>
            <w:tcW w:w="499" w:type="pct"/>
            <w:vAlign w:val="center"/>
          </w:tcPr>
          <w:p w14:paraId="1133EE4E">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乡村道路57米</w:t>
            </w:r>
          </w:p>
        </w:tc>
      </w:tr>
      <w:tr w14:paraId="28AEBF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7" w:type="pct"/>
            <w:vMerge w:val="restart"/>
            <w:vAlign w:val="center"/>
          </w:tcPr>
          <w:p w14:paraId="70287AD3">
            <w:pPr>
              <w:widowControl/>
              <w:spacing w:line="240" w:lineRule="auto"/>
              <w:ind w:firstLine="0" w:firstLineChars="0"/>
              <w:jc w:val="center"/>
              <w:textAlignment w:val="center"/>
              <w:rPr>
                <w:rFonts w:hint="default"/>
                <w:color w:val="auto"/>
                <w:sz w:val="21"/>
                <w:szCs w:val="21"/>
                <w:highlight w:val="none"/>
                <w:lang w:val="zh-CN"/>
              </w:rPr>
            </w:pPr>
            <w:r>
              <w:rPr>
                <w:rFonts w:hint="eastAsia" w:ascii="Times New Roman" w:hAnsi="Times New Roman" w:eastAsia="宋体" w:cs="Times New Roman"/>
                <w:color w:val="auto"/>
                <w:kern w:val="0"/>
                <w:sz w:val="21"/>
                <w:szCs w:val="21"/>
                <w:highlight w:val="none"/>
                <w:lang w:val="en-US" w:eastAsia="zh-CN" w:bidi="ar"/>
              </w:rPr>
              <w:t>绥化市</w:t>
            </w:r>
            <w:r>
              <w:rPr>
                <w:rFonts w:hint="eastAsia" w:cs="Times New Roman"/>
                <w:color w:val="auto"/>
                <w:kern w:val="0"/>
                <w:sz w:val="21"/>
                <w:szCs w:val="21"/>
                <w:highlight w:val="none"/>
                <w:lang w:val="en-US" w:eastAsia="zh-CN" w:bidi="ar"/>
              </w:rPr>
              <w:t>庆</w:t>
            </w:r>
            <w:r>
              <w:rPr>
                <w:rFonts w:hint="eastAsia" w:ascii="Times New Roman" w:hAnsi="Times New Roman" w:eastAsia="宋体" w:cs="Times New Roman"/>
                <w:color w:val="auto"/>
                <w:kern w:val="0"/>
                <w:sz w:val="21"/>
                <w:szCs w:val="21"/>
                <w:highlight w:val="none"/>
                <w:lang w:val="en-US" w:eastAsia="zh-CN" w:bidi="ar"/>
              </w:rPr>
              <w:t>安县平安镇饮用水水源地</w:t>
            </w:r>
          </w:p>
        </w:tc>
        <w:tc>
          <w:tcPr>
            <w:tcW w:w="644" w:type="pct"/>
            <w:shd w:val="clear" w:color="auto" w:fill="auto"/>
            <w:vAlign w:val="center"/>
          </w:tcPr>
          <w:p w14:paraId="42690C12">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kern w:val="2"/>
                <w:sz w:val="21"/>
                <w:szCs w:val="21"/>
                <w:highlight w:val="none"/>
                <w:lang w:val="zh-CN" w:eastAsia="zh-CN" w:bidi="ar-SA"/>
              </w:rPr>
            </w:pPr>
            <w:r>
              <w:rPr>
                <w:color w:val="auto"/>
                <w:sz w:val="21"/>
                <w:szCs w:val="21"/>
                <w:highlight w:val="none"/>
              </w:rPr>
              <w:t>1#</w:t>
            </w:r>
          </w:p>
        </w:tc>
        <w:tc>
          <w:tcPr>
            <w:tcW w:w="747" w:type="pct"/>
            <w:vAlign w:val="center"/>
          </w:tcPr>
          <w:p w14:paraId="411F1A3A">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auto"/>
                <w:sz w:val="21"/>
                <w:szCs w:val="21"/>
                <w:highlight w:val="none"/>
                <w:lang w:val="zh-CN"/>
              </w:rPr>
            </w:pPr>
            <w:r>
              <w:rPr>
                <w:color w:val="auto"/>
                <w:sz w:val="21"/>
                <w:szCs w:val="21"/>
                <w:highlight w:val="none"/>
                <w:lang w:val="zh-CN"/>
              </w:rPr>
              <w:t>30</w:t>
            </w:r>
          </w:p>
        </w:tc>
        <w:tc>
          <w:tcPr>
            <w:tcW w:w="541" w:type="pct"/>
            <w:vAlign w:val="center"/>
          </w:tcPr>
          <w:p w14:paraId="380B04A8">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0.090</w:t>
            </w:r>
          </w:p>
        </w:tc>
        <w:tc>
          <w:tcPr>
            <w:tcW w:w="470" w:type="pct"/>
            <w:vAlign w:val="center"/>
          </w:tcPr>
          <w:p w14:paraId="47450943">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val="zh-CN"/>
              </w:rPr>
            </w:pPr>
            <w:r>
              <w:rPr>
                <w:rFonts w:hint="eastAsia"/>
                <w:color w:val="auto"/>
                <w:sz w:val="21"/>
                <w:szCs w:val="21"/>
                <w:highlight w:val="none"/>
                <w:lang w:val="zh-CN"/>
              </w:rPr>
              <w:t>无</w:t>
            </w:r>
          </w:p>
        </w:tc>
        <w:tc>
          <w:tcPr>
            <w:tcW w:w="465" w:type="pct"/>
            <w:vAlign w:val="center"/>
          </w:tcPr>
          <w:p w14:paraId="1EAF246A">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val="zh-CN"/>
              </w:rPr>
            </w:pPr>
            <w:r>
              <w:rPr>
                <w:rFonts w:hint="eastAsia"/>
                <w:color w:val="auto"/>
                <w:sz w:val="21"/>
                <w:szCs w:val="21"/>
                <w:highlight w:val="none"/>
                <w:lang w:eastAsia="zh-CN"/>
              </w:rPr>
              <w:t>无</w:t>
            </w:r>
          </w:p>
        </w:tc>
        <w:tc>
          <w:tcPr>
            <w:tcW w:w="465" w:type="pct"/>
            <w:vAlign w:val="center"/>
          </w:tcPr>
          <w:p w14:paraId="6E0AF86F">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val="zh-CN"/>
              </w:rPr>
            </w:pPr>
            <w:r>
              <w:rPr>
                <w:rFonts w:hint="eastAsia"/>
                <w:color w:val="auto"/>
                <w:sz w:val="21"/>
                <w:szCs w:val="21"/>
                <w:highlight w:val="none"/>
                <w:lang w:val="zh-CN"/>
              </w:rPr>
              <w:t>水厂用房</w:t>
            </w:r>
          </w:p>
        </w:tc>
        <w:tc>
          <w:tcPr>
            <w:tcW w:w="499" w:type="pct"/>
            <w:vAlign w:val="center"/>
          </w:tcPr>
          <w:p w14:paraId="2E09DC75">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eastAsia="宋体"/>
                <w:color w:val="auto"/>
                <w:sz w:val="21"/>
                <w:szCs w:val="21"/>
                <w:highlight w:val="none"/>
                <w:lang w:val="en-US" w:eastAsia="zh-CN"/>
              </w:rPr>
            </w:pPr>
            <w:r>
              <w:rPr>
                <w:rFonts w:hint="eastAsia"/>
                <w:color w:val="auto"/>
                <w:sz w:val="21"/>
                <w:szCs w:val="21"/>
                <w:highlight w:val="none"/>
                <w:lang w:val="en-US" w:eastAsia="zh-CN"/>
              </w:rPr>
              <w:t>/</w:t>
            </w:r>
          </w:p>
        </w:tc>
        <w:tc>
          <w:tcPr>
            <w:tcW w:w="499" w:type="pct"/>
            <w:vAlign w:val="center"/>
          </w:tcPr>
          <w:p w14:paraId="75DBAC67">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乡镇道路37米</w:t>
            </w:r>
          </w:p>
        </w:tc>
      </w:tr>
      <w:tr w14:paraId="1E4AA0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7" w:type="pct"/>
            <w:vMerge w:val="continue"/>
            <w:vAlign w:val="center"/>
          </w:tcPr>
          <w:p w14:paraId="35355062">
            <w:pPr>
              <w:pStyle w:val="30"/>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sz w:val="21"/>
                <w:szCs w:val="21"/>
                <w:highlight w:val="none"/>
                <w:lang w:val="zh-CN"/>
              </w:rPr>
            </w:pPr>
          </w:p>
        </w:tc>
        <w:tc>
          <w:tcPr>
            <w:tcW w:w="644" w:type="pct"/>
            <w:shd w:val="clear" w:color="auto" w:fill="auto"/>
            <w:vAlign w:val="center"/>
          </w:tcPr>
          <w:p w14:paraId="5F95A7F5">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kern w:val="2"/>
                <w:sz w:val="21"/>
                <w:szCs w:val="21"/>
                <w:highlight w:val="none"/>
                <w:lang w:val="zh-CN" w:eastAsia="zh-CN" w:bidi="ar-SA"/>
              </w:rPr>
            </w:pPr>
            <w:r>
              <w:rPr>
                <w:color w:val="auto"/>
                <w:sz w:val="21"/>
                <w:szCs w:val="21"/>
                <w:highlight w:val="none"/>
              </w:rPr>
              <w:t>2#</w:t>
            </w:r>
          </w:p>
        </w:tc>
        <w:tc>
          <w:tcPr>
            <w:tcW w:w="747" w:type="pct"/>
            <w:vAlign w:val="center"/>
          </w:tcPr>
          <w:p w14:paraId="45981161">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auto"/>
                <w:sz w:val="21"/>
                <w:szCs w:val="21"/>
                <w:highlight w:val="none"/>
                <w:lang w:val="zh-CN"/>
              </w:rPr>
            </w:pPr>
            <w:r>
              <w:rPr>
                <w:color w:val="auto"/>
                <w:sz w:val="21"/>
                <w:szCs w:val="21"/>
                <w:highlight w:val="none"/>
                <w:lang w:val="zh-CN"/>
              </w:rPr>
              <w:t>30</w:t>
            </w:r>
          </w:p>
        </w:tc>
        <w:tc>
          <w:tcPr>
            <w:tcW w:w="541" w:type="pct"/>
            <w:vAlign w:val="center"/>
          </w:tcPr>
          <w:p w14:paraId="1FC203FC">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0.018</w:t>
            </w:r>
          </w:p>
        </w:tc>
        <w:tc>
          <w:tcPr>
            <w:tcW w:w="470" w:type="pct"/>
            <w:vAlign w:val="center"/>
          </w:tcPr>
          <w:p w14:paraId="2275979A">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0.045</w:t>
            </w:r>
          </w:p>
        </w:tc>
        <w:tc>
          <w:tcPr>
            <w:tcW w:w="465" w:type="pct"/>
            <w:vAlign w:val="center"/>
          </w:tcPr>
          <w:p w14:paraId="17ADD10E">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val="zh-CN"/>
              </w:rPr>
            </w:pPr>
            <w:r>
              <w:rPr>
                <w:rFonts w:hint="eastAsia"/>
                <w:color w:val="auto"/>
                <w:sz w:val="21"/>
                <w:szCs w:val="21"/>
                <w:highlight w:val="none"/>
                <w:lang w:eastAsia="zh-CN"/>
              </w:rPr>
              <w:t>无</w:t>
            </w:r>
          </w:p>
        </w:tc>
        <w:tc>
          <w:tcPr>
            <w:tcW w:w="465" w:type="pct"/>
            <w:vAlign w:val="center"/>
          </w:tcPr>
          <w:p w14:paraId="56BF0041">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eastAsia="宋体"/>
                <w:color w:val="auto"/>
                <w:sz w:val="21"/>
                <w:szCs w:val="21"/>
                <w:highlight w:val="none"/>
                <w:lang w:val="en-US" w:eastAsia="zh-CN"/>
              </w:rPr>
            </w:pPr>
            <w:r>
              <w:rPr>
                <w:rFonts w:hint="eastAsia"/>
                <w:color w:val="auto"/>
                <w:sz w:val="21"/>
                <w:szCs w:val="21"/>
                <w:highlight w:val="none"/>
                <w:lang w:val="en-US" w:eastAsia="zh-CN"/>
              </w:rPr>
              <w:t>闲置</w:t>
            </w:r>
            <w:r>
              <w:rPr>
                <w:rFonts w:hint="eastAsia"/>
                <w:color w:val="auto"/>
                <w:highlight w:val="none"/>
                <w:lang w:eastAsia="zh-CN"/>
              </w:rPr>
              <w:t>仓房</w:t>
            </w:r>
            <w:r>
              <w:rPr>
                <w:rFonts w:hint="eastAsia"/>
                <w:color w:val="auto"/>
                <w:sz w:val="21"/>
                <w:szCs w:val="21"/>
                <w:highlight w:val="none"/>
                <w:lang w:val="en-US" w:eastAsia="zh-CN"/>
              </w:rPr>
              <w:t>1间</w:t>
            </w:r>
          </w:p>
        </w:tc>
        <w:tc>
          <w:tcPr>
            <w:tcW w:w="499" w:type="pct"/>
            <w:vAlign w:val="center"/>
          </w:tcPr>
          <w:p w14:paraId="412D1A3A">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val="en-US" w:eastAsia="zh-CN"/>
              </w:rPr>
            </w:pPr>
            <w:r>
              <w:rPr>
                <w:rFonts w:hint="eastAsia"/>
                <w:color w:val="auto"/>
                <w:sz w:val="21"/>
                <w:szCs w:val="21"/>
                <w:highlight w:val="none"/>
                <w:lang w:val="en-US" w:eastAsia="zh-CN"/>
              </w:rPr>
              <w:t>286</w:t>
            </w:r>
          </w:p>
        </w:tc>
        <w:tc>
          <w:tcPr>
            <w:tcW w:w="499" w:type="pct"/>
            <w:vAlign w:val="center"/>
          </w:tcPr>
          <w:p w14:paraId="6AF9FE62">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val="zh-CN"/>
              </w:rPr>
            </w:pPr>
            <w:r>
              <w:rPr>
                <w:rFonts w:hint="eastAsia"/>
                <w:color w:val="auto"/>
                <w:sz w:val="21"/>
                <w:szCs w:val="21"/>
                <w:highlight w:val="none"/>
                <w:lang w:val="en-US" w:eastAsia="zh-CN"/>
              </w:rPr>
              <w:t>乡镇道路57米</w:t>
            </w:r>
          </w:p>
        </w:tc>
      </w:tr>
    </w:tbl>
    <w:p w14:paraId="2EE4091A">
      <w:pPr>
        <w:pStyle w:val="5"/>
        <w:bidi w:val="0"/>
        <w:ind w:firstLine="472" w:firstLineChars="200"/>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（3）污染源现状</w:t>
      </w:r>
    </w:p>
    <w:p w14:paraId="3392033F">
      <w:pPr>
        <w:pStyle w:val="6"/>
        <w:bidi w:val="0"/>
        <w:rPr>
          <w:rFonts w:hint="eastAsia"/>
          <w:color w:val="auto"/>
          <w:sz w:val="24"/>
          <w:szCs w:val="24"/>
          <w:highlight w:val="none"/>
          <w:lang w:val="zh-CN"/>
        </w:rPr>
      </w:pPr>
      <w:r>
        <w:rPr>
          <w:rFonts w:hint="eastAsia"/>
          <w:color w:val="auto"/>
          <w:sz w:val="24"/>
          <w:szCs w:val="24"/>
          <w:highlight w:val="none"/>
        </w:rPr>
        <w:t>1</w:t>
      </w:r>
      <w:r>
        <w:rPr>
          <w:rFonts w:hint="eastAsia"/>
          <w:color w:val="auto"/>
          <w:sz w:val="24"/>
          <w:szCs w:val="24"/>
          <w:highlight w:val="none"/>
          <w:lang w:val="zh-CN"/>
        </w:rPr>
        <w:t>）</w:t>
      </w:r>
      <w:r>
        <w:rPr>
          <w:rFonts w:hint="eastAsia" w:ascii="Times New Roman" w:hAnsi="Times New Roman" w:eastAsia="宋体" w:cs="Times New Roman"/>
          <w:color w:val="auto"/>
          <w:kern w:val="0"/>
          <w:sz w:val="24"/>
          <w:szCs w:val="24"/>
          <w:highlight w:val="none"/>
          <w:lang w:val="en-US" w:eastAsia="zh-CN" w:bidi="ar"/>
        </w:rPr>
        <w:t>绥化市庆安县发展乡</w:t>
      </w:r>
      <w:r>
        <w:rPr>
          <w:rFonts w:hint="eastAsia" w:ascii="Times New Roman" w:hAnsi="Times New Roman" w:eastAsia="宋体" w:cs="Times New Roman"/>
          <w:color w:val="auto"/>
          <w:kern w:val="2"/>
          <w:sz w:val="24"/>
          <w:szCs w:val="24"/>
          <w:highlight w:val="none"/>
          <w:lang w:val="en-US" w:eastAsia="zh-CN" w:bidi="ar-SA"/>
        </w:rPr>
        <w:t>饮用水</w:t>
      </w:r>
      <w:r>
        <w:rPr>
          <w:rFonts w:ascii="Times New Roman" w:hAnsi="Times New Roman" w:eastAsia="宋体" w:cs="Times New Roman"/>
          <w:color w:val="auto"/>
          <w:kern w:val="0"/>
          <w:sz w:val="24"/>
          <w:szCs w:val="24"/>
          <w:highlight w:val="none"/>
          <w:lang w:bidi="ar"/>
        </w:rPr>
        <w:t>水源地</w:t>
      </w:r>
    </w:p>
    <w:p w14:paraId="30989A94">
      <w:pPr>
        <w:spacing w:line="360" w:lineRule="auto"/>
        <w:ind w:firstLine="472" w:firstLineChars="200"/>
        <w:rPr>
          <w:rFonts w:hint="eastAsia"/>
          <w:color w:val="auto"/>
          <w:sz w:val="24"/>
          <w:szCs w:val="24"/>
          <w:highlight w:val="none"/>
        </w:rPr>
      </w:pPr>
      <w:r>
        <w:rPr>
          <w:color w:val="auto"/>
          <w:kern w:val="0"/>
          <w:sz w:val="24"/>
          <w:szCs w:val="24"/>
          <w:highlight w:val="none"/>
        </w:rPr>
        <w:fldChar w:fldCharType="begin"/>
      </w:r>
      <w:r>
        <w:rPr>
          <w:color w:val="auto"/>
          <w:kern w:val="0"/>
          <w:sz w:val="24"/>
          <w:szCs w:val="24"/>
          <w:highlight w:val="none"/>
        </w:rPr>
        <w:instrText xml:space="preserve"> = 1 \* GB3 \* MERGEFORMAT </w:instrText>
      </w:r>
      <w:r>
        <w:rPr>
          <w:color w:val="auto"/>
          <w:kern w:val="0"/>
          <w:sz w:val="24"/>
          <w:szCs w:val="24"/>
          <w:highlight w:val="none"/>
        </w:rPr>
        <w:fldChar w:fldCharType="separate"/>
      </w:r>
      <w:r>
        <w:rPr>
          <w:color w:val="auto"/>
          <w:sz w:val="24"/>
          <w:szCs w:val="24"/>
          <w:highlight w:val="none"/>
        </w:rPr>
        <w:t>①</w:t>
      </w:r>
      <w:r>
        <w:rPr>
          <w:color w:val="auto"/>
          <w:kern w:val="0"/>
          <w:sz w:val="24"/>
          <w:szCs w:val="24"/>
          <w:highlight w:val="none"/>
        </w:rPr>
        <w:fldChar w:fldCharType="end"/>
      </w:r>
      <w:r>
        <w:rPr>
          <w:rFonts w:hint="eastAsia"/>
          <w:color w:val="auto"/>
          <w:sz w:val="24"/>
          <w:szCs w:val="24"/>
          <w:highlight w:val="none"/>
        </w:rPr>
        <w:t>点源污染</w:t>
      </w:r>
    </w:p>
    <w:p w14:paraId="60776059">
      <w:pPr>
        <w:spacing w:line="360" w:lineRule="auto"/>
        <w:ind w:firstLine="472" w:firstLineChars="200"/>
        <w:rPr>
          <w:color w:val="auto"/>
          <w:highlight w:val="none"/>
        </w:rPr>
      </w:pPr>
      <w:r>
        <w:rPr>
          <w:rFonts w:hint="eastAsia"/>
          <w:color w:val="auto"/>
          <w:sz w:val="24"/>
          <w:szCs w:val="22"/>
          <w:highlight w:val="none"/>
        </w:rPr>
        <w:t>经调查，</w:t>
      </w:r>
      <w:r>
        <w:rPr>
          <w:rFonts w:hint="eastAsia"/>
          <w:color w:val="auto"/>
          <w:kern w:val="0"/>
          <w:sz w:val="24"/>
          <w:szCs w:val="24"/>
          <w:highlight w:val="none"/>
        </w:rPr>
        <w:t>水源地一级保护区</w:t>
      </w:r>
      <w:r>
        <w:rPr>
          <w:rFonts w:hint="eastAsia"/>
          <w:color w:val="auto"/>
          <w:sz w:val="24"/>
          <w:szCs w:val="22"/>
          <w:highlight w:val="none"/>
        </w:rPr>
        <w:t>范围内无点源污染。</w:t>
      </w:r>
    </w:p>
    <w:p w14:paraId="573B3511">
      <w:pPr>
        <w:spacing w:line="360" w:lineRule="auto"/>
        <w:ind w:firstLine="472" w:firstLineChars="200"/>
        <w:rPr>
          <w:rFonts w:hint="eastAsia"/>
          <w:color w:val="auto"/>
          <w:sz w:val="24"/>
          <w:szCs w:val="22"/>
          <w:highlight w:val="none"/>
        </w:rPr>
      </w:pPr>
      <w:r>
        <w:rPr>
          <w:color w:val="auto"/>
          <w:kern w:val="0"/>
          <w:sz w:val="24"/>
          <w:szCs w:val="24"/>
          <w:highlight w:val="none"/>
        </w:rPr>
        <w:fldChar w:fldCharType="begin"/>
      </w:r>
      <w:r>
        <w:rPr>
          <w:color w:val="auto"/>
          <w:kern w:val="0"/>
          <w:sz w:val="24"/>
          <w:szCs w:val="24"/>
          <w:highlight w:val="none"/>
        </w:rPr>
        <w:instrText xml:space="preserve"> = 2 \* GB3 \* MERGEFORMAT </w:instrText>
      </w:r>
      <w:r>
        <w:rPr>
          <w:color w:val="auto"/>
          <w:kern w:val="0"/>
          <w:sz w:val="24"/>
          <w:szCs w:val="24"/>
          <w:highlight w:val="none"/>
        </w:rPr>
        <w:fldChar w:fldCharType="separate"/>
      </w:r>
      <w:r>
        <w:rPr>
          <w:color w:val="auto"/>
          <w:sz w:val="24"/>
          <w:szCs w:val="24"/>
          <w:highlight w:val="none"/>
        </w:rPr>
        <w:t>②</w:t>
      </w:r>
      <w:r>
        <w:rPr>
          <w:color w:val="auto"/>
          <w:kern w:val="0"/>
          <w:sz w:val="24"/>
          <w:szCs w:val="24"/>
          <w:highlight w:val="none"/>
        </w:rPr>
        <w:fldChar w:fldCharType="end"/>
      </w:r>
      <w:r>
        <w:rPr>
          <w:rFonts w:hint="eastAsia"/>
          <w:color w:val="auto"/>
          <w:sz w:val="24"/>
          <w:szCs w:val="22"/>
          <w:highlight w:val="none"/>
        </w:rPr>
        <w:t>非点源污染</w:t>
      </w:r>
    </w:p>
    <w:p w14:paraId="2382A055">
      <w:pPr>
        <w:spacing w:line="360" w:lineRule="auto"/>
        <w:ind w:firstLine="472" w:firstLineChars="200"/>
        <w:rPr>
          <w:rFonts w:hint="eastAsia"/>
          <w:color w:val="auto"/>
          <w:sz w:val="24"/>
          <w:szCs w:val="22"/>
          <w:highlight w:val="none"/>
          <w:lang w:val="zh-CN"/>
        </w:rPr>
      </w:pPr>
      <w:r>
        <w:rPr>
          <w:rFonts w:hint="eastAsia"/>
          <w:color w:val="auto"/>
          <w:sz w:val="24"/>
          <w:szCs w:val="22"/>
          <w:highlight w:val="none"/>
          <w:lang w:val="zh-CN"/>
        </w:rPr>
        <w:t>经调查，</w:t>
      </w:r>
      <w:r>
        <w:rPr>
          <w:rFonts w:hint="eastAsia"/>
          <w:color w:val="auto"/>
          <w:kern w:val="0"/>
          <w:sz w:val="24"/>
          <w:szCs w:val="24"/>
          <w:highlight w:val="none"/>
        </w:rPr>
        <w:t>水源地一级保护区</w:t>
      </w:r>
      <w:r>
        <w:rPr>
          <w:rFonts w:hint="eastAsia"/>
          <w:color w:val="auto"/>
          <w:sz w:val="24"/>
          <w:szCs w:val="22"/>
          <w:highlight w:val="none"/>
          <w:lang w:val="zh-CN"/>
        </w:rPr>
        <w:t>内共有耕地</w:t>
      </w:r>
      <w:r>
        <w:rPr>
          <w:rFonts w:hint="eastAsia"/>
          <w:color w:val="auto"/>
          <w:sz w:val="24"/>
          <w:szCs w:val="22"/>
          <w:highlight w:val="none"/>
          <w:lang w:val="en-US" w:eastAsia="zh-CN"/>
        </w:rPr>
        <w:t>0.879</w:t>
      </w:r>
      <w:r>
        <w:rPr>
          <w:rFonts w:hint="eastAsia"/>
          <w:color w:val="auto"/>
          <w:sz w:val="24"/>
          <w:szCs w:val="22"/>
          <w:highlight w:val="none"/>
        </w:rPr>
        <w:t>公顷</w:t>
      </w:r>
      <w:r>
        <w:rPr>
          <w:rFonts w:hint="eastAsia"/>
          <w:color w:val="auto"/>
          <w:sz w:val="24"/>
          <w:szCs w:val="22"/>
          <w:highlight w:val="none"/>
          <w:lang w:val="zh-CN"/>
        </w:rPr>
        <w:t>，</w:t>
      </w:r>
      <w:r>
        <w:rPr>
          <w:rFonts w:hint="eastAsia"/>
          <w:color w:val="auto"/>
          <w:sz w:val="24"/>
          <w:szCs w:val="22"/>
          <w:highlight w:val="none"/>
        </w:rPr>
        <w:t>主要农作物为玉米，农作物生长期内大量施用的农药在农田土壤内残留，</w:t>
      </w:r>
      <w:r>
        <w:rPr>
          <w:rFonts w:hint="eastAsia"/>
          <w:color w:val="auto"/>
          <w:sz w:val="24"/>
          <w:szCs w:val="22"/>
          <w:highlight w:val="none"/>
          <w:lang w:val="zh-CN"/>
        </w:rPr>
        <w:t>有影响到地下水水质的可能性。</w:t>
      </w:r>
    </w:p>
    <w:p w14:paraId="17E3367C">
      <w:pPr>
        <w:spacing w:line="360" w:lineRule="auto"/>
        <w:ind w:firstLine="472" w:firstLineChars="200"/>
        <w:rPr>
          <w:rFonts w:hint="eastAsia"/>
          <w:color w:val="auto"/>
          <w:sz w:val="24"/>
          <w:szCs w:val="22"/>
          <w:highlight w:val="none"/>
        </w:rPr>
      </w:pPr>
      <w:r>
        <w:rPr>
          <w:color w:val="auto"/>
          <w:kern w:val="0"/>
          <w:sz w:val="24"/>
          <w:szCs w:val="24"/>
          <w:highlight w:val="none"/>
        </w:rPr>
        <w:fldChar w:fldCharType="begin"/>
      </w:r>
      <w:r>
        <w:rPr>
          <w:color w:val="auto"/>
          <w:kern w:val="0"/>
          <w:sz w:val="24"/>
          <w:szCs w:val="24"/>
          <w:highlight w:val="none"/>
        </w:rPr>
        <w:instrText xml:space="preserve"> = 3 \* GB3 \* MERGEFORMAT </w:instrText>
      </w:r>
      <w:r>
        <w:rPr>
          <w:color w:val="auto"/>
          <w:kern w:val="0"/>
          <w:sz w:val="24"/>
          <w:szCs w:val="24"/>
          <w:highlight w:val="none"/>
        </w:rPr>
        <w:fldChar w:fldCharType="separate"/>
      </w:r>
      <w:r>
        <w:rPr>
          <w:color w:val="auto"/>
          <w:sz w:val="24"/>
          <w:szCs w:val="24"/>
          <w:highlight w:val="none"/>
        </w:rPr>
        <w:t>③</w:t>
      </w:r>
      <w:r>
        <w:rPr>
          <w:color w:val="auto"/>
          <w:kern w:val="0"/>
          <w:sz w:val="24"/>
          <w:szCs w:val="24"/>
          <w:highlight w:val="none"/>
        </w:rPr>
        <w:fldChar w:fldCharType="end"/>
      </w:r>
      <w:r>
        <w:rPr>
          <w:rFonts w:hint="eastAsia"/>
          <w:color w:val="auto"/>
          <w:sz w:val="24"/>
          <w:szCs w:val="22"/>
          <w:highlight w:val="none"/>
        </w:rPr>
        <w:t>流动源</w:t>
      </w:r>
      <w:r>
        <w:rPr>
          <w:color w:val="auto"/>
          <w:sz w:val="24"/>
          <w:szCs w:val="24"/>
          <w:highlight w:val="none"/>
        </w:rPr>
        <w:t>和其他</w:t>
      </w:r>
      <w:r>
        <w:rPr>
          <w:rFonts w:hint="eastAsia"/>
          <w:color w:val="auto"/>
          <w:sz w:val="24"/>
          <w:szCs w:val="22"/>
          <w:highlight w:val="none"/>
        </w:rPr>
        <w:t>污染</w:t>
      </w:r>
    </w:p>
    <w:p w14:paraId="6ADE1C29">
      <w:pPr>
        <w:spacing w:line="360" w:lineRule="auto"/>
        <w:ind w:firstLine="472" w:firstLineChars="200"/>
        <w:jc w:val="both"/>
        <w:rPr>
          <w:rFonts w:hint="eastAsia"/>
          <w:color w:val="auto"/>
          <w:sz w:val="24"/>
          <w:szCs w:val="22"/>
          <w:highlight w:val="none"/>
        </w:rPr>
        <w:sectPr>
          <w:pgSz w:w="11905" w:h="16838"/>
          <w:pgMar w:top="1474" w:right="1474" w:bottom="1474" w:left="1474" w:header="964" w:footer="992" w:gutter="0"/>
          <w:pgBorders>
            <w:top w:val="none" w:sz="0" w:space="0"/>
            <w:left w:val="none" w:sz="0" w:space="0"/>
            <w:bottom w:val="none" w:sz="0" w:space="0"/>
            <w:right w:val="none" w:sz="0" w:space="0"/>
          </w:pgBorders>
          <w:pgNumType w:fmt="decimal"/>
          <w:cols w:space="720" w:num="1"/>
          <w:docGrid w:type="linesAndChars" w:linePitch="347" w:charSpace="-1024"/>
        </w:sectPr>
      </w:pPr>
      <w:r>
        <w:rPr>
          <w:rFonts w:hint="eastAsia"/>
          <w:color w:val="auto"/>
          <w:sz w:val="24"/>
          <w:szCs w:val="22"/>
          <w:highlight w:val="none"/>
          <w:lang w:val="zh-CN"/>
        </w:rPr>
        <w:t>经调查，</w:t>
      </w:r>
      <w:r>
        <w:rPr>
          <w:rFonts w:hint="eastAsia"/>
          <w:color w:val="auto"/>
          <w:sz w:val="24"/>
          <w:szCs w:val="22"/>
          <w:highlight w:val="none"/>
        </w:rPr>
        <w:t>水源地一级保护区内</w:t>
      </w:r>
      <w:r>
        <w:rPr>
          <w:rFonts w:hint="eastAsia"/>
          <w:color w:val="auto"/>
          <w:sz w:val="24"/>
          <w:szCs w:val="22"/>
          <w:highlight w:val="none"/>
          <w:lang w:eastAsia="zh-CN"/>
        </w:rPr>
        <w:t>水井</w:t>
      </w:r>
      <w:r>
        <w:rPr>
          <w:rFonts w:hint="eastAsia"/>
          <w:color w:val="auto"/>
          <w:sz w:val="24"/>
          <w:szCs w:val="22"/>
          <w:highlight w:val="none"/>
          <w:lang w:val="en-US" w:eastAsia="zh-CN"/>
        </w:rPr>
        <w:t>1#</w:t>
      </w:r>
      <w:r>
        <w:rPr>
          <w:rFonts w:hint="eastAsia"/>
          <w:color w:val="auto"/>
          <w:sz w:val="24"/>
          <w:szCs w:val="22"/>
          <w:highlight w:val="none"/>
        </w:rPr>
        <w:t>西侧有乡村道路穿越，穿越长度</w:t>
      </w:r>
      <w:r>
        <w:rPr>
          <w:rFonts w:hint="eastAsia"/>
          <w:color w:val="auto"/>
          <w:sz w:val="24"/>
          <w:szCs w:val="22"/>
          <w:highlight w:val="none"/>
          <w:lang w:val="en-US" w:eastAsia="zh-CN"/>
        </w:rPr>
        <w:t>27</w:t>
      </w:r>
      <w:r>
        <w:rPr>
          <w:rFonts w:hint="eastAsia"/>
          <w:color w:val="auto"/>
          <w:sz w:val="24"/>
          <w:szCs w:val="22"/>
          <w:highlight w:val="none"/>
        </w:rPr>
        <w:t>米</w:t>
      </w:r>
      <w:r>
        <w:rPr>
          <w:rFonts w:hint="eastAsia"/>
          <w:color w:val="auto"/>
          <w:sz w:val="24"/>
          <w:szCs w:val="22"/>
          <w:highlight w:val="none"/>
          <w:lang w:eastAsia="zh-CN"/>
        </w:rPr>
        <w:t>；水井</w:t>
      </w:r>
      <w:r>
        <w:rPr>
          <w:rFonts w:hint="eastAsia"/>
          <w:color w:val="auto"/>
          <w:sz w:val="24"/>
          <w:szCs w:val="22"/>
          <w:highlight w:val="none"/>
          <w:lang w:val="en-US" w:eastAsia="zh-CN"/>
        </w:rPr>
        <w:t>8#</w:t>
      </w:r>
      <w:r>
        <w:rPr>
          <w:rFonts w:hint="eastAsia"/>
          <w:color w:val="auto"/>
          <w:sz w:val="24"/>
          <w:szCs w:val="22"/>
          <w:highlight w:val="none"/>
        </w:rPr>
        <w:t>南侧有乡村道路穿越，穿越长度</w:t>
      </w:r>
      <w:r>
        <w:rPr>
          <w:rFonts w:hint="eastAsia"/>
          <w:color w:val="auto"/>
          <w:sz w:val="24"/>
          <w:szCs w:val="22"/>
          <w:highlight w:val="none"/>
          <w:lang w:val="en-US" w:eastAsia="zh-CN"/>
        </w:rPr>
        <w:t>60</w:t>
      </w:r>
      <w:r>
        <w:rPr>
          <w:rFonts w:hint="eastAsia"/>
          <w:color w:val="auto"/>
          <w:sz w:val="24"/>
          <w:szCs w:val="22"/>
          <w:highlight w:val="none"/>
        </w:rPr>
        <w:t>米</w:t>
      </w:r>
      <w:r>
        <w:rPr>
          <w:rFonts w:hint="eastAsia"/>
          <w:color w:val="auto"/>
          <w:sz w:val="24"/>
          <w:szCs w:val="22"/>
          <w:highlight w:val="none"/>
          <w:lang w:eastAsia="zh-CN"/>
        </w:rPr>
        <w:t>；</w:t>
      </w:r>
      <w:r>
        <w:rPr>
          <w:rFonts w:hint="eastAsia"/>
          <w:color w:val="auto"/>
          <w:sz w:val="24"/>
          <w:szCs w:val="22"/>
          <w:highlight w:val="none"/>
        </w:rPr>
        <w:t>道路已禁止有毒有害物质和危险化学品的运输，存在部分农药运输情况。</w:t>
      </w:r>
    </w:p>
    <w:p w14:paraId="045A55DC">
      <w:pPr>
        <w:spacing w:line="360" w:lineRule="auto"/>
        <w:ind w:left="0" w:leftChars="0" w:firstLine="0" w:firstLineChars="0"/>
        <w:jc w:val="center"/>
        <w:rPr>
          <w:rFonts w:hint="eastAsia" w:ascii="Times New Roman" w:hAnsi="Times New Roman" w:eastAsia="宋体" w:cs="Times New Roman"/>
          <w:color w:val="auto"/>
          <w:sz w:val="24"/>
          <w:szCs w:val="24"/>
          <w:highlight w:val="none"/>
          <w:lang w:eastAsia="zh-CN"/>
        </w:rPr>
      </w:pPr>
      <w:r>
        <w:rPr>
          <w:rFonts w:hint="eastAsia" w:ascii="Times New Roman" w:hAnsi="Times New Roman" w:eastAsia="宋体" w:cs="Times New Roman"/>
          <w:color w:val="auto"/>
          <w:sz w:val="24"/>
          <w:szCs w:val="24"/>
          <w:highlight w:val="none"/>
          <w:lang w:eastAsia="zh-CN"/>
        </w:rPr>
        <w:drawing>
          <wp:inline distT="0" distB="0" distL="114300" distR="114300">
            <wp:extent cx="6932295" cy="4982845"/>
            <wp:effectExtent l="0" t="0" r="1905" b="8255"/>
            <wp:docPr id="15" name="图片 15" descr="发展乡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发展乡1"/>
                    <pic:cNvPicPr>
                      <a:picLocks noChangeAspect="1"/>
                    </pic:cNvPicPr>
                  </pic:nvPicPr>
                  <pic:blipFill>
                    <a:blip r:embed="rId102"/>
                    <a:stretch>
                      <a:fillRect/>
                    </a:stretch>
                  </pic:blipFill>
                  <pic:spPr>
                    <a:xfrm>
                      <a:off x="0" y="0"/>
                      <a:ext cx="6932295" cy="4982845"/>
                    </a:xfrm>
                    <a:prstGeom prst="rect">
                      <a:avLst/>
                    </a:prstGeom>
                  </pic:spPr>
                </pic:pic>
              </a:graphicData>
            </a:graphic>
          </wp:inline>
        </w:drawing>
      </w:r>
    </w:p>
    <w:p w14:paraId="1A622360">
      <w:pPr>
        <w:spacing w:line="360" w:lineRule="auto"/>
        <w:ind w:left="0" w:leftChars="0" w:firstLine="0" w:firstLineChars="0"/>
        <w:jc w:val="center"/>
        <w:rPr>
          <w:rFonts w:hint="eastAsia" w:cs="Times New Roman"/>
          <w:color w:val="auto"/>
          <w:sz w:val="24"/>
          <w:szCs w:val="24"/>
          <w:highlight w:val="none"/>
          <w:lang w:eastAsia="zh-CN"/>
        </w:rPr>
      </w:pPr>
      <w:r>
        <w:rPr>
          <w:rFonts w:hint="eastAsia" w:ascii="Times New Roman" w:hAnsi="Times New Roman" w:cs="Times New Roman"/>
          <w:color w:val="auto"/>
          <w:sz w:val="24"/>
          <w:szCs w:val="24"/>
          <w:highlight w:val="none"/>
          <w:lang w:eastAsia="zh-CN"/>
        </w:rPr>
        <w:t>图</w:t>
      </w:r>
      <w:r>
        <w:rPr>
          <w:rFonts w:hint="eastAsia" w:ascii="Times New Roman" w:hAnsi="Times New Roman" w:cs="Times New Roman"/>
          <w:color w:val="auto"/>
          <w:sz w:val="24"/>
          <w:szCs w:val="24"/>
          <w:highlight w:val="none"/>
          <w:lang w:val="en-US" w:eastAsia="zh-CN"/>
        </w:rPr>
        <w:t xml:space="preserve">4-4 </w:t>
      </w:r>
      <w:r>
        <w:rPr>
          <w:rFonts w:hint="eastAsia" w:ascii="Times New Roman" w:hAnsi="Times New Roman" w:eastAsia="宋体" w:cs="Times New Roman"/>
          <w:color w:val="auto"/>
          <w:sz w:val="24"/>
          <w:szCs w:val="24"/>
          <w:highlight w:val="none"/>
          <w:lang w:eastAsia="zh-CN"/>
        </w:rPr>
        <w:t>发展乡</w:t>
      </w:r>
      <w:r>
        <w:rPr>
          <w:rFonts w:ascii="Times New Roman" w:hAnsi="Times New Roman" w:eastAsia="宋体" w:cs="Times New Roman"/>
          <w:color w:val="auto"/>
          <w:sz w:val="24"/>
          <w:szCs w:val="24"/>
          <w:highlight w:val="none"/>
        </w:rPr>
        <w:t>饮用水水源地</w:t>
      </w:r>
      <w:r>
        <w:rPr>
          <w:rFonts w:hint="eastAsia" w:cs="Times New Roman"/>
          <w:color w:val="auto"/>
          <w:sz w:val="24"/>
          <w:szCs w:val="24"/>
          <w:highlight w:val="none"/>
          <w:lang w:eastAsia="zh-CN"/>
        </w:rPr>
        <w:t>保护区内</w:t>
      </w:r>
      <w:r>
        <w:rPr>
          <w:rFonts w:ascii="Times New Roman" w:hAnsi="Times New Roman" w:eastAsia="宋体" w:cs="Times New Roman"/>
          <w:color w:val="auto"/>
          <w:sz w:val="24"/>
          <w:szCs w:val="24"/>
          <w:highlight w:val="none"/>
        </w:rPr>
        <w:t>污染</w:t>
      </w:r>
      <w:r>
        <w:rPr>
          <w:rFonts w:hint="eastAsia" w:ascii="Times New Roman" w:hAnsi="Times New Roman" w:eastAsia="宋体" w:cs="Times New Roman"/>
          <w:color w:val="auto"/>
          <w:sz w:val="24"/>
          <w:szCs w:val="24"/>
          <w:highlight w:val="none"/>
          <w:lang w:eastAsia="zh-CN"/>
        </w:rPr>
        <w:t>源分布图</w:t>
      </w:r>
      <w:r>
        <w:rPr>
          <w:rFonts w:hint="eastAsia" w:cs="Times New Roman"/>
          <w:color w:val="auto"/>
          <w:sz w:val="24"/>
          <w:szCs w:val="24"/>
          <w:highlight w:val="none"/>
          <w:lang w:eastAsia="zh-CN"/>
        </w:rPr>
        <w:t>（水井</w:t>
      </w:r>
      <w:r>
        <w:rPr>
          <w:rFonts w:hint="eastAsia" w:cs="Times New Roman"/>
          <w:color w:val="auto"/>
          <w:sz w:val="24"/>
          <w:szCs w:val="24"/>
          <w:highlight w:val="none"/>
          <w:lang w:val="en-US" w:eastAsia="zh-CN"/>
        </w:rPr>
        <w:t>1#</w:t>
      </w:r>
      <w:r>
        <w:rPr>
          <w:rFonts w:hint="eastAsia" w:cs="Times New Roman"/>
          <w:color w:val="auto"/>
          <w:sz w:val="24"/>
          <w:szCs w:val="24"/>
          <w:highlight w:val="none"/>
          <w:lang w:eastAsia="zh-CN"/>
        </w:rPr>
        <w:t>）</w:t>
      </w:r>
    </w:p>
    <w:p w14:paraId="76F998D9">
      <w:pPr>
        <w:spacing w:line="360" w:lineRule="auto"/>
        <w:ind w:left="0" w:leftChars="0" w:firstLine="0" w:firstLineChars="0"/>
        <w:jc w:val="center"/>
        <w:rPr>
          <w:rFonts w:hint="eastAsia" w:cs="Times New Roman"/>
          <w:color w:val="auto"/>
          <w:sz w:val="24"/>
          <w:szCs w:val="24"/>
          <w:highlight w:val="none"/>
          <w:lang w:eastAsia="zh-CN"/>
        </w:rPr>
      </w:pPr>
      <w:r>
        <w:rPr>
          <w:rFonts w:hint="eastAsia" w:cs="Times New Roman"/>
          <w:color w:val="auto"/>
          <w:sz w:val="24"/>
          <w:szCs w:val="24"/>
          <w:highlight w:val="none"/>
          <w:lang w:eastAsia="zh-CN"/>
        </w:rPr>
        <w:drawing>
          <wp:inline distT="0" distB="0" distL="114300" distR="114300">
            <wp:extent cx="7100570" cy="5103495"/>
            <wp:effectExtent l="0" t="0" r="5080" b="1905"/>
            <wp:docPr id="21" name="图片 21" descr="发展乡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发展乡23"/>
                    <pic:cNvPicPr>
                      <a:picLocks noChangeAspect="1"/>
                    </pic:cNvPicPr>
                  </pic:nvPicPr>
                  <pic:blipFill>
                    <a:blip r:embed="rId103"/>
                    <a:stretch>
                      <a:fillRect/>
                    </a:stretch>
                  </pic:blipFill>
                  <pic:spPr>
                    <a:xfrm>
                      <a:off x="0" y="0"/>
                      <a:ext cx="7100570" cy="5103495"/>
                    </a:xfrm>
                    <a:prstGeom prst="rect">
                      <a:avLst/>
                    </a:prstGeom>
                  </pic:spPr>
                </pic:pic>
              </a:graphicData>
            </a:graphic>
          </wp:inline>
        </w:drawing>
      </w:r>
    </w:p>
    <w:p w14:paraId="16372935">
      <w:pPr>
        <w:spacing w:line="360" w:lineRule="auto"/>
        <w:ind w:left="0" w:leftChars="0" w:firstLine="0" w:firstLineChars="0"/>
        <w:jc w:val="center"/>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cs="Times New Roman"/>
          <w:color w:val="auto"/>
          <w:sz w:val="24"/>
          <w:szCs w:val="24"/>
          <w:highlight w:val="none"/>
          <w:lang w:eastAsia="zh-CN"/>
        </w:rPr>
        <w:t>图</w:t>
      </w:r>
      <w:r>
        <w:rPr>
          <w:rFonts w:hint="eastAsia" w:ascii="Times New Roman" w:hAnsi="Times New Roman" w:cs="Times New Roman"/>
          <w:color w:val="auto"/>
          <w:sz w:val="24"/>
          <w:szCs w:val="24"/>
          <w:highlight w:val="none"/>
          <w:lang w:val="en-US" w:eastAsia="zh-CN"/>
        </w:rPr>
        <w:t>4-</w:t>
      </w:r>
      <w:r>
        <w:rPr>
          <w:rFonts w:hint="eastAsia" w:cs="Times New Roman"/>
          <w:color w:val="auto"/>
          <w:sz w:val="24"/>
          <w:szCs w:val="24"/>
          <w:highlight w:val="none"/>
          <w:lang w:val="en-US" w:eastAsia="zh-CN"/>
        </w:rPr>
        <w:t>5</w:t>
      </w:r>
      <w:r>
        <w:rPr>
          <w:rFonts w:hint="eastAsia" w:ascii="Times New Roman" w:hAnsi="Times New Roman" w:cs="Times New Roman"/>
          <w:color w:val="auto"/>
          <w:sz w:val="24"/>
          <w:szCs w:val="24"/>
          <w:highlight w:val="none"/>
          <w:lang w:val="en-US" w:eastAsia="zh-CN"/>
        </w:rPr>
        <w:t xml:space="preserve"> </w:t>
      </w:r>
      <w:r>
        <w:rPr>
          <w:rFonts w:hint="eastAsia" w:ascii="Times New Roman" w:hAnsi="Times New Roman" w:eastAsia="宋体" w:cs="Times New Roman"/>
          <w:color w:val="auto"/>
          <w:sz w:val="24"/>
          <w:szCs w:val="24"/>
          <w:highlight w:val="none"/>
          <w:lang w:eastAsia="zh-CN"/>
        </w:rPr>
        <w:t>发展乡</w:t>
      </w:r>
      <w:r>
        <w:rPr>
          <w:rFonts w:ascii="Times New Roman" w:hAnsi="Times New Roman" w:eastAsia="宋体" w:cs="Times New Roman"/>
          <w:color w:val="auto"/>
          <w:sz w:val="24"/>
          <w:szCs w:val="24"/>
          <w:highlight w:val="none"/>
        </w:rPr>
        <w:t>饮用水水源地</w:t>
      </w:r>
      <w:r>
        <w:rPr>
          <w:rFonts w:hint="eastAsia" w:cs="Times New Roman"/>
          <w:color w:val="auto"/>
          <w:sz w:val="24"/>
          <w:szCs w:val="24"/>
          <w:highlight w:val="none"/>
          <w:lang w:eastAsia="zh-CN"/>
        </w:rPr>
        <w:t>保护区内</w:t>
      </w:r>
      <w:r>
        <w:rPr>
          <w:rFonts w:ascii="Times New Roman" w:hAnsi="Times New Roman" w:eastAsia="宋体" w:cs="Times New Roman"/>
          <w:color w:val="auto"/>
          <w:sz w:val="24"/>
          <w:szCs w:val="24"/>
          <w:highlight w:val="none"/>
        </w:rPr>
        <w:t>污染</w:t>
      </w:r>
      <w:r>
        <w:rPr>
          <w:rFonts w:hint="eastAsia" w:ascii="Times New Roman" w:hAnsi="Times New Roman" w:eastAsia="宋体" w:cs="Times New Roman"/>
          <w:color w:val="auto"/>
          <w:sz w:val="24"/>
          <w:szCs w:val="24"/>
          <w:highlight w:val="none"/>
          <w:lang w:eastAsia="zh-CN"/>
        </w:rPr>
        <w:t>源分布图</w:t>
      </w:r>
      <w:r>
        <w:rPr>
          <w:rFonts w:hint="eastAsia" w:cs="Times New Roman"/>
          <w:color w:val="auto"/>
          <w:sz w:val="24"/>
          <w:szCs w:val="24"/>
          <w:highlight w:val="none"/>
          <w:lang w:eastAsia="zh-CN"/>
        </w:rPr>
        <w:t>（水井</w:t>
      </w:r>
      <w:r>
        <w:rPr>
          <w:rFonts w:hint="eastAsia" w:cs="Times New Roman"/>
          <w:color w:val="auto"/>
          <w:sz w:val="24"/>
          <w:szCs w:val="24"/>
          <w:highlight w:val="none"/>
          <w:lang w:val="en-US" w:eastAsia="zh-CN"/>
        </w:rPr>
        <w:t>2#、</w:t>
      </w:r>
      <w:r>
        <w:rPr>
          <w:rFonts w:hint="eastAsia" w:cs="Times New Roman"/>
          <w:color w:val="auto"/>
          <w:sz w:val="24"/>
          <w:szCs w:val="24"/>
          <w:highlight w:val="none"/>
          <w:lang w:eastAsia="zh-CN"/>
        </w:rPr>
        <w:t>水井</w:t>
      </w:r>
      <w:r>
        <w:rPr>
          <w:rFonts w:hint="eastAsia" w:cs="Times New Roman"/>
          <w:color w:val="auto"/>
          <w:sz w:val="24"/>
          <w:szCs w:val="24"/>
          <w:highlight w:val="none"/>
          <w:lang w:val="en-US" w:eastAsia="zh-CN"/>
        </w:rPr>
        <w:t>3#</w:t>
      </w:r>
      <w:r>
        <w:rPr>
          <w:rFonts w:hint="eastAsia" w:cs="Times New Roman"/>
          <w:color w:val="auto"/>
          <w:sz w:val="24"/>
          <w:szCs w:val="24"/>
          <w:highlight w:val="none"/>
          <w:lang w:eastAsia="zh-CN"/>
        </w:rPr>
        <w:t>）</w:t>
      </w:r>
    </w:p>
    <w:p w14:paraId="7F163B6B">
      <w:pPr>
        <w:spacing w:line="360" w:lineRule="auto"/>
        <w:ind w:left="0" w:leftChars="0" w:firstLine="0" w:firstLineChars="0"/>
        <w:jc w:val="center"/>
        <w:rPr>
          <w:rFonts w:hint="eastAsia" w:ascii="Times New Roman" w:hAnsi="Times New Roman" w:cs="Times New Roman"/>
          <w:color w:val="auto"/>
          <w:sz w:val="24"/>
          <w:szCs w:val="24"/>
          <w:highlight w:val="none"/>
          <w:lang w:eastAsia="zh-CN"/>
        </w:rPr>
      </w:pPr>
      <w:r>
        <w:rPr>
          <w:rFonts w:hint="eastAsia" w:ascii="Times New Roman" w:hAnsi="Times New Roman" w:cs="Times New Roman"/>
          <w:color w:val="auto"/>
          <w:sz w:val="24"/>
          <w:szCs w:val="24"/>
          <w:highlight w:val="none"/>
          <w:lang w:eastAsia="zh-CN"/>
        </w:rPr>
        <w:drawing>
          <wp:inline distT="0" distB="0" distL="114300" distR="114300">
            <wp:extent cx="6984365" cy="5020310"/>
            <wp:effectExtent l="0" t="0" r="6985" b="8890"/>
            <wp:docPr id="22" name="图片 22" descr="发展乡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发展乡45"/>
                    <pic:cNvPicPr>
                      <a:picLocks noChangeAspect="1"/>
                    </pic:cNvPicPr>
                  </pic:nvPicPr>
                  <pic:blipFill>
                    <a:blip r:embed="rId104"/>
                    <a:stretch>
                      <a:fillRect/>
                    </a:stretch>
                  </pic:blipFill>
                  <pic:spPr>
                    <a:xfrm>
                      <a:off x="0" y="0"/>
                      <a:ext cx="6984365" cy="5020310"/>
                    </a:xfrm>
                    <a:prstGeom prst="rect">
                      <a:avLst/>
                    </a:prstGeom>
                  </pic:spPr>
                </pic:pic>
              </a:graphicData>
            </a:graphic>
          </wp:inline>
        </w:drawing>
      </w:r>
    </w:p>
    <w:p w14:paraId="7A6560A5">
      <w:pPr>
        <w:spacing w:line="360" w:lineRule="auto"/>
        <w:ind w:left="0" w:leftChars="0" w:firstLine="0" w:firstLineChars="0"/>
        <w:jc w:val="center"/>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cs="Times New Roman"/>
          <w:color w:val="auto"/>
          <w:sz w:val="24"/>
          <w:szCs w:val="24"/>
          <w:highlight w:val="none"/>
          <w:lang w:eastAsia="zh-CN"/>
        </w:rPr>
        <w:t>图</w:t>
      </w:r>
      <w:r>
        <w:rPr>
          <w:rFonts w:hint="eastAsia" w:ascii="Times New Roman" w:hAnsi="Times New Roman" w:cs="Times New Roman"/>
          <w:color w:val="auto"/>
          <w:sz w:val="24"/>
          <w:szCs w:val="24"/>
          <w:highlight w:val="none"/>
          <w:lang w:val="en-US" w:eastAsia="zh-CN"/>
        </w:rPr>
        <w:t>4-</w:t>
      </w:r>
      <w:r>
        <w:rPr>
          <w:rFonts w:hint="eastAsia" w:cs="Times New Roman"/>
          <w:color w:val="auto"/>
          <w:sz w:val="24"/>
          <w:szCs w:val="24"/>
          <w:highlight w:val="none"/>
          <w:lang w:val="en-US" w:eastAsia="zh-CN"/>
        </w:rPr>
        <w:t>6</w:t>
      </w:r>
      <w:r>
        <w:rPr>
          <w:rFonts w:hint="eastAsia" w:ascii="Times New Roman" w:hAnsi="Times New Roman" w:cs="Times New Roman"/>
          <w:color w:val="auto"/>
          <w:sz w:val="24"/>
          <w:szCs w:val="24"/>
          <w:highlight w:val="none"/>
          <w:lang w:val="en-US" w:eastAsia="zh-CN"/>
        </w:rPr>
        <w:t xml:space="preserve"> </w:t>
      </w:r>
      <w:r>
        <w:rPr>
          <w:rFonts w:hint="eastAsia" w:ascii="Times New Roman" w:hAnsi="Times New Roman" w:eastAsia="宋体" w:cs="Times New Roman"/>
          <w:color w:val="auto"/>
          <w:sz w:val="24"/>
          <w:szCs w:val="24"/>
          <w:highlight w:val="none"/>
          <w:lang w:eastAsia="zh-CN"/>
        </w:rPr>
        <w:t>发展乡</w:t>
      </w:r>
      <w:r>
        <w:rPr>
          <w:rFonts w:ascii="Times New Roman" w:hAnsi="Times New Roman" w:eastAsia="宋体" w:cs="Times New Roman"/>
          <w:color w:val="auto"/>
          <w:sz w:val="24"/>
          <w:szCs w:val="24"/>
          <w:highlight w:val="none"/>
        </w:rPr>
        <w:t>饮用水水源地</w:t>
      </w:r>
      <w:r>
        <w:rPr>
          <w:rFonts w:hint="eastAsia" w:cs="Times New Roman"/>
          <w:color w:val="auto"/>
          <w:sz w:val="24"/>
          <w:szCs w:val="24"/>
          <w:highlight w:val="none"/>
          <w:lang w:eastAsia="zh-CN"/>
        </w:rPr>
        <w:t>保护区内</w:t>
      </w:r>
      <w:r>
        <w:rPr>
          <w:rFonts w:ascii="Times New Roman" w:hAnsi="Times New Roman" w:eastAsia="宋体" w:cs="Times New Roman"/>
          <w:color w:val="auto"/>
          <w:sz w:val="24"/>
          <w:szCs w:val="24"/>
          <w:highlight w:val="none"/>
        </w:rPr>
        <w:t>污染</w:t>
      </w:r>
      <w:r>
        <w:rPr>
          <w:rFonts w:hint="eastAsia" w:ascii="Times New Roman" w:hAnsi="Times New Roman" w:eastAsia="宋体" w:cs="Times New Roman"/>
          <w:color w:val="auto"/>
          <w:sz w:val="24"/>
          <w:szCs w:val="24"/>
          <w:highlight w:val="none"/>
          <w:lang w:eastAsia="zh-CN"/>
        </w:rPr>
        <w:t>源分布图</w:t>
      </w:r>
      <w:r>
        <w:rPr>
          <w:rFonts w:hint="eastAsia" w:cs="Times New Roman"/>
          <w:color w:val="auto"/>
          <w:sz w:val="24"/>
          <w:szCs w:val="24"/>
          <w:highlight w:val="none"/>
          <w:lang w:eastAsia="zh-CN"/>
        </w:rPr>
        <w:t>（水井</w:t>
      </w:r>
      <w:r>
        <w:rPr>
          <w:rFonts w:hint="eastAsia" w:cs="Times New Roman"/>
          <w:color w:val="auto"/>
          <w:sz w:val="24"/>
          <w:szCs w:val="24"/>
          <w:highlight w:val="none"/>
          <w:lang w:val="en-US" w:eastAsia="zh-CN"/>
        </w:rPr>
        <w:t>4#、</w:t>
      </w:r>
      <w:r>
        <w:rPr>
          <w:rFonts w:hint="eastAsia" w:cs="Times New Roman"/>
          <w:color w:val="auto"/>
          <w:sz w:val="24"/>
          <w:szCs w:val="24"/>
          <w:highlight w:val="none"/>
          <w:lang w:eastAsia="zh-CN"/>
        </w:rPr>
        <w:t>水井</w:t>
      </w:r>
      <w:r>
        <w:rPr>
          <w:rFonts w:hint="eastAsia" w:cs="Times New Roman"/>
          <w:color w:val="auto"/>
          <w:sz w:val="24"/>
          <w:szCs w:val="24"/>
          <w:highlight w:val="none"/>
          <w:lang w:val="en-US" w:eastAsia="zh-CN"/>
        </w:rPr>
        <w:t>5#</w:t>
      </w:r>
      <w:r>
        <w:rPr>
          <w:rFonts w:hint="eastAsia" w:cs="Times New Roman"/>
          <w:color w:val="auto"/>
          <w:sz w:val="24"/>
          <w:szCs w:val="24"/>
          <w:highlight w:val="none"/>
          <w:lang w:eastAsia="zh-CN"/>
        </w:rPr>
        <w:t>）</w:t>
      </w:r>
    </w:p>
    <w:p w14:paraId="3A454D4D">
      <w:pPr>
        <w:spacing w:line="360" w:lineRule="auto"/>
        <w:ind w:left="0" w:leftChars="0" w:firstLine="0" w:firstLineChars="0"/>
        <w:jc w:val="center"/>
        <w:rPr>
          <w:rFonts w:hint="eastAsia" w:ascii="Times New Roman" w:hAnsi="Times New Roman" w:cs="Times New Roman"/>
          <w:color w:val="auto"/>
          <w:sz w:val="24"/>
          <w:szCs w:val="24"/>
          <w:highlight w:val="none"/>
          <w:lang w:eastAsia="zh-CN"/>
        </w:rPr>
      </w:pPr>
      <w:r>
        <w:rPr>
          <w:rFonts w:hint="eastAsia" w:ascii="Times New Roman" w:hAnsi="Times New Roman" w:cs="Times New Roman"/>
          <w:color w:val="auto"/>
          <w:sz w:val="24"/>
          <w:szCs w:val="24"/>
          <w:highlight w:val="none"/>
          <w:lang w:eastAsia="zh-CN"/>
        </w:rPr>
        <w:drawing>
          <wp:inline distT="0" distB="0" distL="114300" distR="114300">
            <wp:extent cx="7090410" cy="5096510"/>
            <wp:effectExtent l="0" t="0" r="15240" b="8890"/>
            <wp:docPr id="23" name="图片 23" descr="发展乡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发展乡67"/>
                    <pic:cNvPicPr>
                      <a:picLocks noChangeAspect="1"/>
                    </pic:cNvPicPr>
                  </pic:nvPicPr>
                  <pic:blipFill>
                    <a:blip r:embed="rId105"/>
                    <a:stretch>
                      <a:fillRect/>
                    </a:stretch>
                  </pic:blipFill>
                  <pic:spPr>
                    <a:xfrm>
                      <a:off x="0" y="0"/>
                      <a:ext cx="7090410" cy="5096510"/>
                    </a:xfrm>
                    <a:prstGeom prst="rect">
                      <a:avLst/>
                    </a:prstGeom>
                  </pic:spPr>
                </pic:pic>
              </a:graphicData>
            </a:graphic>
          </wp:inline>
        </w:drawing>
      </w:r>
    </w:p>
    <w:p w14:paraId="66493034">
      <w:pPr>
        <w:spacing w:line="360" w:lineRule="auto"/>
        <w:ind w:left="0" w:leftChars="0" w:firstLine="0" w:firstLineChars="0"/>
        <w:jc w:val="center"/>
        <w:rPr>
          <w:rFonts w:hint="eastAsia" w:cs="Times New Roman"/>
          <w:color w:val="auto"/>
          <w:sz w:val="24"/>
          <w:szCs w:val="24"/>
          <w:highlight w:val="none"/>
          <w:lang w:eastAsia="zh-CN"/>
        </w:rPr>
      </w:pPr>
      <w:r>
        <w:rPr>
          <w:rFonts w:hint="eastAsia" w:ascii="Times New Roman" w:hAnsi="Times New Roman" w:cs="Times New Roman"/>
          <w:color w:val="auto"/>
          <w:sz w:val="24"/>
          <w:szCs w:val="24"/>
          <w:highlight w:val="none"/>
          <w:lang w:eastAsia="zh-CN"/>
        </w:rPr>
        <w:t>图</w:t>
      </w:r>
      <w:r>
        <w:rPr>
          <w:rFonts w:hint="eastAsia" w:ascii="Times New Roman" w:hAnsi="Times New Roman" w:cs="Times New Roman"/>
          <w:color w:val="auto"/>
          <w:sz w:val="24"/>
          <w:szCs w:val="24"/>
          <w:highlight w:val="none"/>
          <w:lang w:val="en-US" w:eastAsia="zh-CN"/>
        </w:rPr>
        <w:t>4-</w:t>
      </w:r>
      <w:r>
        <w:rPr>
          <w:rFonts w:hint="eastAsia" w:cs="Times New Roman"/>
          <w:color w:val="auto"/>
          <w:sz w:val="24"/>
          <w:szCs w:val="24"/>
          <w:highlight w:val="none"/>
          <w:lang w:val="en-US" w:eastAsia="zh-CN"/>
        </w:rPr>
        <w:t>7</w:t>
      </w:r>
      <w:r>
        <w:rPr>
          <w:rFonts w:hint="eastAsia" w:ascii="Times New Roman" w:hAnsi="Times New Roman" w:cs="Times New Roman"/>
          <w:color w:val="auto"/>
          <w:sz w:val="24"/>
          <w:szCs w:val="24"/>
          <w:highlight w:val="none"/>
          <w:lang w:val="en-US" w:eastAsia="zh-CN"/>
        </w:rPr>
        <w:t xml:space="preserve"> </w:t>
      </w:r>
      <w:r>
        <w:rPr>
          <w:rFonts w:hint="eastAsia" w:ascii="Times New Roman" w:hAnsi="Times New Roman" w:eastAsia="宋体" w:cs="Times New Roman"/>
          <w:color w:val="auto"/>
          <w:sz w:val="24"/>
          <w:szCs w:val="24"/>
          <w:highlight w:val="none"/>
          <w:lang w:eastAsia="zh-CN"/>
        </w:rPr>
        <w:t>发展乡</w:t>
      </w:r>
      <w:r>
        <w:rPr>
          <w:rFonts w:ascii="Times New Roman" w:hAnsi="Times New Roman" w:eastAsia="宋体" w:cs="Times New Roman"/>
          <w:color w:val="auto"/>
          <w:sz w:val="24"/>
          <w:szCs w:val="24"/>
          <w:highlight w:val="none"/>
        </w:rPr>
        <w:t>饮用水水源地</w:t>
      </w:r>
      <w:r>
        <w:rPr>
          <w:rFonts w:hint="eastAsia" w:cs="Times New Roman"/>
          <w:color w:val="auto"/>
          <w:sz w:val="24"/>
          <w:szCs w:val="24"/>
          <w:highlight w:val="none"/>
          <w:lang w:eastAsia="zh-CN"/>
        </w:rPr>
        <w:t>保护区内</w:t>
      </w:r>
      <w:r>
        <w:rPr>
          <w:rFonts w:ascii="Times New Roman" w:hAnsi="Times New Roman" w:eastAsia="宋体" w:cs="Times New Roman"/>
          <w:color w:val="auto"/>
          <w:sz w:val="24"/>
          <w:szCs w:val="24"/>
          <w:highlight w:val="none"/>
        </w:rPr>
        <w:t>污染</w:t>
      </w:r>
      <w:r>
        <w:rPr>
          <w:rFonts w:hint="eastAsia" w:ascii="Times New Roman" w:hAnsi="Times New Roman" w:eastAsia="宋体" w:cs="Times New Roman"/>
          <w:color w:val="auto"/>
          <w:sz w:val="24"/>
          <w:szCs w:val="24"/>
          <w:highlight w:val="none"/>
          <w:lang w:eastAsia="zh-CN"/>
        </w:rPr>
        <w:t>源分布图</w:t>
      </w:r>
      <w:r>
        <w:rPr>
          <w:rFonts w:hint="eastAsia" w:cs="Times New Roman"/>
          <w:color w:val="auto"/>
          <w:sz w:val="24"/>
          <w:szCs w:val="24"/>
          <w:highlight w:val="none"/>
          <w:lang w:eastAsia="zh-CN"/>
        </w:rPr>
        <w:t>（水井</w:t>
      </w:r>
      <w:r>
        <w:rPr>
          <w:rFonts w:hint="eastAsia" w:cs="Times New Roman"/>
          <w:color w:val="auto"/>
          <w:sz w:val="24"/>
          <w:szCs w:val="24"/>
          <w:highlight w:val="none"/>
          <w:lang w:val="en-US" w:eastAsia="zh-CN"/>
        </w:rPr>
        <w:t>6#、</w:t>
      </w:r>
      <w:r>
        <w:rPr>
          <w:rFonts w:hint="eastAsia" w:cs="Times New Roman"/>
          <w:color w:val="auto"/>
          <w:sz w:val="24"/>
          <w:szCs w:val="24"/>
          <w:highlight w:val="none"/>
          <w:lang w:eastAsia="zh-CN"/>
        </w:rPr>
        <w:t>水井</w:t>
      </w:r>
      <w:r>
        <w:rPr>
          <w:rFonts w:hint="eastAsia" w:cs="Times New Roman"/>
          <w:color w:val="auto"/>
          <w:sz w:val="24"/>
          <w:szCs w:val="24"/>
          <w:highlight w:val="none"/>
          <w:lang w:val="en-US" w:eastAsia="zh-CN"/>
        </w:rPr>
        <w:t>7#</w:t>
      </w:r>
      <w:r>
        <w:rPr>
          <w:rFonts w:hint="eastAsia" w:cs="Times New Roman"/>
          <w:color w:val="auto"/>
          <w:sz w:val="24"/>
          <w:szCs w:val="24"/>
          <w:highlight w:val="none"/>
          <w:lang w:eastAsia="zh-CN"/>
        </w:rPr>
        <w:t>）</w:t>
      </w:r>
    </w:p>
    <w:p w14:paraId="7545E5BB">
      <w:pPr>
        <w:spacing w:line="360" w:lineRule="auto"/>
        <w:ind w:left="0" w:leftChars="0" w:firstLine="0" w:firstLineChars="0"/>
        <w:jc w:val="center"/>
        <w:rPr>
          <w:rFonts w:hint="eastAsia" w:cs="Times New Roman"/>
          <w:color w:val="auto"/>
          <w:sz w:val="24"/>
          <w:szCs w:val="24"/>
          <w:highlight w:val="none"/>
          <w:lang w:eastAsia="zh-CN"/>
        </w:rPr>
      </w:pPr>
      <w:r>
        <w:rPr>
          <w:rFonts w:hint="eastAsia" w:cs="Times New Roman"/>
          <w:color w:val="auto"/>
          <w:sz w:val="24"/>
          <w:szCs w:val="24"/>
          <w:highlight w:val="none"/>
          <w:lang w:eastAsia="zh-CN"/>
        </w:rPr>
        <w:drawing>
          <wp:inline distT="0" distB="0" distL="114300" distR="114300">
            <wp:extent cx="7068185" cy="5080635"/>
            <wp:effectExtent l="0" t="0" r="18415" b="5715"/>
            <wp:docPr id="29" name="图片 29" descr="发展乡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发展乡8"/>
                    <pic:cNvPicPr>
                      <a:picLocks noChangeAspect="1"/>
                    </pic:cNvPicPr>
                  </pic:nvPicPr>
                  <pic:blipFill>
                    <a:blip r:embed="rId106"/>
                    <a:stretch>
                      <a:fillRect/>
                    </a:stretch>
                  </pic:blipFill>
                  <pic:spPr>
                    <a:xfrm>
                      <a:off x="0" y="0"/>
                      <a:ext cx="7068185" cy="5080635"/>
                    </a:xfrm>
                    <a:prstGeom prst="rect">
                      <a:avLst/>
                    </a:prstGeom>
                  </pic:spPr>
                </pic:pic>
              </a:graphicData>
            </a:graphic>
          </wp:inline>
        </w:drawing>
      </w:r>
    </w:p>
    <w:p w14:paraId="24955C67">
      <w:pPr>
        <w:spacing w:line="360" w:lineRule="auto"/>
        <w:ind w:left="0" w:leftChars="0" w:firstLine="0" w:firstLineChars="0"/>
        <w:jc w:val="center"/>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cs="Times New Roman"/>
          <w:color w:val="auto"/>
          <w:sz w:val="24"/>
          <w:szCs w:val="24"/>
          <w:highlight w:val="none"/>
          <w:lang w:eastAsia="zh-CN"/>
        </w:rPr>
        <w:t>图</w:t>
      </w:r>
      <w:r>
        <w:rPr>
          <w:rFonts w:hint="eastAsia" w:ascii="Times New Roman" w:hAnsi="Times New Roman" w:cs="Times New Roman"/>
          <w:color w:val="auto"/>
          <w:sz w:val="24"/>
          <w:szCs w:val="24"/>
          <w:highlight w:val="none"/>
          <w:lang w:val="en-US" w:eastAsia="zh-CN"/>
        </w:rPr>
        <w:t>4-</w:t>
      </w:r>
      <w:r>
        <w:rPr>
          <w:rFonts w:hint="eastAsia" w:cs="Times New Roman"/>
          <w:color w:val="auto"/>
          <w:sz w:val="24"/>
          <w:szCs w:val="24"/>
          <w:highlight w:val="none"/>
          <w:lang w:val="en-US" w:eastAsia="zh-CN"/>
        </w:rPr>
        <w:t>8</w:t>
      </w:r>
      <w:r>
        <w:rPr>
          <w:rFonts w:hint="eastAsia" w:ascii="Times New Roman" w:hAnsi="Times New Roman" w:cs="Times New Roman"/>
          <w:color w:val="auto"/>
          <w:sz w:val="24"/>
          <w:szCs w:val="24"/>
          <w:highlight w:val="none"/>
          <w:lang w:val="en-US" w:eastAsia="zh-CN"/>
        </w:rPr>
        <w:t xml:space="preserve"> </w:t>
      </w:r>
      <w:r>
        <w:rPr>
          <w:rFonts w:hint="eastAsia" w:ascii="Times New Roman" w:hAnsi="Times New Roman" w:eastAsia="宋体" w:cs="Times New Roman"/>
          <w:color w:val="auto"/>
          <w:sz w:val="24"/>
          <w:szCs w:val="24"/>
          <w:highlight w:val="none"/>
          <w:lang w:eastAsia="zh-CN"/>
        </w:rPr>
        <w:t>发展乡</w:t>
      </w:r>
      <w:r>
        <w:rPr>
          <w:rFonts w:ascii="Times New Roman" w:hAnsi="Times New Roman" w:eastAsia="宋体" w:cs="Times New Roman"/>
          <w:color w:val="auto"/>
          <w:sz w:val="24"/>
          <w:szCs w:val="24"/>
          <w:highlight w:val="none"/>
        </w:rPr>
        <w:t>饮用水水源地</w:t>
      </w:r>
      <w:r>
        <w:rPr>
          <w:rFonts w:hint="eastAsia" w:cs="Times New Roman"/>
          <w:color w:val="auto"/>
          <w:sz w:val="24"/>
          <w:szCs w:val="24"/>
          <w:highlight w:val="none"/>
          <w:lang w:eastAsia="zh-CN"/>
        </w:rPr>
        <w:t>保护区内</w:t>
      </w:r>
      <w:r>
        <w:rPr>
          <w:rFonts w:ascii="Times New Roman" w:hAnsi="Times New Roman" w:eastAsia="宋体" w:cs="Times New Roman"/>
          <w:color w:val="auto"/>
          <w:sz w:val="24"/>
          <w:szCs w:val="24"/>
          <w:highlight w:val="none"/>
        </w:rPr>
        <w:t>污染</w:t>
      </w:r>
      <w:r>
        <w:rPr>
          <w:rFonts w:hint="eastAsia" w:ascii="Times New Roman" w:hAnsi="Times New Roman" w:eastAsia="宋体" w:cs="Times New Roman"/>
          <w:color w:val="auto"/>
          <w:sz w:val="24"/>
          <w:szCs w:val="24"/>
          <w:highlight w:val="none"/>
          <w:lang w:eastAsia="zh-CN"/>
        </w:rPr>
        <w:t>源分布图</w:t>
      </w:r>
      <w:r>
        <w:rPr>
          <w:rFonts w:hint="eastAsia" w:cs="Times New Roman"/>
          <w:color w:val="auto"/>
          <w:sz w:val="24"/>
          <w:szCs w:val="24"/>
          <w:highlight w:val="none"/>
          <w:lang w:eastAsia="zh-CN"/>
        </w:rPr>
        <w:t>（水井</w:t>
      </w:r>
      <w:r>
        <w:rPr>
          <w:rFonts w:hint="eastAsia" w:cs="Times New Roman"/>
          <w:color w:val="auto"/>
          <w:sz w:val="24"/>
          <w:szCs w:val="24"/>
          <w:highlight w:val="none"/>
          <w:lang w:val="en-US" w:eastAsia="zh-CN"/>
        </w:rPr>
        <w:t>8#</w:t>
      </w:r>
      <w:r>
        <w:rPr>
          <w:rFonts w:hint="eastAsia" w:cs="Times New Roman"/>
          <w:color w:val="auto"/>
          <w:sz w:val="24"/>
          <w:szCs w:val="24"/>
          <w:highlight w:val="none"/>
          <w:lang w:eastAsia="zh-CN"/>
        </w:rPr>
        <w:t>）</w:t>
      </w:r>
    </w:p>
    <w:p w14:paraId="6E61E1D6">
      <w:pPr>
        <w:spacing w:line="360" w:lineRule="auto"/>
        <w:ind w:firstLine="472" w:firstLineChars="200"/>
        <w:jc w:val="both"/>
        <w:rPr>
          <w:rFonts w:hint="eastAsia"/>
          <w:color w:val="auto"/>
          <w:sz w:val="24"/>
          <w:szCs w:val="22"/>
          <w:highlight w:val="none"/>
        </w:rPr>
        <w:sectPr>
          <w:pgSz w:w="16838" w:h="11905" w:orient="landscape"/>
          <w:pgMar w:top="1474" w:right="1474" w:bottom="1474" w:left="1474" w:header="964" w:footer="992" w:gutter="0"/>
          <w:pgBorders>
            <w:top w:val="none" w:sz="0" w:space="0"/>
            <w:left w:val="none" w:sz="0" w:space="0"/>
            <w:bottom w:val="none" w:sz="0" w:space="0"/>
            <w:right w:val="none" w:sz="0" w:space="0"/>
          </w:pgBorders>
          <w:pgNumType w:fmt="decimal"/>
          <w:cols w:space="720" w:num="1"/>
          <w:docGrid w:type="linesAndChars" w:linePitch="347" w:charSpace="-1024"/>
        </w:sectPr>
      </w:pPr>
    </w:p>
    <w:p w14:paraId="6E716179">
      <w:pPr>
        <w:pStyle w:val="6"/>
        <w:bidi w:val="0"/>
        <w:rPr>
          <w:rFonts w:hint="eastAsia"/>
          <w:color w:val="auto"/>
          <w:sz w:val="24"/>
          <w:szCs w:val="24"/>
          <w:highlight w:val="none"/>
        </w:rPr>
      </w:pPr>
      <w:r>
        <w:rPr>
          <w:rFonts w:hint="eastAsia" w:ascii="Times New Roman" w:hAnsi="Times New Roman" w:eastAsia="宋体" w:cs="Times New Roman"/>
          <w:color w:val="auto"/>
          <w:kern w:val="2"/>
          <w:sz w:val="24"/>
          <w:szCs w:val="24"/>
          <w:highlight w:val="none"/>
          <w:lang w:val="en-US" w:eastAsia="zh-CN" w:bidi="ar-SA"/>
        </w:rPr>
        <w:t>2）</w:t>
      </w:r>
      <w:r>
        <w:rPr>
          <w:rFonts w:hint="eastAsia"/>
          <w:color w:val="auto"/>
          <w:sz w:val="24"/>
          <w:szCs w:val="24"/>
          <w:highlight w:val="none"/>
        </w:rPr>
        <w:t>绥化市</w:t>
      </w:r>
      <w:r>
        <w:rPr>
          <w:rFonts w:hint="eastAsia" w:ascii="Times New Roman" w:hAnsi="Times New Roman" w:eastAsia="宋体" w:cs="Times New Roman"/>
          <w:color w:val="auto"/>
          <w:kern w:val="2"/>
          <w:sz w:val="24"/>
          <w:szCs w:val="24"/>
          <w:highlight w:val="none"/>
          <w:lang w:val="en-US" w:eastAsia="zh-CN" w:bidi="ar-SA"/>
        </w:rPr>
        <w:t>庆安县</w:t>
      </w:r>
      <w:r>
        <w:rPr>
          <w:rFonts w:hint="eastAsia"/>
          <w:color w:val="auto"/>
          <w:sz w:val="24"/>
          <w:szCs w:val="24"/>
          <w:highlight w:val="none"/>
        </w:rPr>
        <w:t>建民乡饮用水水源地</w:t>
      </w:r>
    </w:p>
    <w:p w14:paraId="1C5BAD47">
      <w:pPr>
        <w:spacing w:line="360" w:lineRule="auto"/>
        <w:ind w:firstLine="472" w:firstLineChars="200"/>
        <w:rPr>
          <w:rFonts w:hint="eastAsia"/>
          <w:color w:val="auto"/>
          <w:sz w:val="24"/>
          <w:szCs w:val="24"/>
          <w:highlight w:val="none"/>
        </w:rPr>
      </w:pPr>
      <w:r>
        <w:rPr>
          <w:color w:val="auto"/>
          <w:kern w:val="0"/>
          <w:sz w:val="24"/>
          <w:szCs w:val="24"/>
          <w:highlight w:val="none"/>
        </w:rPr>
        <w:fldChar w:fldCharType="begin"/>
      </w:r>
      <w:r>
        <w:rPr>
          <w:color w:val="auto"/>
          <w:kern w:val="0"/>
          <w:sz w:val="24"/>
          <w:szCs w:val="24"/>
          <w:highlight w:val="none"/>
        </w:rPr>
        <w:instrText xml:space="preserve"> = 1 \* GB3 \* MERGEFORMAT </w:instrText>
      </w:r>
      <w:r>
        <w:rPr>
          <w:color w:val="auto"/>
          <w:kern w:val="0"/>
          <w:sz w:val="24"/>
          <w:szCs w:val="24"/>
          <w:highlight w:val="none"/>
        </w:rPr>
        <w:fldChar w:fldCharType="separate"/>
      </w:r>
      <w:r>
        <w:rPr>
          <w:color w:val="auto"/>
          <w:sz w:val="24"/>
          <w:szCs w:val="24"/>
          <w:highlight w:val="none"/>
        </w:rPr>
        <w:t>①</w:t>
      </w:r>
      <w:r>
        <w:rPr>
          <w:color w:val="auto"/>
          <w:kern w:val="0"/>
          <w:sz w:val="24"/>
          <w:szCs w:val="24"/>
          <w:highlight w:val="none"/>
        </w:rPr>
        <w:fldChar w:fldCharType="end"/>
      </w:r>
      <w:r>
        <w:rPr>
          <w:rFonts w:hint="eastAsia"/>
          <w:color w:val="auto"/>
          <w:sz w:val="24"/>
          <w:szCs w:val="24"/>
          <w:highlight w:val="none"/>
        </w:rPr>
        <w:t>点源污染</w:t>
      </w:r>
    </w:p>
    <w:p w14:paraId="3B20F385">
      <w:pPr>
        <w:spacing w:line="360" w:lineRule="auto"/>
        <w:ind w:firstLine="472" w:firstLineChars="200"/>
        <w:rPr>
          <w:color w:val="auto"/>
          <w:highlight w:val="none"/>
        </w:rPr>
      </w:pPr>
      <w:r>
        <w:rPr>
          <w:rFonts w:hint="eastAsia"/>
          <w:color w:val="auto"/>
          <w:sz w:val="24"/>
          <w:szCs w:val="22"/>
          <w:highlight w:val="none"/>
        </w:rPr>
        <w:t>经调查，</w:t>
      </w:r>
      <w:r>
        <w:rPr>
          <w:rFonts w:hint="eastAsia"/>
          <w:color w:val="auto"/>
          <w:kern w:val="0"/>
          <w:sz w:val="24"/>
          <w:szCs w:val="24"/>
          <w:highlight w:val="none"/>
        </w:rPr>
        <w:t>水源地一级保护区</w:t>
      </w:r>
      <w:r>
        <w:rPr>
          <w:rFonts w:hint="eastAsia"/>
          <w:color w:val="auto"/>
          <w:sz w:val="24"/>
          <w:szCs w:val="22"/>
          <w:highlight w:val="none"/>
        </w:rPr>
        <w:t>范围内无点源污染。</w:t>
      </w:r>
    </w:p>
    <w:p w14:paraId="103D0539">
      <w:pPr>
        <w:spacing w:line="360" w:lineRule="auto"/>
        <w:ind w:firstLine="472" w:firstLineChars="200"/>
        <w:rPr>
          <w:rFonts w:hint="eastAsia"/>
          <w:color w:val="auto"/>
          <w:sz w:val="24"/>
          <w:szCs w:val="22"/>
          <w:highlight w:val="none"/>
        </w:rPr>
      </w:pPr>
      <w:r>
        <w:rPr>
          <w:color w:val="auto"/>
          <w:kern w:val="0"/>
          <w:sz w:val="24"/>
          <w:szCs w:val="24"/>
          <w:highlight w:val="none"/>
        </w:rPr>
        <w:fldChar w:fldCharType="begin"/>
      </w:r>
      <w:r>
        <w:rPr>
          <w:color w:val="auto"/>
          <w:kern w:val="0"/>
          <w:sz w:val="24"/>
          <w:szCs w:val="24"/>
          <w:highlight w:val="none"/>
        </w:rPr>
        <w:instrText xml:space="preserve"> = 2 \* GB3 \* MERGEFORMAT </w:instrText>
      </w:r>
      <w:r>
        <w:rPr>
          <w:color w:val="auto"/>
          <w:kern w:val="0"/>
          <w:sz w:val="24"/>
          <w:szCs w:val="24"/>
          <w:highlight w:val="none"/>
        </w:rPr>
        <w:fldChar w:fldCharType="separate"/>
      </w:r>
      <w:r>
        <w:rPr>
          <w:color w:val="auto"/>
          <w:sz w:val="24"/>
          <w:szCs w:val="24"/>
          <w:highlight w:val="none"/>
        </w:rPr>
        <w:t>②</w:t>
      </w:r>
      <w:r>
        <w:rPr>
          <w:color w:val="auto"/>
          <w:kern w:val="0"/>
          <w:sz w:val="24"/>
          <w:szCs w:val="24"/>
          <w:highlight w:val="none"/>
        </w:rPr>
        <w:fldChar w:fldCharType="end"/>
      </w:r>
      <w:r>
        <w:rPr>
          <w:rFonts w:hint="eastAsia"/>
          <w:color w:val="auto"/>
          <w:sz w:val="24"/>
          <w:szCs w:val="22"/>
          <w:highlight w:val="none"/>
        </w:rPr>
        <w:t>非点源污染</w:t>
      </w:r>
    </w:p>
    <w:p w14:paraId="06E992AB">
      <w:pPr>
        <w:spacing w:line="360" w:lineRule="auto"/>
        <w:ind w:firstLine="472" w:firstLineChars="200"/>
        <w:rPr>
          <w:rFonts w:hint="eastAsia" w:eastAsia="宋体"/>
          <w:color w:val="auto"/>
          <w:sz w:val="24"/>
          <w:szCs w:val="22"/>
          <w:highlight w:val="none"/>
          <w:lang w:val="zh-CN" w:eastAsia="zh-CN"/>
        </w:rPr>
      </w:pPr>
      <w:r>
        <w:rPr>
          <w:rFonts w:hint="eastAsia"/>
          <w:color w:val="auto"/>
          <w:sz w:val="24"/>
          <w:szCs w:val="22"/>
          <w:highlight w:val="none"/>
          <w:lang w:val="zh-CN"/>
        </w:rPr>
        <w:t>经调查，</w:t>
      </w:r>
      <w:r>
        <w:rPr>
          <w:rFonts w:hint="eastAsia"/>
          <w:color w:val="auto"/>
          <w:kern w:val="0"/>
          <w:sz w:val="24"/>
          <w:szCs w:val="24"/>
          <w:highlight w:val="none"/>
        </w:rPr>
        <w:t>水源地一级保护区</w:t>
      </w:r>
      <w:r>
        <w:rPr>
          <w:rFonts w:hint="eastAsia"/>
          <w:color w:val="auto"/>
          <w:sz w:val="24"/>
          <w:szCs w:val="22"/>
          <w:highlight w:val="none"/>
          <w:lang w:val="zh-CN"/>
        </w:rPr>
        <w:t>内共有耕地</w:t>
      </w:r>
      <w:r>
        <w:rPr>
          <w:rFonts w:hint="eastAsia"/>
          <w:color w:val="auto"/>
          <w:sz w:val="24"/>
          <w:szCs w:val="22"/>
          <w:highlight w:val="none"/>
          <w:lang w:val="en-US" w:eastAsia="zh-CN"/>
        </w:rPr>
        <w:t>0.377</w:t>
      </w:r>
      <w:r>
        <w:rPr>
          <w:rFonts w:hint="eastAsia"/>
          <w:color w:val="auto"/>
          <w:sz w:val="24"/>
          <w:szCs w:val="22"/>
          <w:highlight w:val="none"/>
        </w:rPr>
        <w:t>公顷</w:t>
      </w:r>
      <w:r>
        <w:rPr>
          <w:rFonts w:hint="eastAsia"/>
          <w:color w:val="auto"/>
          <w:sz w:val="24"/>
          <w:szCs w:val="22"/>
          <w:highlight w:val="none"/>
          <w:lang w:val="zh-CN"/>
        </w:rPr>
        <w:t>，</w:t>
      </w:r>
      <w:r>
        <w:rPr>
          <w:rFonts w:hint="eastAsia"/>
          <w:color w:val="auto"/>
          <w:sz w:val="24"/>
          <w:szCs w:val="22"/>
          <w:highlight w:val="none"/>
        </w:rPr>
        <w:t>主要农作物为</w:t>
      </w:r>
      <w:r>
        <w:rPr>
          <w:rFonts w:hint="eastAsia"/>
          <w:color w:val="auto"/>
          <w:sz w:val="24"/>
          <w:szCs w:val="22"/>
          <w:highlight w:val="none"/>
          <w:lang w:eastAsia="zh-CN"/>
        </w:rPr>
        <w:t>水稻、玉米</w:t>
      </w:r>
      <w:r>
        <w:rPr>
          <w:rFonts w:hint="eastAsia"/>
          <w:color w:val="auto"/>
          <w:sz w:val="24"/>
          <w:szCs w:val="22"/>
          <w:highlight w:val="none"/>
        </w:rPr>
        <w:t>，农作物生长期内大量施用的农药在农田土壤内残留，</w:t>
      </w:r>
      <w:r>
        <w:rPr>
          <w:rFonts w:hint="eastAsia"/>
          <w:color w:val="auto"/>
          <w:sz w:val="24"/>
          <w:szCs w:val="22"/>
          <w:highlight w:val="none"/>
          <w:lang w:eastAsia="zh-CN"/>
        </w:rPr>
        <w:t>有影响到地下水水质的可能性。</w:t>
      </w:r>
    </w:p>
    <w:p w14:paraId="216A3555">
      <w:pPr>
        <w:spacing w:line="360" w:lineRule="auto"/>
        <w:ind w:firstLine="472" w:firstLineChars="200"/>
        <w:rPr>
          <w:rFonts w:hint="eastAsia"/>
          <w:color w:val="auto"/>
          <w:sz w:val="24"/>
          <w:szCs w:val="22"/>
          <w:highlight w:val="none"/>
        </w:rPr>
      </w:pPr>
      <w:r>
        <w:rPr>
          <w:color w:val="auto"/>
          <w:kern w:val="0"/>
          <w:sz w:val="24"/>
          <w:szCs w:val="24"/>
          <w:highlight w:val="none"/>
        </w:rPr>
        <w:fldChar w:fldCharType="begin"/>
      </w:r>
      <w:r>
        <w:rPr>
          <w:color w:val="auto"/>
          <w:kern w:val="0"/>
          <w:sz w:val="24"/>
          <w:szCs w:val="24"/>
          <w:highlight w:val="none"/>
        </w:rPr>
        <w:instrText xml:space="preserve"> = 3 \* GB3 \* MERGEFORMAT </w:instrText>
      </w:r>
      <w:r>
        <w:rPr>
          <w:color w:val="auto"/>
          <w:kern w:val="0"/>
          <w:sz w:val="24"/>
          <w:szCs w:val="24"/>
          <w:highlight w:val="none"/>
        </w:rPr>
        <w:fldChar w:fldCharType="separate"/>
      </w:r>
      <w:r>
        <w:rPr>
          <w:color w:val="auto"/>
          <w:sz w:val="24"/>
          <w:szCs w:val="24"/>
          <w:highlight w:val="none"/>
        </w:rPr>
        <w:t>③</w:t>
      </w:r>
      <w:r>
        <w:rPr>
          <w:color w:val="auto"/>
          <w:kern w:val="0"/>
          <w:sz w:val="24"/>
          <w:szCs w:val="24"/>
          <w:highlight w:val="none"/>
        </w:rPr>
        <w:fldChar w:fldCharType="end"/>
      </w:r>
      <w:r>
        <w:rPr>
          <w:rFonts w:hint="eastAsia"/>
          <w:color w:val="auto"/>
          <w:sz w:val="24"/>
          <w:szCs w:val="22"/>
          <w:highlight w:val="none"/>
        </w:rPr>
        <w:t>流动源</w:t>
      </w:r>
      <w:r>
        <w:rPr>
          <w:color w:val="auto"/>
          <w:sz w:val="24"/>
          <w:szCs w:val="24"/>
          <w:highlight w:val="none"/>
        </w:rPr>
        <w:t>和其他</w:t>
      </w:r>
      <w:r>
        <w:rPr>
          <w:rFonts w:hint="eastAsia"/>
          <w:color w:val="auto"/>
          <w:sz w:val="24"/>
          <w:szCs w:val="22"/>
          <w:highlight w:val="none"/>
        </w:rPr>
        <w:t>污染</w:t>
      </w:r>
    </w:p>
    <w:p w14:paraId="0DC3E529">
      <w:pPr>
        <w:spacing w:line="360" w:lineRule="auto"/>
        <w:ind w:firstLine="472" w:firstLineChars="200"/>
        <w:rPr>
          <w:rFonts w:hint="eastAsia"/>
          <w:color w:val="auto"/>
          <w:sz w:val="24"/>
          <w:szCs w:val="22"/>
          <w:highlight w:val="none"/>
        </w:rPr>
      </w:pPr>
      <w:r>
        <w:rPr>
          <w:rFonts w:hint="eastAsia"/>
          <w:color w:val="auto"/>
          <w:sz w:val="24"/>
          <w:szCs w:val="22"/>
          <w:highlight w:val="none"/>
          <w:lang w:val="zh-CN"/>
        </w:rPr>
        <w:t>经调查，</w:t>
      </w:r>
      <w:r>
        <w:rPr>
          <w:rFonts w:hint="eastAsia"/>
          <w:color w:val="auto"/>
          <w:sz w:val="24"/>
          <w:szCs w:val="22"/>
          <w:highlight w:val="none"/>
        </w:rPr>
        <w:t>水源地一级保护区内</w:t>
      </w:r>
      <w:r>
        <w:rPr>
          <w:rFonts w:hint="eastAsia"/>
          <w:color w:val="auto"/>
          <w:sz w:val="24"/>
          <w:szCs w:val="22"/>
          <w:highlight w:val="none"/>
          <w:lang w:eastAsia="zh-CN"/>
        </w:rPr>
        <w:t>水井</w:t>
      </w:r>
      <w:r>
        <w:rPr>
          <w:rFonts w:hint="eastAsia"/>
          <w:color w:val="auto"/>
          <w:sz w:val="24"/>
          <w:szCs w:val="22"/>
          <w:highlight w:val="none"/>
          <w:lang w:val="en-US" w:eastAsia="zh-CN"/>
        </w:rPr>
        <w:t>1#</w:t>
      </w:r>
      <w:r>
        <w:rPr>
          <w:rFonts w:hint="eastAsia"/>
          <w:color w:val="auto"/>
          <w:sz w:val="24"/>
          <w:szCs w:val="22"/>
          <w:highlight w:val="none"/>
          <w:lang w:eastAsia="zh-CN"/>
        </w:rPr>
        <w:t>东南</w:t>
      </w:r>
      <w:r>
        <w:rPr>
          <w:rFonts w:hint="eastAsia"/>
          <w:color w:val="auto"/>
          <w:sz w:val="24"/>
          <w:szCs w:val="22"/>
          <w:highlight w:val="none"/>
        </w:rPr>
        <w:t>侧有乡村道路</w:t>
      </w:r>
      <w:r>
        <w:rPr>
          <w:rFonts w:hint="eastAsia"/>
          <w:color w:val="auto"/>
          <w:sz w:val="24"/>
          <w:szCs w:val="22"/>
          <w:highlight w:val="none"/>
          <w:lang w:eastAsia="zh-CN"/>
        </w:rPr>
        <w:t>、东北侧有沟渠</w:t>
      </w:r>
      <w:r>
        <w:rPr>
          <w:rFonts w:hint="eastAsia"/>
          <w:color w:val="auto"/>
          <w:sz w:val="24"/>
          <w:szCs w:val="22"/>
          <w:highlight w:val="none"/>
        </w:rPr>
        <w:t>穿越，道路穿越长度</w:t>
      </w:r>
      <w:r>
        <w:rPr>
          <w:rFonts w:hint="eastAsia"/>
          <w:color w:val="auto"/>
          <w:sz w:val="24"/>
          <w:szCs w:val="22"/>
          <w:highlight w:val="none"/>
          <w:lang w:val="en-US" w:eastAsia="zh-CN"/>
        </w:rPr>
        <w:t>25</w:t>
      </w:r>
      <w:r>
        <w:rPr>
          <w:rFonts w:hint="eastAsia"/>
          <w:color w:val="auto"/>
          <w:sz w:val="24"/>
          <w:szCs w:val="22"/>
          <w:highlight w:val="none"/>
        </w:rPr>
        <w:t>米</w:t>
      </w:r>
      <w:r>
        <w:rPr>
          <w:rFonts w:hint="eastAsia"/>
          <w:color w:val="auto"/>
          <w:sz w:val="24"/>
          <w:szCs w:val="22"/>
          <w:highlight w:val="none"/>
          <w:lang w:eastAsia="zh-CN"/>
        </w:rPr>
        <w:t>、沟渠</w:t>
      </w:r>
      <w:r>
        <w:rPr>
          <w:rFonts w:hint="eastAsia"/>
          <w:color w:val="auto"/>
          <w:sz w:val="24"/>
          <w:szCs w:val="22"/>
          <w:highlight w:val="none"/>
        </w:rPr>
        <w:t>穿越</w:t>
      </w:r>
      <w:r>
        <w:rPr>
          <w:rFonts w:hint="eastAsia"/>
          <w:color w:val="auto"/>
          <w:sz w:val="24"/>
          <w:szCs w:val="22"/>
          <w:highlight w:val="none"/>
          <w:lang w:eastAsia="zh-CN"/>
        </w:rPr>
        <w:t>长度</w:t>
      </w:r>
      <w:r>
        <w:rPr>
          <w:rFonts w:hint="eastAsia"/>
          <w:color w:val="auto"/>
          <w:sz w:val="24"/>
          <w:szCs w:val="22"/>
          <w:highlight w:val="none"/>
          <w:lang w:val="en-US" w:eastAsia="zh-CN"/>
        </w:rPr>
        <w:t>36米</w:t>
      </w:r>
      <w:r>
        <w:rPr>
          <w:rFonts w:hint="eastAsia"/>
          <w:color w:val="auto"/>
          <w:sz w:val="24"/>
          <w:szCs w:val="22"/>
          <w:highlight w:val="none"/>
          <w:lang w:eastAsia="zh-CN"/>
        </w:rPr>
        <w:t>；水井</w:t>
      </w:r>
      <w:r>
        <w:rPr>
          <w:rFonts w:hint="eastAsia"/>
          <w:color w:val="auto"/>
          <w:sz w:val="24"/>
          <w:szCs w:val="22"/>
          <w:highlight w:val="none"/>
          <w:lang w:val="en-US" w:eastAsia="zh-CN"/>
        </w:rPr>
        <w:t>2#</w:t>
      </w:r>
      <w:r>
        <w:rPr>
          <w:rFonts w:hint="eastAsia"/>
          <w:color w:val="auto"/>
          <w:sz w:val="24"/>
          <w:szCs w:val="22"/>
          <w:highlight w:val="none"/>
        </w:rPr>
        <w:t>南侧有乡村道路穿越，穿越长度</w:t>
      </w:r>
      <w:r>
        <w:rPr>
          <w:rFonts w:hint="eastAsia"/>
          <w:color w:val="auto"/>
          <w:sz w:val="24"/>
          <w:szCs w:val="22"/>
          <w:highlight w:val="none"/>
          <w:lang w:val="en-US" w:eastAsia="zh-CN"/>
        </w:rPr>
        <w:t>26</w:t>
      </w:r>
      <w:r>
        <w:rPr>
          <w:rFonts w:hint="eastAsia"/>
          <w:color w:val="auto"/>
          <w:sz w:val="24"/>
          <w:szCs w:val="22"/>
          <w:highlight w:val="none"/>
        </w:rPr>
        <w:t>米</w:t>
      </w:r>
      <w:r>
        <w:rPr>
          <w:rFonts w:hint="eastAsia"/>
          <w:color w:val="auto"/>
          <w:sz w:val="24"/>
          <w:szCs w:val="22"/>
          <w:highlight w:val="none"/>
          <w:lang w:eastAsia="zh-CN"/>
        </w:rPr>
        <w:t>；</w:t>
      </w:r>
      <w:r>
        <w:rPr>
          <w:rFonts w:hint="eastAsia"/>
          <w:color w:val="auto"/>
          <w:sz w:val="24"/>
          <w:szCs w:val="22"/>
          <w:highlight w:val="none"/>
        </w:rPr>
        <w:t>道路已禁止有毒有害物质和危险化学品的运输，存在部分农药运输情况。</w:t>
      </w:r>
    </w:p>
    <w:p w14:paraId="5BD4BF2A">
      <w:pPr>
        <w:ind w:firstLine="470"/>
        <w:rPr>
          <w:rFonts w:hint="eastAsia"/>
          <w:color w:val="auto"/>
          <w:highlight w:val="none"/>
        </w:rPr>
        <w:sectPr>
          <w:pgSz w:w="11905" w:h="16838"/>
          <w:pgMar w:top="1474" w:right="1474" w:bottom="1474" w:left="1474" w:header="964" w:footer="992" w:gutter="0"/>
          <w:pgBorders>
            <w:top w:val="none" w:sz="0" w:space="0"/>
            <w:left w:val="none" w:sz="0" w:space="0"/>
            <w:bottom w:val="none" w:sz="0" w:space="0"/>
            <w:right w:val="none" w:sz="0" w:space="0"/>
          </w:pgBorders>
          <w:pgNumType w:fmt="decimal"/>
          <w:cols w:space="720" w:num="1"/>
          <w:docGrid w:type="linesAndChars" w:linePitch="347" w:charSpace="-1024"/>
        </w:sectPr>
      </w:pPr>
      <w:r>
        <w:rPr>
          <w:rFonts w:hint="eastAsia"/>
          <w:color w:val="auto"/>
          <w:highlight w:val="none"/>
          <w:lang w:eastAsia="zh-CN"/>
        </w:rPr>
        <w:t>水源地一级保护区内存在沟渠</w:t>
      </w:r>
      <w:r>
        <w:rPr>
          <w:rFonts w:hint="eastAsia"/>
          <w:color w:val="auto"/>
          <w:highlight w:val="none"/>
        </w:rPr>
        <w:t>，为</w:t>
      </w:r>
      <w:r>
        <w:rPr>
          <w:rFonts w:hint="eastAsia"/>
          <w:color w:val="auto"/>
          <w:highlight w:val="none"/>
          <w:lang w:eastAsia="zh-CN"/>
        </w:rPr>
        <w:t>姜大喇叭东沟的支流，</w:t>
      </w:r>
      <w:r>
        <w:rPr>
          <w:rFonts w:hint="eastAsia"/>
          <w:color w:val="auto"/>
          <w:highlight w:val="none"/>
        </w:rPr>
        <w:t>土质护坡</w:t>
      </w:r>
      <w:r>
        <w:rPr>
          <w:rFonts w:hint="eastAsia"/>
          <w:color w:val="auto"/>
          <w:highlight w:val="none"/>
          <w:lang w:eastAsia="zh-CN"/>
        </w:rPr>
        <w:t>，该沟渠</w:t>
      </w:r>
      <w:r>
        <w:rPr>
          <w:rFonts w:hint="eastAsia" w:cs="Times New Roman"/>
          <w:color w:val="auto"/>
          <w:highlight w:val="none"/>
          <w:lang w:val="en-US" w:eastAsia="zh-CN"/>
        </w:rPr>
        <w:t>不涉及农田灌溉，</w:t>
      </w:r>
      <w:r>
        <w:rPr>
          <w:rFonts w:hint="eastAsia" w:ascii="Times New Roman" w:cs="Times New Roman"/>
          <w:color w:val="auto"/>
          <w:highlight w:val="none"/>
          <w:lang w:val="en-US" w:eastAsia="zh-CN"/>
        </w:rPr>
        <w:t>不会对地下水水质造成污染</w:t>
      </w:r>
      <w:r>
        <w:rPr>
          <w:rFonts w:hint="eastAsia"/>
          <w:color w:val="auto"/>
          <w:highlight w:val="none"/>
        </w:rPr>
        <w:t>。</w:t>
      </w:r>
    </w:p>
    <w:p w14:paraId="0D4B66B9">
      <w:pPr>
        <w:keepNext w:val="0"/>
        <w:keepLines w:val="0"/>
        <w:pageBreakBefore w:val="0"/>
        <w:widowControl w:val="0"/>
        <w:kinsoku/>
        <w:wordWrap/>
        <w:overflowPunct/>
        <w:topLinePunct w:val="0"/>
        <w:bidi w:val="0"/>
        <w:snapToGrid/>
        <w:spacing w:line="360" w:lineRule="auto"/>
        <w:jc w:val="center"/>
        <w:textAlignment w:val="auto"/>
        <w:rPr>
          <w:rFonts w:hint="eastAsia" w:ascii="Times New Roman" w:hAnsi="Times New Roman" w:eastAsia="宋体" w:cs="Times New Roman"/>
          <w:color w:val="auto"/>
          <w:sz w:val="24"/>
          <w:szCs w:val="24"/>
          <w:highlight w:val="none"/>
          <w:lang w:eastAsia="zh-CN"/>
        </w:rPr>
      </w:pPr>
      <w:r>
        <w:rPr>
          <w:rFonts w:hint="eastAsia" w:ascii="Times New Roman" w:hAnsi="Times New Roman" w:eastAsia="宋体" w:cs="Times New Roman"/>
          <w:color w:val="auto"/>
          <w:sz w:val="24"/>
          <w:szCs w:val="24"/>
          <w:highlight w:val="none"/>
          <w:lang w:eastAsia="zh-CN"/>
        </w:rPr>
        <w:drawing>
          <wp:inline distT="0" distB="0" distL="114300" distR="114300">
            <wp:extent cx="7068820" cy="5080635"/>
            <wp:effectExtent l="0" t="0" r="17780" b="5715"/>
            <wp:docPr id="30" name="图片 30" descr="建民乡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建民乡1"/>
                    <pic:cNvPicPr>
                      <a:picLocks noChangeAspect="1"/>
                    </pic:cNvPicPr>
                  </pic:nvPicPr>
                  <pic:blipFill>
                    <a:blip r:embed="rId107"/>
                    <a:stretch>
                      <a:fillRect/>
                    </a:stretch>
                  </pic:blipFill>
                  <pic:spPr>
                    <a:xfrm>
                      <a:off x="0" y="0"/>
                      <a:ext cx="7068820" cy="5080635"/>
                    </a:xfrm>
                    <a:prstGeom prst="rect">
                      <a:avLst/>
                    </a:prstGeom>
                  </pic:spPr>
                </pic:pic>
              </a:graphicData>
            </a:graphic>
          </wp:inline>
        </w:drawing>
      </w:r>
    </w:p>
    <w:p w14:paraId="1C302AD2">
      <w:pPr>
        <w:keepNext w:val="0"/>
        <w:keepLines w:val="0"/>
        <w:pageBreakBefore w:val="0"/>
        <w:widowControl w:val="0"/>
        <w:kinsoku/>
        <w:wordWrap/>
        <w:overflowPunct/>
        <w:topLinePunct w:val="0"/>
        <w:bidi w:val="0"/>
        <w:snapToGrid/>
        <w:spacing w:line="360" w:lineRule="auto"/>
        <w:jc w:val="center"/>
        <w:textAlignment w:val="auto"/>
        <w:rPr>
          <w:rFonts w:hint="eastAsia"/>
          <w:color w:val="auto"/>
          <w:highlight w:val="none"/>
        </w:rPr>
      </w:pPr>
      <w:r>
        <w:rPr>
          <w:rFonts w:hint="eastAsia" w:ascii="Times New Roman" w:hAnsi="Times New Roman" w:cs="Times New Roman"/>
          <w:color w:val="auto"/>
          <w:sz w:val="24"/>
          <w:szCs w:val="24"/>
          <w:highlight w:val="none"/>
          <w:lang w:eastAsia="zh-CN"/>
        </w:rPr>
        <w:t>图</w:t>
      </w:r>
      <w:r>
        <w:rPr>
          <w:rFonts w:hint="eastAsia" w:ascii="Times New Roman" w:hAnsi="Times New Roman" w:cs="Times New Roman"/>
          <w:color w:val="auto"/>
          <w:sz w:val="24"/>
          <w:szCs w:val="24"/>
          <w:highlight w:val="none"/>
          <w:lang w:val="en-US" w:eastAsia="zh-CN"/>
        </w:rPr>
        <w:t>4-</w:t>
      </w:r>
      <w:r>
        <w:rPr>
          <w:rFonts w:hint="eastAsia" w:cs="Times New Roman"/>
          <w:color w:val="auto"/>
          <w:sz w:val="24"/>
          <w:szCs w:val="24"/>
          <w:highlight w:val="none"/>
          <w:lang w:val="en-US" w:eastAsia="zh-CN"/>
        </w:rPr>
        <w:t>9</w:t>
      </w:r>
      <w:r>
        <w:rPr>
          <w:rFonts w:hint="eastAsia" w:ascii="Times New Roman" w:hAnsi="Times New Roman" w:cs="Times New Roman"/>
          <w:color w:val="auto"/>
          <w:sz w:val="24"/>
          <w:szCs w:val="24"/>
          <w:highlight w:val="none"/>
          <w:lang w:val="en-US" w:eastAsia="zh-CN"/>
        </w:rPr>
        <w:t xml:space="preserve"> </w:t>
      </w:r>
      <w:r>
        <w:rPr>
          <w:rFonts w:hint="eastAsia" w:ascii="Times New Roman" w:hAnsi="Times New Roman" w:eastAsia="宋体" w:cs="Times New Roman"/>
          <w:color w:val="auto"/>
          <w:sz w:val="24"/>
          <w:szCs w:val="24"/>
          <w:highlight w:val="none"/>
          <w:lang w:eastAsia="zh-CN"/>
        </w:rPr>
        <w:t>建民乡</w:t>
      </w:r>
      <w:r>
        <w:rPr>
          <w:rFonts w:ascii="Times New Roman" w:hAnsi="Times New Roman" w:eastAsia="宋体" w:cs="Times New Roman"/>
          <w:color w:val="auto"/>
          <w:sz w:val="24"/>
          <w:szCs w:val="24"/>
          <w:highlight w:val="none"/>
        </w:rPr>
        <w:t>饮用水水源地</w:t>
      </w:r>
      <w:r>
        <w:rPr>
          <w:rFonts w:hint="eastAsia" w:cs="Times New Roman"/>
          <w:color w:val="auto"/>
          <w:sz w:val="24"/>
          <w:szCs w:val="24"/>
          <w:highlight w:val="none"/>
          <w:lang w:eastAsia="zh-CN"/>
        </w:rPr>
        <w:t>保护区内</w:t>
      </w:r>
      <w:r>
        <w:rPr>
          <w:rFonts w:ascii="Times New Roman" w:hAnsi="Times New Roman" w:eastAsia="宋体" w:cs="Times New Roman"/>
          <w:color w:val="auto"/>
          <w:sz w:val="24"/>
          <w:szCs w:val="24"/>
          <w:highlight w:val="none"/>
        </w:rPr>
        <w:t>污染</w:t>
      </w:r>
      <w:r>
        <w:rPr>
          <w:rFonts w:hint="eastAsia" w:ascii="Times New Roman" w:hAnsi="Times New Roman" w:eastAsia="宋体" w:cs="Times New Roman"/>
          <w:color w:val="auto"/>
          <w:sz w:val="24"/>
          <w:szCs w:val="24"/>
          <w:highlight w:val="none"/>
          <w:lang w:eastAsia="zh-CN"/>
        </w:rPr>
        <w:t>源分布图</w:t>
      </w:r>
      <w:r>
        <w:rPr>
          <w:rFonts w:hint="eastAsia" w:cs="Times New Roman"/>
          <w:color w:val="auto"/>
          <w:sz w:val="24"/>
          <w:szCs w:val="24"/>
          <w:highlight w:val="none"/>
          <w:lang w:eastAsia="zh-CN"/>
        </w:rPr>
        <w:t>（水井</w:t>
      </w:r>
      <w:r>
        <w:rPr>
          <w:rFonts w:hint="eastAsia" w:cs="Times New Roman"/>
          <w:color w:val="auto"/>
          <w:sz w:val="24"/>
          <w:szCs w:val="24"/>
          <w:highlight w:val="none"/>
          <w:lang w:val="en-US" w:eastAsia="zh-CN"/>
        </w:rPr>
        <w:t>1#</w:t>
      </w:r>
      <w:r>
        <w:rPr>
          <w:rFonts w:hint="eastAsia" w:cs="Times New Roman"/>
          <w:color w:val="auto"/>
          <w:sz w:val="24"/>
          <w:szCs w:val="24"/>
          <w:highlight w:val="none"/>
          <w:lang w:eastAsia="zh-CN"/>
        </w:rPr>
        <w:t>）</w:t>
      </w:r>
    </w:p>
    <w:p w14:paraId="4677477F">
      <w:pPr>
        <w:ind w:left="0" w:leftChars="0" w:firstLine="0" w:firstLineChars="0"/>
        <w:jc w:val="center"/>
        <w:rPr>
          <w:rFonts w:hint="eastAsia" w:eastAsia="宋体"/>
          <w:color w:val="auto"/>
          <w:highlight w:val="none"/>
          <w:lang w:eastAsia="zh-CN"/>
        </w:rPr>
      </w:pPr>
      <w:r>
        <w:rPr>
          <w:rFonts w:hint="eastAsia" w:eastAsia="宋体"/>
          <w:color w:val="auto"/>
          <w:highlight w:val="none"/>
          <w:lang w:eastAsia="zh-CN"/>
        </w:rPr>
        <w:drawing>
          <wp:inline distT="0" distB="0" distL="114300" distR="114300">
            <wp:extent cx="7058660" cy="5073650"/>
            <wp:effectExtent l="0" t="0" r="8890" b="12700"/>
            <wp:docPr id="31" name="图片 31" descr="建民乡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建民乡2"/>
                    <pic:cNvPicPr>
                      <a:picLocks noChangeAspect="1"/>
                    </pic:cNvPicPr>
                  </pic:nvPicPr>
                  <pic:blipFill>
                    <a:blip r:embed="rId108"/>
                    <a:stretch>
                      <a:fillRect/>
                    </a:stretch>
                  </pic:blipFill>
                  <pic:spPr>
                    <a:xfrm>
                      <a:off x="0" y="0"/>
                      <a:ext cx="7058660" cy="5073650"/>
                    </a:xfrm>
                    <a:prstGeom prst="rect">
                      <a:avLst/>
                    </a:prstGeom>
                  </pic:spPr>
                </pic:pic>
              </a:graphicData>
            </a:graphic>
          </wp:inline>
        </w:drawing>
      </w:r>
    </w:p>
    <w:p w14:paraId="06C73F23">
      <w:pPr>
        <w:keepNext w:val="0"/>
        <w:keepLines w:val="0"/>
        <w:pageBreakBefore w:val="0"/>
        <w:widowControl w:val="0"/>
        <w:kinsoku/>
        <w:wordWrap/>
        <w:overflowPunct/>
        <w:topLinePunct w:val="0"/>
        <w:bidi w:val="0"/>
        <w:snapToGrid/>
        <w:spacing w:line="360" w:lineRule="auto"/>
        <w:jc w:val="center"/>
        <w:textAlignment w:val="auto"/>
        <w:rPr>
          <w:rFonts w:hint="eastAsia" w:ascii="Times New Roman" w:hAnsi="Times New Roman" w:eastAsia="宋体" w:cs="Times New Roman"/>
          <w:color w:val="auto"/>
          <w:sz w:val="24"/>
          <w:szCs w:val="24"/>
          <w:highlight w:val="none"/>
          <w:lang w:eastAsia="zh-CN"/>
        </w:rPr>
      </w:pPr>
      <w:r>
        <w:rPr>
          <w:rFonts w:hint="eastAsia" w:ascii="Times New Roman" w:hAnsi="Times New Roman" w:cs="Times New Roman"/>
          <w:color w:val="auto"/>
          <w:sz w:val="24"/>
          <w:szCs w:val="24"/>
          <w:highlight w:val="none"/>
          <w:lang w:eastAsia="zh-CN"/>
        </w:rPr>
        <w:t>图</w:t>
      </w:r>
      <w:r>
        <w:rPr>
          <w:rFonts w:hint="eastAsia" w:ascii="Times New Roman" w:hAnsi="Times New Roman" w:cs="Times New Roman"/>
          <w:color w:val="auto"/>
          <w:sz w:val="24"/>
          <w:szCs w:val="24"/>
          <w:highlight w:val="none"/>
          <w:lang w:val="en-US" w:eastAsia="zh-CN"/>
        </w:rPr>
        <w:t>4-</w:t>
      </w:r>
      <w:r>
        <w:rPr>
          <w:rFonts w:hint="eastAsia" w:cs="Times New Roman"/>
          <w:color w:val="auto"/>
          <w:sz w:val="24"/>
          <w:szCs w:val="24"/>
          <w:highlight w:val="none"/>
          <w:lang w:val="en-US" w:eastAsia="zh-CN"/>
        </w:rPr>
        <w:t>10</w:t>
      </w:r>
      <w:r>
        <w:rPr>
          <w:rFonts w:hint="eastAsia" w:ascii="Times New Roman" w:hAnsi="Times New Roman" w:cs="Times New Roman"/>
          <w:color w:val="auto"/>
          <w:sz w:val="24"/>
          <w:szCs w:val="24"/>
          <w:highlight w:val="none"/>
          <w:lang w:val="en-US" w:eastAsia="zh-CN"/>
        </w:rPr>
        <w:t xml:space="preserve"> </w:t>
      </w:r>
      <w:r>
        <w:rPr>
          <w:rFonts w:hint="eastAsia" w:ascii="Times New Roman" w:hAnsi="Times New Roman" w:eastAsia="宋体" w:cs="Times New Roman"/>
          <w:color w:val="auto"/>
          <w:sz w:val="24"/>
          <w:szCs w:val="24"/>
          <w:highlight w:val="none"/>
          <w:lang w:eastAsia="zh-CN"/>
        </w:rPr>
        <w:t>建民乡</w:t>
      </w:r>
      <w:r>
        <w:rPr>
          <w:rFonts w:ascii="Times New Roman" w:hAnsi="Times New Roman" w:eastAsia="宋体" w:cs="Times New Roman"/>
          <w:color w:val="auto"/>
          <w:sz w:val="24"/>
          <w:szCs w:val="24"/>
          <w:highlight w:val="none"/>
        </w:rPr>
        <w:t>饮用水水源地</w:t>
      </w:r>
      <w:r>
        <w:rPr>
          <w:rFonts w:hint="eastAsia" w:cs="Times New Roman"/>
          <w:color w:val="auto"/>
          <w:sz w:val="24"/>
          <w:szCs w:val="24"/>
          <w:highlight w:val="none"/>
          <w:lang w:eastAsia="zh-CN"/>
        </w:rPr>
        <w:t>保护区内</w:t>
      </w:r>
      <w:r>
        <w:rPr>
          <w:rFonts w:ascii="Times New Roman" w:hAnsi="Times New Roman" w:eastAsia="宋体" w:cs="Times New Roman"/>
          <w:color w:val="auto"/>
          <w:sz w:val="24"/>
          <w:szCs w:val="24"/>
          <w:highlight w:val="none"/>
        </w:rPr>
        <w:t>污染</w:t>
      </w:r>
      <w:r>
        <w:rPr>
          <w:rFonts w:hint="eastAsia" w:ascii="Times New Roman" w:hAnsi="Times New Roman" w:eastAsia="宋体" w:cs="Times New Roman"/>
          <w:color w:val="auto"/>
          <w:sz w:val="24"/>
          <w:szCs w:val="24"/>
          <w:highlight w:val="none"/>
          <w:lang w:eastAsia="zh-CN"/>
        </w:rPr>
        <w:t>源分布图</w:t>
      </w:r>
      <w:r>
        <w:rPr>
          <w:rFonts w:hint="eastAsia" w:cs="Times New Roman"/>
          <w:color w:val="auto"/>
          <w:sz w:val="24"/>
          <w:szCs w:val="24"/>
          <w:highlight w:val="none"/>
          <w:lang w:eastAsia="zh-CN"/>
        </w:rPr>
        <w:t>（水井</w:t>
      </w:r>
      <w:r>
        <w:rPr>
          <w:rFonts w:hint="eastAsia" w:cs="Times New Roman"/>
          <w:color w:val="auto"/>
          <w:sz w:val="24"/>
          <w:szCs w:val="24"/>
          <w:highlight w:val="none"/>
          <w:lang w:val="en-US" w:eastAsia="zh-CN"/>
        </w:rPr>
        <w:t>2#</w:t>
      </w:r>
      <w:r>
        <w:rPr>
          <w:rFonts w:hint="eastAsia" w:cs="Times New Roman"/>
          <w:color w:val="auto"/>
          <w:sz w:val="24"/>
          <w:szCs w:val="24"/>
          <w:highlight w:val="none"/>
          <w:lang w:eastAsia="zh-CN"/>
        </w:rPr>
        <w:t>）</w:t>
      </w:r>
    </w:p>
    <w:p w14:paraId="3ABF8DAF">
      <w:pPr>
        <w:keepNext w:val="0"/>
        <w:keepLines w:val="0"/>
        <w:pageBreakBefore w:val="0"/>
        <w:widowControl w:val="0"/>
        <w:kinsoku/>
        <w:wordWrap/>
        <w:overflowPunct/>
        <w:topLinePunct w:val="0"/>
        <w:bidi w:val="0"/>
        <w:snapToGrid/>
        <w:spacing w:line="360" w:lineRule="auto"/>
        <w:jc w:val="center"/>
        <w:textAlignment w:val="auto"/>
        <w:rPr>
          <w:rFonts w:hint="eastAsia" w:ascii="Times New Roman" w:hAnsi="Times New Roman" w:eastAsia="宋体" w:cs="Times New Roman"/>
          <w:color w:val="auto"/>
          <w:sz w:val="24"/>
          <w:szCs w:val="24"/>
          <w:highlight w:val="none"/>
          <w:lang w:eastAsia="zh-CN"/>
        </w:rPr>
      </w:pPr>
      <w:r>
        <w:rPr>
          <w:rFonts w:hint="eastAsia" w:ascii="Times New Roman" w:hAnsi="Times New Roman" w:eastAsia="宋体" w:cs="Times New Roman"/>
          <w:color w:val="auto"/>
          <w:sz w:val="24"/>
          <w:szCs w:val="24"/>
          <w:highlight w:val="none"/>
          <w:lang w:eastAsia="zh-CN"/>
        </w:rPr>
        <w:drawing>
          <wp:inline distT="0" distB="0" distL="114300" distR="114300">
            <wp:extent cx="7194550" cy="5171440"/>
            <wp:effectExtent l="0" t="0" r="6350" b="10160"/>
            <wp:docPr id="76" name="图片 76" descr="建民乡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建民乡3"/>
                    <pic:cNvPicPr>
                      <a:picLocks noChangeAspect="1"/>
                    </pic:cNvPicPr>
                  </pic:nvPicPr>
                  <pic:blipFill>
                    <a:blip r:embed="rId109"/>
                    <a:stretch>
                      <a:fillRect/>
                    </a:stretch>
                  </pic:blipFill>
                  <pic:spPr>
                    <a:xfrm>
                      <a:off x="0" y="0"/>
                      <a:ext cx="7194550" cy="5171440"/>
                    </a:xfrm>
                    <a:prstGeom prst="rect">
                      <a:avLst/>
                    </a:prstGeom>
                  </pic:spPr>
                </pic:pic>
              </a:graphicData>
            </a:graphic>
          </wp:inline>
        </w:drawing>
      </w:r>
    </w:p>
    <w:p w14:paraId="389AFC44">
      <w:pPr>
        <w:keepNext w:val="0"/>
        <w:keepLines w:val="0"/>
        <w:pageBreakBefore w:val="0"/>
        <w:widowControl w:val="0"/>
        <w:kinsoku/>
        <w:wordWrap/>
        <w:overflowPunct/>
        <w:topLinePunct w:val="0"/>
        <w:bidi w:val="0"/>
        <w:snapToGrid/>
        <w:spacing w:line="360" w:lineRule="auto"/>
        <w:jc w:val="center"/>
        <w:textAlignment w:val="auto"/>
        <w:rPr>
          <w:rFonts w:hint="eastAsia"/>
          <w:b/>
          <w:bCs/>
          <w:color w:val="auto"/>
          <w:highlight w:val="none"/>
        </w:rPr>
        <w:sectPr>
          <w:pgSz w:w="16838" w:h="11905" w:orient="landscape"/>
          <w:pgMar w:top="1474" w:right="1474" w:bottom="1474" w:left="1474" w:header="964" w:footer="992" w:gutter="0"/>
          <w:pgBorders>
            <w:top w:val="none" w:sz="0" w:space="0"/>
            <w:left w:val="none" w:sz="0" w:space="0"/>
            <w:bottom w:val="none" w:sz="0" w:space="0"/>
            <w:right w:val="none" w:sz="0" w:space="0"/>
          </w:pgBorders>
          <w:pgNumType w:fmt="decimal"/>
          <w:cols w:space="720" w:num="1"/>
          <w:docGrid w:type="linesAndChars" w:linePitch="347" w:charSpace="-1024"/>
        </w:sectPr>
      </w:pPr>
      <w:r>
        <w:rPr>
          <w:rFonts w:hint="eastAsia" w:ascii="Times New Roman" w:hAnsi="Times New Roman" w:cs="Times New Roman"/>
          <w:color w:val="auto"/>
          <w:sz w:val="24"/>
          <w:szCs w:val="24"/>
          <w:highlight w:val="none"/>
          <w:lang w:eastAsia="zh-CN"/>
        </w:rPr>
        <w:t>图</w:t>
      </w:r>
      <w:r>
        <w:rPr>
          <w:rFonts w:hint="eastAsia" w:ascii="Times New Roman" w:hAnsi="Times New Roman" w:cs="Times New Roman"/>
          <w:color w:val="auto"/>
          <w:sz w:val="24"/>
          <w:szCs w:val="24"/>
          <w:highlight w:val="none"/>
          <w:lang w:val="en-US" w:eastAsia="zh-CN"/>
        </w:rPr>
        <w:t>4-</w:t>
      </w:r>
      <w:r>
        <w:rPr>
          <w:rFonts w:hint="eastAsia" w:cs="Times New Roman"/>
          <w:color w:val="auto"/>
          <w:sz w:val="24"/>
          <w:szCs w:val="24"/>
          <w:highlight w:val="none"/>
          <w:lang w:val="en-US" w:eastAsia="zh-CN"/>
        </w:rPr>
        <w:t>11</w:t>
      </w:r>
      <w:r>
        <w:rPr>
          <w:rFonts w:hint="eastAsia" w:ascii="Times New Roman" w:hAnsi="Times New Roman" w:cs="Times New Roman"/>
          <w:color w:val="auto"/>
          <w:sz w:val="24"/>
          <w:szCs w:val="24"/>
          <w:highlight w:val="none"/>
          <w:lang w:val="en-US" w:eastAsia="zh-CN"/>
        </w:rPr>
        <w:t xml:space="preserve"> </w:t>
      </w:r>
      <w:r>
        <w:rPr>
          <w:rFonts w:hint="eastAsia" w:ascii="Times New Roman" w:hAnsi="Times New Roman" w:eastAsia="宋体" w:cs="Times New Roman"/>
          <w:color w:val="auto"/>
          <w:sz w:val="24"/>
          <w:szCs w:val="24"/>
          <w:highlight w:val="none"/>
          <w:lang w:eastAsia="zh-CN"/>
        </w:rPr>
        <w:t>建民乡</w:t>
      </w:r>
      <w:r>
        <w:rPr>
          <w:rFonts w:ascii="Times New Roman" w:hAnsi="Times New Roman" w:eastAsia="宋体" w:cs="Times New Roman"/>
          <w:color w:val="auto"/>
          <w:sz w:val="24"/>
          <w:szCs w:val="24"/>
          <w:highlight w:val="none"/>
        </w:rPr>
        <w:t>饮用水水源地</w:t>
      </w:r>
      <w:r>
        <w:rPr>
          <w:rFonts w:hint="eastAsia" w:cs="Times New Roman"/>
          <w:color w:val="auto"/>
          <w:sz w:val="24"/>
          <w:szCs w:val="24"/>
          <w:highlight w:val="none"/>
          <w:lang w:eastAsia="zh-CN"/>
        </w:rPr>
        <w:t>保护区内</w:t>
      </w:r>
      <w:r>
        <w:rPr>
          <w:rFonts w:ascii="Times New Roman" w:hAnsi="Times New Roman" w:eastAsia="宋体" w:cs="Times New Roman"/>
          <w:color w:val="auto"/>
          <w:sz w:val="24"/>
          <w:szCs w:val="24"/>
          <w:highlight w:val="none"/>
        </w:rPr>
        <w:t>污染</w:t>
      </w:r>
      <w:r>
        <w:rPr>
          <w:rFonts w:hint="eastAsia" w:ascii="Times New Roman" w:hAnsi="Times New Roman" w:eastAsia="宋体" w:cs="Times New Roman"/>
          <w:color w:val="auto"/>
          <w:sz w:val="24"/>
          <w:szCs w:val="24"/>
          <w:highlight w:val="none"/>
          <w:lang w:eastAsia="zh-CN"/>
        </w:rPr>
        <w:t>源分布图</w:t>
      </w:r>
      <w:r>
        <w:rPr>
          <w:rFonts w:hint="eastAsia" w:cs="Times New Roman"/>
          <w:color w:val="auto"/>
          <w:sz w:val="24"/>
          <w:szCs w:val="24"/>
          <w:highlight w:val="none"/>
          <w:lang w:eastAsia="zh-CN"/>
        </w:rPr>
        <w:t>（水井</w:t>
      </w:r>
      <w:r>
        <w:rPr>
          <w:rFonts w:hint="eastAsia" w:cs="Times New Roman"/>
          <w:color w:val="auto"/>
          <w:sz w:val="24"/>
          <w:szCs w:val="24"/>
          <w:highlight w:val="none"/>
          <w:lang w:val="en-US" w:eastAsia="zh-CN"/>
        </w:rPr>
        <w:t>3#</w:t>
      </w:r>
      <w:r>
        <w:rPr>
          <w:rFonts w:hint="eastAsia" w:cs="Times New Roman"/>
          <w:color w:val="auto"/>
          <w:sz w:val="24"/>
          <w:szCs w:val="24"/>
          <w:highlight w:val="none"/>
          <w:lang w:eastAsia="zh-CN"/>
        </w:rPr>
        <w:t>）</w:t>
      </w:r>
    </w:p>
    <w:p w14:paraId="065274E4">
      <w:pPr>
        <w:pStyle w:val="6"/>
        <w:bidi w:val="0"/>
        <w:rPr>
          <w:rFonts w:hint="eastAsia"/>
          <w:color w:val="auto"/>
          <w:sz w:val="24"/>
          <w:szCs w:val="24"/>
          <w:highlight w:val="none"/>
        </w:rPr>
      </w:pPr>
      <w:r>
        <w:rPr>
          <w:rFonts w:hint="eastAsia"/>
          <w:color w:val="auto"/>
          <w:sz w:val="24"/>
          <w:szCs w:val="24"/>
          <w:highlight w:val="none"/>
          <w:lang w:val="en-US" w:eastAsia="zh-CN"/>
        </w:rPr>
        <w:t>3</w:t>
      </w:r>
      <w:r>
        <w:rPr>
          <w:rFonts w:hint="eastAsia"/>
          <w:color w:val="auto"/>
          <w:sz w:val="24"/>
          <w:szCs w:val="24"/>
          <w:highlight w:val="none"/>
          <w:lang w:eastAsia="zh-CN"/>
        </w:rPr>
        <w:t>）</w:t>
      </w:r>
      <w:r>
        <w:rPr>
          <w:rFonts w:hint="eastAsia"/>
          <w:color w:val="auto"/>
          <w:sz w:val="24"/>
          <w:szCs w:val="24"/>
          <w:highlight w:val="none"/>
        </w:rPr>
        <w:t>绥化市</w:t>
      </w:r>
      <w:r>
        <w:rPr>
          <w:rFonts w:hint="eastAsia" w:ascii="Times New Roman" w:hAnsi="Times New Roman" w:eastAsia="宋体" w:cs="Times New Roman"/>
          <w:color w:val="auto"/>
          <w:kern w:val="2"/>
          <w:sz w:val="24"/>
          <w:szCs w:val="24"/>
          <w:highlight w:val="none"/>
          <w:lang w:val="en-US" w:eastAsia="zh-CN" w:bidi="ar-SA"/>
        </w:rPr>
        <w:t>庆安县</w:t>
      </w:r>
      <w:r>
        <w:rPr>
          <w:rFonts w:hint="eastAsia"/>
          <w:color w:val="auto"/>
          <w:sz w:val="24"/>
          <w:szCs w:val="24"/>
          <w:highlight w:val="none"/>
        </w:rPr>
        <w:t>同乐镇饮用水水源地</w:t>
      </w:r>
    </w:p>
    <w:p w14:paraId="0270BB2A">
      <w:pPr>
        <w:spacing w:line="360" w:lineRule="auto"/>
        <w:ind w:firstLine="472" w:firstLineChars="200"/>
        <w:rPr>
          <w:rFonts w:hint="eastAsia"/>
          <w:color w:val="auto"/>
          <w:sz w:val="24"/>
          <w:szCs w:val="24"/>
          <w:highlight w:val="none"/>
        </w:rPr>
      </w:pPr>
      <w:r>
        <w:rPr>
          <w:color w:val="auto"/>
          <w:kern w:val="0"/>
          <w:sz w:val="24"/>
          <w:szCs w:val="24"/>
          <w:highlight w:val="none"/>
        </w:rPr>
        <w:fldChar w:fldCharType="begin"/>
      </w:r>
      <w:r>
        <w:rPr>
          <w:color w:val="auto"/>
          <w:kern w:val="0"/>
          <w:sz w:val="24"/>
          <w:szCs w:val="24"/>
          <w:highlight w:val="none"/>
        </w:rPr>
        <w:instrText xml:space="preserve"> = 1 \* GB3 \* MERGEFORMAT </w:instrText>
      </w:r>
      <w:r>
        <w:rPr>
          <w:color w:val="auto"/>
          <w:kern w:val="0"/>
          <w:sz w:val="24"/>
          <w:szCs w:val="24"/>
          <w:highlight w:val="none"/>
        </w:rPr>
        <w:fldChar w:fldCharType="separate"/>
      </w:r>
      <w:r>
        <w:rPr>
          <w:color w:val="auto"/>
          <w:sz w:val="24"/>
          <w:szCs w:val="24"/>
          <w:highlight w:val="none"/>
        </w:rPr>
        <w:t>①</w:t>
      </w:r>
      <w:r>
        <w:rPr>
          <w:color w:val="auto"/>
          <w:kern w:val="0"/>
          <w:sz w:val="24"/>
          <w:szCs w:val="24"/>
          <w:highlight w:val="none"/>
        </w:rPr>
        <w:fldChar w:fldCharType="end"/>
      </w:r>
      <w:r>
        <w:rPr>
          <w:rFonts w:hint="eastAsia"/>
          <w:color w:val="auto"/>
          <w:sz w:val="24"/>
          <w:szCs w:val="24"/>
          <w:highlight w:val="none"/>
        </w:rPr>
        <w:t>点源污染</w:t>
      </w:r>
    </w:p>
    <w:p w14:paraId="62799FE0">
      <w:pPr>
        <w:spacing w:line="360" w:lineRule="auto"/>
        <w:ind w:firstLine="472" w:firstLineChars="200"/>
        <w:rPr>
          <w:color w:val="auto"/>
          <w:highlight w:val="none"/>
        </w:rPr>
      </w:pPr>
      <w:r>
        <w:rPr>
          <w:rFonts w:hint="eastAsia"/>
          <w:color w:val="auto"/>
          <w:sz w:val="24"/>
          <w:szCs w:val="22"/>
          <w:highlight w:val="none"/>
        </w:rPr>
        <w:t>经调查，</w:t>
      </w:r>
      <w:r>
        <w:rPr>
          <w:rFonts w:hint="eastAsia"/>
          <w:color w:val="auto"/>
          <w:kern w:val="0"/>
          <w:sz w:val="24"/>
          <w:szCs w:val="24"/>
          <w:highlight w:val="none"/>
        </w:rPr>
        <w:t>水源地一级保护区</w:t>
      </w:r>
      <w:r>
        <w:rPr>
          <w:rFonts w:hint="eastAsia"/>
          <w:color w:val="auto"/>
          <w:sz w:val="24"/>
          <w:szCs w:val="22"/>
          <w:highlight w:val="none"/>
        </w:rPr>
        <w:t>范围内无点源污染。</w:t>
      </w:r>
    </w:p>
    <w:p w14:paraId="6BB5F71E">
      <w:pPr>
        <w:spacing w:line="360" w:lineRule="auto"/>
        <w:ind w:firstLine="472" w:firstLineChars="200"/>
        <w:rPr>
          <w:rFonts w:hint="eastAsia"/>
          <w:color w:val="auto"/>
          <w:sz w:val="24"/>
          <w:szCs w:val="22"/>
          <w:highlight w:val="none"/>
        </w:rPr>
      </w:pPr>
      <w:r>
        <w:rPr>
          <w:color w:val="auto"/>
          <w:kern w:val="0"/>
          <w:sz w:val="24"/>
          <w:szCs w:val="24"/>
          <w:highlight w:val="none"/>
        </w:rPr>
        <w:fldChar w:fldCharType="begin"/>
      </w:r>
      <w:r>
        <w:rPr>
          <w:color w:val="auto"/>
          <w:kern w:val="0"/>
          <w:sz w:val="24"/>
          <w:szCs w:val="24"/>
          <w:highlight w:val="none"/>
        </w:rPr>
        <w:instrText xml:space="preserve"> = 2 \* GB3 \* MERGEFORMAT </w:instrText>
      </w:r>
      <w:r>
        <w:rPr>
          <w:color w:val="auto"/>
          <w:kern w:val="0"/>
          <w:sz w:val="24"/>
          <w:szCs w:val="24"/>
          <w:highlight w:val="none"/>
        </w:rPr>
        <w:fldChar w:fldCharType="separate"/>
      </w:r>
      <w:r>
        <w:rPr>
          <w:color w:val="auto"/>
          <w:sz w:val="24"/>
          <w:szCs w:val="24"/>
          <w:highlight w:val="none"/>
        </w:rPr>
        <w:t>②</w:t>
      </w:r>
      <w:r>
        <w:rPr>
          <w:color w:val="auto"/>
          <w:kern w:val="0"/>
          <w:sz w:val="24"/>
          <w:szCs w:val="24"/>
          <w:highlight w:val="none"/>
        </w:rPr>
        <w:fldChar w:fldCharType="end"/>
      </w:r>
      <w:r>
        <w:rPr>
          <w:rFonts w:hint="eastAsia"/>
          <w:color w:val="auto"/>
          <w:sz w:val="24"/>
          <w:szCs w:val="22"/>
          <w:highlight w:val="none"/>
        </w:rPr>
        <w:t>非点源污染</w:t>
      </w:r>
    </w:p>
    <w:p w14:paraId="65D307E7">
      <w:pPr>
        <w:spacing w:line="360" w:lineRule="auto"/>
        <w:ind w:firstLine="472" w:firstLineChars="200"/>
        <w:rPr>
          <w:rFonts w:hint="eastAsia" w:eastAsia="宋体"/>
          <w:color w:val="auto"/>
          <w:sz w:val="24"/>
          <w:szCs w:val="22"/>
          <w:highlight w:val="none"/>
          <w:lang w:val="zh-CN" w:eastAsia="zh-CN"/>
        </w:rPr>
      </w:pPr>
      <w:r>
        <w:rPr>
          <w:rFonts w:hint="eastAsia"/>
          <w:color w:val="auto"/>
          <w:sz w:val="24"/>
          <w:szCs w:val="22"/>
          <w:highlight w:val="none"/>
          <w:lang w:val="zh-CN"/>
        </w:rPr>
        <w:t>经调查，</w:t>
      </w:r>
      <w:r>
        <w:rPr>
          <w:rFonts w:hint="eastAsia"/>
          <w:color w:val="auto"/>
          <w:kern w:val="0"/>
          <w:sz w:val="24"/>
          <w:szCs w:val="24"/>
          <w:highlight w:val="none"/>
        </w:rPr>
        <w:t>水源地一级保护区</w:t>
      </w:r>
      <w:r>
        <w:rPr>
          <w:rFonts w:hint="eastAsia"/>
          <w:color w:val="auto"/>
          <w:sz w:val="24"/>
          <w:szCs w:val="22"/>
          <w:highlight w:val="none"/>
          <w:lang w:val="zh-CN"/>
        </w:rPr>
        <w:t>内共有耕地</w:t>
      </w:r>
      <w:r>
        <w:rPr>
          <w:rFonts w:hint="eastAsia"/>
          <w:color w:val="auto"/>
          <w:sz w:val="24"/>
          <w:szCs w:val="22"/>
          <w:highlight w:val="none"/>
          <w:lang w:val="en-US" w:eastAsia="zh-CN"/>
        </w:rPr>
        <w:t>0.49</w:t>
      </w:r>
      <w:r>
        <w:rPr>
          <w:rFonts w:hint="eastAsia"/>
          <w:color w:val="auto"/>
          <w:sz w:val="24"/>
          <w:szCs w:val="22"/>
          <w:highlight w:val="none"/>
        </w:rPr>
        <w:t>公顷</w:t>
      </w:r>
      <w:r>
        <w:rPr>
          <w:rFonts w:hint="eastAsia"/>
          <w:color w:val="auto"/>
          <w:sz w:val="24"/>
          <w:szCs w:val="22"/>
          <w:highlight w:val="none"/>
          <w:lang w:val="zh-CN"/>
        </w:rPr>
        <w:t>，</w:t>
      </w:r>
      <w:r>
        <w:rPr>
          <w:rFonts w:hint="eastAsia"/>
          <w:color w:val="auto"/>
          <w:sz w:val="24"/>
          <w:szCs w:val="22"/>
          <w:highlight w:val="none"/>
        </w:rPr>
        <w:t>主要农作物为玉米，农作物生长期内大量施用的农药在农田土壤内残留，</w:t>
      </w:r>
      <w:r>
        <w:rPr>
          <w:rFonts w:hint="eastAsia"/>
          <w:color w:val="auto"/>
          <w:sz w:val="24"/>
          <w:szCs w:val="22"/>
          <w:highlight w:val="none"/>
          <w:lang w:eastAsia="zh-CN"/>
        </w:rPr>
        <w:t>有影响到地下水水质的可能性。</w:t>
      </w:r>
    </w:p>
    <w:p w14:paraId="0C81707E">
      <w:pPr>
        <w:spacing w:line="360" w:lineRule="auto"/>
        <w:ind w:firstLine="472" w:firstLineChars="200"/>
        <w:rPr>
          <w:rFonts w:hint="eastAsia"/>
          <w:color w:val="auto"/>
          <w:sz w:val="24"/>
          <w:szCs w:val="22"/>
          <w:highlight w:val="none"/>
        </w:rPr>
      </w:pPr>
      <w:r>
        <w:rPr>
          <w:color w:val="auto"/>
          <w:kern w:val="0"/>
          <w:sz w:val="24"/>
          <w:szCs w:val="24"/>
          <w:highlight w:val="none"/>
        </w:rPr>
        <w:fldChar w:fldCharType="begin"/>
      </w:r>
      <w:r>
        <w:rPr>
          <w:color w:val="auto"/>
          <w:kern w:val="0"/>
          <w:sz w:val="24"/>
          <w:szCs w:val="24"/>
          <w:highlight w:val="none"/>
        </w:rPr>
        <w:instrText xml:space="preserve"> = 3 \* GB3 \* MERGEFORMAT </w:instrText>
      </w:r>
      <w:r>
        <w:rPr>
          <w:color w:val="auto"/>
          <w:kern w:val="0"/>
          <w:sz w:val="24"/>
          <w:szCs w:val="24"/>
          <w:highlight w:val="none"/>
        </w:rPr>
        <w:fldChar w:fldCharType="separate"/>
      </w:r>
      <w:r>
        <w:rPr>
          <w:color w:val="auto"/>
          <w:sz w:val="24"/>
          <w:szCs w:val="24"/>
          <w:highlight w:val="none"/>
        </w:rPr>
        <w:t>③</w:t>
      </w:r>
      <w:r>
        <w:rPr>
          <w:color w:val="auto"/>
          <w:kern w:val="0"/>
          <w:sz w:val="24"/>
          <w:szCs w:val="24"/>
          <w:highlight w:val="none"/>
        </w:rPr>
        <w:fldChar w:fldCharType="end"/>
      </w:r>
      <w:r>
        <w:rPr>
          <w:rFonts w:hint="eastAsia"/>
          <w:color w:val="auto"/>
          <w:sz w:val="24"/>
          <w:szCs w:val="22"/>
          <w:highlight w:val="none"/>
        </w:rPr>
        <w:t>流动源</w:t>
      </w:r>
      <w:r>
        <w:rPr>
          <w:color w:val="auto"/>
          <w:sz w:val="24"/>
          <w:szCs w:val="24"/>
          <w:highlight w:val="none"/>
        </w:rPr>
        <w:t>和其他</w:t>
      </w:r>
      <w:r>
        <w:rPr>
          <w:rFonts w:hint="eastAsia"/>
          <w:color w:val="auto"/>
          <w:sz w:val="24"/>
          <w:szCs w:val="22"/>
          <w:highlight w:val="none"/>
        </w:rPr>
        <w:t>污染</w:t>
      </w:r>
    </w:p>
    <w:p w14:paraId="184C8A8C">
      <w:pPr>
        <w:spacing w:line="360" w:lineRule="auto"/>
        <w:ind w:firstLine="472" w:firstLineChars="200"/>
        <w:rPr>
          <w:rFonts w:hint="eastAsia"/>
          <w:color w:val="auto"/>
          <w:sz w:val="24"/>
          <w:szCs w:val="22"/>
          <w:highlight w:val="none"/>
        </w:rPr>
      </w:pPr>
      <w:r>
        <w:rPr>
          <w:rFonts w:hint="eastAsia"/>
          <w:color w:val="auto"/>
          <w:sz w:val="24"/>
          <w:szCs w:val="22"/>
          <w:highlight w:val="none"/>
          <w:lang w:val="zh-CN"/>
        </w:rPr>
        <w:t>经调查，</w:t>
      </w:r>
      <w:r>
        <w:rPr>
          <w:rFonts w:hint="eastAsia"/>
          <w:color w:val="auto"/>
          <w:sz w:val="24"/>
          <w:szCs w:val="22"/>
          <w:highlight w:val="none"/>
        </w:rPr>
        <w:t>水源地一级保护区内</w:t>
      </w:r>
      <w:r>
        <w:rPr>
          <w:rFonts w:hint="eastAsia"/>
          <w:color w:val="auto"/>
          <w:sz w:val="24"/>
          <w:szCs w:val="22"/>
          <w:highlight w:val="none"/>
          <w:lang w:eastAsia="zh-CN"/>
        </w:rPr>
        <w:t>水井</w:t>
      </w:r>
      <w:r>
        <w:rPr>
          <w:rFonts w:hint="eastAsia"/>
          <w:color w:val="auto"/>
          <w:sz w:val="24"/>
          <w:szCs w:val="22"/>
          <w:highlight w:val="none"/>
          <w:lang w:val="en-US" w:eastAsia="zh-CN"/>
        </w:rPr>
        <w:t>2#东侧</w:t>
      </w:r>
      <w:r>
        <w:rPr>
          <w:rFonts w:hint="eastAsia"/>
          <w:color w:val="auto"/>
          <w:sz w:val="24"/>
          <w:szCs w:val="22"/>
          <w:highlight w:val="none"/>
        </w:rPr>
        <w:t>有乡村道路，穿越长度</w:t>
      </w:r>
      <w:r>
        <w:rPr>
          <w:rFonts w:hint="eastAsia"/>
          <w:color w:val="auto"/>
          <w:sz w:val="24"/>
          <w:szCs w:val="22"/>
          <w:highlight w:val="none"/>
          <w:lang w:val="en-US" w:eastAsia="zh-CN"/>
        </w:rPr>
        <w:t>48</w:t>
      </w:r>
      <w:r>
        <w:rPr>
          <w:rFonts w:hint="eastAsia"/>
          <w:color w:val="auto"/>
          <w:sz w:val="24"/>
          <w:szCs w:val="22"/>
          <w:highlight w:val="none"/>
        </w:rPr>
        <w:t>米</w:t>
      </w:r>
      <w:r>
        <w:rPr>
          <w:rFonts w:hint="eastAsia"/>
          <w:color w:val="auto"/>
          <w:sz w:val="24"/>
          <w:szCs w:val="22"/>
          <w:highlight w:val="none"/>
          <w:lang w:eastAsia="zh-CN"/>
        </w:rPr>
        <w:t>；水井</w:t>
      </w:r>
      <w:r>
        <w:rPr>
          <w:rFonts w:hint="eastAsia"/>
          <w:color w:val="auto"/>
          <w:sz w:val="24"/>
          <w:szCs w:val="22"/>
          <w:highlight w:val="none"/>
          <w:lang w:val="en-US" w:eastAsia="zh-CN"/>
        </w:rPr>
        <w:t>3#</w:t>
      </w:r>
      <w:r>
        <w:rPr>
          <w:rFonts w:hint="eastAsia"/>
          <w:color w:val="auto"/>
          <w:sz w:val="24"/>
          <w:szCs w:val="22"/>
          <w:highlight w:val="none"/>
          <w:lang w:eastAsia="zh-CN"/>
        </w:rPr>
        <w:t>北</w:t>
      </w:r>
      <w:r>
        <w:rPr>
          <w:rFonts w:hint="eastAsia"/>
          <w:color w:val="auto"/>
          <w:sz w:val="24"/>
          <w:szCs w:val="22"/>
          <w:highlight w:val="none"/>
        </w:rPr>
        <w:t>侧有乡村道路，穿越长度</w:t>
      </w:r>
      <w:r>
        <w:rPr>
          <w:rFonts w:hint="eastAsia"/>
          <w:color w:val="auto"/>
          <w:sz w:val="24"/>
          <w:szCs w:val="22"/>
          <w:highlight w:val="none"/>
          <w:lang w:val="en-US" w:eastAsia="zh-CN"/>
        </w:rPr>
        <w:t>36</w:t>
      </w:r>
      <w:r>
        <w:rPr>
          <w:rFonts w:hint="eastAsia"/>
          <w:color w:val="auto"/>
          <w:sz w:val="24"/>
          <w:szCs w:val="22"/>
          <w:highlight w:val="none"/>
        </w:rPr>
        <w:t>米</w:t>
      </w:r>
      <w:r>
        <w:rPr>
          <w:rFonts w:hint="eastAsia"/>
          <w:color w:val="auto"/>
          <w:sz w:val="24"/>
          <w:szCs w:val="22"/>
          <w:highlight w:val="none"/>
          <w:lang w:eastAsia="zh-CN"/>
        </w:rPr>
        <w:t>；</w:t>
      </w:r>
      <w:r>
        <w:rPr>
          <w:rFonts w:hint="eastAsia"/>
          <w:color w:val="auto"/>
          <w:sz w:val="24"/>
          <w:szCs w:val="22"/>
          <w:highlight w:val="none"/>
        </w:rPr>
        <w:t>道路已禁止有毒有害物质和危险化学品的运输，存在部分农药运输情况。</w:t>
      </w:r>
    </w:p>
    <w:p w14:paraId="39FA6F40">
      <w:pPr>
        <w:spacing w:line="360" w:lineRule="auto"/>
        <w:ind w:firstLine="472" w:firstLineChars="200"/>
        <w:rPr>
          <w:rFonts w:hint="eastAsia"/>
          <w:color w:val="auto"/>
          <w:sz w:val="24"/>
          <w:szCs w:val="22"/>
          <w:highlight w:val="none"/>
        </w:rPr>
        <w:sectPr>
          <w:pgSz w:w="11905" w:h="16838"/>
          <w:pgMar w:top="1474" w:right="1474" w:bottom="1474" w:left="1474" w:header="964" w:footer="992" w:gutter="0"/>
          <w:pgBorders>
            <w:top w:val="none" w:sz="0" w:space="0"/>
            <w:left w:val="none" w:sz="0" w:space="0"/>
            <w:bottom w:val="none" w:sz="0" w:space="0"/>
            <w:right w:val="none" w:sz="0" w:space="0"/>
          </w:pgBorders>
          <w:pgNumType w:fmt="decimal"/>
          <w:cols w:space="720" w:num="1"/>
          <w:docGrid w:type="linesAndChars" w:linePitch="347" w:charSpace="-1024"/>
        </w:sectPr>
      </w:pPr>
    </w:p>
    <w:p w14:paraId="3A1BB451">
      <w:pPr>
        <w:keepNext w:val="0"/>
        <w:keepLines w:val="0"/>
        <w:pageBreakBefore w:val="0"/>
        <w:widowControl w:val="0"/>
        <w:kinsoku/>
        <w:wordWrap/>
        <w:overflowPunct/>
        <w:topLinePunct w:val="0"/>
        <w:bidi w:val="0"/>
        <w:snapToGrid/>
        <w:spacing w:line="360" w:lineRule="auto"/>
        <w:jc w:val="center"/>
        <w:textAlignment w:val="auto"/>
        <w:rPr>
          <w:rFonts w:hint="eastAsia" w:ascii="Times New Roman" w:hAnsi="Times New Roman" w:eastAsia="宋体" w:cs="Times New Roman"/>
          <w:color w:val="auto"/>
          <w:sz w:val="24"/>
          <w:szCs w:val="24"/>
          <w:highlight w:val="none"/>
          <w:lang w:eastAsia="zh-CN"/>
        </w:rPr>
      </w:pPr>
      <w:r>
        <w:rPr>
          <w:rFonts w:hint="eastAsia" w:ascii="Times New Roman" w:hAnsi="Times New Roman" w:eastAsia="宋体" w:cs="Times New Roman"/>
          <w:color w:val="auto"/>
          <w:sz w:val="24"/>
          <w:szCs w:val="24"/>
          <w:highlight w:val="none"/>
          <w:lang w:eastAsia="zh-CN"/>
        </w:rPr>
        <w:drawing>
          <wp:inline distT="0" distB="0" distL="114300" distR="114300">
            <wp:extent cx="7050405" cy="5067935"/>
            <wp:effectExtent l="0" t="0" r="17145" b="18415"/>
            <wp:docPr id="77" name="图片 77" descr="同乐镇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同乐镇12"/>
                    <pic:cNvPicPr>
                      <a:picLocks noChangeAspect="1"/>
                    </pic:cNvPicPr>
                  </pic:nvPicPr>
                  <pic:blipFill>
                    <a:blip r:embed="rId110"/>
                    <a:stretch>
                      <a:fillRect/>
                    </a:stretch>
                  </pic:blipFill>
                  <pic:spPr>
                    <a:xfrm>
                      <a:off x="0" y="0"/>
                      <a:ext cx="7050405" cy="5067935"/>
                    </a:xfrm>
                    <a:prstGeom prst="rect">
                      <a:avLst/>
                    </a:prstGeom>
                  </pic:spPr>
                </pic:pic>
              </a:graphicData>
            </a:graphic>
          </wp:inline>
        </w:drawing>
      </w:r>
    </w:p>
    <w:p w14:paraId="4610B4E6">
      <w:pPr>
        <w:keepNext w:val="0"/>
        <w:keepLines w:val="0"/>
        <w:pageBreakBefore w:val="0"/>
        <w:widowControl w:val="0"/>
        <w:kinsoku/>
        <w:wordWrap/>
        <w:overflowPunct/>
        <w:topLinePunct w:val="0"/>
        <w:bidi w:val="0"/>
        <w:snapToGrid/>
        <w:spacing w:line="360" w:lineRule="auto"/>
        <w:jc w:val="center"/>
        <w:textAlignment w:val="auto"/>
        <w:rPr>
          <w:rFonts w:hint="eastAsia" w:cs="Times New Roman"/>
          <w:color w:val="auto"/>
          <w:sz w:val="24"/>
          <w:szCs w:val="24"/>
          <w:highlight w:val="none"/>
          <w:lang w:eastAsia="zh-CN"/>
        </w:rPr>
      </w:pPr>
      <w:r>
        <w:rPr>
          <w:rFonts w:hint="eastAsia" w:ascii="Times New Roman" w:hAnsi="Times New Roman" w:cs="Times New Roman"/>
          <w:color w:val="auto"/>
          <w:sz w:val="24"/>
          <w:szCs w:val="24"/>
          <w:highlight w:val="none"/>
          <w:lang w:eastAsia="zh-CN"/>
        </w:rPr>
        <w:t>图</w:t>
      </w:r>
      <w:r>
        <w:rPr>
          <w:rFonts w:hint="eastAsia" w:ascii="Times New Roman" w:hAnsi="Times New Roman" w:cs="Times New Roman"/>
          <w:color w:val="auto"/>
          <w:sz w:val="24"/>
          <w:szCs w:val="24"/>
          <w:highlight w:val="none"/>
          <w:lang w:val="en-US" w:eastAsia="zh-CN"/>
        </w:rPr>
        <w:t>4-</w:t>
      </w:r>
      <w:r>
        <w:rPr>
          <w:rFonts w:hint="eastAsia" w:cs="Times New Roman"/>
          <w:color w:val="auto"/>
          <w:sz w:val="24"/>
          <w:szCs w:val="24"/>
          <w:highlight w:val="none"/>
          <w:lang w:val="en-US" w:eastAsia="zh-CN"/>
        </w:rPr>
        <w:t>12</w:t>
      </w:r>
      <w:r>
        <w:rPr>
          <w:rFonts w:hint="eastAsia" w:ascii="Times New Roman" w:hAnsi="Times New Roman" w:cs="Times New Roman"/>
          <w:color w:val="auto"/>
          <w:sz w:val="24"/>
          <w:szCs w:val="24"/>
          <w:highlight w:val="none"/>
          <w:lang w:val="en-US" w:eastAsia="zh-CN"/>
        </w:rPr>
        <w:t xml:space="preserve"> </w:t>
      </w:r>
      <w:r>
        <w:rPr>
          <w:rFonts w:hint="eastAsia" w:ascii="Times New Roman" w:hAnsi="Times New Roman" w:eastAsia="宋体" w:cs="Times New Roman"/>
          <w:color w:val="auto"/>
          <w:sz w:val="24"/>
          <w:szCs w:val="24"/>
          <w:highlight w:val="none"/>
          <w:lang w:eastAsia="zh-CN"/>
        </w:rPr>
        <w:t>同乐镇</w:t>
      </w:r>
      <w:r>
        <w:rPr>
          <w:rFonts w:ascii="Times New Roman" w:hAnsi="Times New Roman" w:eastAsia="宋体" w:cs="Times New Roman"/>
          <w:color w:val="auto"/>
          <w:sz w:val="24"/>
          <w:szCs w:val="24"/>
          <w:highlight w:val="none"/>
        </w:rPr>
        <w:t>饮用水水源地</w:t>
      </w:r>
      <w:r>
        <w:rPr>
          <w:rFonts w:hint="eastAsia" w:cs="Times New Roman"/>
          <w:color w:val="auto"/>
          <w:sz w:val="24"/>
          <w:szCs w:val="24"/>
          <w:highlight w:val="none"/>
          <w:lang w:eastAsia="zh-CN"/>
        </w:rPr>
        <w:t>保护区内</w:t>
      </w:r>
      <w:r>
        <w:rPr>
          <w:rFonts w:ascii="Times New Roman" w:hAnsi="Times New Roman" w:eastAsia="宋体" w:cs="Times New Roman"/>
          <w:color w:val="auto"/>
          <w:sz w:val="24"/>
          <w:szCs w:val="24"/>
          <w:highlight w:val="none"/>
        </w:rPr>
        <w:t>污染</w:t>
      </w:r>
      <w:r>
        <w:rPr>
          <w:rFonts w:hint="eastAsia" w:ascii="Times New Roman" w:hAnsi="Times New Roman" w:eastAsia="宋体" w:cs="Times New Roman"/>
          <w:color w:val="auto"/>
          <w:sz w:val="24"/>
          <w:szCs w:val="24"/>
          <w:highlight w:val="none"/>
          <w:lang w:eastAsia="zh-CN"/>
        </w:rPr>
        <w:t>源分布图</w:t>
      </w:r>
      <w:r>
        <w:rPr>
          <w:rFonts w:hint="eastAsia" w:cs="Times New Roman"/>
          <w:color w:val="auto"/>
          <w:sz w:val="24"/>
          <w:szCs w:val="24"/>
          <w:highlight w:val="none"/>
          <w:lang w:eastAsia="zh-CN"/>
        </w:rPr>
        <w:t>（水井</w:t>
      </w:r>
      <w:r>
        <w:rPr>
          <w:rFonts w:hint="eastAsia" w:cs="Times New Roman"/>
          <w:color w:val="auto"/>
          <w:sz w:val="24"/>
          <w:szCs w:val="24"/>
          <w:highlight w:val="none"/>
          <w:lang w:val="en-US" w:eastAsia="zh-CN"/>
        </w:rPr>
        <w:t>1#、</w:t>
      </w:r>
      <w:r>
        <w:rPr>
          <w:rFonts w:hint="eastAsia" w:cs="Times New Roman"/>
          <w:color w:val="auto"/>
          <w:sz w:val="24"/>
          <w:szCs w:val="24"/>
          <w:highlight w:val="none"/>
          <w:lang w:eastAsia="zh-CN"/>
        </w:rPr>
        <w:t>水井</w:t>
      </w:r>
      <w:r>
        <w:rPr>
          <w:rFonts w:hint="eastAsia" w:cs="Times New Roman"/>
          <w:color w:val="auto"/>
          <w:sz w:val="24"/>
          <w:szCs w:val="24"/>
          <w:highlight w:val="none"/>
          <w:lang w:val="en-US" w:eastAsia="zh-CN"/>
        </w:rPr>
        <w:t>2#</w:t>
      </w:r>
      <w:r>
        <w:rPr>
          <w:rFonts w:hint="eastAsia" w:cs="Times New Roman"/>
          <w:color w:val="auto"/>
          <w:sz w:val="24"/>
          <w:szCs w:val="24"/>
          <w:highlight w:val="none"/>
          <w:lang w:eastAsia="zh-CN"/>
        </w:rPr>
        <w:t>）</w:t>
      </w:r>
    </w:p>
    <w:p w14:paraId="34949952">
      <w:pPr>
        <w:keepNext w:val="0"/>
        <w:keepLines w:val="0"/>
        <w:pageBreakBefore w:val="0"/>
        <w:widowControl w:val="0"/>
        <w:kinsoku/>
        <w:wordWrap/>
        <w:overflowPunct/>
        <w:topLinePunct w:val="0"/>
        <w:bidi w:val="0"/>
        <w:snapToGrid/>
        <w:spacing w:line="360" w:lineRule="auto"/>
        <w:jc w:val="center"/>
        <w:textAlignment w:val="auto"/>
        <w:rPr>
          <w:rFonts w:hint="eastAsia" w:cs="Times New Roman"/>
          <w:color w:val="auto"/>
          <w:sz w:val="24"/>
          <w:szCs w:val="24"/>
          <w:highlight w:val="none"/>
          <w:lang w:eastAsia="zh-CN"/>
        </w:rPr>
      </w:pPr>
      <w:r>
        <w:rPr>
          <w:rFonts w:hint="eastAsia" w:cs="Times New Roman"/>
          <w:color w:val="auto"/>
          <w:sz w:val="24"/>
          <w:szCs w:val="24"/>
          <w:highlight w:val="none"/>
          <w:lang w:eastAsia="zh-CN"/>
        </w:rPr>
        <w:drawing>
          <wp:inline distT="0" distB="0" distL="114300" distR="114300">
            <wp:extent cx="7048500" cy="5066030"/>
            <wp:effectExtent l="0" t="0" r="0" b="1270"/>
            <wp:docPr id="78" name="图片 78" descr="同乐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同乐镇3"/>
                    <pic:cNvPicPr>
                      <a:picLocks noChangeAspect="1"/>
                    </pic:cNvPicPr>
                  </pic:nvPicPr>
                  <pic:blipFill>
                    <a:blip r:embed="rId111"/>
                    <a:stretch>
                      <a:fillRect/>
                    </a:stretch>
                  </pic:blipFill>
                  <pic:spPr>
                    <a:xfrm>
                      <a:off x="0" y="0"/>
                      <a:ext cx="7048500" cy="5066030"/>
                    </a:xfrm>
                    <a:prstGeom prst="rect">
                      <a:avLst/>
                    </a:prstGeom>
                  </pic:spPr>
                </pic:pic>
              </a:graphicData>
            </a:graphic>
          </wp:inline>
        </w:drawing>
      </w:r>
    </w:p>
    <w:p w14:paraId="617B108E">
      <w:pPr>
        <w:keepNext w:val="0"/>
        <w:keepLines w:val="0"/>
        <w:pageBreakBefore w:val="0"/>
        <w:widowControl w:val="0"/>
        <w:kinsoku/>
        <w:wordWrap/>
        <w:overflowPunct/>
        <w:topLinePunct w:val="0"/>
        <w:bidi w:val="0"/>
        <w:snapToGrid/>
        <w:spacing w:line="360" w:lineRule="auto"/>
        <w:jc w:val="center"/>
        <w:textAlignment w:val="auto"/>
        <w:rPr>
          <w:rFonts w:hint="eastAsia" w:cs="Times New Roman"/>
          <w:color w:val="auto"/>
          <w:sz w:val="24"/>
          <w:szCs w:val="24"/>
          <w:highlight w:val="none"/>
          <w:lang w:eastAsia="zh-CN"/>
        </w:rPr>
      </w:pPr>
      <w:r>
        <w:rPr>
          <w:rFonts w:hint="eastAsia" w:ascii="Times New Roman" w:hAnsi="Times New Roman" w:cs="Times New Roman"/>
          <w:color w:val="auto"/>
          <w:sz w:val="24"/>
          <w:szCs w:val="24"/>
          <w:highlight w:val="none"/>
          <w:lang w:eastAsia="zh-CN"/>
        </w:rPr>
        <w:t>图</w:t>
      </w:r>
      <w:r>
        <w:rPr>
          <w:rFonts w:hint="eastAsia" w:ascii="Times New Roman" w:hAnsi="Times New Roman" w:cs="Times New Roman"/>
          <w:color w:val="auto"/>
          <w:sz w:val="24"/>
          <w:szCs w:val="24"/>
          <w:highlight w:val="none"/>
          <w:lang w:val="en-US" w:eastAsia="zh-CN"/>
        </w:rPr>
        <w:t>4-</w:t>
      </w:r>
      <w:r>
        <w:rPr>
          <w:rFonts w:hint="eastAsia" w:cs="Times New Roman"/>
          <w:color w:val="auto"/>
          <w:sz w:val="24"/>
          <w:szCs w:val="24"/>
          <w:highlight w:val="none"/>
          <w:lang w:val="en-US" w:eastAsia="zh-CN"/>
        </w:rPr>
        <w:t>13</w:t>
      </w:r>
      <w:r>
        <w:rPr>
          <w:rFonts w:hint="eastAsia" w:ascii="Times New Roman" w:hAnsi="Times New Roman" w:cs="Times New Roman"/>
          <w:color w:val="auto"/>
          <w:sz w:val="24"/>
          <w:szCs w:val="24"/>
          <w:highlight w:val="none"/>
          <w:lang w:val="en-US" w:eastAsia="zh-CN"/>
        </w:rPr>
        <w:t xml:space="preserve"> </w:t>
      </w:r>
      <w:r>
        <w:rPr>
          <w:rFonts w:hint="eastAsia" w:ascii="Times New Roman" w:hAnsi="Times New Roman" w:eastAsia="宋体" w:cs="Times New Roman"/>
          <w:color w:val="auto"/>
          <w:sz w:val="24"/>
          <w:szCs w:val="24"/>
          <w:highlight w:val="none"/>
          <w:lang w:eastAsia="zh-CN"/>
        </w:rPr>
        <w:t>同乐镇</w:t>
      </w:r>
      <w:r>
        <w:rPr>
          <w:rFonts w:ascii="Times New Roman" w:hAnsi="Times New Roman" w:eastAsia="宋体" w:cs="Times New Roman"/>
          <w:color w:val="auto"/>
          <w:sz w:val="24"/>
          <w:szCs w:val="24"/>
          <w:highlight w:val="none"/>
        </w:rPr>
        <w:t>饮用水水源地</w:t>
      </w:r>
      <w:r>
        <w:rPr>
          <w:rFonts w:hint="eastAsia" w:cs="Times New Roman"/>
          <w:color w:val="auto"/>
          <w:sz w:val="24"/>
          <w:szCs w:val="24"/>
          <w:highlight w:val="none"/>
          <w:lang w:eastAsia="zh-CN"/>
        </w:rPr>
        <w:t>保护区内</w:t>
      </w:r>
      <w:r>
        <w:rPr>
          <w:rFonts w:ascii="Times New Roman" w:hAnsi="Times New Roman" w:eastAsia="宋体" w:cs="Times New Roman"/>
          <w:color w:val="auto"/>
          <w:sz w:val="24"/>
          <w:szCs w:val="24"/>
          <w:highlight w:val="none"/>
        </w:rPr>
        <w:t>污染</w:t>
      </w:r>
      <w:r>
        <w:rPr>
          <w:rFonts w:hint="eastAsia" w:ascii="Times New Roman" w:hAnsi="Times New Roman" w:eastAsia="宋体" w:cs="Times New Roman"/>
          <w:color w:val="auto"/>
          <w:sz w:val="24"/>
          <w:szCs w:val="24"/>
          <w:highlight w:val="none"/>
          <w:lang w:eastAsia="zh-CN"/>
        </w:rPr>
        <w:t>源分布图</w:t>
      </w:r>
      <w:r>
        <w:rPr>
          <w:rFonts w:hint="eastAsia" w:cs="Times New Roman"/>
          <w:color w:val="auto"/>
          <w:sz w:val="24"/>
          <w:szCs w:val="24"/>
          <w:highlight w:val="none"/>
          <w:lang w:eastAsia="zh-CN"/>
        </w:rPr>
        <w:t>（水井</w:t>
      </w:r>
      <w:r>
        <w:rPr>
          <w:rFonts w:hint="eastAsia" w:cs="Times New Roman"/>
          <w:color w:val="auto"/>
          <w:sz w:val="24"/>
          <w:szCs w:val="24"/>
          <w:highlight w:val="none"/>
          <w:lang w:val="en-US" w:eastAsia="zh-CN"/>
        </w:rPr>
        <w:t>3#</w:t>
      </w:r>
      <w:r>
        <w:rPr>
          <w:rFonts w:hint="eastAsia" w:cs="Times New Roman"/>
          <w:color w:val="auto"/>
          <w:sz w:val="24"/>
          <w:szCs w:val="24"/>
          <w:highlight w:val="none"/>
          <w:lang w:eastAsia="zh-CN"/>
        </w:rPr>
        <w:t>）</w:t>
      </w:r>
    </w:p>
    <w:p w14:paraId="6CE78CF5">
      <w:pPr>
        <w:spacing w:line="360" w:lineRule="auto"/>
        <w:ind w:firstLine="472" w:firstLineChars="200"/>
        <w:rPr>
          <w:rFonts w:hint="eastAsia"/>
          <w:color w:val="auto"/>
          <w:sz w:val="24"/>
          <w:szCs w:val="22"/>
          <w:highlight w:val="none"/>
        </w:rPr>
        <w:sectPr>
          <w:pgSz w:w="16838" w:h="11905" w:orient="landscape"/>
          <w:pgMar w:top="1474" w:right="1474" w:bottom="1474" w:left="1474" w:header="964" w:footer="992" w:gutter="0"/>
          <w:pgBorders>
            <w:top w:val="none" w:sz="0" w:space="0"/>
            <w:left w:val="none" w:sz="0" w:space="0"/>
            <w:bottom w:val="none" w:sz="0" w:space="0"/>
            <w:right w:val="none" w:sz="0" w:space="0"/>
          </w:pgBorders>
          <w:pgNumType w:fmt="decimal"/>
          <w:cols w:space="720" w:num="1"/>
          <w:docGrid w:type="linesAndChars" w:linePitch="347" w:charSpace="-1024"/>
        </w:sectPr>
      </w:pPr>
    </w:p>
    <w:p w14:paraId="67A5A853">
      <w:pPr>
        <w:pStyle w:val="6"/>
        <w:bidi w:val="0"/>
        <w:rPr>
          <w:rFonts w:hint="eastAsia"/>
          <w:color w:val="auto"/>
          <w:sz w:val="24"/>
          <w:szCs w:val="24"/>
          <w:highlight w:val="none"/>
        </w:rPr>
      </w:pPr>
      <w:r>
        <w:rPr>
          <w:rFonts w:hint="eastAsia" w:ascii="Times New Roman" w:hAnsi="Times New Roman" w:eastAsia="宋体" w:cs="Times New Roman"/>
          <w:color w:val="auto"/>
          <w:kern w:val="2"/>
          <w:sz w:val="24"/>
          <w:szCs w:val="24"/>
          <w:highlight w:val="none"/>
          <w:lang w:val="en-US" w:eastAsia="zh-CN" w:bidi="ar-SA"/>
        </w:rPr>
        <w:t>4）</w:t>
      </w:r>
      <w:r>
        <w:rPr>
          <w:rFonts w:hint="eastAsia"/>
          <w:color w:val="auto"/>
          <w:sz w:val="24"/>
          <w:szCs w:val="24"/>
          <w:highlight w:val="none"/>
        </w:rPr>
        <w:t>绥化市庆安县柳河镇饮用水水源地</w:t>
      </w:r>
    </w:p>
    <w:p w14:paraId="142EC321">
      <w:pPr>
        <w:spacing w:line="360" w:lineRule="auto"/>
        <w:ind w:firstLine="472" w:firstLineChars="200"/>
        <w:rPr>
          <w:rFonts w:hint="eastAsia"/>
          <w:color w:val="auto"/>
          <w:sz w:val="24"/>
          <w:szCs w:val="24"/>
          <w:highlight w:val="none"/>
        </w:rPr>
      </w:pPr>
      <w:r>
        <w:rPr>
          <w:color w:val="auto"/>
          <w:kern w:val="0"/>
          <w:sz w:val="24"/>
          <w:szCs w:val="24"/>
          <w:highlight w:val="none"/>
        </w:rPr>
        <w:fldChar w:fldCharType="begin"/>
      </w:r>
      <w:r>
        <w:rPr>
          <w:color w:val="auto"/>
          <w:kern w:val="0"/>
          <w:sz w:val="24"/>
          <w:szCs w:val="24"/>
          <w:highlight w:val="none"/>
        </w:rPr>
        <w:instrText xml:space="preserve"> = 1 \* GB3 \* MERGEFORMAT </w:instrText>
      </w:r>
      <w:r>
        <w:rPr>
          <w:color w:val="auto"/>
          <w:kern w:val="0"/>
          <w:sz w:val="24"/>
          <w:szCs w:val="24"/>
          <w:highlight w:val="none"/>
        </w:rPr>
        <w:fldChar w:fldCharType="separate"/>
      </w:r>
      <w:r>
        <w:rPr>
          <w:color w:val="auto"/>
          <w:sz w:val="24"/>
          <w:szCs w:val="24"/>
          <w:highlight w:val="none"/>
        </w:rPr>
        <w:t>①</w:t>
      </w:r>
      <w:r>
        <w:rPr>
          <w:color w:val="auto"/>
          <w:kern w:val="0"/>
          <w:sz w:val="24"/>
          <w:szCs w:val="24"/>
          <w:highlight w:val="none"/>
        </w:rPr>
        <w:fldChar w:fldCharType="end"/>
      </w:r>
      <w:r>
        <w:rPr>
          <w:rFonts w:hint="eastAsia"/>
          <w:color w:val="auto"/>
          <w:sz w:val="24"/>
          <w:szCs w:val="24"/>
          <w:highlight w:val="none"/>
        </w:rPr>
        <w:t>点源污染</w:t>
      </w:r>
    </w:p>
    <w:p w14:paraId="2533E25A">
      <w:pPr>
        <w:spacing w:line="360" w:lineRule="auto"/>
        <w:ind w:firstLine="472" w:firstLineChars="200"/>
        <w:rPr>
          <w:color w:val="auto"/>
          <w:highlight w:val="none"/>
        </w:rPr>
      </w:pPr>
      <w:r>
        <w:rPr>
          <w:rFonts w:hint="eastAsia"/>
          <w:color w:val="auto"/>
          <w:sz w:val="24"/>
          <w:szCs w:val="22"/>
          <w:highlight w:val="none"/>
        </w:rPr>
        <w:t>经调查，</w:t>
      </w:r>
      <w:r>
        <w:rPr>
          <w:rFonts w:hint="eastAsia"/>
          <w:color w:val="auto"/>
          <w:kern w:val="0"/>
          <w:sz w:val="24"/>
          <w:szCs w:val="24"/>
          <w:highlight w:val="none"/>
        </w:rPr>
        <w:t>水源地一级保护区</w:t>
      </w:r>
      <w:r>
        <w:rPr>
          <w:rFonts w:hint="eastAsia"/>
          <w:color w:val="auto"/>
          <w:sz w:val="24"/>
          <w:szCs w:val="22"/>
          <w:highlight w:val="none"/>
        </w:rPr>
        <w:t>范围内无点源污染。</w:t>
      </w:r>
    </w:p>
    <w:p w14:paraId="74906726">
      <w:pPr>
        <w:spacing w:line="360" w:lineRule="auto"/>
        <w:ind w:firstLine="472" w:firstLineChars="200"/>
        <w:rPr>
          <w:rFonts w:hint="eastAsia"/>
          <w:color w:val="auto"/>
          <w:sz w:val="24"/>
          <w:szCs w:val="22"/>
          <w:highlight w:val="none"/>
        </w:rPr>
      </w:pPr>
      <w:r>
        <w:rPr>
          <w:color w:val="auto"/>
          <w:kern w:val="0"/>
          <w:sz w:val="24"/>
          <w:szCs w:val="24"/>
          <w:highlight w:val="none"/>
        </w:rPr>
        <w:fldChar w:fldCharType="begin"/>
      </w:r>
      <w:r>
        <w:rPr>
          <w:color w:val="auto"/>
          <w:kern w:val="0"/>
          <w:sz w:val="24"/>
          <w:szCs w:val="24"/>
          <w:highlight w:val="none"/>
        </w:rPr>
        <w:instrText xml:space="preserve"> = 2 \* GB3 \* MERGEFORMAT </w:instrText>
      </w:r>
      <w:r>
        <w:rPr>
          <w:color w:val="auto"/>
          <w:kern w:val="0"/>
          <w:sz w:val="24"/>
          <w:szCs w:val="24"/>
          <w:highlight w:val="none"/>
        </w:rPr>
        <w:fldChar w:fldCharType="separate"/>
      </w:r>
      <w:r>
        <w:rPr>
          <w:color w:val="auto"/>
          <w:sz w:val="24"/>
          <w:szCs w:val="24"/>
          <w:highlight w:val="none"/>
        </w:rPr>
        <w:t>②</w:t>
      </w:r>
      <w:r>
        <w:rPr>
          <w:color w:val="auto"/>
          <w:kern w:val="0"/>
          <w:sz w:val="24"/>
          <w:szCs w:val="24"/>
          <w:highlight w:val="none"/>
        </w:rPr>
        <w:fldChar w:fldCharType="end"/>
      </w:r>
      <w:r>
        <w:rPr>
          <w:rFonts w:hint="eastAsia"/>
          <w:color w:val="auto"/>
          <w:sz w:val="24"/>
          <w:szCs w:val="22"/>
          <w:highlight w:val="none"/>
        </w:rPr>
        <w:t>非点源污染</w:t>
      </w:r>
    </w:p>
    <w:p w14:paraId="4867B7BF">
      <w:pPr>
        <w:spacing w:line="360" w:lineRule="auto"/>
        <w:ind w:firstLine="472" w:firstLineChars="200"/>
        <w:rPr>
          <w:rFonts w:hint="eastAsia"/>
          <w:color w:val="auto"/>
          <w:sz w:val="24"/>
          <w:szCs w:val="22"/>
          <w:highlight w:val="none"/>
          <w:lang w:val="zh-CN"/>
        </w:rPr>
      </w:pPr>
      <w:r>
        <w:rPr>
          <w:rFonts w:hint="eastAsia"/>
          <w:color w:val="auto"/>
          <w:sz w:val="24"/>
          <w:szCs w:val="22"/>
          <w:highlight w:val="none"/>
          <w:lang w:val="en-US" w:eastAsia="zh-CN"/>
        </w:rPr>
        <w:t>A.种植业污染</w:t>
      </w:r>
    </w:p>
    <w:p w14:paraId="1C47DEA2">
      <w:pPr>
        <w:spacing w:line="360" w:lineRule="auto"/>
        <w:ind w:firstLine="472" w:firstLineChars="200"/>
        <w:rPr>
          <w:rFonts w:hint="eastAsia"/>
          <w:color w:val="auto"/>
          <w:sz w:val="24"/>
          <w:szCs w:val="22"/>
          <w:highlight w:val="none"/>
          <w:lang w:eastAsia="zh-CN"/>
        </w:rPr>
      </w:pPr>
      <w:r>
        <w:rPr>
          <w:rFonts w:hint="eastAsia"/>
          <w:color w:val="auto"/>
          <w:sz w:val="24"/>
          <w:szCs w:val="22"/>
          <w:highlight w:val="none"/>
          <w:lang w:val="zh-CN"/>
        </w:rPr>
        <w:t>经调查，</w:t>
      </w:r>
      <w:r>
        <w:rPr>
          <w:rFonts w:hint="eastAsia"/>
          <w:color w:val="auto"/>
          <w:kern w:val="0"/>
          <w:sz w:val="24"/>
          <w:szCs w:val="24"/>
          <w:highlight w:val="none"/>
        </w:rPr>
        <w:t>水源地一级保护区</w:t>
      </w:r>
      <w:r>
        <w:rPr>
          <w:rFonts w:hint="eastAsia"/>
          <w:color w:val="auto"/>
          <w:sz w:val="24"/>
          <w:szCs w:val="22"/>
          <w:highlight w:val="none"/>
          <w:lang w:val="zh-CN"/>
        </w:rPr>
        <w:t>内共有耕地</w:t>
      </w:r>
      <w:r>
        <w:rPr>
          <w:rFonts w:hint="eastAsia"/>
          <w:color w:val="auto"/>
          <w:sz w:val="24"/>
          <w:szCs w:val="22"/>
          <w:highlight w:val="none"/>
        </w:rPr>
        <w:t>0.</w:t>
      </w:r>
      <w:r>
        <w:rPr>
          <w:rFonts w:hint="eastAsia"/>
          <w:color w:val="auto"/>
          <w:sz w:val="24"/>
          <w:szCs w:val="22"/>
          <w:highlight w:val="none"/>
          <w:lang w:val="en-US" w:eastAsia="zh-CN"/>
        </w:rPr>
        <w:t>38</w:t>
      </w:r>
      <w:r>
        <w:rPr>
          <w:rFonts w:hint="eastAsia"/>
          <w:color w:val="auto"/>
          <w:sz w:val="24"/>
          <w:szCs w:val="22"/>
          <w:highlight w:val="none"/>
        </w:rPr>
        <w:t>公顷</w:t>
      </w:r>
      <w:r>
        <w:rPr>
          <w:rFonts w:hint="eastAsia"/>
          <w:color w:val="auto"/>
          <w:sz w:val="24"/>
          <w:szCs w:val="22"/>
          <w:highlight w:val="none"/>
          <w:lang w:val="zh-CN"/>
        </w:rPr>
        <w:t>，</w:t>
      </w:r>
      <w:r>
        <w:rPr>
          <w:rFonts w:hint="eastAsia"/>
          <w:color w:val="auto"/>
          <w:sz w:val="24"/>
          <w:szCs w:val="22"/>
          <w:highlight w:val="none"/>
        </w:rPr>
        <w:t>主要农作物为</w:t>
      </w:r>
      <w:r>
        <w:rPr>
          <w:rFonts w:hint="eastAsia"/>
          <w:color w:val="auto"/>
          <w:sz w:val="24"/>
          <w:szCs w:val="22"/>
          <w:highlight w:val="none"/>
          <w:lang w:eastAsia="zh-CN"/>
        </w:rPr>
        <w:t>水稻、玉米</w:t>
      </w:r>
      <w:r>
        <w:rPr>
          <w:rFonts w:hint="eastAsia"/>
          <w:color w:val="auto"/>
          <w:sz w:val="24"/>
          <w:szCs w:val="22"/>
          <w:highlight w:val="none"/>
        </w:rPr>
        <w:t>，农作物生长期内大量施用的农药在农田土壤内残留，</w:t>
      </w:r>
      <w:r>
        <w:rPr>
          <w:rFonts w:hint="eastAsia"/>
          <w:color w:val="auto"/>
          <w:sz w:val="24"/>
          <w:szCs w:val="22"/>
          <w:highlight w:val="none"/>
          <w:lang w:eastAsia="zh-CN"/>
        </w:rPr>
        <w:t>有影响到地下水水质的可能性。</w:t>
      </w:r>
    </w:p>
    <w:p w14:paraId="2B664E0E">
      <w:pPr>
        <w:numPr>
          <w:ilvl w:val="0"/>
          <w:numId w:val="0"/>
        </w:numPr>
        <w:spacing w:line="360" w:lineRule="auto"/>
        <w:ind w:firstLine="472" w:firstLineChars="200"/>
        <w:rPr>
          <w:rFonts w:hint="eastAsia"/>
          <w:color w:val="auto"/>
          <w:sz w:val="24"/>
          <w:szCs w:val="22"/>
          <w:highlight w:val="none"/>
          <w:lang w:val="en-US" w:eastAsia="zh-CN"/>
        </w:rPr>
      </w:pPr>
      <w:r>
        <w:rPr>
          <w:rFonts w:hint="eastAsia" w:ascii="Times New Roman" w:hAnsi="Times New Roman" w:eastAsia="宋体" w:cs="Times New Roman"/>
          <w:color w:val="auto"/>
          <w:kern w:val="2"/>
          <w:sz w:val="24"/>
          <w:szCs w:val="22"/>
          <w:highlight w:val="none"/>
          <w:lang w:val="en-US" w:eastAsia="zh-CN" w:bidi="ar-SA"/>
        </w:rPr>
        <w:t>B.</w:t>
      </w:r>
      <w:r>
        <w:rPr>
          <w:rFonts w:hint="eastAsia"/>
          <w:color w:val="auto"/>
          <w:sz w:val="24"/>
          <w:szCs w:val="22"/>
          <w:highlight w:val="none"/>
          <w:lang w:val="en-US" w:eastAsia="zh-CN"/>
        </w:rPr>
        <w:t>废弃学校用房、简易仓储棚</w:t>
      </w:r>
    </w:p>
    <w:p w14:paraId="0DF2BCC9">
      <w:pPr>
        <w:widowControl w:val="0"/>
        <w:numPr>
          <w:ilvl w:val="0"/>
          <w:numId w:val="0"/>
        </w:numPr>
        <w:spacing w:line="360" w:lineRule="auto"/>
        <w:ind w:firstLine="472" w:firstLineChars="200"/>
        <w:jc w:val="both"/>
        <w:rPr>
          <w:rFonts w:ascii="宋体" w:hAnsi="宋体" w:eastAsia="宋体" w:cs="宋体"/>
          <w:color w:val="auto"/>
          <w:sz w:val="24"/>
          <w:szCs w:val="24"/>
          <w:highlight w:val="none"/>
        </w:rPr>
      </w:pPr>
      <w:r>
        <w:rPr>
          <w:rFonts w:hint="eastAsia"/>
          <w:color w:val="auto"/>
          <w:sz w:val="24"/>
          <w:szCs w:val="22"/>
          <w:highlight w:val="none"/>
          <w:lang w:val="zh-CN"/>
        </w:rPr>
        <w:t>经调查，</w:t>
      </w:r>
      <w:r>
        <w:rPr>
          <w:rFonts w:hint="eastAsia"/>
          <w:color w:val="auto"/>
          <w:kern w:val="0"/>
          <w:sz w:val="24"/>
          <w:szCs w:val="24"/>
          <w:highlight w:val="none"/>
        </w:rPr>
        <w:t>水源地一级保护区</w:t>
      </w:r>
      <w:r>
        <w:rPr>
          <w:rFonts w:hint="eastAsia"/>
          <w:color w:val="auto"/>
          <w:sz w:val="24"/>
          <w:szCs w:val="22"/>
          <w:highlight w:val="none"/>
          <w:lang w:val="zh-CN"/>
        </w:rPr>
        <w:t>内</w:t>
      </w:r>
      <w:r>
        <w:rPr>
          <w:rFonts w:hint="eastAsia"/>
          <w:color w:val="auto"/>
          <w:sz w:val="24"/>
          <w:szCs w:val="22"/>
          <w:highlight w:val="none"/>
          <w:lang w:eastAsia="zh-CN"/>
        </w:rPr>
        <w:t>水井</w:t>
      </w:r>
      <w:r>
        <w:rPr>
          <w:rFonts w:hint="eastAsia"/>
          <w:color w:val="auto"/>
          <w:sz w:val="24"/>
          <w:szCs w:val="22"/>
          <w:highlight w:val="none"/>
          <w:lang w:val="en-US" w:eastAsia="zh-CN"/>
        </w:rPr>
        <w:t>1#北侧有一处废弃学校用房，水井2#南侧有一处简易仓储棚。</w:t>
      </w:r>
      <w:r>
        <w:rPr>
          <w:rFonts w:ascii="宋体" w:hAnsi="宋体" w:eastAsia="宋体" w:cs="宋体"/>
          <w:color w:val="auto"/>
          <w:sz w:val="24"/>
          <w:szCs w:val="24"/>
          <w:highlight w:val="none"/>
        </w:rPr>
        <w:t>经现场核查与历史情况追溯，废弃学校用房、简易仓储棚自建成及使用至今，无生产经营活动，不产生工业废水、生活污水、废气及各类固体废物排放，未使用或储存有毒有害化学品，不存在历史污染问题。</w:t>
      </w:r>
    </w:p>
    <w:p w14:paraId="00F6E66F">
      <w:pPr>
        <w:spacing w:line="360" w:lineRule="auto"/>
        <w:ind w:firstLine="472" w:firstLineChars="200"/>
        <w:rPr>
          <w:rFonts w:hint="eastAsia"/>
          <w:color w:val="auto"/>
          <w:sz w:val="24"/>
          <w:szCs w:val="22"/>
          <w:highlight w:val="none"/>
        </w:rPr>
      </w:pPr>
      <w:r>
        <w:rPr>
          <w:color w:val="auto"/>
          <w:kern w:val="0"/>
          <w:sz w:val="24"/>
          <w:szCs w:val="24"/>
          <w:highlight w:val="none"/>
        </w:rPr>
        <w:fldChar w:fldCharType="begin"/>
      </w:r>
      <w:r>
        <w:rPr>
          <w:color w:val="auto"/>
          <w:kern w:val="0"/>
          <w:sz w:val="24"/>
          <w:szCs w:val="24"/>
          <w:highlight w:val="none"/>
        </w:rPr>
        <w:instrText xml:space="preserve"> = 3 \* GB3 \* MERGEFORMAT </w:instrText>
      </w:r>
      <w:r>
        <w:rPr>
          <w:color w:val="auto"/>
          <w:kern w:val="0"/>
          <w:sz w:val="24"/>
          <w:szCs w:val="24"/>
          <w:highlight w:val="none"/>
        </w:rPr>
        <w:fldChar w:fldCharType="separate"/>
      </w:r>
      <w:r>
        <w:rPr>
          <w:color w:val="auto"/>
          <w:sz w:val="24"/>
          <w:szCs w:val="24"/>
          <w:highlight w:val="none"/>
        </w:rPr>
        <w:t>③</w:t>
      </w:r>
      <w:r>
        <w:rPr>
          <w:color w:val="auto"/>
          <w:kern w:val="0"/>
          <w:sz w:val="24"/>
          <w:szCs w:val="24"/>
          <w:highlight w:val="none"/>
        </w:rPr>
        <w:fldChar w:fldCharType="end"/>
      </w:r>
      <w:r>
        <w:rPr>
          <w:rFonts w:hint="eastAsia"/>
          <w:color w:val="auto"/>
          <w:sz w:val="24"/>
          <w:szCs w:val="22"/>
          <w:highlight w:val="none"/>
        </w:rPr>
        <w:t>流动源</w:t>
      </w:r>
      <w:r>
        <w:rPr>
          <w:color w:val="auto"/>
          <w:sz w:val="24"/>
          <w:szCs w:val="24"/>
          <w:highlight w:val="none"/>
        </w:rPr>
        <w:t>和其他</w:t>
      </w:r>
      <w:r>
        <w:rPr>
          <w:rFonts w:hint="eastAsia"/>
          <w:color w:val="auto"/>
          <w:sz w:val="24"/>
          <w:szCs w:val="22"/>
          <w:highlight w:val="none"/>
        </w:rPr>
        <w:t>污染</w:t>
      </w:r>
    </w:p>
    <w:p w14:paraId="4012B51B">
      <w:pPr>
        <w:spacing w:line="360" w:lineRule="auto"/>
        <w:ind w:firstLine="472" w:firstLineChars="200"/>
        <w:rPr>
          <w:rFonts w:hint="eastAsia"/>
          <w:color w:val="auto"/>
          <w:sz w:val="24"/>
          <w:szCs w:val="22"/>
          <w:highlight w:val="none"/>
        </w:rPr>
      </w:pPr>
      <w:r>
        <w:rPr>
          <w:rFonts w:hint="eastAsia"/>
          <w:color w:val="auto"/>
          <w:sz w:val="24"/>
          <w:szCs w:val="22"/>
          <w:highlight w:val="none"/>
          <w:lang w:val="zh-CN"/>
        </w:rPr>
        <w:t>经调查，</w:t>
      </w:r>
      <w:r>
        <w:rPr>
          <w:rFonts w:hint="eastAsia"/>
          <w:color w:val="auto"/>
          <w:sz w:val="24"/>
          <w:szCs w:val="22"/>
          <w:highlight w:val="none"/>
        </w:rPr>
        <w:t>水源地一级保护区内</w:t>
      </w:r>
      <w:r>
        <w:rPr>
          <w:rFonts w:hint="eastAsia"/>
          <w:color w:val="auto"/>
          <w:sz w:val="24"/>
          <w:szCs w:val="22"/>
          <w:highlight w:val="none"/>
          <w:lang w:eastAsia="zh-CN"/>
        </w:rPr>
        <w:t>水井</w:t>
      </w:r>
      <w:r>
        <w:rPr>
          <w:rFonts w:hint="eastAsia"/>
          <w:color w:val="auto"/>
          <w:sz w:val="24"/>
          <w:szCs w:val="22"/>
          <w:highlight w:val="none"/>
          <w:lang w:val="en-US" w:eastAsia="zh-CN"/>
        </w:rPr>
        <w:t>4#南</w:t>
      </w:r>
      <w:r>
        <w:rPr>
          <w:rFonts w:hint="eastAsia"/>
          <w:color w:val="auto"/>
          <w:sz w:val="24"/>
          <w:szCs w:val="22"/>
          <w:highlight w:val="none"/>
        </w:rPr>
        <w:t>侧有乡村道路，穿越长度</w:t>
      </w:r>
      <w:r>
        <w:rPr>
          <w:rFonts w:hint="eastAsia"/>
          <w:color w:val="auto"/>
          <w:sz w:val="24"/>
          <w:szCs w:val="22"/>
          <w:highlight w:val="none"/>
          <w:lang w:val="en-US" w:eastAsia="zh-CN"/>
        </w:rPr>
        <w:t>45</w:t>
      </w:r>
      <w:r>
        <w:rPr>
          <w:rFonts w:hint="eastAsia"/>
          <w:color w:val="auto"/>
          <w:sz w:val="24"/>
          <w:szCs w:val="22"/>
          <w:highlight w:val="none"/>
        </w:rPr>
        <w:t>米</w:t>
      </w:r>
      <w:r>
        <w:rPr>
          <w:rFonts w:hint="eastAsia"/>
          <w:color w:val="auto"/>
          <w:sz w:val="24"/>
          <w:szCs w:val="22"/>
          <w:highlight w:val="none"/>
          <w:lang w:eastAsia="zh-CN"/>
        </w:rPr>
        <w:t>。</w:t>
      </w:r>
      <w:r>
        <w:rPr>
          <w:rFonts w:hint="eastAsia"/>
          <w:color w:val="auto"/>
          <w:sz w:val="24"/>
          <w:szCs w:val="22"/>
          <w:highlight w:val="none"/>
        </w:rPr>
        <w:t>道路已禁止有毒有害物质和危险化学品的运输，存在部分农药运输情况。</w:t>
      </w:r>
    </w:p>
    <w:p w14:paraId="549569B8">
      <w:pPr>
        <w:spacing w:line="360" w:lineRule="auto"/>
        <w:ind w:firstLine="472" w:firstLineChars="200"/>
        <w:rPr>
          <w:rFonts w:hint="eastAsia"/>
          <w:color w:val="auto"/>
          <w:sz w:val="24"/>
          <w:szCs w:val="22"/>
          <w:highlight w:val="none"/>
        </w:rPr>
        <w:sectPr>
          <w:pgSz w:w="11905" w:h="16838"/>
          <w:pgMar w:top="1474" w:right="1474" w:bottom="1474" w:left="1474" w:header="964" w:footer="992" w:gutter="0"/>
          <w:pgBorders>
            <w:top w:val="none" w:sz="0" w:space="0"/>
            <w:left w:val="none" w:sz="0" w:space="0"/>
            <w:bottom w:val="none" w:sz="0" w:space="0"/>
            <w:right w:val="none" w:sz="0" w:space="0"/>
          </w:pgBorders>
          <w:pgNumType w:fmt="decimal"/>
          <w:cols w:space="720" w:num="1"/>
          <w:docGrid w:type="linesAndChars" w:linePitch="347" w:charSpace="-1024"/>
        </w:sectPr>
      </w:pPr>
    </w:p>
    <w:p w14:paraId="33E80751">
      <w:pPr>
        <w:keepNext w:val="0"/>
        <w:keepLines w:val="0"/>
        <w:pageBreakBefore w:val="0"/>
        <w:widowControl w:val="0"/>
        <w:kinsoku/>
        <w:wordWrap/>
        <w:overflowPunct/>
        <w:topLinePunct w:val="0"/>
        <w:bidi w:val="0"/>
        <w:snapToGrid/>
        <w:spacing w:line="360" w:lineRule="auto"/>
        <w:jc w:val="center"/>
        <w:textAlignment w:val="auto"/>
        <w:rPr>
          <w:rFonts w:hint="eastAsia" w:ascii="Times New Roman" w:hAnsi="Times New Roman" w:eastAsia="宋体" w:cs="Times New Roman"/>
          <w:color w:val="auto"/>
          <w:sz w:val="24"/>
          <w:szCs w:val="24"/>
          <w:highlight w:val="none"/>
          <w:lang w:eastAsia="zh-CN"/>
        </w:rPr>
      </w:pPr>
      <w:r>
        <w:rPr>
          <w:rFonts w:hint="eastAsia" w:ascii="Times New Roman" w:hAnsi="Times New Roman" w:eastAsia="宋体" w:cs="Times New Roman"/>
          <w:color w:val="auto"/>
          <w:sz w:val="24"/>
          <w:szCs w:val="24"/>
          <w:highlight w:val="none"/>
          <w:lang w:eastAsia="zh-CN"/>
        </w:rPr>
        <w:drawing>
          <wp:inline distT="0" distB="0" distL="114300" distR="114300">
            <wp:extent cx="7141845" cy="5133340"/>
            <wp:effectExtent l="0" t="0" r="1905" b="10160"/>
            <wp:docPr id="79" name="图片 79" descr="柳河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柳河镇1"/>
                    <pic:cNvPicPr>
                      <a:picLocks noChangeAspect="1"/>
                    </pic:cNvPicPr>
                  </pic:nvPicPr>
                  <pic:blipFill>
                    <a:blip r:embed="rId112"/>
                    <a:stretch>
                      <a:fillRect/>
                    </a:stretch>
                  </pic:blipFill>
                  <pic:spPr>
                    <a:xfrm>
                      <a:off x="0" y="0"/>
                      <a:ext cx="7141845" cy="5133340"/>
                    </a:xfrm>
                    <a:prstGeom prst="rect">
                      <a:avLst/>
                    </a:prstGeom>
                  </pic:spPr>
                </pic:pic>
              </a:graphicData>
            </a:graphic>
          </wp:inline>
        </w:drawing>
      </w:r>
    </w:p>
    <w:p w14:paraId="0C44126C">
      <w:pPr>
        <w:keepNext w:val="0"/>
        <w:keepLines w:val="0"/>
        <w:pageBreakBefore w:val="0"/>
        <w:widowControl w:val="0"/>
        <w:kinsoku/>
        <w:wordWrap/>
        <w:overflowPunct/>
        <w:topLinePunct w:val="0"/>
        <w:bidi w:val="0"/>
        <w:snapToGrid/>
        <w:spacing w:line="360" w:lineRule="auto"/>
        <w:jc w:val="center"/>
        <w:textAlignment w:val="auto"/>
        <w:rPr>
          <w:rFonts w:ascii="Times New Roman" w:hAnsi="Times New Roman" w:eastAsia="宋体" w:cs="Times New Roman"/>
          <w:color w:val="auto"/>
          <w:sz w:val="24"/>
          <w:szCs w:val="24"/>
          <w:highlight w:val="none"/>
        </w:rPr>
      </w:pPr>
      <w:r>
        <w:rPr>
          <w:rFonts w:hint="eastAsia" w:ascii="Times New Roman" w:hAnsi="Times New Roman" w:cs="Times New Roman"/>
          <w:color w:val="auto"/>
          <w:sz w:val="24"/>
          <w:szCs w:val="24"/>
          <w:highlight w:val="none"/>
          <w:lang w:eastAsia="zh-CN"/>
        </w:rPr>
        <w:t>图</w:t>
      </w:r>
      <w:r>
        <w:rPr>
          <w:rFonts w:hint="eastAsia" w:ascii="Times New Roman" w:hAnsi="Times New Roman" w:cs="Times New Roman"/>
          <w:color w:val="auto"/>
          <w:sz w:val="24"/>
          <w:szCs w:val="24"/>
          <w:highlight w:val="none"/>
          <w:lang w:val="en-US" w:eastAsia="zh-CN"/>
        </w:rPr>
        <w:t>4-</w:t>
      </w:r>
      <w:r>
        <w:rPr>
          <w:rFonts w:hint="eastAsia" w:cs="Times New Roman"/>
          <w:color w:val="auto"/>
          <w:sz w:val="24"/>
          <w:szCs w:val="24"/>
          <w:highlight w:val="none"/>
          <w:lang w:val="en-US" w:eastAsia="zh-CN"/>
        </w:rPr>
        <w:t>14</w:t>
      </w:r>
      <w:r>
        <w:rPr>
          <w:rFonts w:hint="eastAsia" w:ascii="Times New Roman" w:hAnsi="Times New Roman" w:cs="Times New Roman"/>
          <w:color w:val="auto"/>
          <w:sz w:val="24"/>
          <w:szCs w:val="24"/>
          <w:highlight w:val="none"/>
          <w:lang w:val="en-US" w:eastAsia="zh-CN"/>
        </w:rPr>
        <w:t xml:space="preserve"> </w:t>
      </w:r>
      <w:r>
        <w:rPr>
          <w:rFonts w:hint="eastAsia" w:ascii="Times New Roman" w:hAnsi="Times New Roman" w:eastAsia="宋体" w:cs="Times New Roman"/>
          <w:color w:val="auto"/>
          <w:sz w:val="24"/>
          <w:szCs w:val="24"/>
          <w:highlight w:val="none"/>
          <w:lang w:eastAsia="zh-CN"/>
        </w:rPr>
        <w:t>柳河镇</w:t>
      </w:r>
      <w:r>
        <w:rPr>
          <w:rFonts w:ascii="Times New Roman" w:hAnsi="Times New Roman" w:eastAsia="宋体" w:cs="Times New Roman"/>
          <w:color w:val="auto"/>
          <w:sz w:val="24"/>
          <w:szCs w:val="24"/>
          <w:highlight w:val="none"/>
        </w:rPr>
        <w:t>饮用水水源地</w:t>
      </w:r>
      <w:r>
        <w:rPr>
          <w:rFonts w:hint="eastAsia" w:cs="Times New Roman"/>
          <w:color w:val="auto"/>
          <w:sz w:val="24"/>
          <w:szCs w:val="24"/>
          <w:highlight w:val="none"/>
          <w:lang w:eastAsia="zh-CN"/>
        </w:rPr>
        <w:t>保护区内</w:t>
      </w:r>
      <w:r>
        <w:rPr>
          <w:rFonts w:ascii="Times New Roman" w:hAnsi="Times New Roman" w:eastAsia="宋体" w:cs="Times New Roman"/>
          <w:color w:val="auto"/>
          <w:sz w:val="24"/>
          <w:szCs w:val="24"/>
          <w:highlight w:val="none"/>
        </w:rPr>
        <w:t>污染</w:t>
      </w:r>
      <w:r>
        <w:rPr>
          <w:rFonts w:hint="eastAsia" w:ascii="Times New Roman" w:hAnsi="Times New Roman" w:eastAsia="宋体" w:cs="Times New Roman"/>
          <w:color w:val="auto"/>
          <w:sz w:val="24"/>
          <w:szCs w:val="24"/>
          <w:highlight w:val="none"/>
          <w:lang w:eastAsia="zh-CN"/>
        </w:rPr>
        <w:t>源分布图</w:t>
      </w:r>
      <w:r>
        <w:rPr>
          <w:rFonts w:hint="eastAsia" w:cs="Times New Roman"/>
          <w:color w:val="auto"/>
          <w:sz w:val="24"/>
          <w:szCs w:val="24"/>
          <w:highlight w:val="none"/>
          <w:lang w:eastAsia="zh-CN"/>
        </w:rPr>
        <w:t>（水井</w:t>
      </w:r>
      <w:r>
        <w:rPr>
          <w:rFonts w:hint="eastAsia" w:cs="Times New Roman"/>
          <w:color w:val="auto"/>
          <w:sz w:val="24"/>
          <w:szCs w:val="24"/>
          <w:highlight w:val="none"/>
          <w:lang w:val="en-US" w:eastAsia="zh-CN"/>
        </w:rPr>
        <w:t>1#</w:t>
      </w:r>
      <w:r>
        <w:rPr>
          <w:rFonts w:hint="eastAsia" w:cs="Times New Roman"/>
          <w:color w:val="auto"/>
          <w:sz w:val="24"/>
          <w:szCs w:val="24"/>
          <w:highlight w:val="none"/>
          <w:lang w:eastAsia="zh-CN"/>
        </w:rPr>
        <w:t>）</w:t>
      </w:r>
    </w:p>
    <w:p w14:paraId="02A51A52">
      <w:pPr>
        <w:spacing w:line="360" w:lineRule="auto"/>
        <w:ind w:left="0" w:leftChars="0" w:firstLine="0" w:firstLineChars="0"/>
        <w:jc w:val="center"/>
        <w:rPr>
          <w:rFonts w:hint="eastAsia" w:eastAsia="宋体"/>
          <w:color w:val="auto"/>
          <w:sz w:val="24"/>
          <w:szCs w:val="22"/>
          <w:highlight w:val="none"/>
          <w:lang w:eastAsia="zh-CN"/>
        </w:rPr>
      </w:pPr>
      <w:r>
        <w:rPr>
          <w:rFonts w:hint="eastAsia" w:eastAsia="宋体"/>
          <w:color w:val="auto"/>
          <w:sz w:val="24"/>
          <w:szCs w:val="22"/>
          <w:highlight w:val="none"/>
          <w:lang w:eastAsia="zh-CN"/>
        </w:rPr>
        <w:drawing>
          <wp:inline distT="0" distB="0" distL="114300" distR="114300">
            <wp:extent cx="6993890" cy="5026660"/>
            <wp:effectExtent l="0" t="0" r="16510" b="2540"/>
            <wp:docPr id="80" name="图片 80" descr="柳河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柳河镇2"/>
                    <pic:cNvPicPr>
                      <a:picLocks noChangeAspect="1"/>
                    </pic:cNvPicPr>
                  </pic:nvPicPr>
                  <pic:blipFill>
                    <a:blip r:embed="rId113"/>
                    <a:stretch>
                      <a:fillRect/>
                    </a:stretch>
                  </pic:blipFill>
                  <pic:spPr>
                    <a:xfrm>
                      <a:off x="0" y="0"/>
                      <a:ext cx="6993890" cy="5026660"/>
                    </a:xfrm>
                    <a:prstGeom prst="rect">
                      <a:avLst/>
                    </a:prstGeom>
                  </pic:spPr>
                </pic:pic>
              </a:graphicData>
            </a:graphic>
          </wp:inline>
        </w:drawing>
      </w:r>
    </w:p>
    <w:p w14:paraId="4B855B22">
      <w:pPr>
        <w:keepNext w:val="0"/>
        <w:keepLines w:val="0"/>
        <w:pageBreakBefore w:val="0"/>
        <w:widowControl w:val="0"/>
        <w:kinsoku/>
        <w:wordWrap/>
        <w:overflowPunct/>
        <w:topLinePunct w:val="0"/>
        <w:bidi w:val="0"/>
        <w:snapToGrid/>
        <w:spacing w:line="360" w:lineRule="auto"/>
        <w:jc w:val="center"/>
        <w:textAlignment w:val="auto"/>
        <w:rPr>
          <w:rFonts w:ascii="Times New Roman" w:hAnsi="Times New Roman" w:eastAsia="宋体" w:cs="Times New Roman"/>
          <w:color w:val="auto"/>
          <w:sz w:val="24"/>
          <w:szCs w:val="24"/>
          <w:highlight w:val="none"/>
        </w:rPr>
      </w:pPr>
      <w:r>
        <w:rPr>
          <w:rFonts w:hint="eastAsia" w:ascii="Times New Roman" w:hAnsi="Times New Roman" w:cs="Times New Roman"/>
          <w:color w:val="auto"/>
          <w:sz w:val="24"/>
          <w:szCs w:val="24"/>
          <w:highlight w:val="none"/>
          <w:lang w:eastAsia="zh-CN"/>
        </w:rPr>
        <w:t>图</w:t>
      </w:r>
      <w:r>
        <w:rPr>
          <w:rFonts w:hint="eastAsia" w:ascii="Times New Roman" w:hAnsi="Times New Roman" w:cs="Times New Roman"/>
          <w:color w:val="auto"/>
          <w:sz w:val="24"/>
          <w:szCs w:val="24"/>
          <w:highlight w:val="none"/>
          <w:lang w:val="en-US" w:eastAsia="zh-CN"/>
        </w:rPr>
        <w:t>4-</w:t>
      </w:r>
      <w:r>
        <w:rPr>
          <w:rFonts w:hint="eastAsia" w:cs="Times New Roman"/>
          <w:color w:val="auto"/>
          <w:sz w:val="24"/>
          <w:szCs w:val="24"/>
          <w:highlight w:val="none"/>
          <w:lang w:val="en-US" w:eastAsia="zh-CN"/>
        </w:rPr>
        <w:t>15</w:t>
      </w:r>
      <w:r>
        <w:rPr>
          <w:rFonts w:hint="eastAsia" w:ascii="Times New Roman" w:hAnsi="Times New Roman" w:cs="Times New Roman"/>
          <w:color w:val="auto"/>
          <w:sz w:val="24"/>
          <w:szCs w:val="24"/>
          <w:highlight w:val="none"/>
          <w:lang w:val="en-US" w:eastAsia="zh-CN"/>
        </w:rPr>
        <w:t xml:space="preserve"> </w:t>
      </w:r>
      <w:r>
        <w:rPr>
          <w:rFonts w:hint="eastAsia" w:ascii="Times New Roman" w:hAnsi="Times New Roman" w:eastAsia="宋体" w:cs="Times New Roman"/>
          <w:color w:val="auto"/>
          <w:sz w:val="24"/>
          <w:szCs w:val="24"/>
          <w:highlight w:val="none"/>
          <w:lang w:eastAsia="zh-CN"/>
        </w:rPr>
        <w:t>柳河镇</w:t>
      </w:r>
      <w:r>
        <w:rPr>
          <w:rFonts w:ascii="Times New Roman" w:hAnsi="Times New Roman" w:eastAsia="宋体" w:cs="Times New Roman"/>
          <w:color w:val="auto"/>
          <w:sz w:val="24"/>
          <w:szCs w:val="24"/>
          <w:highlight w:val="none"/>
        </w:rPr>
        <w:t>饮用水水源地</w:t>
      </w:r>
      <w:r>
        <w:rPr>
          <w:rFonts w:hint="eastAsia" w:cs="Times New Roman"/>
          <w:color w:val="auto"/>
          <w:sz w:val="24"/>
          <w:szCs w:val="24"/>
          <w:highlight w:val="none"/>
          <w:lang w:eastAsia="zh-CN"/>
        </w:rPr>
        <w:t>保护区内</w:t>
      </w:r>
      <w:r>
        <w:rPr>
          <w:rFonts w:ascii="Times New Roman" w:hAnsi="Times New Roman" w:eastAsia="宋体" w:cs="Times New Roman"/>
          <w:color w:val="auto"/>
          <w:sz w:val="24"/>
          <w:szCs w:val="24"/>
          <w:highlight w:val="none"/>
        </w:rPr>
        <w:t>污染</w:t>
      </w:r>
      <w:r>
        <w:rPr>
          <w:rFonts w:hint="eastAsia" w:ascii="Times New Roman" w:hAnsi="Times New Roman" w:eastAsia="宋体" w:cs="Times New Roman"/>
          <w:color w:val="auto"/>
          <w:sz w:val="24"/>
          <w:szCs w:val="24"/>
          <w:highlight w:val="none"/>
          <w:lang w:eastAsia="zh-CN"/>
        </w:rPr>
        <w:t>源分布图</w:t>
      </w:r>
      <w:r>
        <w:rPr>
          <w:rFonts w:hint="eastAsia" w:cs="Times New Roman"/>
          <w:color w:val="auto"/>
          <w:sz w:val="24"/>
          <w:szCs w:val="24"/>
          <w:highlight w:val="none"/>
          <w:lang w:eastAsia="zh-CN"/>
        </w:rPr>
        <w:t>（水井</w:t>
      </w:r>
      <w:r>
        <w:rPr>
          <w:rFonts w:hint="eastAsia" w:cs="Times New Roman"/>
          <w:color w:val="auto"/>
          <w:sz w:val="24"/>
          <w:szCs w:val="24"/>
          <w:highlight w:val="none"/>
          <w:lang w:val="en-US" w:eastAsia="zh-CN"/>
        </w:rPr>
        <w:t>2#</w:t>
      </w:r>
      <w:r>
        <w:rPr>
          <w:rFonts w:hint="eastAsia" w:cs="Times New Roman"/>
          <w:color w:val="auto"/>
          <w:sz w:val="24"/>
          <w:szCs w:val="24"/>
          <w:highlight w:val="none"/>
          <w:lang w:eastAsia="zh-CN"/>
        </w:rPr>
        <w:t>）</w:t>
      </w:r>
    </w:p>
    <w:p w14:paraId="5237E410">
      <w:pPr>
        <w:spacing w:line="360" w:lineRule="auto"/>
        <w:ind w:firstLine="472" w:firstLineChars="200"/>
        <w:jc w:val="center"/>
        <w:rPr>
          <w:rFonts w:hint="eastAsia" w:eastAsia="宋体"/>
          <w:color w:val="auto"/>
          <w:sz w:val="24"/>
          <w:szCs w:val="22"/>
          <w:highlight w:val="none"/>
          <w:lang w:eastAsia="zh-CN"/>
        </w:rPr>
      </w:pPr>
      <w:r>
        <w:rPr>
          <w:rFonts w:hint="eastAsia" w:eastAsia="宋体"/>
          <w:color w:val="auto"/>
          <w:sz w:val="24"/>
          <w:szCs w:val="22"/>
          <w:highlight w:val="none"/>
          <w:lang w:eastAsia="zh-CN"/>
        </w:rPr>
        <w:drawing>
          <wp:inline distT="0" distB="0" distL="114300" distR="114300">
            <wp:extent cx="7110730" cy="5111115"/>
            <wp:effectExtent l="0" t="0" r="13970" b="13335"/>
            <wp:docPr id="81" name="图片 81" descr="柳河镇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柳河镇34"/>
                    <pic:cNvPicPr>
                      <a:picLocks noChangeAspect="1"/>
                    </pic:cNvPicPr>
                  </pic:nvPicPr>
                  <pic:blipFill>
                    <a:blip r:embed="rId114"/>
                    <a:stretch>
                      <a:fillRect/>
                    </a:stretch>
                  </pic:blipFill>
                  <pic:spPr>
                    <a:xfrm>
                      <a:off x="0" y="0"/>
                      <a:ext cx="7110730" cy="5111115"/>
                    </a:xfrm>
                    <a:prstGeom prst="rect">
                      <a:avLst/>
                    </a:prstGeom>
                  </pic:spPr>
                </pic:pic>
              </a:graphicData>
            </a:graphic>
          </wp:inline>
        </w:drawing>
      </w:r>
    </w:p>
    <w:p w14:paraId="6858CB5C">
      <w:pPr>
        <w:keepNext w:val="0"/>
        <w:keepLines w:val="0"/>
        <w:pageBreakBefore w:val="0"/>
        <w:widowControl w:val="0"/>
        <w:kinsoku/>
        <w:wordWrap/>
        <w:overflowPunct/>
        <w:topLinePunct w:val="0"/>
        <w:bidi w:val="0"/>
        <w:snapToGrid/>
        <w:spacing w:line="360" w:lineRule="auto"/>
        <w:jc w:val="center"/>
        <w:textAlignment w:val="auto"/>
        <w:rPr>
          <w:rFonts w:ascii="Times New Roman" w:hAnsi="Times New Roman" w:eastAsia="宋体" w:cs="Times New Roman"/>
          <w:color w:val="auto"/>
          <w:sz w:val="24"/>
          <w:szCs w:val="24"/>
          <w:highlight w:val="none"/>
        </w:rPr>
      </w:pPr>
      <w:r>
        <w:rPr>
          <w:rFonts w:hint="eastAsia" w:ascii="Times New Roman" w:hAnsi="Times New Roman" w:cs="Times New Roman"/>
          <w:color w:val="auto"/>
          <w:sz w:val="24"/>
          <w:szCs w:val="24"/>
          <w:highlight w:val="none"/>
          <w:lang w:eastAsia="zh-CN"/>
        </w:rPr>
        <w:t>图</w:t>
      </w:r>
      <w:r>
        <w:rPr>
          <w:rFonts w:hint="eastAsia" w:ascii="Times New Roman" w:hAnsi="Times New Roman" w:cs="Times New Roman"/>
          <w:color w:val="auto"/>
          <w:sz w:val="24"/>
          <w:szCs w:val="24"/>
          <w:highlight w:val="none"/>
          <w:lang w:val="en-US" w:eastAsia="zh-CN"/>
        </w:rPr>
        <w:t>4-</w:t>
      </w:r>
      <w:r>
        <w:rPr>
          <w:rFonts w:hint="eastAsia" w:cs="Times New Roman"/>
          <w:color w:val="auto"/>
          <w:sz w:val="24"/>
          <w:szCs w:val="24"/>
          <w:highlight w:val="none"/>
          <w:lang w:val="en-US" w:eastAsia="zh-CN"/>
        </w:rPr>
        <w:t>16</w:t>
      </w:r>
      <w:r>
        <w:rPr>
          <w:rFonts w:hint="eastAsia" w:ascii="Times New Roman" w:hAnsi="Times New Roman" w:cs="Times New Roman"/>
          <w:color w:val="auto"/>
          <w:sz w:val="24"/>
          <w:szCs w:val="24"/>
          <w:highlight w:val="none"/>
          <w:lang w:val="en-US" w:eastAsia="zh-CN"/>
        </w:rPr>
        <w:t xml:space="preserve"> </w:t>
      </w:r>
      <w:r>
        <w:rPr>
          <w:rFonts w:hint="eastAsia" w:ascii="Times New Roman" w:hAnsi="Times New Roman" w:eastAsia="宋体" w:cs="Times New Roman"/>
          <w:color w:val="auto"/>
          <w:sz w:val="24"/>
          <w:szCs w:val="24"/>
          <w:highlight w:val="none"/>
          <w:lang w:eastAsia="zh-CN"/>
        </w:rPr>
        <w:t>柳河镇</w:t>
      </w:r>
      <w:r>
        <w:rPr>
          <w:rFonts w:ascii="Times New Roman" w:hAnsi="Times New Roman" w:eastAsia="宋体" w:cs="Times New Roman"/>
          <w:color w:val="auto"/>
          <w:sz w:val="24"/>
          <w:szCs w:val="24"/>
          <w:highlight w:val="none"/>
        </w:rPr>
        <w:t>饮用水水源地</w:t>
      </w:r>
      <w:r>
        <w:rPr>
          <w:rFonts w:hint="eastAsia" w:cs="Times New Roman"/>
          <w:color w:val="auto"/>
          <w:sz w:val="24"/>
          <w:szCs w:val="24"/>
          <w:highlight w:val="none"/>
          <w:lang w:eastAsia="zh-CN"/>
        </w:rPr>
        <w:t>保护区内</w:t>
      </w:r>
      <w:r>
        <w:rPr>
          <w:rFonts w:ascii="Times New Roman" w:hAnsi="Times New Roman" w:eastAsia="宋体" w:cs="Times New Roman"/>
          <w:color w:val="auto"/>
          <w:sz w:val="24"/>
          <w:szCs w:val="24"/>
          <w:highlight w:val="none"/>
        </w:rPr>
        <w:t>污染</w:t>
      </w:r>
      <w:r>
        <w:rPr>
          <w:rFonts w:hint="eastAsia" w:ascii="Times New Roman" w:hAnsi="Times New Roman" w:eastAsia="宋体" w:cs="Times New Roman"/>
          <w:color w:val="auto"/>
          <w:sz w:val="24"/>
          <w:szCs w:val="24"/>
          <w:highlight w:val="none"/>
          <w:lang w:eastAsia="zh-CN"/>
        </w:rPr>
        <w:t>源分布图</w:t>
      </w:r>
      <w:r>
        <w:rPr>
          <w:rFonts w:hint="eastAsia" w:cs="Times New Roman"/>
          <w:color w:val="auto"/>
          <w:sz w:val="24"/>
          <w:szCs w:val="24"/>
          <w:highlight w:val="none"/>
          <w:lang w:eastAsia="zh-CN"/>
        </w:rPr>
        <w:t>（水井</w:t>
      </w:r>
      <w:r>
        <w:rPr>
          <w:rFonts w:hint="eastAsia" w:cs="Times New Roman"/>
          <w:color w:val="auto"/>
          <w:sz w:val="24"/>
          <w:szCs w:val="24"/>
          <w:highlight w:val="none"/>
          <w:lang w:val="en-US" w:eastAsia="zh-CN"/>
        </w:rPr>
        <w:t>3#、</w:t>
      </w:r>
      <w:r>
        <w:rPr>
          <w:rFonts w:hint="eastAsia" w:cs="Times New Roman"/>
          <w:color w:val="auto"/>
          <w:sz w:val="24"/>
          <w:szCs w:val="24"/>
          <w:highlight w:val="none"/>
          <w:lang w:eastAsia="zh-CN"/>
        </w:rPr>
        <w:t>水井</w:t>
      </w:r>
      <w:r>
        <w:rPr>
          <w:rFonts w:hint="eastAsia" w:cs="Times New Roman"/>
          <w:color w:val="auto"/>
          <w:sz w:val="24"/>
          <w:szCs w:val="24"/>
          <w:highlight w:val="none"/>
          <w:lang w:val="en-US" w:eastAsia="zh-CN"/>
        </w:rPr>
        <w:t>4#</w:t>
      </w:r>
      <w:r>
        <w:rPr>
          <w:rFonts w:hint="eastAsia" w:cs="Times New Roman"/>
          <w:color w:val="auto"/>
          <w:sz w:val="24"/>
          <w:szCs w:val="24"/>
          <w:highlight w:val="none"/>
          <w:lang w:eastAsia="zh-CN"/>
        </w:rPr>
        <w:t>）</w:t>
      </w:r>
    </w:p>
    <w:p w14:paraId="558D8E18">
      <w:pPr>
        <w:spacing w:line="360" w:lineRule="auto"/>
        <w:ind w:firstLine="472" w:firstLineChars="200"/>
        <w:jc w:val="center"/>
        <w:rPr>
          <w:rFonts w:hint="eastAsia" w:eastAsia="宋体"/>
          <w:color w:val="auto"/>
          <w:sz w:val="24"/>
          <w:szCs w:val="22"/>
          <w:highlight w:val="none"/>
          <w:lang w:eastAsia="zh-CN"/>
        </w:rPr>
      </w:pPr>
      <w:r>
        <w:rPr>
          <w:rFonts w:hint="eastAsia" w:eastAsia="宋体"/>
          <w:color w:val="auto"/>
          <w:sz w:val="24"/>
          <w:szCs w:val="22"/>
          <w:highlight w:val="none"/>
          <w:lang w:eastAsia="zh-CN"/>
        </w:rPr>
        <w:drawing>
          <wp:inline distT="0" distB="0" distL="114300" distR="114300">
            <wp:extent cx="7058660" cy="5073650"/>
            <wp:effectExtent l="0" t="0" r="8890" b="12700"/>
            <wp:docPr id="82" name="图片 82" descr="柳河镇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柳河镇5"/>
                    <pic:cNvPicPr>
                      <a:picLocks noChangeAspect="1"/>
                    </pic:cNvPicPr>
                  </pic:nvPicPr>
                  <pic:blipFill>
                    <a:blip r:embed="rId115"/>
                    <a:stretch>
                      <a:fillRect/>
                    </a:stretch>
                  </pic:blipFill>
                  <pic:spPr>
                    <a:xfrm>
                      <a:off x="0" y="0"/>
                      <a:ext cx="7058660" cy="5073650"/>
                    </a:xfrm>
                    <a:prstGeom prst="rect">
                      <a:avLst/>
                    </a:prstGeom>
                  </pic:spPr>
                </pic:pic>
              </a:graphicData>
            </a:graphic>
          </wp:inline>
        </w:drawing>
      </w:r>
    </w:p>
    <w:p w14:paraId="3F2FE55E">
      <w:pPr>
        <w:keepNext w:val="0"/>
        <w:keepLines w:val="0"/>
        <w:pageBreakBefore w:val="0"/>
        <w:widowControl w:val="0"/>
        <w:kinsoku/>
        <w:wordWrap/>
        <w:overflowPunct/>
        <w:topLinePunct w:val="0"/>
        <w:bidi w:val="0"/>
        <w:snapToGrid/>
        <w:spacing w:line="360" w:lineRule="auto"/>
        <w:jc w:val="center"/>
        <w:textAlignment w:val="auto"/>
        <w:rPr>
          <w:rFonts w:ascii="Times New Roman" w:hAnsi="Times New Roman" w:eastAsia="宋体" w:cs="Times New Roman"/>
          <w:color w:val="auto"/>
          <w:sz w:val="24"/>
          <w:szCs w:val="24"/>
          <w:highlight w:val="none"/>
        </w:rPr>
      </w:pPr>
      <w:r>
        <w:rPr>
          <w:rFonts w:hint="eastAsia" w:ascii="Times New Roman" w:hAnsi="Times New Roman" w:cs="Times New Roman"/>
          <w:color w:val="auto"/>
          <w:sz w:val="24"/>
          <w:szCs w:val="24"/>
          <w:highlight w:val="none"/>
          <w:lang w:eastAsia="zh-CN"/>
        </w:rPr>
        <w:t>图</w:t>
      </w:r>
      <w:r>
        <w:rPr>
          <w:rFonts w:hint="eastAsia" w:ascii="Times New Roman" w:hAnsi="Times New Roman" w:cs="Times New Roman"/>
          <w:color w:val="auto"/>
          <w:sz w:val="24"/>
          <w:szCs w:val="24"/>
          <w:highlight w:val="none"/>
          <w:lang w:val="en-US" w:eastAsia="zh-CN"/>
        </w:rPr>
        <w:t>4-</w:t>
      </w:r>
      <w:r>
        <w:rPr>
          <w:rFonts w:hint="eastAsia" w:cs="Times New Roman"/>
          <w:color w:val="auto"/>
          <w:sz w:val="24"/>
          <w:szCs w:val="24"/>
          <w:highlight w:val="none"/>
          <w:lang w:val="en-US" w:eastAsia="zh-CN"/>
        </w:rPr>
        <w:t>1</w:t>
      </w:r>
      <w:r>
        <w:rPr>
          <w:rFonts w:hint="eastAsia" w:ascii="Times New Roman" w:hAnsi="Times New Roman" w:cs="Times New Roman"/>
          <w:color w:val="auto"/>
          <w:sz w:val="24"/>
          <w:szCs w:val="24"/>
          <w:highlight w:val="none"/>
          <w:lang w:val="en-US" w:eastAsia="zh-CN"/>
        </w:rPr>
        <w:t xml:space="preserve">7 </w:t>
      </w:r>
      <w:r>
        <w:rPr>
          <w:rFonts w:hint="eastAsia" w:ascii="Times New Roman" w:hAnsi="Times New Roman" w:eastAsia="宋体" w:cs="Times New Roman"/>
          <w:color w:val="auto"/>
          <w:sz w:val="24"/>
          <w:szCs w:val="24"/>
          <w:highlight w:val="none"/>
          <w:lang w:eastAsia="zh-CN"/>
        </w:rPr>
        <w:t>柳河镇</w:t>
      </w:r>
      <w:r>
        <w:rPr>
          <w:rFonts w:ascii="Times New Roman" w:hAnsi="Times New Roman" w:eastAsia="宋体" w:cs="Times New Roman"/>
          <w:color w:val="auto"/>
          <w:sz w:val="24"/>
          <w:szCs w:val="24"/>
          <w:highlight w:val="none"/>
        </w:rPr>
        <w:t>饮用水水源地</w:t>
      </w:r>
      <w:r>
        <w:rPr>
          <w:rFonts w:hint="eastAsia" w:cs="Times New Roman"/>
          <w:color w:val="auto"/>
          <w:sz w:val="24"/>
          <w:szCs w:val="24"/>
          <w:highlight w:val="none"/>
          <w:lang w:eastAsia="zh-CN"/>
        </w:rPr>
        <w:t>保护区内</w:t>
      </w:r>
      <w:r>
        <w:rPr>
          <w:rFonts w:ascii="Times New Roman" w:hAnsi="Times New Roman" w:eastAsia="宋体" w:cs="Times New Roman"/>
          <w:color w:val="auto"/>
          <w:sz w:val="24"/>
          <w:szCs w:val="24"/>
          <w:highlight w:val="none"/>
        </w:rPr>
        <w:t>污染</w:t>
      </w:r>
      <w:r>
        <w:rPr>
          <w:rFonts w:hint="eastAsia" w:ascii="Times New Roman" w:hAnsi="Times New Roman" w:eastAsia="宋体" w:cs="Times New Roman"/>
          <w:color w:val="auto"/>
          <w:sz w:val="24"/>
          <w:szCs w:val="24"/>
          <w:highlight w:val="none"/>
          <w:lang w:eastAsia="zh-CN"/>
        </w:rPr>
        <w:t>源分布图</w:t>
      </w:r>
      <w:r>
        <w:rPr>
          <w:rFonts w:hint="eastAsia" w:cs="Times New Roman"/>
          <w:color w:val="auto"/>
          <w:sz w:val="24"/>
          <w:szCs w:val="24"/>
          <w:highlight w:val="none"/>
          <w:lang w:eastAsia="zh-CN"/>
        </w:rPr>
        <w:t>（水井</w:t>
      </w:r>
      <w:r>
        <w:rPr>
          <w:rFonts w:hint="eastAsia" w:cs="Times New Roman"/>
          <w:color w:val="auto"/>
          <w:sz w:val="24"/>
          <w:szCs w:val="24"/>
          <w:highlight w:val="none"/>
          <w:lang w:val="en-US" w:eastAsia="zh-CN"/>
        </w:rPr>
        <w:t>5#）</w:t>
      </w:r>
    </w:p>
    <w:p w14:paraId="039F6DD8">
      <w:pPr>
        <w:spacing w:line="360" w:lineRule="auto"/>
        <w:rPr>
          <w:rFonts w:hint="eastAsia" w:eastAsia="宋体"/>
          <w:color w:val="auto"/>
          <w:sz w:val="24"/>
          <w:szCs w:val="22"/>
          <w:highlight w:val="none"/>
          <w:lang w:eastAsia="zh-CN"/>
        </w:rPr>
        <w:sectPr>
          <w:pgSz w:w="16838" w:h="11905" w:orient="landscape"/>
          <w:pgMar w:top="1474" w:right="1474" w:bottom="1474" w:left="1474" w:header="964" w:footer="992" w:gutter="0"/>
          <w:pgBorders>
            <w:top w:val="none" w:sz="0" w:space="0"/>
            <w:left w:val="none" w:sz="0" w:space="0"/>
            <w:bottom w:val="none" w:sz="0" w:space="0"/>
            <w:right w:val="none" w:sz="0" w:space="0"/>
          </w:pgBorders>
          <w:pgNumType w:fmt="decimal"/>
          <w:cols w:space="720" w:num="1"/>
          <w:docGrid w:type="linesAndChars" w:linePitch="347" w:charSpace="-1024"/>
        </w:sectPr>
      </w:pPr>
    </w:p>
    <w:p w14:paraId="68CCD685">
      <w:pPr>
        <w:pStyle w:val="6"/>
        <w:bidi w:val="0"/>
        <w:rPr>
          <w:rFonts w:hint="eastAsia"/>
          <w:color w:val="auto"/>
          <w:sz w:val="24"/>
          <w:szCs w:val="24"/>
          <w:highlight w:val="none"/>
        </w:rPr>
      </w:pPr>
      <w:r>
        <w:rPr>
          <w:rFonts w:hint="eastAsia"/>
          <w:color w:val="auto"/>
          <w:sz w:val="24"/>
          <w:szCs w:val="24"/>
          <w:highlight w:val="none"/>
          <w:lang w:val="en-US" w:eastAsia="zh-CN"/>
        </w:rPr>
        <w:t>5</w:t>
      </w:r>
      <w:r>
        <w:rPr>
          <w:rFonts w:hint="eastAsia"/>
          <w:color w:val="auto"/>
          <w:sz w:val="24"/>
          <w:szCs w:val="24"/>
          <w:highlight w:val="none"/>
          <w:lang w:eastAsia="zh-CN"/>
        </w:rPr>
        <w:t>）</w:t>
      </w:r>
      <w:r>
        <w:rPr>
          <w:rFonts w:hint="eastAsia"/>
          <w:color w:val="auto"/>
          <w:sz w:val="24"/>
          <w:szCs w:val="24"/>
          <w:highlight w:val="none"/>
        </w:rPr>
        <w:t>绥化市</w:t>
      </w:r>
      <w:r>
        <w:rPr>
          <w:rFonts w:hint="eastAsia" w:ascii="Times New Roman" w:hAnsi="Times New Roman" w:eastAsia="宋体" w:cs="Times New Roman"/>
          <w:color w:val="auto"/>
          <w:kern w:val="2"/>
          <w:sz w:val="24"/>
          <w:szCs w:val="24"/>
          <w:highlight w:val="none"/>
          <w:lang w:val="en-US" w:eastAsia="zh-CN" w:bidi="ar-SA"/>
        </w:rPr>
        <w:t>庆安县</w:t>
      </w:r>
      <w:r>
        <w:rPr>
          <w:rFonts w:hint="eastAsia"/>
          <w:color w:val="auto"/>
          <w:sz w:val="24"/>
          <w:szCs w:val="24"/>
          <w:highlight w:val="none"/>
        </w:rPr>
        <w:t>柳河镇新强村饮用水水源地</w:t>
      </w:r>
    </w:p>
    <w:p w14:paraId="0194B2D1">
      <w:pPr>
        <w:spacing w:line="360" w:lineRule="auto"/>
        <w:ind w:firstLine="472" w:firstLineChars="200"/>
        <w:rPr>
          <w:rFonts w:hint="eastAsia"/>
          <w:color w:val="auto"/>
          <w:sz w:val="24"/>
          <w:szCs w:val="24"/>
          <w:highlight w:val="none"/>
        </w:rPr>
      </w:pPr>
      <w:r>
        <w:rPr>
          <w:color w:val="auto"/>
          <w:kern w:val="0"/>
          <w:sz w:val="24"/>
          <w:szCs w:val="24"/>
          <w:highlight w:val="none"/>
        </w:rPr>
        <w:fldChar w:fldCharType="begin"/>
      </w:r>
      <w:r>
        <w:rPr>
          <w:color w:val="auto"/>
          <w:kern w:val="0"/>
          <w:sz w:val="24"/>
          <w:szCs w:val="24"/>
          <w:highlight w:val="none"/>
        </w:rPr>
        <w:instrText xml:space="preserve"> = 1 \* GB3 \* MERGEFORMAT </w:instrText>
      </w:r>
      <w:r>
        <w:rPr>
          <w:color w:val="auto"/>
          <w:kern w:val="0"/>
          <w:sz w:val="24"/>
          <w:szCs w:val="24"/>
          <w:highlight w:val="none"/>
        </w:rPr>
        <w:fldChar w:fldCharType="separate"/>
      </w:r>
      <w:r>
        <w:rPr>
          <w:color w:val="auto"/>
          <w:sz w:val="24"/>
          <w:szCs w:val="24"/>
          <w:highlight w:val="none"/>
        </w:rPr>
        <w:t>①</w:t>
      </w:r>
      <w:r>
        <w:rPr>
          <w:color w:val="auto"/>
          <w:kern w:val="0"/>
          <w:sz w:val="24"/>
          <w:szCs w:val="24"/>
          <w:highlight w:val="none"/>
        </w:rPr>
        <w:fldChar w:fldCharType="end"/>
      </w:r>
      <w:r>
        <w:rPr>
          <w:rFonts w:hint="eastAsia"/>
          <w:color w:val="auto"/>
          <w:sz w:val="24"/>
          <w:szCs w:val="24"/>
          <w:highlight w:val="none"/>
        </w:rPr>
        <w:t>点源污染</w:t>
      </w:r>
    </w:p>
    <w:p w14:paraId="14EBBB2B">
      <w:pPr>
        <w:spacing w:line="360" w:lineRule="auto"/>
        <w:ind w:firstLine="472" w:firstLineChars="200"/>
        <w:rPr>
          <w:color w:val="auto"/>
          <w:highlight w:val="none"/>
        </w:rPr>
      </w:pPr>
      <w:r>
        <w:rPr>
          <w:rFonts w:hint="eastAsia"/>
          <w:color w:val="auto"/>
          <w:sz w:val="24"/>
          <w:szCs w:val="22"/>
          <w:highlight w:val="none"/>
        </w:rPr>
        <w:t>经调查，</w:t>
      </w:r>
      <w:r>
        <w:rPr>
          <w:rFonts w:hint="eastAsia"/>
          <w:color w:val="auto"/>
          <w:kern w:val="0"/>
          <w:sz w:val="24"/>
          <w:szCs w:val="24"/>
          <w:highlight w:val="none"/>
        </w:rPr>
        <w:t>水源地一级保护区</w:t>
      </w:r>
      <w:r>
        <w:rPr>
          <w:rFonts w:hint="eastAsia"/>
          <w:color w:val="auto"/>
          <w:sz w:val="24"/>
          <w:szCs w:val="22"/>
          <w:highlight w:val="none"/>
        </w:rPr>
        <w:t>范围内无点源污染。</w:t>
      </w:r>
    </w:p>
    <w:p w14:paraId="093AEF4D">
      <w:pPr>
        <w:spacing w:line="360" w:lineRule="auto"/>
        <w:ind w:firstLine="472" w:firstLineChars="200"/>
        <w:rPr>
          <w:rFonts w:hint="eastAsia"/>
          <w:color w:val="auto"/>
          <w:sz w:val="24"/>
          <w:szCs w:val="22"/>
          <w:highlight w:val="none"/>
        </w:rPr>
      </w:pPr>
      <w:r>
        <w:rPr>
          <w:color w:val="auto"/>
          <w:kern w:val="0"/>
          <w:sz w:val="24"/>
          <w:szCs w:val="24"/>
          <w:highlight w:val="none"/>
        </w:rPr>
        <w:fldChar w:fldCharType="begin"/>
      </w:r>
      <w:r>
        <w:rPr>
          <w:color w:val="auto"/>
          <w:kern w:val="0"/>
          <w:sz w:val="24"/>
          <w:szCs w:val="24"/>
          <w:highlight w:val="none"/>
        </w:rPr>
        <w:instrText xml:space="preserve"> = 2 \* GB3 \* MERGEFORMAT </w:instrText>
      </w:r>
      <w:r>
        <w:rPr>
          <w:color w:val="auto"/>
          <w:kern w:val="0"/>
          <w:sz w:val="24"/>
          <w:szCs w:val="24"/>
          <w:highlight w:val="none"/>
        </w:rPr>
        <w:fldChar w:fldCharType="separate"/>
      </w:r>
      <w:r>
        <w:rPr>
          <w:color w:val="auto"/>
          <w:sz w:val="24"/>
          <w:szCs w:val="24"/>
          <w:highlight w:val="none"/>
        </w:rPr>
        <w:t>②</w:t>
      </w:r>
      <w:r>
        <w:rPr>
          <w:color w:val="auto"/>
          <w:kern w:val="0"/>
          <w:sz w:val="24"/>
          <w:szCs w:val="24"/>
          <w:highlight w:val="none"/>
        </w:rPr>
        <w:fldChar w:fldCharType="end"/>
      </w:r>
      <w:r>
        <w:rPr>
          <w:rFonts w:hint="eastAsia"/>
          <w:color w:val="auto"/>
          <w:sz w:val="24"/>
          <w:szCs w:val="22"/>
          <w:highlight w:val="none"/>
        </w:rPr>
        <w:t>非点源污染</w:t>
      </w:r>
    </w:p>
    <w:p w14:paraId="21B00B88">
      <w:pPr>
        <w:spacing w:line="360" w:lineRule="auto"/>
        <w:ind w:firstLine="472" w:firstLineChars="200"/>
        <w:rPr>
          <w:rFonts w:hint="eastAsia" w:eastAsia="宋体"/>
          <w:color w:val="auto"/>
          <w:sz w:val="24"/>
          <w:szCs w:val="22"/>
          <w:highlight w:val="none"/>
          <w:lang w:val="zh-CN" w:eastAsia="zh-CN"/>
        </w:rPr>
      </w:pPr>
      <w:r>
        <w:rPr>
          <w:rFonts w:hint="eastAsia"/>
          <w:color w:val="auto"/>
          <w:sz w:val="24"/>
          <w:szCs w:val="22"/>
          <w:highlight w:val="none"/>
          <w:lang w:val="zh-CN"/>
        </w:rPr>
        <w:t>经调查，</w:t>
      </w:r>
      <w:r>
        <w:rPr>
          <w:rFonts w:hint="eastAsia"/>
          <w:color w:val="auto"/>
          <w:kern w:val="0"/>
          <w:sz w:val="24"/>
          <w:szCs w:val="24"/>
          <w:highlight w:val="none"/>
        </w:rPr>
        <w:t>水源地一级保护区</w:t>
      </w:r>
      <w:r>
        <w:rPr>
          <w:rFonts w:hint="eastAsia"/>
          <w:color w:val="auto"/>
          <w:sz w:val="24"/>
          <w:szCs w:val="22"/>
          <w:highlight w:val="none"/>
          <w:lang w:val="zh-CN"/>
        </w:rPr>
        <w:t>内共有耕地</w:t>
      </w:r>
      <w:r>
        <w:rPr>
          <w:rFonts w:hint="eastAsia"/>
          <w:color w:val="auto"/>
          <w:sz w:val="24"/>
          <w:szCs w:val="22"/>
          <w:highlight w:val="none"/>
          <w:lang w:val="en-US" w:eastAsia="zh-CN"/>
        </w:rPr>
        <w:t>0.141</w:t>
      </w:r>
      <w:r>
        <w:rPr>
          <w:rFonts w:hint="eastAsia"/>
          <w:color w:val="auto"/>
          <w:sz w:val="24"/>
          <w:szCs w:val="22"/>
          <w:highlight w:val="none"/>
        </w:rPr>
        <w:t>公顷</w:t>
      </w:r>
      <w:r>
        <w:rPr>
          <w:rFonts w:hint="eastAsia"/>
          <w:color w:val="auto"/>
          <w:sz w:val="24"/>
          <w:szCs w:val="22"/>
          <w:highlight w:val="none"/>
          <w:lang w:val="zh-CN"/>
        </w:rPr>
        <w:t>，</w:t>
      </w:r>
      <w:r>
        <w:rPr>
          <w:rFonts w:hint="eastAsia"/>
          <w:color w:val="auto"/>
          <w:sz w:val="24"/>
          <w:szCs w:val="22"/>
          <w:highlight w:val="none"/>
        </w:rPr>
        <w:t>主要农作物为玉米，农作物生长期内大量施用的农药在农田土壤内残留，</w:t>
      </w:r>
      <w:r>
        <w:rPr>
          <w:rFonts w:hint="eastAsia"/>
          <w:color w:val="auto"/>
          <w:sz w:val="24"/>
          <w:szCs w:val="22"/>
          <w:highlight w:val="none"/>
          <w:lang w:eastAsia="zh-CN"/>
        </w:rPr>
        <w:t>有影响到地下水水质的可能性。</w:t>
      </w:r>
    </w:p>
    <w:p w14:paraId="4B2A4C96">
      <w:pPr>
        <w:spacing w:line="360" w:lineRule="auto"/>
        <w:ind w:firstLine="472" w:firstLineChars="200"/>
        <w:rPr>
          <w:rFonts w:hint="eastAsia"/>
          <w:color w:val="auto"/>
          <w:sz w:val="24"/>
          <w:szCs w:val="22"/>
          <w:highlight w:val="none"/>
        </w:rPr>
      </w:pPr>
      <w:r>
        <w:rPr>
          <w:color w:val="auto"/>
          <w:kern w:val="0"/>
          <w:sz w:val="24"/>
          <w:szCs w:val="24"/>
          <w:highlight w:val="none"/>
        </w:rPr>
        <w:fldChar w:fldCharType="begin"/>
      </w:r>
      <w:r>
        <w:rPr>
          <w:color w:val="auto"/>
          <w:kern w:val="0"/>
          <w:sz w:val="24"/>
          <w:szCs w:val="24"/>
          <w:highlight w:val="none"/>
        </w:rPr>
        <w:instrText xml:space="preserve"> = 3 \* GB3 \* MERGEFORMAT </w:instrText>
      </w:r>
      <w:r>
        <w:rPr>
          <w:color w:val="auto"/>
          <w:kern w:val="0"/>
          <w:sz w:val="24"/>
          <w:szCs w:val="24"/>
          <w:highlight w:val="none"/>
        </w:rPr>
        <w:fldChar w:fldCharType="separate"/>
      </w:r>
      <w:r>
        <w:rPr>
          <w:color w:val="auto"/>
          <w:sz w:val="24"/>
          <w:szCs w:val="24"/>
          <w:highlight w:val="none"/>
        </w:rPr>
        <w:t>③</w:t>
      </w:r>
      <w:r>
        <w:rPr>
          <w:color w:val="auto"/>
          <w:kern w:val="0"/>
          <w:sz w:val="24"/>
          <w:szCs w:val="24"/>
          <w:highlight w:val="none"/>
        </w:rPr>
        <w:fldChar w:fldCharType="end"/>
      </w:r>
      <w:r>
        <w:rPr>
          <w:rFonts w:hint="eastAsia"/>
          <w:color w:val="auto"/>
          <w:sz w:val="24"/>
          <w:szCs w:val="22"/>
          <w:highlight w:val="none"/>
        </w:rPr>
        <w:t>流动源</w:t>
      </w:r>
      <w:r>
        <w:rPr>
          <w:color w:val="auto"/>
          <w:sz w:val="24"/>
          <w:szCs w:val="24"/>
          <w:highlight w:val="none"/>
        </w:rPr>
        <w:t>和其他</w:t>
      </w:r>
      <w:r>
        <w:rPr>
          <w:rFonts w:hint="eastAsia"/>
          <w:color w:val="auto"/>
          <w:sz w:val="24"/>
          <w:szCs w:val="22"/>
          <w:highlight w:val="none"/>
        </w:rPr>
        <w:t>污染</w:t>
      </w:r>
    </w:p>
    <w:p w14:paraId="6BC055B7">
      <w:pPr>
        <w:spacing w:line="360" w:lineRule="auto"/>
        <w:ind w:firstLine="472" w:firstLineChars="200"/>
        <w:rPr>
          <w:rFonts w:hint="eastAsia"/>
          <w:color w:val="auto"/>
          <w:sz w:val="24"/>
          <w:szCs w:val="22"/>
          <w:highlight w:val="none"/>
        </w:rPr>
      </w:pPr>
      <w:r>
        <w:rPr>
          <w:rFonts w:hint="eastAsia"/>
          <w:color w:val="auto"/>
          <w:sz w:val="24"/>
          <w:szCs w:val="22"/>
          <w:highlight w:val="none"/>
          <w:lang w:val="zh-CN"/>
        </w:rPr>
        <w:t>经调查，</w:t>
      </w:r>
      <w:r>
        <w:rPr>
          <w:rFonts w:hint="eastAsia"/>
          <w:color w:val="auto"/>
          <w:sz w:val="24"/>
          <w:szCs w:val="22"/>
          <w:highlight w:val="none"/>
        </w:rPr>
        <w:t>水源地一级保护区内</w:t>
      </w:r>
      <w:r>
        <w:rPr>
          <w:rFonts w:hint="eastAsia"/>
          <w:color w:val="auto"/>
          <w:sz w:val="24"/>
          <w:szCs w:val="22"/>
          <w:highlight w:val="none"/>
          <w:lang w:eastAsia="zh-CN"/>
        </w:rPr>
        <w:t>水井</w:t>
      </w:r>
      <w:r>
        <w:rPr>
          <w:rFonts w:hint="eastAsia"/>
          <w:color w:val="auto"/>
          <w:sz w:val="24"/>
          <w:szCs w:val="22"/>
          <w:highlight w:val="none"/>
          <w:lang w:val="en-US" w:eastAsia="zh-CN"/>
        </w:rPr>
        <w:t>3#南</w:t>
      </w:r>
      <w:r>
        <w:rPr>
          <w:rFonts w:hint="eastAsia"/>
          <w:color w:val="auto"/>
          <w:sz w:val="24"/>
          <w:szCs w:val="22"/>
          <w:highlight w:val="none"/>
        </w:rPr>
        <w:t>侧有乡村道路，穿越长度</w:t>
      </w:r>
      <w:r>
        <w:rPr>
          <w:rFonts w:hint="eastAsia"/>
          <w:color w:val="auto"/>
          <w:sz w:val="24"/>
          <w:szCs w:val="22"/>
          <w:highlight w:val="none"/>
          <w:lang w:val="en-US" w:eastAsia="zh-CN"/>
        </w:rPr>
        <w:t>30</w:t>
      </w:r>
      <w:r>
        <w:rPr>
          <w:rFonts w:hint="eastAsia"/>
          <w:color w:val="auto"/>
          <w:sz w:val="24"/>
          <w:szCs w:val="22"/>
          <w:highlight w:val="none"/>
        </w:rPr>
        <w:t>米</w:t>
      </w:r>
      <w:r>
        <w:rPr>
          <w:rFonts w:hint="eastAsia"/>
          <w:color w:val="auto"/>
          <w:sz w:val="24"/>
          <w:szCs w:val="22"/>
          <w:highlight w:val="none"/>
          <w:lang w:eastAsia="zh-CN"/>
        </w:rPr>
        <w:t>。</w:t>
      </w:r>
      <w:r>
        <w:rPr>
          <w:rFonts w:hint="eastAsia"/>
          <w:color w:val="auto"/>
          <w:sz w:val="24"/>
          <w:szCs w:val="22"/>
          <w:highlight w:val="none"/>
        </w:rPr>
        <w:t>道路已禁止有毒有害物质和危险化学品的运输，存在部分农药运输情况。</w:t>
      </w:r>
    </w:p>
    <w:p w14:paraId="61722BD4">
      <w:pPr>
        <w:spacing w:line="360" w:lineRule="auto"/>
        <w:ind w:firstLine="472" w:firstLineChars="200"/>
        <w:rPr>
          <w:rFonts w:hint="eastAsia"/>
          <w:color w:val="auto"/>
          <w:sz w:val="24"/>
          <w:szCs w:val="22"/>
          <w:highlight w:val="none"/>
        </w:rPr>
        <w:sectPr>
          <w:pgSz w:w="11905" w:h="16838"/>
          <w:pgMar w:top="1474" w:right="1474" w:bottom="1474" w:left="1474" w:header="964" w:footer="992" w:gutter="0"/>
          <w:pgBorders>
            <w:top w:val="none" w:sz="0" w:space="0"/>
            <w:left w:val="none" w:sz="0" w:space="0"/>
            <w:bottom w:val="none" w:sz="0" w:space="0"/>
            <w:right w:val="none" w:sz="0" w:space="0"/>
          </w:pgBorders>
          <w:pgNumType w:fmt="decimal"/>
          <w:cols w:space="720" w:num="1"/>
          <w:docGrid w:type="linesAndChars" w:linePitch="347" w:charSpace="-1024"/>
        </w:sectPr>
      </w:pPr>
    </w:p>
    <w:p w14:paraId="3E43E35C">
      <w:pPr>
        <w:keepNext w:val="0"/>
        <w:keepLines w:val="0"/>
        <w:pageBreakBefore w:val="0"/>
        <w:widowControl w:val="0"/>
        <w:kinsoku/>
        <w:wordWrap/>
        <w:overflowPunct/>
        <w:topLinePunct w:val="0"/>
        <w:bidi w:val="0"/>
        <w:snapToGrid/>
        <w:spacing w:line="360" w:lineRule="auto"/>
        <w:jc w:val="center"/>
        <w:textAlignment w:val="auto"/>
        <w:rPr>
          <w:rFonts w:hint="eastAsia" w:ascii="Times New Roman" w:hAnsi="Times New Roman" w:eastAsia="宋体" w:cs="Times New Roman"/>
          <w:color w:val="auto"/>
          <w:sz w:val="24"/>
          <w:szCs w:val="24"/>
          <w:highlight w:val="none"/>
          <w:lang w:eastAsia="zh-CN"/>
        </w:rPr>
      </w:pPr>
      <w:r>
        <w:rPr>
          <w:rFonts w:hint="eastAsia" w:ascii="Times New Roman" w:hAnsi="Times New Roman" w:eastAsia="宋体" w:cs="Times New Roman"/>
          <w:color w:val="auto"/>
          <w:sz w:val="24"/>
          <w:szCs w:val="24"/>
          <w:highlight w:val="none"/>
          <w:lang w:eastAsia="zh-CN"/>
        </w:rPr>
        <w:drawing>
          <wp:inline distT="0" distB="0" distL="114300" distR="114300">
            <wp:extent cx="6817995" cy="4900295"/>
            <wp:effectExtent l="0" t="0" r="1905" b="14605"/>
            <wp:docPr id="90" name="图片 90" descr="新强村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新强村1"/>
                    <pic:cNvPicPr>
                      <a:picLocks noChangeAspect="1"/>
                    </pic:cNvPicPr>
                  </pic:nvPicPr>
                  <pic:blipFill>
                    <a:blip r:embed="rId116"/>
                    <a:stretch>
                      <a:fillRect/>
                    </a:stretch>
                  </pic:blipFill>
                  <pic:spPr>
                    <a:xfrm>
                      <a:off x="0" y="0"/>
                      <a:ext cx="6817995" cy="4900295"/>
                    </a:xfrm>
                    <a:prstGeom prst="rect">
                      <a:avLst/>
                    </a:prstGeom>
                  </pic:spPr>
                </pic:pic>
              </a:graphicData>
            </a:graphic>
          </wp:inline>
        </w:drawing>
      </w:r>
    </w:p>
    <w:p w14:paraId="2365F980">
      <w:pPr>
        <w:keepNext w:val="0"/>
        <w:keepLines w:val="0"/>
        <w:pageBreakBefore w:val="0"/>
        <w:widowControl w:val="0"/>
        <w:kinsoku/>
        <w:wordWrap/>
        <w:overflowPunct/>
        <w:topLinePunct w:val="0"/>
        <w:bidi w:val="0"/>
        <w:snapToGrid/>
        <w:spacing w:line="360" w:lineRule="auto"/>
        <w:jc w:val="center"/>
        <w:textAlignment w:val="auto"/>
        <w:rPr>
          <w:rFonts w:hint="eastAsia" w:ascii="Times New Roman" w:hAnsi="Times New Roman" w:eastAsia="宋体" w:cs="Times New Roman"/>
          <w:color w:val="auto"/>
          <w:sz w:val="24"/>
          <w:szCs w:val="24"/>
          <w:highlight w:val="none"/>
          <w:lang w:eastAsia="zh-CN"/>
        </w:rPr>
      </w:pPr>
      <w:r>
        <w:rPr>
          <w:rFonts w:hint="eastAsia" w:ascii="Times New Roman" w:hAnsi="Times New Roman" w:cs="Times New Roman"/>
          <w:color w:val="auto"/>
          <w:sz w:val="24"/>
          <w:szCs w:val="24"/>
          <w:highlight w:val="none"/>
          <w:lang w:eastAsia="zh-CN"/>
        </w:rPr>
        <w:t>图</w:t>
      </w:r>
      <w:r>
        <w:rPr>
          <w:rFonts w:hint="eastAsia" w:ascii="Times New Roman" w:hAnsi="Times New Roman" w:cs="Times New Roman"/>
          <w:color w:val="auto"/>
          <w:sz w:val="24"/>
          <w:szCs w:val="24"/>
          <w:highlight w:val="none"/>
          <w:lang w:val="en-US" w:eastAsia="zh-CN"/>
        </w:rPr>
        <w:t>4-</w:t>
      </w:r>
      <w:r>
        <w:rPr>
          <w:rFonts w:hint="eastAsia" w:cs="Times New Roman"/>
          <w:color w:val="auto"/>
          <w:sz w:val="24"/>
          <w:szCs w:val="24"/>
          <w:highlight w:val="none"/>
          <w:lang w:val="en-US" w:eastAsia="zh-CN"/>
        </w:rPr>
        <w:t>1</w:t>
      </w:r>
      <w:r>
        <w:rPr>
          <w:rFonts w:hint="eastAsia" w:ascii="Times New Roman" w:hAnsi="Times New Roman" w:cs="Times New Roman"/>
          <w:color w:val="auto"/>
          <w:sz w:val="24"/>
          <w:szCs w:val="24"/>
          <w:highlight w:val="none"/>
          <w:lang w:val="en-US" w:eastAsia="zh-CN"/>
        </w:rPr>
        <w:t xml:space="preserve">8 </w:t>
      </w:r>
      <w:r>
        <w:rPr>
          <w:rFonts w:hint="eastAsia" w:ascii="Times New Roman" w:hAnsi="Times New Roman" w:eastAsia="宋体" w:cs="Times New Roman"/>
          <w:color w:val="auto"/>
          <w:sz w:val="24"/>
          <w:szCs w:val="24"/>
          <w:highlight w:val="none"/>
          <w:lang w:eastAsia="zh-CN"/>
        </w:rPr>
        <w:t>柳河镇新强村</w:t>
      </w:r>
      <w:r>
        <w:rPr>
          <w:rFonts w:ascii="Times New Roman" w:hAnsi="Times New Roman" w:eastAsia="宋体" w:cs="Times New Roman"/>
          <w:color w:val="auto"/>
          <w:sz w:val="24"/>
          <w:szCs w:val="24"/>
          <w:highlight w:val="none"/>
        </w:rPr>
        <w:t>饮用水水源地</w:t>
      </w:r>
      <w:r>
        <w:rPr>
          <w:rFonts w:hint="eastAsia" w:cs="Times New Roman"/>
          <w:color w:val="auto"/>
          <w:sz w:val="24"/>
          <w:szCs w:val="24"/>
          <w:highlight w:val="none"/>
          <w:lang w:eastAsia="zh-CN"/>
        </w:rPr>
        <w:t>保护区内</w:t>
      </w:r>
      <w:r>
        <w:rPr>
          <w:rFonts w:ascii="Times New Roman" w:hAnsi="Times New Roman" w:eastAsia="宋体" w:cs="Times New Roman"/>
          <w:color w:val="auto"/>
          <w:sz w:val="24"/>
          <w:szCs w:val="24"/>
          <w:highlight w:val="none"/>
        </w:rPr>
        <w:t>污染</w:t>
      </w:r>
      <w:r>
        <w:rPr>
          <w:rFonts w:hint="eastAsia" w:ascii="Times New Roman" w:hAnsi="Times New Roman" w:eastAsia="宋体" w:cs="Times New Roman"/>
          <w:color w:val="auto"/>
          <w:sz w:val="24"/>
          <w:szCs w:val="24"/>
          <w:highlight w:val="none"/>
          <w:lang w:eastAsia="zh-CN"/>
        </w:rPr>
        <w:t>源分布图</w:t>
      </w:r>
      <w:r>
        <w:rPr>
          <w:rFonts w:hint="eastAsia" w:cs="Times New Roman"/>
          <w:color w:val="auto"/>
          <w:sz w:val="24"/>
          <w:szCs w:val="24"/>
          <w:highlight w:val="none"/>
          <w:lang w:eastAsia="zh-CN"/>
        </w:rPr>
        <w:t>（水井</w:t>
      </w:r>
      <w:r>
        <w:rPr>
          <w:rFonts w:hint="eastAsia" w:cs="Times New Roman"/>
          <w:color w:val="auto"/>
          <w:sz w:val="24"/>
          <w:szCs w:val="24"/>
          <w:highlight w:val="none"/>
          <w:lang w:val="en-US" w:eastAsia="zh-CN"/>
        </w:rPr>
        <w:t>1#</w:t>
      </w:r>
      <w:r>
        <w:rPr>
          <w:rFonts w:hint="eastAsia" w:cs="Times New Roman"/>
          <w:color w:val="auto"/>
          <w:sz w:val="24"/>
          <w:szCs w:val="24"/>
          <w:highlight w:val="none"/>
          <w:lang w:eastAsia="zh-CN"/>
        </w:rPr>
        <w:t>）</w:t>
      </w:r>
    </w:p>
    <w:p w14:paraId="603EDFA2">
      <w:pPr>
        <w:spacing w:line="360" w:lineRule="auto"/>
        <w:ind w:left="0" w:leftChars="0" w:firstLine="0" w:firstLineChars="0"/>
        <w:jc w:val="center"/>
        <w:rPr>
          <w:rFonts w:hint="eastAsia" w:eastAsia="宋体"/>
          <w:color w:val="auto"/>
          <w:sz w:val="24"/>
          <w:szCs w:val="22"/>
          <w:highlight w:val="none"/>
          <w:lang w:eastAsia="zh-CN"/>
        </w:rPr>
      </w:pPr>
      <w:r>
        <w:rPr>
          <w:rFonts w:hint="eastAsia" w:eastAsia="宋体"/>
          <w:color w:val="auto"/>
          <w:sz w:val="24"/>
          <w:szCs w:val="22"/>
          <w:highlight w:val="none"/>
          <w:lang w:eastAsia="zh-CN"/>
        </w:rPr>
        <w:drawing>
          <wp:inline distT="0" distB="0" distL="114300" distR="114300">
            <wp:extent cx="7025640" cy="5050155"/>
            <wp:effectExtent l="0" t="0" r="3810" b="17145"/>
            <wp:docPr id="92" name="图片 92" descr="新强村2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新强村2345"/>
                    <pic:cNvPicPr>
                      <a:picLocks noChangeAspect="1"/>
                    </pic:cNvPicPr>
                  </pic:nvPicPr>
                  <pic:blipFill>
                    <a:blip r:embed="rId117"/>
                    <a:stretch>
                      <a:fillRect/>
                    </a:stretch>
                  </pic:blipFill>
                  <pic:spPr>
                    <a:xfrm>
                      <a:off x="0" y="0"/>
                      <a:ext cx="7025640" cy="5050155"/>
                    </a:xfrm>
                    <a:prstGeom prst="rect">
                      <a:avLst/>
                    </a:prstGeom>
                  </pic:spPr>
                </pic:pic>
              </a:graphicData>
            </a:graphic>
          </wp:inline>
        </w:drawing>
      </w:r>
    </w:p>
    <w:p w14:paraId="7B8FA33D">
      <w:pPr>
        <w:keepNext w:val="0"/>
        <w:keepLines w:val="0"/>
        <w:pageBreakBefore w:val="0"/>
        <w:widowControl w:val="0"/>
        <w:kinsoku/>
        <w:wordWrap/>
        <w:overflowPunct/>
        <w:topLinePunct w:val="0"/>
        <w:bidi w:val="0"/>
        <w:snapToGrid/>
        <w:spacing w:line="360" w:lineRule="auto"/>
        <w:jc w:val="center"/>
        <w:textAlignment w:val="auto"/>
        <w:rPr>
          <w:rFonts w:hint="eastAsia" w:ascii="Times New Roman" w:hAnsi="Times New Roman" w:eastAsia="宋体" w:cs="Times New Roman"/>
          <w:color w:val="auto"/>
          <w:sz w:val="24"/>
          <w:szCs w:val="24"/>
          <w:highlight w:val="none"/>
          <w:lang w:eastAsia="zh-CN"/>
        </w:rPr>
      </w:pPr>
      <w:r>
        <w:rPr>
          <w:rFonts w:hint="eastAsia" w:ascii="Times New Roman" w:hAnsi="Times New Roman" w:cs="Times New Roman"/>
          <w:color w:val="auto"/>
          <w:sz w:val="24"/>
          <w:szCs w:val="24"/>
          <w:highlight w:val="none"/>
          <w:lang w:eastAsia="zh-CN"/>
        </w:rPr>
        <w:t>图</w:t>
      </w:r>
      <w:r>
        <w:rPr>
          <w:rFonts w:hint="eastAsia" w:ascii="Times New Roman" w:hAnsi="Times New Roman" w:cs="Times New Roman"/>
          <w:color w:val="auto"/>
          <w:sz w:val="24"/>
          <w:szCs w:val="24"/>
          <w:highlight w:val="none"/>
          <w:lang w:val="en-US" w:eastAsia="zh-CN"/>
        </w:rPr>
        <w:t>4-</w:t>
      </w:r>
      <w:r>
        <w:rPr>
          <w:rFonts w:hint="eastAsia" w:cs="Times New Roman"/>
          <w:color w:val="auto"/>
          <w:sz w:val="24"/>
          <w:szCs w:val="24"/>
          <w:highlight w:val="none"/>
          <w:lang w:val="en-US" w:eastAsia="zh-CN"/>
        </w:rPr>
        <w:t>19</w:t>
      </w:r>
      <w:r>
        <w:rPr>
          <w:rFonts w:hint="eastAsia" w:ascii="Times New Roman" w:hAnsi="Times New Roman" w:cs="Times New Roman"/>
          <w:color w:val="auto"/>
          <w:sz w:val="24"/>
          <w:szCs w:val="24"/>
          <w:highlight w:val="none"/>
          <w:lang w:val="en-US" w:eastAsia="zh-CN"/>
        </w:rPr>
        <w:t xml:space="preserve"> </w:t>
      </w:r>
      <w:r>
        <w:rPr>
          <w:rFonts w:hint="eastAsia" w:ascii="Times New Roman" w:hAnsi="Times New Roman" w:eastAsia="宋体" w:cs="Times New Roman"/>
          <w:color w:val="auto"/>
          <w:sz w:val="24"/>
          <w:szCs w:val="24"/>
          <w:highlight w:val="none"/>
          <w:lang w:eastAsia="zh-CN"/>
        </w:rPr>
        <w:t>柳河镇新强村</w:t>
      </w:r>
      <w:r>
        <w:rPr>
          <w:rFonts w:ascii="Times New Roman" w:hAnsi="Times New Roman" w:eastAsia="宋体" w:cs="Times New Roman"/>
          <w:color w:val="auto"/>
          <w:sz w:val="24"/>
          <w:szCs w:val="24"/>
          <w:highlight w:val="none"/>
        </w:rPr>
        <w:t>饮用水水源地</w:t>
      </w:r>
      <w:r>
        <w:rPr>
          <w:rFonts w:hint="eastAsia" w:cs="Times New Roman"/>
          <w:color w:val="auto"/>
          <w:sz w:val="24"/>
          <w:szCs w:val="24"/>
          <w:highlight w:val="none"/>
          <w:lang w:eastAsia="zh-CN"/>
        </w:rPr>
        <w:t>保护区内</w:t>
      </w:r>
      <w:r>
        <w:rPr>
          <w:rFonts w:ascii="Times New Roman" w:hAnsi="Times New Roman" w:eastAsia="宋体" w:cs="Times New Roman"/>
          <w:color w:val="auto"/>
          <w:sz w:val="24"/>
          <w:szCs w:val="24"/>
          <w:highlight w:val="none"/>
        </w:rPr>
        <w:t>污染</w:t>
      </w:r>
      <w:r>
        <w:rPr>
          <w:rFonts w:hint="eastAsia" w:ascii="Times New Roman" w:hAnsi="Times New Roman" w:eastAsia="宋体" w:cs="Times New Roman"/>
          <w:color w:val="auto"/>
          <w:sz w:val="24"/>
          <w:szCs w:val="24"/>
          <w:highlight w:val="none"/>
          <w:lang w:eastAsia="zh-CN"/>
        </w:rPr>
        <w:t>源分布图</w:t>
      </w:r>
      <w:r>
        <w:rPr>
          <w:rFonts w:hint="eastAsia" w:cs="Times New Roman"/>
          <w:color w:val="auto"/>
          <w:sz w:val="24"/>
          <w:szCs w:val="24"/>
          <w:highlight w:val="none"/>
          <w:lang w:eastAsia="zh-CN"/>
        </w:rPr>
        <w:t>（水井</w:t>
      </w:r>
      <w:r>
        <w:rPr>
          <w:rFonts w:hint="eastAsia" w:cs="Times New Roman"/>
          <w:color w:val="auto"/>
          <w:sz w:val="24"/>
          <w:szCs w:val="24"/>
          <w:highlight w:val="none"/>
          <w:lang w:val="en-US" w:eastAsia="zh-CN"/>
        </w:rPr>
        <w:t>2#、</w:t>
      </w:r>
      <w:r>
        <w:rPr>
          <w:rFonts w:hint="eastAsia" w:cs="Times New Roman"/>
          <w:color w:val="auto"/>
          <w:sz w:val="24"/>
          <w:szCs w:val="24"/>
          <w:highlight w:val="none"/>
          <w:lang w:eastAsia="zh-CN"/>
        </w:rPr>
        <w:t>水井</w:t>
      </w:r>
      <w:r>
        <w:rPr>
          <w:rFonts w:hint="eastAsia" w:cs="Times New Roman"/>
          <w:color w:val="auto"/>
          <w:sz w:val="24"/>
          <w:szCs w:val="24"/>
          <w:highlight w:val="none"/>
          <w:lang w:val="en-US" w:eastAsia="zh-CN"/>
        </w:rPr>
        <w:t>3#、</w:t>
      </w:r>
      <w:r>
        <w:rPr>
          <w:rFonts w:hint="eastAsia" w:cs="Times New Roman"/>
          <w:color w:val="auto"/>
          <w:sz w:val="24"/>
          <w:szCs w:val="24"/>
          <w:highlight w:val="none"/>
          <w:lang w:eastAsia="zh-CN"/>
        </w:rPr>
        <w:t>水井</w:t>
      </w:r>
      <w:r>
        <w:rPr>
          <w:rFonts w:hint="eastAsia" w:cs="Times New Roman"/>
          <w:color w:val="auto"/>
          <w:sz w:val="24"/>
          <w:szCs w:val="24"/>
          <w:highlight w:val="none"/>
          <w:lang w:val="en-US" w:eastAsia="zh-CN"/>
        </w:rPr>
        <w:t>4#、</w:t>
      </w:r>
      <w:r>
        <w:rPr>
          <w:rFonts w:hint="eastAsia" w:cs="Times New Roman"/>
          <w:color w:val="auto"/>
          <w:sz w:val="24"/>
          <w:szCs w:val="24"/>
          <w:highlight w:val="none"/>
          <w:lang w:eastAsia="zh-CN"/>
        </w:rPr>
        <w:t>水井</w:t>
      </w:r>
      <w:r>
        <w:rPr>
          <w:rFonts w:hint="eastAsia" w:cs="Times New Roman"/>
          <w:color w:val="auto"/>
          <w:sz w:val="24"/>
          <w:szCs w:val="24"/>
          <w:highlight w:val="none"/>
          <w:lang w:val="en-US" w:eastAsia="zh-CN"/>
        </w:rPr>
        <w:t>5#</w:t>
      </w:r>
      <w:r>
        <w:rPr>
          <w:rFonts w:hint="eastAsia" w:cs="Times New Roman"/>
          <w:color w:val="auto"/>
          <w:sz w:val="24"/>
          <w:szCs w:val="24"/>
          <w:highlight w:val="none"/>
          <w:lang w:eastAsia="zh-CN"/>
        </w:rPr>
        <w:t>）</w:t>
      </w:r>
    </w:p>
    <w:p w14:paraId="2CE93141">
      <w:pPr>
        <w:spacing w:line="360" w:lineRule="auto"/>
        <w:ind w:firstLine="472" w:firstLineChars="200"/>
        <w:rPr>
          <w:rFonts w:hint="eastAsia" w:eastAsia="宋体"/>
          <w:color w:val="auto"/>
          <w:sz w:val="24"/>
          <w:szCs w:val="22"/>
          <w:highlight w:val="none"/>
          <w:lang w:eastAsia="zh-CN"/>
        </w:rPr>
        <w:sectPr>
          <w:pgSz w:w="16838" w:h="11905" w:orient="landscape"/>
          <w:pgMar w:top="1474" w:right="1474" w:bottom="1474" w:left="1474" w:header="964" w:footer="992" w:gutter="0"/>
          <w:pgBorders>
            <w:top w:val="none" w:sz="0" w:space="0"/>
            <w:left w:val="none" w:sz="0" w:space="0"/>
            <w:bottom w:val="none" w:sz="0" w:space="0"/>
            <w:right w:val="none" w:sz="0" w:space="0"/>
          </w:pgBorders>
          <w:pgNumType w:fmt="decimal"/>
          <w:cols w:space="720" w:num="1"/>
          <w:docGrid w:type="linesAndChars" w:linePitch="347" w:charSpace="-1024"/>
        </w:sectPr>
      </w:pPr>
    </w:p>
    <w:p w14:paraId="228712BB">
      <w:pPr>
        <w:pStyle w:val="6"/>
        <w:bidi w:val="0"/>
        <w:rPr>
          <w:rFonts w:hint="eastAsia"/>
          <w:color w:val="auto"/>
          <w:sz w:val="24"/>
          <w:szCs w:val="24"/>
          <w:highlight w:val="none"/>
        </w:rPr>
      </w:pPr>
      <w:r>
        <w:rPr>
          <w:rFonts w:hint="eastAsia" w:ascii="Times New Roman" w:hAnsi="Times New Roman" w:eastAsia="宋体" w:cs="Times New Roman"/>
          <w:color w:val="auto"/>
          <w:kern w:val="2"/>
          <w:sz w:val="24"/>
          <w:szCs w:val="24"/>
          <w:highlight w:val="none"/>
          <w:lang w:val="en-US" w:eastAsia="zh-CN" w:bidi="ar-SA"/>
        </w:rPr>
        <w:t>6）</w:t>
      </w:r>
      <w:r>
        <w:rPr>
          <w:rFonts w:hint="eastAsia"/>
          <w:color w:val="auto"/>
          <w:sz w:val="24"/>
          <w:szCs w:val="24"/>
          <w:highlight w:val="none"/>
        </w:rPr>
        <w:t>绥化市庆安县丰收乡饮用水水源地</w:t>
      </w:r>
    </w:p>
    <w:p w14:paraId="65C7448D">
      <w:pPr>
        <w:spacing w:line="360" w:lineRule="auto"/>
        <w:ind w:firstLine="472" w:firstLineChars="200"/>
        <w:rPr>
          <w:rFonts w:hint="eastAsia"/>
          <w:color w:val="auto"/>
          <w:sz w:val="24"/>
          <w:szCs w:val="24"/>
          <w:highlight w:val="none"/>
        </w:rPr>
      </w:pPr>
      <w:r>
        <w:rPr>
          <w:color w:val="auto"/>
          <w:kern w:val="0"/>
          <w:sz w:val="24"/>
          <w:szCs w:val="24"/>
          <w:highlight w:val="none"/>
        </w:rPr>
        <w:fldChar w:fldCharType="begin"/>
      </w:r>
      <w:r>
        <w:rPr>
          <w:color w:val="auto"/>
          <w:kern w:val="0"/>
          <w:sz w:val="24"/>
          <w:szCs w:val="24"/>
          <w:highlight w:val="none"/>
        </w:rPr>
        <w:instrText xml:space="preserve"> = 1 \* GB3 \* MERGEFORMAT </w:instrText>
      </w:r>
      <w:r>
        <w:rPr>
          <w:color w:val="auto"/>
          <w:kern w:val="0"/>
          <w:sz w:val="24"/>
          <w:szCs w:val="24"/>
          <w:highlight w:val="none"/>
        </w:rPr>
        <w:fldChar w:fldCharType="separate"/>
      </w:r>
      <w:r>
        <w:rPr>
          <w:color w:val="auto"/>
          <w:sz w:val="24"/>
          <w:szCs w:val="24"/>
          <w:highlight w:val="none"/>
        </w:rPr>
        <w:t>①</w:t>
      </w:r>
      <w:r>
        <w:rPr>
          <w:color w:val="auto"/>
          <w:kern w:val="0"/>
          <w:sz w:val="24"/>
          <w:szCs w:val="24"/>
          <w:highlight w:val="none"/>
        </w:rPr>
        <w:fldChar w:fldCharType="end"/>
      </w:r>
      <w:r>
        <w:rPr>
          <w:rFonts w:hint="eastAsia"/>
          <w:color w:val="auto"/>
          <w:sz w:val="24"/>
          <w:szCs w:val="24"/>
          <w:highlight w:val="none"/>
        </w:rPr>
        <w:t>点源污染</w:t>
      </w:r>
    </w:p>
    <w:p w14:paraId="545143EB">
      <w:pPr>
        <w:spacing w:line="360" w:lineRule="auto"/>
        <w:ind w:firstLine="472" w:firstLineChars="200"/>
        <w:rPr>
          <w:color w:val="auto"/>
          <w:highlight w:val="none"/>
        </w:rPr>
      </w:pPr>
      <w:r>
        <w:rPr>
          <w:rFonts w:hint="eastAsia"/>
          <w:color w:val="auto"/>
          <w:sz w:val="24"/>
          <w:szCs w:val="22"/>
          <w:highlight w:val="none"/>
        </w:rPr>
        <w:t>经调查，</w:t>
      </w:r>
      <w:r>
        <w:rPr>
          <w:rFonts w:hint="eastAsia"/>
          <w:color w:val="auto"/>
          <w:kern w:val="0"/>
          <w:sz w:val="24"/>
          <w:szCs w:val="24"/>
          <w:highlight w:val="none"/>
        </w:rPr>
        <w:t>水源地一级保护区</w:t>
      </w:r>
      <w:r>
        <w:rPr>
          <w:rFonts w:hint="eastAsia"/>
          <w:color w:val="auto"/>
          <w:sz w:val="24"/>
          <w:szCs w:val="22"/>
          <w:highlight w:val="none"/>
        </w:rPr>
        <w:t>范围内无点源污染。</w:t>
      </w:r>
    </w:p>
    <w:p w14:paraId="5E3E1263">
      <w:pPr>
        <w:spacing w:line="360" w:lineRule="auto"/>
        <w:ind w:firstLine="472" w:firstLineChars="200"/>
        <w:rPr>
          <w:rFonts w:hint="eastAsia"/>
          <w:color w:val="auto"/>
          <w:sz w:val="24"/>
          <w:szCs w:val="22"/>
          <w:highlight w:val="none"/>
        </w:rPr>
      </w:pPr>
      <w:r>
        <w:rPr>
          <w:color w:val="auto"/>
          <w:kern w:val="0"/>
          <w:sz w:val="24"/>
          <w:szCs w:val="24"/>
          <w:highlight w:val="none"/>
        </w:rPr>
        <w:fldChar w:fldCharType="begin"/>
      </w:r>
      <w:r>
        <w:rPr>
          <w:color w:val="auto"/>
          <w:kern w:val="0"/>
          <w:sz w:val="24"/>
          <w:szCs w:val="24"/>
          <w:highlight w:val="none"/>
        </w:rPr>
        <w:instrText xml:space="preserve"> = 2 \* GB3 \* MERGEFORMAT </w:instrText>
      </w:r>
      <w:r>
        <w:rPr>
          <w:color w:val="auto"/>
          <w:kern w:val="0"/>
          <w:sz w:val="24"/>
          <w:szCs w:val="24"/>
          <w:highlight w:val="none"/>
        </w:rPr>
        <w:fldChar w:fldCharType="separate"/>
      </w:r>
      <w:r>
        <w:rPr>
          <w:color w:val="auto"/>
          <w:sz w:val="24"/>
          <w:szCs w:val="24"/>
          <w:highlight w:val="none"/>
        </w:rPr>
        <w:t>②</w:t>
      </w:r>
      <w:r>
        <w:rPr>
          <w:color w:val="auto"/>
          <w:kern w:val="0"/>
          <w:sz w:val="24"/>
          <w:szCs w:val="24"/>
          <w:highlight w:val="none"/>
        </w:rPr>
        <w:fldChar w:fldCharType="end"/>
      </w:r>
      <w:r>
        <w:rPr>
          <w:rFonts w:hint="eastAsia"/>
          <w:color w:val="auto"/>
          <w:sz w:val="24"/>
          <w:szCs w:val="22"/>
          <w:highlight w:val="none"/>
        </w:rPr>
        <w:t>非点源污染</w:t>
      </w:r>
    </w:p>
    <w:p w14:paraId="55215670">
      <w:pPr>
        <w:spacing w:line="360" w:lineRule="auto"/>
        <w:ind w:firstLine="472" w:firstLineChars="200"/>
        <w:rPr>
          <w:rFonts w:hint="eastAsia"/>
          <w:color w:val="auto"/>
          <w:sz w:val="24"/>
          <w:szCs w:val="22"/>
          <w:highlight w:val="none"/>
          <w:lang w:val="zh-CN"/>
        </w:rPr>
      </w:pPr>
      <w:r>
        <w:rPr>
          <w:rFonts w:hint="eastAsia"/>
          <w:color w:val="auto"/>
          <w:sz w:val="24"/>
          <w:szCs w:val="22"/>
          <w:highlight w:val="none"/>
          <w:lang w:val="en-US" w:eastAsia="zh-CN"/>
        </w:rPr>
        <w:t>A.种植业污染</w:t>
      </w:r>
    </w:p>
    <w:p w14:paraId="411729A6">
      <w:pPr>
        <w:spacing w:line="360" w:lineRule="auto"/>
        <w:ind w:firstLine="472" w:firstLineChars="200"/>
        <w:rPr>
          <w:rFonts w:hint="eastAsia" w:eastAsia="宋体"/>
          <w:color w:val="auto"/>
          <w:sz w:val="24"/>
          <w:szCs w:val="22"/>
          <w:highlight w:val="none"/>
          <w:lang w:val="zh-CN" w:eastAsia="zh-CN"/>
        </w:rPr>
      </w:pPr>
      <w:r>
        <w:rPr>
          <w:rFonts w:hint="eastAsia"/>
          <w:color w:val="auto"/>
          <w:sz w:val="24"/>
          <w:szCs w:val="22"/>
          <w:highlight w:val="none"/>
          <w:lang w:val="zh-CN"/>
        </w:rPr>
        <w:t>经调查，</w:t>
      </w:r>
      <w:r>
        <w:rPr>
          <w:rFonts w:hint="eastAsia"/>
          <w:color w:val="auto"/>
          <w:kern w:val="0"/>
          <w:sz w:val="24"/>
          <w:szCs w:val="24"/>
          <w:highlight w:val="none"/>
        </w:rPr>
        <w:t>水源地一级保护区</w:t>
      </w:r>
      <w:r>
        <w:rPr>
          <w:rFonts w:hint="eastAsia"/>
          <w:color w:val="auto"/>
          <w:sz w:val="24"/>
          <w:szCs w:val="22"/>
          <w:highlight w:val="none"/>
          <w:lang w:val="zh-CN"/>
        </w:rPr>
        <w:t>内共有耕地</w:t>
      </w:r>
      <w:r>
        <w:rPr>
          <w:rFonts w:hint="eastAsia"/>
          <w:color w:val="auto"/>
          <w:sz w:val="24"/>
          <w:szCs w:val="22"/>
          <w:highlight w:val="none"/>
          <w:lang w:val="en-US" w:eastAsia="zh-CN"/>
        </w:rPr>
        <w:t>0.659</w:t>
      </w:r>
      <w:r>
        <w:rPr>
          <w:rFonts w:hint="eastAsia"/>
          <w:color w:val="auto"/>
          <w:sz w:val="24"/>
          <w:szCs w:val="22"/>
          <w:highlight w:val="none"/>
        </w:rPr>
        <w:t>公顷</w:t>
      </w:r>
      <w:r>
        <w:rPr>
          <w:rFonts w:hint="eastAsia"/>
          <w:color w:val="auto"/>
          <w:sz w:val="24"/>
          <w:szCs w:val="22"/>
          <w:highlight w:val="none"/>
          <w:lang w:val="zh-CN"/>
        </w:rPr>
        <w:t>，</w:t>
      </w:r>
      <w:r>
        <w:rPr>
          <w:rFonts w:hint="eastAsia"/>
          <w:color w:val="auto"/>
          <w:sz w:val="24"/>
          <w:szCs w:val="22"/>
          <w:highlight w:val="none"/>
        </w:rPr>
        <w:t>主要农作物为玉米</w:t>
      </w:r>
      <w:r>
        <w:rPr>
          <w:rFonts w:hint="eastAsia"/>
          <w:color w:val="auto"/>
          <w:sz w:val="24"/>
          <w:szCs w:val="22"/>
          <w:highlight w:val="none"/>
          <w:lang w:eastAsia="zh-CN"/>
        </w:rPr>
        <w:t>和水稻</w:t>
      </w:r>
      <w:r>
        <w:rPr>
          <w:rFonts w:hint="eastAsia"/>
          <w:color w:val="auto"/>
          <w:sz w:val="24"/>
          <w:szCs w:val="22"/>
          <w:highlight w:val="none"/>
        </w:rPr>
        <w:t>，农作物生长期内大量施用的农药在农田土壤内残留，</w:t>
      </w:r>
      <w:r>
        <w:rPr>
          <w:rFonts w:hint="eastAsia"/>
          <w:color w:val="auto"/>
          <w:sz w:val="24"/>
          <w:szCs w:val="22"/>
          <w:highlight w:val="none"/>
          <w:lang w:eastAsia="zh-CN"/>
        </w:rPr>
        <w:t>有影响到地下水水质的可能性。</w:t>
      </w:r>
    </w:p>
    <w:p w14:paraId="5987FA9B">
      <w:pPr>
        <w:numPr>
          <w:ilvl w:val="0"/>
          <w:numId w:val="0"/>
        </w:numPr>
        <w:spacing w:line="360" w:lineRule="auto"/>
        <w:ind w:firstLine="472" w:firstLineChars="200"/>
        <w:rPr>
          <w:rFonts w:hint="eastAsia"/>
          <w:color w:val="auto"/>
          <w:sz w:val="24"/>
          <w:szCs w:val="22"/>
          <w:highlight w:val="none"/>
          <w:lang w:val="en-US" w:eastAsia="zh-CN"/>
        </w:rPr>
      </w:pPr>
      <w:r>
        <w:rPr>
          <w:rFonts w:hint="eastAsia" w:ascii="Times New Roman" w:hAnsi="Times New Roman" w:eastAsia="宋体" w:cs="Times New Roman"/>
          <w:color w:val="auto"/>
          <w:kern w:val="2"/>
          <w:sz w:val="24"/>
          <w:szCs w:val="22"/>
          <w:highlight w:val="none"/>
          <w:lang w:val="en-US" w:eastAsia="zh-CN" w:bidi="ar-SA"/>
        </w:rPr>
        <w:t>B.</w:t>
      </w:r>
      <w:r>
        <w:rPr>
          <w:rFonts w:hint="eastAsia"/>
          <w:color w:val="auto"/>
          <w:sz w:val="24"/>
          <w:szCs w:val="22"/>
          <w:highlight w:val="none"/>
          <w:lang w:val="en-US" w:eastAsia="zh-CN"/>
        </w:rPr>
        <w:t>废弃居民房</w:t>
      </w:r>
    </w:p>
    <w:p w14:paraId="4F5AED21">
      <w:pPr>
        <w:widowControl w:val="0"/>
        <w:numPr>
          <w:ilvl w:val="0"/>
          <w:numId w:val="0"/>
        </w:numPr>
        <w:spacing w:line="360" w:lineRule="auto"/>
        <w:ind w:firstLine="472" w:firstLineChars="200"/>
        <w:jc w:val="both"/>
        <w:rPr>
          <w:color w:val="auto"/>
          <w:kern w:val="0"/>
          <w:sz w:val="24"/>
          <w:szCs w:val="24"/>
          <w:highlight w:val="none"/>
        </w:rPr>
      </w:pPr>
      <w:r>
        <w:rPr>
          <w:rFonts w:hint="eastAsia"/>
          <w:color w:val="auto"/>
          <w:sz w:val="24"/>
          <w:szCs w:val="22"/>
          <w:highlight w:val="none"/>
          <w:lang w:val="zh-CN"/>
        </w:rPr>
        <w:t>经调查，</w:t>
      </w:r>
      <w:r>
        <w:rPr>
          <w:rFonts w:hint="eastAsia"/>
          <w:color w:val="auto"/>
          <w:kern w:val="0"/>
          <w:sz w:val="24"/>
          <w:szCs w:val="24"/>
          <w:highlight w:val="none"/>
        </w:rPr>
        <w:t>水源地一级保护区</w:t>
      </w:r>
      <w:r>
        <w:rPr>
          <w:rFonts w:hint="eastAsia"/>
          <w:color w:val="auto"/>
          <w:sz w:val="24"/>
          <w:szCs w:val="22"/>
          <w:highlight w:val="none"/>
          <w:lang w:val="zh-CN"/>
        </w:rPr>
        <w:t>内</w:t>
      </w:r>
      <w:r>
        <w:rPr>
          <w:rFonts w:hint="eastAsia"/>
          <w:color w:val="auto"/>
          <w:sz w:val="24"/>
          <w:szCs w:val="22"/>
          <w:highlight w:val="none"/>
          <w:lang w:eastAsia="zh-CN"/>
        </w:rPr>
        <w:t>水井</w:t>
      </w:r>
      <w:r>
        <w:rPr>
          <w:rFonts w:hint="eastAsia"/>
          <w:color w:val="auto"/>
          <w:sz w:val="24"/>
          <w:szCs w:val="22"/>
          <w:highlight w:val="none"/>
          <w:lang w:val="en-US" w:eastAsia="zh-CN"/>
        </w:rPr>
        <w:t>3#南侧有一处废弃居民房，无</w:t>
      </w:r>
      <w:r>
        <w:rPr>
          <w:rFonts w:ascii="宋体" w:hAnsi="宋体" w:eastAsia="宋体" w:cs="宋体"/>
          <w:color w:val="auto"/>
          <w:sz w:val="24"/>
          <w:szCs w:val="24"/>
          <w:highlight w:val="none"/>
        </w:rPr>
        <w:t>生活污水、</w:t>
      </w:r>
      <w:r>
        <w:rPr>
          <w:rFonts w:hint="eastAsia" w:ascii="宋体" w:hAnsi="宋体" w:cs="宋体"/>
          <w:color w:val="auto"/>
          <w:sz w:val="24"/>
          <w:szCs w:val="24"/>
          <w:highlight w:val="none"/>
          <w:lang w:eastAsia="zh-CN"/>
        </w:rPr>
        <w:t>生活垃圾外</w:t>
      </w:r>
      <w:r>
        <w:rPr>
          <w:rFonts w:ascii="宋体" w:hAnsi="宋体" w:eastAsia="宋体" w:cs="宋体"/>
          <w:color w:val="auto"/>
          <w:sz w:val="24"/>
          <w:szCs w:val="24"/>
          <w:highlight w:val="none"/>
        </w:rPr>
        <w:t>排</w:t>
      </w:r>
      <w:r>
        <w:rPr>
          <w:rFonts w:hint="eastAsia"/>
          <w:color w:val="auto"/>
          <w:sz w:val="24"/>
          <w:szCs w:val="22"/>
          <w:highlight w:val="none"/>
          <w:lang w:val="en-US" w:eastAsia="zh-CN"/>
        </w:rPr>
        <w:t>。</w:t>
      </w:r>
    </w:p>
    <w:p w14:paraId="0C157225">
      <w:pPr>
        <w:spacing w:line="360" w:lineRule="auto"/>
        <w:ind w:firstLine="472" w:firstLineChars="200"/>
        <w:rPr>
          <w:rFonts w:hint="eastAsia"/>
          <w:color w:val="auto"/>
          <w:sz w:val="24"/>
          <w:szCs w:val="22"/>
          <w:highlight w:val="none"/>
        </w:rPr>
      </w:pPr>
      <w:r>
        <w:rPr>
          <w:color w:val="auto"/>
          <w:kern w:val="0"/>
          <w:sz w:val="24"/>
          <w:szCs w:val="24"/>
          <w:highlight w:val="none"/>
        </w:rPr>
        <w:fldChar w:fldCharType="begin"/>
      </w:r>
      <w:r>
        <w:rPr>
          <w:color w:val="auto"/>
          <w:kern w:val="0"/>
          <w:sz w:val="24"/>
          <w:szCs w:val="24"/>
          <w:highlight w:val="none"/>
        </w:rPr>
        <w:instrText xml:space="preserve"> = 3 \* GB3 \* MERGEFORMAT </w:instrText>
      </w:r>
      <w:r>
        <w:rPr>
          <w:color w:val="auto"/>
          <w:kern w:val="0"/>
          <w:sz w:val="24"/>
          <w:szCs w:val="24"/>
          <w:highlight w:val="none"/>
        </w:rPr>
        <w:fldChar w:fldCharType="separate"/>
      </w:r>
      <w:r>
        <w:rPr>
          <w:color w:val="auto"/>
          <w:sz w:val="24"/>
          <w:szCs w:val="24"/>
          <w:highlight w:val="none"/>
        </w:rPr>
        <w:t>③</w:t>
      </w:r>
      <w:r>
        <w:rPr>
          <w:color w:val="auto"/>
          <w:kern w:val="0"/>
          <w:sz w:val="24"/>
          <w:szCs w:val="24"/>
          <w:highlight w:val="none"/>
        </w:rPr>
        <w:fldChar w:fldCharType="end"/>
      </w:r>
      <w:r>
        <w:rPr>
          <w:rFonts w:hint="eastAsia"/>
          <w:color w:val="auto"/>
          <w:sz w:val="24"/>
          <w:szCs w:val="22"/>
          <w:highlight w:val="none"/>
        </w:rPr>
        <w:t>流动源</w:t>
      </w:r>
      <w:r>
        <w:rPr>
          <w:color w:val="auto"/>
          <w:sz w:val="24"/>
          <w:szCs w:val="24"/>
          <w:highlight w:val="none"/>
        </w:rPr>
        <w:t>和其他</w:t>
      </w:r>
      <w:r>
        <w:rPr>
          <w:rFonts w:hint="eastAsia"/>
          <w:color w:val="auto"/>
          <w:sz w:val="24"/>
          <w:szCs w:val="22"/>
          <w:highlight w:val="none"/>
        </w:rPr>
        <w:t>污染</w:t>
      </w:r>
    </w:p>
    <w:p w14:paraId="21CAC824">
      <w:pPr>
        <w:spacing w:line="360" w:lineRule="auto"/>
        <w:ind w:firstLine="472" w:firstLineChars="200"/>
        <w:rPr>
          <w:rFonts w:hint="eastAsia"/>
          <w:color w:val="auto"/>
          <w:sz w:val="24"/>
          <w:szCs w:val="22"/>
          <w:highlight w:val="none"/>
        </w:rPr>
      </w:pPr>
      <w:r>
        <w:rPr>
          <w:rFonts w:hint="eastAsia"/>
          <w:color w:val="auto"/>
          <w:sz w:val="24"/>
          <w:szCs w:val="22"/>
          <w:highlight w:val="none"/>
          <w:lang w:val="zh-CN"/>
        </w:rPr>
        <w:t>经调查，</w:t>
      </w:r>
      <w:r>
        <w:rPr>
          <w:rFonts w:hint="eastAsia"/>
          <w:color w:val="auto"/>
          <w:sz w:val="24"/>
          <w:szCs w:val="22"/>
          <w:highlight w:val="none"/>
        </w:rPr>
        <w:t>水源地一级保护区内</w:t>
      </w:r>
      <w:r>
        <w:rPr>
          <w:rFonts w:hint="eastAsia"/>
          <w:color w:val="auto"/>
          <w:sz w:val="24"/>
          <w:szCs w:val="22"/>
          <w:highlight w:val="none"/>
          <w:lang w:eastAsia="zh-CN"/>
        </w:rPr>
        <w:t>水井</w:t>
      </w:r>
      <w:r>
        <w:rPr>
          <w:rFonts w:hint="eastAsia"/>
          <w:color w:val="auto"/>
          <w:sz w:val="24"/>
          <w:szCs w:val="22"/>
          <w:highlight w:val="none"/>
          <w:lang w:val="en-US" w:eastAsia="zh-CN"/>
        </w:rPr>
        <w:t>1#</w:t>
      </w:r>
      <w:r>
        <w:rPr>
          <w:rFonts w:hint="eastAsia"/>
          <w:color w:val="auto"/>
          <w:sz w:val="24"/>
          <w:szCs w:val="22"/>
          <w:highlight w:val="none"/>
          <w:lang w:eastAsia="zh-CN"/>
        </w:rPr>
        <w:t>北</w:t>
      </w:r>
      <w:r>
        <w:rPr>
          <w:rFonts w:hint="eastAsia"/>
          <w:color w:val="auto"/>
          <w:sz w:val="24"/>
          <w:szCs w:val="22"/>
          <w:highlight w:val="none"/>
        </w:rPr>
        <w:t>侧有乡村道路穿越，穿越长度</w:t>
      </w:r>
      <w:r>
        <w:rPr>
          <w:rFonts w:hint="eastAsia"/>
          <w:color w:val="auto"/>
          <w:sz w:val="24"/>
          <w:szCs w:val="22"/>
          <w:highlight w:val="none"/>
          <w:lang w:val="en-US" w:eastAsia="zh-CN"/>
        </w:rPr>
        <w:t>57</w:t>
      </w:r>
      <w:r>
        <w:rPr>
          <w:rFonts w:hint="eastAsia"/>
          <w:color w:val="auto"/>
          <w:sz w:val="24"/>
          <w:szCs w:val="22"/>
          <w:highlight w:val="none"/>
        </w:rPr>
        <w:t>米</w:t>
      </w:r>
      <w:r>
        <w:rPr>
          <w:rFonts w:hint="eastAsia"/>
          <w:color w:val="auto"/>
          <w:sz w:val="24"/>
          <w:szCs w:val="22"/>
          <w:highlight w:val="none"/>
          <w:lang w:eastAsia="zh-CN"/>
        </w:rPr>
        <w:t>；水井</w:t>
      </w:r>
      <w:r>
        <w:rPr>
          <w:rFonts w:hint="eastAsia"/>
          <w:color w:val="auto"/>
          <w:sz w:val="24"/>
          <w:szCs w:val="22"/>
          <w:highlight w:val="none"/>
          <w:lang w:val="en-US" w:eastAsia="zh-CN"/>
        </w:rPr>
        <w:t>2#北</w:t>
      </w:r>
      <w:r>
        <w:rPr>
          <w:rFonts w:hint="eastAsia"/>
          <w:color w:val="auto"/>
          <w:sz w:val="24"/>
          <w:szCs w:val="22"/>
          <w:highlight w:val="none"/>
        </w:rPr>
        <w:t>侧有乡村道路穿越，穿越长度</w:t>
      </w:r>
      <w:r>
        <w:rPr>
          <w:rFonts w:hint="eastAsia"/>
          <w:color w:val="auto"/>
          <w:sz w:val="24"/>
          <w:szCs w:val="22"/>
          <w:highlight w:val="none"/>
          <w:lang w:val="en-US" w:eastAsia="zh-CN"/>
        </w:rPr>
        <w:t>58</w:t>
      </w:r>
      <w:r>
        <w:rPr>
          <w:rFonts w:hint="eastAsia"/>
          <w:color w:val="auto"/>
          <w:sz w:val="24"/>
          <w:szCs w:val="22"/>
          <w:highlight w:val="none"/>
        </w:rPr>
        <w:t>米</w:t>
      </w:r>
      <w:r>
        <w:rPr>
          <w:rFonts w:hint="eastAsia"/>
          <w:color w:val="auto"/>
          <w:sz w:val="24"/>
          <w:szCs w:val="22"/>
          <w:highlight w:val="none"/>
          <w:lang w:eastAsia="zh-CN"/>
        </w:rPr>
        <w:t>；水井</w:t>
      </w:r>
      <w:r>
        <w:rPr>
          <w:rFonts w:hint="eastAsia"/>
          <w:color w:val="auto"/>
          <w:sz w:val="24"/>
          <w:szCs w:val="22"/>
          <w:highlight w:val="none"/>
          <w:lang w:val="en-US" w:eastAsia="zh-CN"/>
        </w:rPr>
        <w:t>3#</w:t>
      </w:r>
      <w:r>
        <w:rPr>
          <w:rFonts w:hint="eastAsia"/>
          <w:color w:val="auto"/>
          <w:sz w:val="24"/>
          <w:szCs w:val="22"/>
          <w:highlight w:val="none"/>
          <w:lang w:eastAsia="zh-CN"/>
        </w:rPr>
        <w:t>北</w:t>
      </w:r>
      <w:r>
        <w:rPr>
          <w:rFonts w:hint="eastAsia"/>
          <w:color w:val="auto"/>
          <w:sz w:val="24"/>
          <w:szCs w:val="22"/>
          <w:highlight w:val="none"/>
        </w:rPr>
        <w:t>侧有乡村道路穿越，穿越长度</w:t>
      </w:r>
      <w:r>
        <w:rPr>
          <w:rFonts w:hint="eastAsia"/>
          <w:color w:val="auto"/>
          <w:sz w:val="24"/>
          <w:szCs w:val="22"/>
          <w:highlight w:val="none"/>
          <w:lang w:val="en-US" w:eastAsia="zh-CN"/>
        </w:rPr>
        <w:t>57</w:t>
      </w:r>
      <w:r>
        <w:rPr>
          <w:rFonts w:hint="eastAsia"/>
          <w:color w:val="auto"/>
          <w:sz w:val="24"/>
          <w:szCs w:val="22"/>
          <w:highlight w:val="none"/>
        </w:rPr>
        <w:t>米</w:t>
      </w:r>
      <w:r>
        <w:rPr>
          <w:rFonts w:hint="eastAsia"/>
          <w:color w:val="auto"/>
          <w:sz w:val="24"/>
          <w:szCs w:val="22"/>
          <w:highlight w:val="none"/>
          <w:lang w:eastAsia="zh-CN"/>
        </w:rPr>
        <w:t>；</w:t>
      </w:r>
      <w:r>
        <w:rPr>
          <w:rFonts w:hint="eastAsia"/>
          <w:color w:val="auto"/>
          <w:sz w:val="24"/>
          <w:szCs w:val="22"/>
          <w:highlight w:val="none"/>
        </w:rPr>
        <w:t>道路已禁止有毒有害物质和危险化学品的运输，存在部分农药运输情况。</w:t>
      </w:r>
    </w:p>
    <w:p w14:paraId="52CCCEC7">
      <w:pPr>
        <w:spacing w:line="360" w:lineRule="auto"/>
        <w:ind w:firstLine="472" w:firstLineChars="200"/>
        <w:rPr>
          <w:rFonts w:hint="eastAsia"/>
          <w:color w:val="auto"/>
          <w:sz w:val="24"/>
          <w:szCs w:val="22"/>
          <w:highlight w:val="none"/>
        </w:rPr>
        <w:sectPr>
          <w:pgSz w:w="11905" w:h="16838"/>
          <w:pgMar w:top="1474" w:right="1474" w:bottom="1474" w:left="1474" w:header="964" w:footer="992" w:gutter="0"/>
          <w:pgBorders>
            <w:top w:val="none" w:sz="0" w:space="0"/>
            <w:left w:val="none" w:sz="0" w:space="0"/>
            <w:bottom w:val="none" w:sz="0" w:space="0"/>
            <w:right w:val="none" w:sz="0" w:space="0"/>
          </w:pgBorders>
          <w:pgNumType w:fmt="decimal"/>
          <w:cols w:space="720" w:num="1"/>
          <w:docGrid w:type="linesAndChars" w:linePitch="347" w:charSpace="-1024"/>
        </w:sectPr>
      </w:pPr>
    </w:p>
    <w:p w14:paraId="582A4D29">
      <w:pPr>
        <w:keepNext w:val="0"/>
        <w:keepLines w:val="0"/>
        <w:pageBreakBefore w:val="0"/>
        <w:widowControl w:val="0"/>
        <w:kinsoku/>
        <w:wordWrap/>
        <w:overflowPunct/>
        <w:topLinePunct w:val="0"/>
        <w:bidi w:val="0"/>
        <w:snapToGrid/>
        <w:spacing w:line="360" w:lineRule="auto"/>
        <w:jc w:val="center"/>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drawing>
          <wp:inline distT="0" distB="0" distL="114300" distR="114300">
            <wp:extent cx="7007860" cy="4954270"/>
            <wp:effectExtent l="0" t="0" r="2540" b="17780"/>
            <wp:docPr id="93" name="图片 93" descr="丰收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丰收乡"/>
                    <pic:cNvPicPr>
                      <a:picLocks noChangeAspect="1"/>
                    </pic:cNvPicPr>
                  </pic:nvPicPr>
                  <pic:blipFill>
                    <a:blip r:embed="rId118"/>
                    <a:stretch>
                      <a:fillRect/>
                    </a:stretch>
                  </pic:blipFill>
                  <pic:spPr>
                    <a:xfrm>
                      <a:off x="0" y="0"/>
                      <a:ext cx="7007860" cy="4954270"/>
                    </a:xfrm>
                    <a:prstGeom prst="rect">
                      <a:avLst/>
                    </a:prstGeom>
                  </pic:spPr>
                </pic:pic>
              </a:graphicData>
            </a:graphic>
          </wp:inline>
        </w:drawing>
      </w:r>
    </w:p>
    <w:p w14:paraId="3370467C">
      <w:pPr>
        <w:keepNext w:val="0"/>
        <w:keepLines w:val="0"/>
        <w:pageBreakBefore w:val="0"/>
        <w:widowControl w:val="0"/>
        <w:kinsoku/>
        <w:wordWrap/>
        <w:overflowPunct/>
        <w:topLinePunct w:val="0"/>
        <w:bidi w:val="0"/>
        <w:snapToGrid/>
        <w:spacing w:line="360" w:lineRule="auto"/>
        <w:jc w:val="center"/>
        <w:textAlignment w:val="auto"/>
        <w:rPr>
          <w:rFonts w:hint="eastAsia" w:ascii="Times New Roman" w:hAnsi="Times New Roman" w:eastAsia="宋体" w:cs="Times New Roman"/>
          <w:color w:val="auto"/>
          <w:sz w:val="24"/>
          <w:szCs w:val="24"/>
          <w:highlight w:val="none"/>
          <w:lang w:eastAsia="zh-CN"/>
        </w:rPr>
      </w:pPr>
      <w:r>
        <w:rPr>
          <w:rFonts w:hint="eastAsia" w:ascii="Times New Roman" w:hAnsi="Times New Roman" w:cs="Times New Roman"/>
          <w:color w:val="auto"/>
          <w:sz w:val="24"/>
          <w:szCs w:val="24"/>
          <w:highlight w:val="none"/>
          <w:lang w:val="en-US" w:eastAsia="zh-CN"/>
        </w:rPr>
        <w:t>图4-</w:t>
      </w:r>
      <w:r>
        <w:rPr>
          <w:rFonts w:hint="eastAsia" w:cs="Times New Roman"/>
          <w:color w:val="auto"/>
          <w:sz w:val="24"/>
          <w:szCs w:val="24"/>
          <w:highlight w:val="none"/>
          <w:lang w:val="en-US" w:eastAsia="zh-CN"/>
        </w:rPr>
        <w:t>20</w:t>
      </w:r>
      <w:r>
        <w:rPr>
          <w:rFonts w:hint="eastAsia" w:ascii="Times New Roman" w:hAnsi="Times New Roman" w:cs="Times New Roman"/>
          <w:color w:val="auto"/>
          <w:sz w:val="24"/>
          <w:szCs w:val="24"/>
          <w:highlight w:val="none"/>
          <w:lang w:val="en-US" w:eastAsia="zh-CN"/>
        </w:rPr>
        <w:t xml:space="preserve">  </w:t>
      </w:r>
      <w:r>
        <w:rPr>
          <w:rFonts w:hint="eastAsia" w:ascii="Times New Roman" w:hAnsi="Times New Roman" w:eastAsia="宋体" w:cs="Times New Roman"/>
          <w:color w:val="auto"/>
          <w:sz w:val="24"/>
          <w:szCs w:val="24"/>
          <w:highlight w:val="none"/>
          <w:lang w:val="en-US" w:eastAsia="zh-CN"/>
        </w:rPr>
        <w:t>丰收乡饮用水水源地</w:t>
      </w:r>
      <w:r>
        <w:rPr>
          <w:rFonts w:hint="eastAsia" w:cs="Times New Roman"/>
          <w:color w:val="auto"/>
          <w:sz w:val="24"/>
          <w:szCs w:val="24"/>
          <w:highlight w:val="none"/>
          <w:lang w:eastAsia="zh-CN"/>
        </w:rPr>
        <w:t>保护区内</w:t>
      </w:r>
      <w:r>
        <w:rPr>
          <w:rFonts w:ascii="Times New Roman" w:hAnsi="Times New Roman" w:eastAsia="宋体" w:cs="Times New Roman"/>
          <w:color w:val="auto"/>
          <w:sz w:val="24"/>
          <w:szCs w:val="24"/>
          <w:highlight w:val="none"/>
        </w:rPr>
        <w:t>污染</w:t>
      </w:r>
      <w:r>
        <w:rPr>
          <w:rFonts w:hint="eastAsia" w:ascii="Times New Roman" w:hAnsi="Times New Roman" w:eastAsia="宋体" w:cs="Times New Roman"/>
          <w:color w:val="auto"/>
          <w:sz w:val="24"/>
          <w:szCs w:val="24"/>
          <w:highlight w:val="none"/>
          <w:lang w:eastAsia="zh-CN"/>
        </w:rPr>
        <w:t>源分布图</w:t>
      </w:r>
      <w:r>
        <w:rPr>
          <w:rFonts w:hint="eastAsia" w:cs="Times New Roman"/>
          <w:color w:val="auto"/>
          <w:sz w:val="24"/>
          <w:szCs w:val="24"/>
          <w:highlight w:val="none"/>
          <w:lang w:eastAsia="zh-CN"/>
        </w:rPr>
        <w:t>（水井</w:t>
      </w:r>
      <w:r>
        <w:rPr>
          <w:rFonts w:hint="eastAsia" w:cs="Times New Roman"/>
          <w:color w:val="auto"/>
          <w:sz w:val="24"/>
          <w:szCs w:val="24"/>
          <w:highlight w:val="none"/>
          <w:lang w:val="en-US" w:eastAsia="zh-CN"/>
        </w:rPr>
        <w:t>1#、</w:t>
      </w:r>
      <w:r>
        <w:rPr>
          <w:rFonts w:hint="eastAsia" w:cs="Times New Roman"/>
          <w:color w:val="auto"/>
          <w:sz w:val="24"/>
          <w:szCs w:val="24"/>
          <w:highlight w:val="none"/>
          <w:lang w:eastAsia="zh-CN"/>
        </w:rPr>
        <w:t>水井</w:t>
      </w:r>
      <w:r>
        <w:rPr>
          <w:rFonts w:hint="eastAsia" w:cs="Times New Roman"/>
          <w:color w:val="auto"/>
          <w:sz w:val="24"/>
          <w:szCs w:val="24"/>
          <w:highlight w:val="none"/>
          <w:lang w:val="en-US" w:eastAsia="zh-CN"/>
        </w:rPr>
        <w:t>2#、</w:t>
      </w:r>
      <w:r>
        <w:rPr>
          <w:rFonts w:hint="eastAsia" w:cs="Times New Roman"/>
          <w:color w:val="auto"/>
          <w:sz w:val="24"/>
          <w:szCs w:val="24"/>
          <w:highlight w:val="none"/>
          <w:lang w:eastAsia="zh-CN"/>
        </w:rPr>
        <w:t>水井</w:t>
      </w:r>
      <w:r>
        <w:rPr>
          <w:rFonts w:hint="eastAsia" w:cs="Times New Roman"/>
          <w:color w:val="auto"/>
          <w:sz w:val="24"/>
          <w:szCs w:val="24"/>
          <w:highlight w:val="none"/>
          <w:lang w:val="en-US" w:eastAsia="zh-CN"/>
        </w:rPr>
        <w:t>3#</w:t>
      </w:r>
      <w:r>
        <w:rPr>
          <w:rFonts w:hint="eastAsia" w:cs="Times New Roman"/>
          <w:color w:val="auto"/>
          <w:sz w:val="24"/>
          <w:szCs w:val="24"/>
          <w:highlight w:val="none"/>
          <w:lang w:eastAsia="zh-CN"/>
        </w:rPr>
        <w:t>）</w:t>
      </w:r>
    </w:p>
    <w:p w14:paraId="24C02149">
      <w:pPr>
        <w:spacing w:line="360" w:lineRule="auto"/>
        <w:ind w:firstLine="472" w:firstLineChars="200"/>
        <w:rPr>
          <w:rFonts w:hint="eastAsia"/>
          <w:color w:val="auto"/>
          <w:sz w:val="24"/>
          <w:szCs w:val="22"/>
          <w:highlight w:val="none"/>
        </w:rPr>
        <w:sectPr>
          <w:pgSz w:w="16838" w:h="11905" w:orient="landscape"/>
          <w:pgMar w:top="1474" w:right="1474" w:bottom="1474" w:left="1474" w:header="964" w:footer="992" w:gutter="0"/>
          <w:pgBorders>
            <w:top w:val="none" w:sz="0" w:space="0"/>
            <w:left w:val="none" w:sz="0" w:space="0"/>
            <w:bottom w:val="none" w:sz="0" w:space="0"/>
            <w:right w:val="none" w:sz="0" w:space="0"/>
          </w:pgBorders>
          <w:pgNumType w:fmt="decimal"/>
          <w:cols w:space="720" w:num="1"/>
          <w:docGrid w:type="linesAndChars" w:linePitch="347" w:charSpace="-1024"/>
        </w:sectPr>
      </w:pPr>
    </w:p>
    <w:p w14:paraId="3D3CE3E8">
      <w:pPr>
        <w:pStyle w:val="6"/>
        <w:bidi w:val="0"/>
        <w:rPr>
          <w:rFonts w:hint="eastAsia"/>
          <w:color w:val="auto"/>
          <w:sz w:val="24"/>
          <w:szCs w:val="24"/>
          <w:highlight w:val="none"/>
        </w:rPr>
      </w:pPr>
      <w:r>
        <w:rPr>
          <w:rFonts w:hint="eastAsia" w:ascii="Times New Roman" w:hAnsi="Times New Roman" w:eastAsia="宋体" w:cs="Times New Roman"/>
          <w:color w:val="auto"/>
          <w:kern w:val="2"/>
          <w:sz w:val="24"/>
          <w:szCs w:val="24"/>
          <w:highlight w:val="none"/>
          <w:lang w:val="en-US" w:eastAsia="zh-CN" w:bidi="ar-SA"/>
        </w:rPr>
        <w:t>7）</w:t>
      </w:r>
      <w:r>
        <w:rPr>
          <w:rFonts w:hint="eastAsia"/>
          <w:color w:val="auto"/>
          <w:sz w:val="24"/>
          <w:szCs w:val="24"/>
          <w:highlight w:val="none"/>
        </w:rPr>
        <w:t>绥化市</w:t>
      </w:r>
      <w:r>
        <w:rPr>
          <w:rFonts w:hint="eastAsia" w:ascii="Times New Roman" w:hAnsi="Times New Roman" w:eastAsia="宋体" w:cs="Times New Roman"/>
          <w:color w:val="auto"/>
          <w:kern w:val="2"/>
          <w:sz w:val="24"/>
          <w:szCs w:val="24"/>
          <w:highlight w:val="none"/>
          <w:lang w:val="en-US" w:eastAsia="zh-CN" w:bidi="ar-SA"/>
        </w:rPr>
        <w:t>庆安县</w:t>
      </w:r>
      <w:r>
        <w:rPr>
          <w:rFonts w:hint="eastAsia"/>
          <w:color w:val="auto"/>
          <w:sz w:val="24"/>
          <w:szCs w:val="24"/>
          <w:highlight w:val="none"/>
        </w:rPr>
        <w:t>平安镇饮用水水源地</w:t>
      </w:r>
    </w:p>
    <w:p w14:paraId="5D8B58FA">
      <w:pPr>
        <w:spacing w:line="360" w:lineRule="auto"/>
        <w:ind w:firstLine="472" w:firstLineChars="200"/>
        <w:rPr>
          <w:rFonts w:hint="eastAsia"/>
          <w:color w:val="auto"/>
          <w:sz w:val="24"/>
          <w:szCs w:val="24"/>
          <w:highlight w:val="none"/>
        </w:rPr>
      </w:pPr>
      <w:r>
        <w:rPr>
          <w:color w:val="auto"/>
          <w:kern w:val="0"/>
          <w:sz w:val="24"/>
          <w:szCs w:val="24"/>
          <w:highlight w:val="none"/>
        </w:rPr>
        <w:fldChar w:fldCharType="begin"/>
      </w:r>
      <w:r>
        <w:rPr>
          <w:color w:val="auto"/>
          <w:kern w:val="0"/>
          <w:sz w:val="24"/>
          <w:szCs w:val="24"/>
          <w:highlight w:val="none"/>
        </w:rPr>
        <w:instrText xml:space="preserve"> = 1 \* GB3 \* MERGEFORMAT </w:instrText>
      </w:r>
      <w:r>
        <w:rPr>
          <w:color w:val="auto"/>
          <w:kern w:val="0"/>
          <w:sz w:val="24"/>
          <w:szCs w:val="24"/>
          <w:highlight w:val="none"/>
        </w:rPr>
        <w:fldChar w:fldCharType="separate"/>
      </w:r>
      <w:r>
        <w:rPr>
          <w:color w:val="auto"/>
          <w:sz w:val="24"/>
          <w:szCs w:val="24"/>
          <w:highlight w:val="none"/>
        </w:rPr>
        <w:t>①</w:t>
      </w:r>
      <w:r>
        <w:rPr>
          <w:color w:val="auto"/>
          <w:kern w:val="0"/>
          <w:sz w:val="24"/>
          <w:szCs w:val="24"/>
          <w:highlight w:val="none"/>
        </w:rPr>
        <w:fldChar w:fldCharType="end"/>
      </w:r>
      <w:r>
        <w:rPr>
          <w:rFonts w:hint="eastAsia"/>
          <w:color w:val="auto"/>
          <w:sz w:val="24"/>
          <w:szCs w:val="24"/>
          <w:highlight w:val="none"/>
        </w:rPr>
        <w:t>点源污染</w:t>
      </w:r>
    </w:p>
    <w:p w14:paraId="4BF89584">
      <w:pPr>
        <w:spacing w:line="360" w:lineRule="auto"/>
        <w:ind w:firstLine="472" w:firstLineChars="200"/>
        <w:rPr>
          <w:color w:val="auto"/>
          <w:highlight w:val="none"/>
        </w:rPr>
      </w:pPr>
      <w:r>
        <w:rPr>
          <w:rFonts w:hint="eastAsia"/>
          <w:color w:val="auto"/>
          <w:sz w:val="24"/>
          <w:szCs w:val="22"/>
          <w:highlight w:val="none"/>
        </w:rPr>
        <w:t>经调查，</w:t>
      </w:r>
      <w:r>
        <w:rPr>
          <w:rFonts w:hint="eastAsia"/>
          <w:color w:val="auto"/>
          <w:kern w:val="0"/>
          <w:sz w:val="24"/>
          <w:szCs w:val="24"/>
          <w:highlight w:val="none"/>
        </w:rPr>
        <w:t>水源地一级保护区</w:t>
      </w:r>
      <w:r>
        <w:rPr>
          <w:rFonts w:hint="eastAsia"/>
          <w:color w:val="auto"/>
          <w:sz w:val="24"/>
          <w:szCs w:val="22"/>
          <w:highlight w:val="none"/>
        </w:rPr>
        <w:t>范围内无点源污染。</w:t>
      </w:r>
    </w:p>
    <w:p w14:paraId="10BBDEE5">
      <w:pPr>
        <w:spacing w:line="360" w:lineRule="auto"/>
        <w:ind w:firstLine="472" w:firstLineChars="200"/>
        <w:rPr>
          <w:rFonts w:hint="eastAsia"/>
          <w:color w:val="auto"/>
          <w:sz w:val="24"/>
          <w:szCs w:val="22"/>
          <w:highlight w:val="none"/>
        </w:rPr>
      </w:pPr>
      <w:r>
        <w:rPr>
          <w:color w:val="auto"/>
          <w:kern w:val="0"/>
          <w:sz w:val="24"/>
          <w:szCs w:val="24"/>
          <w:highlight w:val="none"/>
        </w:rPr>
        <w:fldChar w:fldCharType="begin"/>
      </w:r>
      <w:r>
        <w:rPr>
          <w:color w:val="auto"/>
          <w:kern w:val="0"/>
          <w:sz w:val="24"/>
          <w:szCs w:val="24"/>
          <w:highlight w:val="none"/>
        </w:rPr>
        <w:instrText xml:space="preserve"> = 2 \* GB3 \* MERGEFORMAT </w:instrText>
      </w:r>
      <w:r>
        <w:rPr>
          <w:color w:val="auto"/>
          <w:kern w:val="0"/>
          <w:sz w:val="24"/>
          <w:szCs w:val="24"/>
          <w:highlight w:val="none"/>
        </w:rPr>
        <w:fldChar w:fldCharType="separate"/>
      </w:r>
      <w:r>
        <w:rPr>
          <w:color w:val="auto"/>
          <w:sz w:val="24"/>
          <w:szCs w:val="24"/>
          <w:highlight w:val="none"/>
        </w:rPr>
        <w:t>②</w:t>
      </w:r>
      <w:r>
        <w:rPr>
          <w:color w:val="auto"/>
          <w:kern w:val="0"/>
          <w:sz w:val="24"/>
          <w:szCs w:val="24"/>
          <w:highlight w:val="none"/>
        </w:rPr>
        <w:fldChar w:fldCharType="end"/>
      </w:r>
      <w:r>
        <w:rPr>
          <w:rFonts w:hint="eastAsia"/>
          <w:color w:val="auto"/>
          <w:sz w:val="24"/>
          <w:szCs w:val="22"/>
          <w:highlight w:val="none"/>
        </w:rPr>
        <w:t>非点源污染</w:t>
      </w:r>
    </w:p>
    <w:p w14:paraId="2C5759F7">
      <w:pPr>
        <w:spacing w:line="360" w:lineRule="auto"/>
        <w:ind w:firstLine="472" w:firstLineChars="200"/>
        <w:rPr>
          <w:rFonts w:hint="eastAsia"/>
          <w:color w:val="auto"/>
          <w:sz w:val="24"/>
          <w:szCs w:val="22"/>
          <w:highlight w:val="none"/>
          <w:lang w:val="zh-CN"/>
        </w:rPr>
      </w:pPr>
      <w:r>
        <w:rPr>
          <w:rFonts w:hint="eastAsia"/>
          <w:color w:val="auto"/>
          <w:sz w:val="24"/>
          <w:szCs w:val="22"/>
          <w:highlight w:val="none"/>
          <w:lang w:val="en-US" w:eastAsia="zh-CN"/>
        </w:rPr>
        <w:t>A.种植业污染</w:t>
      </w:r>
    </w:p>
    <w:p w14:paraId="703B1793">
      <w:pPr>
        <w:spacing w:line="360" w:lineRule="auto"/>
        <w:ind w:firstLine="472" w:firstLineChars="200"/>
        <w:rPr>
          <w:rFonts w:hint="eastAsia" w:eastAsia="宋体"/>
          <w:color w:val="auto"/>
          <w:sz w:val="24"/>
          <w:szCs w:val="22"/>
          <w:highlight w:val="none"/>
          <w:lang w:val="zh-CN" w:eastAsia="zh-CN"/>
        </w:rPr>
      </w:pPr>
      <w:r>
        <w:rPr>
          <w:rFonts w:hint="eastAsia"/>
          <w:color w:val="auto"/>
          <w:sz w:val="24"/>
          <w:szCs w:val="22"/>
          <w:highlight w:val="none"/>
          <w:lang w:val="zh-CN"/>
        </w:rPr>
        <w:t>经调查，</w:t>
      </w:r>
      <w:r>
        <w:rPr>
          <w:rFonts w:hint="eastAsia"/>
          <w:color w:val="auto"/>
          <w:kern w:val="0"/>
          <w:sz w:val="24"/>
          <w:szCs w:val="24"/>
          <w:highlight w:val="none"/>
        </w:rPr>
        <w:t>水源地一级保护区</w:t>
      </w:r>
      <w:r>
        <w:rPr>
          <w:rFonts w:hint="eastAsia"/>
          <w:color w:val="auto"/>
          <w:sz w:val="24"/>
          <w:szCs w:val="22"/>
          <w:highlight w:val="none"/>
          <w:lang w:val="zh-CN"/>
        </w:rPr>
        <w:t>内共有耕地</w:t>
      </w:r>
      <w:r>
        <w:rPr>
          <w:rFonts w:hint="eastAsia"/>
          <w:color w:val="auto"/>
          <w:sz w:val="24"/>
          <w:szCs w:val="22"/>
          <w:highlight w:val="none"/>
          <w:lang w:val="en-US" w:eastAsia="zh-CN"/>
        </w:rPr>
        <w:t>0.108</w:t>
      </w:r>
      <w:r>
        <w:rPr>
          <w:rFonts w:hint="eastAsia"/>
          <w:color w:val="auto"/>
          <w:sz w:val="24"/>
          <w:szCs w:val="22"/>
          <w:highlight w:val="none"/>
        </w:rPr>
        <w:t>公顷</w:t>
      </w:r>
      <w:r>
        <w:rPr>
          <w:rFonts w:hint="eastAsia"/>
          <w:color w:val="auto"/>
          <w:sz w:val="24"/>
          <w:szCs w:val="22"/>
          <w:highlight w:val="none"/>
          <w:lang w:val="zh-CN"/>
        </w:rPr>
        <w:t>，</w:t>
      </w:r>
      <w:r>
        <w:rPr>
          <w:rFonts w:hint="eastAsia"/>
          <w:color w:val="auto"/>
          <w:sz w:val="24"/>
          <w:szCs w:val="22"/>
          <w:highlight w:val="none"/>
        </w:rPr>
        <w:t>主要农作物为玉米</w:t>
      </w:r>
      <w:r>
        <w:rPr>
          <w:rFonts w:hint="eastAsia"/>
          <w:color w:val="auto"/>
          <w:sz w:val="24"/>
          <w:szCs w:val="22"/>
          <w:highlight w:val="none"/>
          <w:lang w:eastAsia="zh-CN"/>
        </w:rPr>
        <w:t>和水稻</w:t>
      </w:r>
      <w:r>
        <w:rPr>
          <w:rFonts w:hint="eastAsia"/>
          <w:color w:val="auto"/>
          <w:sz w:val="24"/>
          <w:szCs w:val="22"/>
          <w:highlight w:val="none"/>
        </w:rPr>
        <w:t>，农作物生长期内大量施用的农药在农田土壤内残留，</w:t>
      </w:r>
      <w:r>
        <w:rPr>
          <w:rFonts w:hint="eastAsia"/>
          <w:color w:val="auto"/>
          <w:sz w:val="24"/>
          <w:szCs w:val="22"/>
          <w:highlight w:val="none"/>
          <w:lang w:eastAsia="zh-CN"/>
        </w:rPr>
        <w:t>有影响到地下水水质的可能性。</w:t>
      </w:r>
    </w:p>
    <w:p w14:paraId="68E3B641">
      <w:pPr>
        <w:numPr>
          <w:ilvl w:val="0"/>
          <w:numId w:val="0"/>
        </w:numPr>
        <w:spacing w:line="360" w:lineRule="auto"/>
        <w:ind w:firstLine="472" w:firstLineChars="200"/>
        <w:rPr>
          <w:rFonts w:hint="eastAsia"/>
          <w:color w:val="auto"/>
          <w:sz w:val="24"/>
          <w:szCs w:val="22"/>
          <w:highlight w:val="none"/>
          <w:lang w:val="en-US" w:eastAsia="zh-CN"/>
        </w:rPr>
      </w:pPr>
      <w:r>
        <w:rPr>
          <w:rFonts w:hint="eastAsia" w:ascii="Times New Roman" w:hAnsi="Times New Roman" w:eastAsia="宋体" w:cs="Times New Roman"/>
          <w:color w:val="auto"/>
          <w:kern w:val="2"/>
          <w:sz w:val="24"/>
          <w:szCs w:val="22"/>
          <w:highlight w:val="none"/>
          <w:lang w:val="en-US" w:eastAsia="zh-CN" w:bidi="ar-SA"/>
        </w:rPr>
        <w:t>B.</w:t>
      </w:r>
      <w:r>
        <w:rPr>
          <w:rFonts w:hint="eastAsia" w:cs="Times New Roman"/>
          <w:color w:val="auto"/>
          <w:kern w:val="2"/>
          <w:sz w:val="24"/>
          <w:szCs w:val="22"/>
          <w:highlight w:val="none"/>
          <w:lang w:val="en-US" w:eastAsia="zh-CN" w:bidi="ar-SA"/>
        </w:rPr>
        <w:t>仓</w:t>
      </w:r>
      <w:r>
        <w:rPr>
          <w:rFonts w:hint="eastAsia"/>
          <w:color w:val="auto"/>
          <w:sz w:val="24"/>
          <w:szCs w:val="22"/>
          <w:highlight w:val="none"/>
          <w:lang w:val="en-US" w:eastAsia="zh-CN"/>
        </w:rPr>
        <w:t>房</w:t>
      </w:r>
    </w:p>
    <w:p w14:paraId="02B0B165">
      <w:pPr>
        <w:widowControl w:val="0"/>
        <w:numPr>
          <w:ilvl w:val="0"/>
          <w:numId w:val="0"/>
        </w:numPr>
        <w:spacing w:line="360" w:lineRule="auto"/>
        <w:ind w:firstLine="472" w:firstLineChars="200"/>
        <w:jc w:val="both"/>
        <w:rPr>
          <w:color w:val="auto"/>
          <w:kern w:val="0"/>
          <w:sz w:val="24"/>
          <w:szCs w:val="24"/>
          <w:highlight w:val="none"/>
        </w:rPr>
      </w:pPr>
      <w:r>
        <w:rPr>
          <w:rFonts w:hint="eastAsia"/>
          <w:color w:val="auto"/>
          <w:sz w:val="24"/>
          <w:szCs w:val="22"/>
          <w:highlight w:val="none"/>
          <w:lang w:val="zh-CN"/>
        </w:rPr>
        <w:t>经调查，</w:t>
      </w:r>
      <w:r>
        <w:rPr>
          <w:rFonts w:hint="eastAsia"/>
          <w:color w:val="auto"/>
          <w:kern w:val="0"/>
          <w:sz w:val="24"/>
          <w:szCs w:val="24"/>
          <w:highlight w:val="none"/>
        </w:rPr>
        <w:t>水源地一级保护区</w:t>
      </w:r>
      <w:r>
        <w:rPr>
          <w:rFonts w:hint="eastAsia"/>
          <w:color w:val="auto"/>
          <w:sz w:val="24"/>
          <w:szCs w:val="22"/>
          <w:highlight w:val="none"/>
          <w:lang w:val="zh-CN"/>
        </w:rPr>
        <w:t>内</w:t>
      </w:r>
      <w:r>
        <w:rPr>
          <w:rFonts w:hint="eastAsia"/>
          <w:color w:val="auto"/>
          <w:sz w:val="24"/>
          <w:szCs w:val="22"/>
          <w:highlight w:val="none"/>
          <w:lang w:eastAsia="zh-CN"/>
        </w:rPr>
        <w:t>水井</w:t>
      </w:r>
      <w:r>
        <w:rPr>
          <w:rFonts w:hint="eastAsia"/>
          <w:color w:val="auto"/>
          <w:sz w:val="24"/>
          <w:szCs w:val="22"/>
          <w:highlight w:val="none"/>
          <w:lang w:val="en-US" w:eastAsia="zh-CN"/>
        </w:rPr>
        <w:t>2#西南侧有一处闲置仓房，无</w:t>
      </w:r>
      <w:r>
        <w:rPr>
          <w:rFonts w:ascii="宋体" w:hAnsi="宋体" w:eastAsia="宋体" w:cs="宋体"/>
          <w:color w:val="auto"/>
          <w:sz w:val="24"/>
          <w:szCs w:val="24"/>
          <w:highlight w:val="none"/>
        </w:rPr>
        <w:t>生活污水、</w:t>
      </w:r>
      <w:r>
        <w:rPr>
          <w:rFonts w:hint="eastAsia" w:ascii="宋体" w:hAnsi="宋体" w:cs="宋体"/>
          <w:color w:val="auto"/>
          <w:sz w:val="24"/>
          <w:szCs w:val="24"/>
          <w:highlight w:val="none"/>
          <w:lang w:eastAsia="zh-CN"/>
        </w:rPr>
        <w:t>生活垃圾外</w:t>
      </w:r>
      <w:r>
        <w:rPr>
          <w:rFonts w:ascii="宋体" w:hAnsi="宋体" w:eastAsia="宋体" w:cs="宋体"/>
          <w:color w:val="auto"/>
          <w:sz w:val="24"/>
          <w:szCs w:val="24"/>
          <w:highlight w:val="none"/>
        </w:rPr>
        <w:t>排</w:t>
      </w:r>
      <w:r>
        <w:rPr>
          <w:rFonts w:hint="eastAsia"/>
          <w:color w:val="auto"/>
          <w:sz w:val="24"/>
          <w:szCs w:val="22"/>
          <w:highlight w:val="none"/>
          <w:lang w:val="en-US" w:eastAsia="zh-CN"/>
        </w:rPr>
        <w:t>。</w:t>
      </w:r>
    </w:p>
    <w:p w14:paraId="6C755CE7">
      <w:pPr>
        <w:spacing w:line="360" w:lineRule="auto"/>
        <w:ind w:firstLine="472" w:firstLineChars="200"/>
        <w:rPr>
          <w:rFonts w:hint="eastAsia"/>
          <w:color w:val="auto"/>
          <w:sz w:val="24"/>
          <w:szCs w:val="22"/>
          <w:highlight w:val="none"/>
        </w:rPr>
      </w:pPr>
      <w:r>
        <w:rPr>
          <w:color w:val="auto"/>
          <w:kern w:val="0"/>
          <w:sz w:val="24"/>
          <w:szCs w:val="24"/>
          <w:highlight w:val="none"/>
        </w:rPr>
        <w:fldChar w:fldCharType="begin"/>
      </w:r>
      <w:r>
        <w:rPr>
          <w:color w:val="auto"/>
          <w:kern w:val="0"/>
          <w:sz w:val="24"/>
          <w:szCs w:val="24"/>
          <w:highlight w:val="none"/>
        </w:rPr>
        <w:instrText xml:space="preserve"> = 3 \* GB3 \* MERGEFORMAT </w:instrText>
      </w:r>
      <w:r>
        <w:rPr>
          <w:color w:val="auto"/>
          <w:kern w:val="0"/>
          <w:sz w:val="24"/>
          <w:szCs w:val="24"/>
          <w:highlight w:val="none"/>
        </w:rPr>
        <w:fldChar w:fldCharType="separate"/>
      </w:r>
      <w:r>
        <w:rPr>
          <w:color w:val="auto"/>
          <w:sz w:val="24"/>
          <w:szCs w:val="24"/>
          <w:highlight w:val="none"/>
        </w:rPr>
        <w:t>③</w:t>
      </w:r>
      <w:r>
        <w:rPr>
          <w:color w:val="auto"/>
          <w:kern w:val="0"/>
          <w:sz w:val="24"/>
          <w:szCs w:val="24"/>
          <w:highlight w:val="none"/>
        </w:rPr>
        <w:fldChar w:fldCharType="end"/>
      </w:r>
      <w:r>
        <w:rPr>
          <w:rFonts w:hint="eastAsia"/>
          <w:color w:val="auto"/>
          <w:sz w:val="24"/>
          <w:szCs w:val="22"/>
          <w:highlight w:val="none"/>
        </w:rPr>
        <w:t>流动源</w:t>
      </w:r>
      <w:r>
        <w:rPr>
          <w:color w:val="auto"/>
          <w:sz w:val="24"/>
          <w:szCs w:val="24"/>
          <w:highlight w:val="none"/>
        </w:rPr>
        <w:t>和其他</w:t>
      </w:r>
      <w:r>
        <w:rPr>
          <w:rFonts w:hint="eastAsia"/>
          <w:color w:val="auto"/>
          <w:sz w:val="24"/>
          <w:szCs w:val="22"/>
          <w:highlight w:val="none"/>
        </w:rPr>
        <w:t>污染</w:t>
      </w:r>
    </w:p>
    <w:p w14:paraId="76B2DCBA">
      <w:pPr>
        <w:spacing w:line="360" w:lineRule="auto"/>
        <w:ind w:firstLine="472" w:firstLineChars="200"/>
        <w:rPr>
          <w:rFonts w:hint="eastAsia"/>
          <w:color w:val="auto"/>
          <w:sz w:val="24"/>
          <w:szCs w:val="22"/>
          <w:highlight w:val="none"/>
        </w:rPr>
      </w:pPr>
      <w:r>
        <w:rPr>
          <w:rFonts w:hint="eastAsia"/>
          <w:color w:val="auto"/>
          <w:sz w:val="24"/>
          <w:szCs w:val="22"/>
          <w:highlight w:val="none"/>
          <w:lang w:val="zh-CN"/>
        </w:rPr>
        <w:t>经调查，</w:t>
      </w:r>
      <w:r>
        <w:rPr>
          <w:rFonts w:hint="eastAsia"/>
          <w:color w:val="auto"/>
          <w:sz w:val="24"/>
          <w:szCs w:val="22"/>
          <w:highlight w:val="none"/>
        </w:rPr>
        <w:t>水源地一级保护区内</w:t>
      </w:r>
      <w:r>
        <w:rPr>
          <w:rFonts w:hint="eastAsia"/>
          <w:color w:val="auto"/>
          <w:sz w:val="24"/>
          <w:szCs w:val="22"/>
          <w:highlight w:val="none"/>
          <w:lang w:eastAsia="zh-CN"/>
        </w:rPr>
        <w:t>水井</w:t>
      </w:r>
      <w:r>
        <w:rPr>
          <w:rFonts w:hint="eastAsia"/>
          <w:color w:val="auto"/>
          <w:sz w:val="24"/>
          <w:szCs w:val="22"/>
          <w:highlight w:val="none"/>
          <w:lang w:val="en-US" w:eastAsia="zh-CN"/>
        </w:rPr>
        <w:t>1#</w:t>
      </w:r>
      <w:r>
        <w:rPr>
          <w:rFonts w:hint="eastAsia"/>
          <w:color w:val="auto"/>
          <w:sz w:val="24"/>
          <w:szCs w:val="22"/>
          <w:highlight w:val="none"/>
          <w:lang w:eastAsia="zh-CN"/>
        </w:rPr>
        <w:t>东</w:t>
      </w:r>
      <w:r>
        <w:rPr>
          <w:rFonts w:hint="eastAsia"/>
          <w:color w:val="auto"/>
          <w:sz w:val="24"/>
          <w:szCs w:val="22"/>
          <w:highlight w:val="none"/>
        </w:rPr>
        <w:t>侧有乡村道路穿越，穿越长度</w:t>
      </w:r>
      <w:r>
        <w:rPr>
          <w:rFonts w:hint="eastAsia"/>
          <w:color w:val="auto"/>
          <w:sz w:val="24"/>
          <w:szCs w:val="22"/>
          <w:highlight w:val="none"/>
          <w:lang w:val="en-US" w:eastAsia="zh-CN"/>
        </w:rPr>
        <w:t>37</w:t>
      </w:r>
      <w:r>
        <w:rPr>
          <w:rFonts w:hint="eastAsia"/>
          <w:color w:val="auto"/>
          <w:sz w:val="24"/>
          <w:szCs w:val="22"/>
          <w:highlight w:val="none"/>
        </w:rPr>
        <w:t>米</w:t>
      </w:r>
      <w:r>
        <w:rPr>
          <w:rFonts w:hint="eastAsia"/>
          <w:color w:val="auto"/>
          <w:sz w:val="24"/>
          <w:szCs w:val="22"/>
          <w:highlight w:val="none"/>
          <w:lang w:eastAsia="zh-CN"/>
        </w:rPr>
        <w:t>；水井</w:t>
      </w:r>
      <w:r>
        <w:rPr>
          <w:rFonts w:hint="eastAsia"/>
          <w:color w:val="auto"/>
          <w:sz w:val="24"/>
          <w:szCs w:val="22"/>
          <w:highlight w:val="none"/>
          <w:lang w:val="en-US" w:eastAsia="zh-CN"/>
        </w:rPr>
        <w:t>2#南</w:t>
      </w:r>
      <w:r>
        <w:rPr>
          <w:rFonts w:hint="eastAsia"/>
          <w:color w:val="auto"/>
          <w:sz w:val="24"/>
          <w:szCs w:val="22"/>
          <w:highlight w:val="none"/>
        </w:rPr>
        <w:t>侧有乡</w:t>
      </w:r>
      <w:r>
        <w:rPr>
          <w:rFonts w:hint="eastAsia"/>
          <w:color w:val="auto"/>
          <w:sz w:val="24"/>
          <w:szCs w:val="22"/>
          <w:highlight w:val="none"/>
          <w:lang w:eastAsia="zh-CN"/>
        </w:rPr>
        <w:t>镇</w:t>
      </w:r>
      <w:r>
        <w:rPr>
          <w:rFonts w:hint="eastAsia"/>
          <w:color w:val="auto"/>
          <w:sz w:val="24"/>
          <w:szCs w:val="22"/>
          <w:highlight w:val="none"/>
        </w:rPr>
        <w:t>道路穿越，穿越长度</w:t>
      </w:r>
      <w:r>
        <w:rPr>
          <w:rFonts w:hint="eastAsia"/>
          <w:color w:val="auto"/>
          <w:sz w:val="24"/>
          <w:szCs w:val="22"/>
          <w:highlight w:val="none"/>
          <w:lang w:val="en-US" w:eastAsia="zh-CN"/>
        </w:rPr>
        <w:t>57</w:t>
      </w:r>
      <w:r>
        <w:rPr>
          <w:rFonts w:hint="eastAsia"/>
          <w:color w:val="auto"/>
          <w:sz w:val="24"/>
          <w:szCs w:val="22"/>
          <w:highlight w:val="none"/>
        </w:rPr>
        <w:t>米</w:t>
      </w:r>
      <w:r>
        <w:rPr>
          <w:rFonts w:hint="eastAsia"/>
          <w:color w:val="auto"/>
          <w:sz w:val="24"/>
          <w:szCs w:val="22"/>
          <w:highlight w:val="none"/>
          <w:lang w:eastAsia="zh-CN"/>
        </w:rPr>
        <w:t>。</w:t>
      </w:r>
      <w:r>
        <w:rPr>
          <w:rFonts w:hint="eastAsia"/>
          <w:color w:val="auto"/>
          <w:sz w:val="24"/>
          <w:szCs w:val="22"/>
          <w:highlight w:val="none"/>
        </w:rPr>
        <w:t>道路已禁止有毒有害物质和危险化学品的运输，存在部分农药运输情况。</w:t>
      </w:r>
    </w:p>
    <w:p w14:paraId="1284C683">
      <w:pPr>
        <w:spacing w:line="360" w:lineRule="auto"/>
        <w:ind w:firstLine="472" w:firstLineChars="200"/>
        <w:rPr>
          <w:rFonts w:hint="eastAsia"/>
          <w:color w:val="auto"/>
          <w:sz w:val="24"/>
          <w:szCs w:val="22"/>
          <w:highlight w:val="none"/>
        </w:rPr>
        <w:sectPr>
          <w:pgSz w:w="11905" w:h="16838"/>
          <w:pgMar w:top="1474" w:right="1474" w:bottom="1474" w:left="1474" w:header="964" w:footer="992" w:gutter="0"/>
          <w:pgBorders>
            <w:top w:val="none" w:sz="0" w:space="0"/>
            <w:left w:val="none" w:sz="0" w:space="0"/>
            <w:bottom w:val="none" w:sz="0" w:space="0"/>
            <w:right w:val="none" w:sz="0" w:space="0"/>
          </w:pgBorders>
          <w:pgNumType w:fmt="decimal"/>
          <w:cols w:space="720" w:num="1"/>
          <w:docGrid w:type="linesAndChars" w:linePitch="347" w:charSpace="-1024"/>
        </w:sectPr>
      </w:pPr>
    </w:p>
    <w:p w14:paraId="355916F1">
      <w:pPr>
        <w:pStyle w:val="13"/>
        <w:spacing w:line="360" w:lineRule="auto"/>
        <w:ind w:left="0" w:leftChars="0" w:firstLine="0" w:firstLineChars="0"/>
        <w:jc w:val="center"/>
        <w:rPr>
          <w:rFonts w:hint="eastAsia"/>
          <w:color w:val="auto"/>
          <w:highlight w:val="none"/>
          <w:lang w:eastAsia="zh-CN"/>
        </w:rPr>
      </w:pPr>
      <w:r>
        <w:rPr>
          <w:rFonts w:hint="eastAsia"/>
          <w:color w:val="auto"/>
          <w:highlight w:val="none"/>
          <w:lang w:eastAsia="zh-CN"/>
        </w:rPr>
        <w:drawing>
          <wp:inline distT="0" distB="0" distL="114300" distR="114300">
            <wp:extent cx="6953250" cy="4998085"/>
            <wp:effectExtent l="0" t="0" r="0" b="12065"/>
            <wp:docPr id="94" name="图片 94" descr="平安镇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平安镇12"/>
                    <pic:cNvPicPr>
                      <a:picLocks noChangeAspect="1"/>
                    </pic:cNvPicPr>
                  </pic:nvPicPr>
                  <pic:blipFill>
                    <a:blip r:embed="rId119"/>
                    <a:stretch>
                      <a:fillRect/>
                    </a:stretch>
                  </pic:blipFill>
                  <pic:spPr>
                    <a:xfrm>
                      <a:off x="0" y="0"/>
                      <a:ext cx="6953250" cy="4998085"/>
                    </a:xfrm>
                    <a:prstGeom prst="rect">
                      <a:avLst/>
                    </a:prstGeom>
                  </pic:spPr>
                </pic:pic>
              </a:graphicData>
            </a:graphic>
          </wp:inline>
        </w:drawing>
      </w:r>
    </w:p>
    <w:p w14:paraId="43B0C961">
      <w:pPr>
        <w:pStyle w:val="13"/>
        <w:spacing w:line="360" w:lineRule="auto"/>
        <w:ind w:left="0" w:leftChars="0" w:firstLine="0" w:firstLineChars="0"/>
        <w:jc w:val="center"/>
        <w:rPr>
          <w:rFonts w:ascii="Times New Roman" w:hAnsi="Times New Roman" w:eastAsia="宋体" w:cs="Times New Roman"/>
          <w:color w:val="auto"/>
          <w:sz w:val="24"/>
          <w:szCs w:val="24"/>
          <w:highlight w:val="none"/>
        </w:rPr>
      </w:pPr>
      <w:r>
        <w:rPr>
          <w:rFonts w:hint="eastAsia" w:ascii="Times New Roman" w:hAnsi="Times New Roman" w:cs="Times New Roman"/>
          <w:color w:val="auto"/>
          <w:sz w:val="24"/>
          <w:szCs w:val="24"/>
          <w:highlight w:val="none"/>
          <w:lang w:eastAsia="zh-CN"/>
        </w:rPr>
        <w:t>图</w:t>
      </w:r>
      <w:r>
        <w:rPr>
          <w:rFonts w:hint="eastAsia" w:ascii="Times New Roman" w:hAnsi="Times New Roman" w:cs="Times New Roman"/>
          <w:color w:val="auto"/>
          <w:sz w:val="24"/>
          <w:szCs w:val="24"/>
          <w:highlight w:val="none"/>
          <w:lang w:val="en-US" w:eastAsia="zh-CN"/>
        </w:rPr>
        <w:t>4-</w:t>
      </w:r>
      <w:r>
        <w:rPr>
          <w:rFonts w:hint="eastAsia" w:cs="Times New Roman"/>
          <w:color w:val="auto"/>
          <w:sz w:val="24"/>
          <w:szCs w:val="24"/>
          <w:highlight w:val="none"/>
          <w:lang w:val="en-US" w:eastAsia="zh-CN"/>
        </w:rPr>
        <w:t>21</w:t>
      </w:r>
      <w:r>
        <w:rPr>
          <w:rFonts w:hint="eastAsia" w:ascii="Times New Roman" w:hAnsi="Times New Roman" w:cs="Times New Roman"/>
          <w:color w:val="auto"/>
          <w:sz w:val="24"/>
          <w:szCs w:val="24"/>
          <w:highlight w:val="none"/>
          <w:lang w:val="en-US" w:eastAsia="zh-CN"/>
        </w:rPr>
        <w:t xml:space="preserve">  </w:t>
      </w:r>
      <w:r>
        <w:rPr>
          <w:rFonts w:hint="eastAsia" w:ascii="Times New Roman" w:hAnsi="Times New Roman" w:eastAsia="宋体" w:cs="Times New Roman"/>
          <w:color w:val="auto"/>
          <w:sz w:val="24"/>
          <w:szCs w:val="24"/>
          <w:highlight w:val="none"/>
          <w:lang w:eastAsia="zh-CN"/>
        </w:rPr>
        <w:t>平安镇</w:t>
      </w:r>
      <w:r>
        <w:rPr>
          <w:rFonts w:ascii="Times New Roman" w:hAnsi="Times New Roman" w:eastAsia="宋体" w:cs="Times New Roman"/>
          <w:color w:val="auto"/>
          <w:sz w:val="24"/>
          <w:szCs w:val="24"/>
          <w:highlight w:val="none"/>
        </w:rPr>
        <w:t>饮用水水源地</w:t>
      </w:r>
      <w:r>
        <w:rPr>
          <w:rFonts w:hint="eastAsia" w:cs="Times New Roman"/>
          <w:color w:val="auto"/>
          <w:sz w:val="24"/>
          <w:szCs w:val="24"/>
          <w:highlight w:val="none"/>
          <w:lang w:eastAsia="zh-CN"/>
        </w:rPr>
        <w:t>保护区内</w:t>
      </w:r>
      <w:r>
        <w:rPr>
          <w:rFonts w:ascii="Times New Roman" w:hAnsi="Times New Roman" w:eastAsia="宋体" w:cs="Times New Roman"/>
          <w:color w:val="auto"/>
          <w:sz w:val="24"/>
          <w:szCs w:val="24"/>
          <w:highlight w:val="none"/>
        </w:rPr>
        <w:t>污染</w:t>
      </w:r>
      <w:r>
        <w:rPr>
          <w:rFonts w:hint="eastAsia" w:ascii="Times New Roman" w:hAnsi="Times New Roman" w:eastAsia="宋体" w:cs="Times New Roman"/>
          <w:color w:val="auto"/>
          <w:sz w:val="24"/>
          <w:szCs w:val="24"/>
          <w:highlight w:val="none"/>
          <w:lang w:eastAsia="zh-CN"/>
        </w:rPr>
        <w:t>源分布图</w:t>
      </w:r>
      <w:r>
        <w:rPr>
          <w:rFonts w:hint="eastAsia" w:cs="Times New Roman"/>
          <w:color w:val="auto"/>
          <w:sz w:val="24"/>
          <w:szCs w:val="24"/>
          <w:highlight w:val="none"/>
          <w:lang w:eastAsia="zh-CN"/>
        </w:rPr>
        <w:t>（水井</w:t>
      </w:r>
      <w:r>
        <w:rPr>
          <w:rFonts w:hint="eastAsia" w:cs="Times New Roman"/>
          <w:color w:val="auto"/>
          <w:sz w:val="24"/>
          <w:szCs w:val="24"/>
          <w:highlight w:val="none"/>
          <w:lang w:val="en-US" w:eastAsia="zh-CN"/>
        </w:rPr>
        <w:t>1#、</w:t>
      </w:r>
      <w:r>
        <w:rPr>
          <w:rFonts w:hint="eastAsia" w:cs="Times New Roman"/>
          <w:color w:val="auto"/>
          <w:sz w:val="24"/>
          <w:szCs w:val="24"/>
          <w:highlight w:val="none"/>
          <w:lang w:eastAsia="zh-CN"/>
        </w:rPr>
        <w:t>水井</w:t>
      </w:r>
      <w:r>
        <w:rPr>
          <w:rFonts w:hint="eastAsia" w:cs="Times New Roman"/>
          <w:color w:val="auto"/>
          <w:sz w:val="24"/>
          <w:szCs w:val="24"/>
          <w:highlight w:val="none"/>
          <w:lang w:val="en-US" w:eastAsia="zh-CN"/>
        </w:rPr>
        <w:t>2#</w:t>
      </w:r>
      <w:r>
        <w:rPr>
          <w:rFonts w:hint="eastAsia" w:cs="Times New Roman"/>
          <w:color w:val="auto"/>
          <w:sz w:val="24"/>
          <w:szCs w:val="24"/>
          <w:highlight w:val="none"/>
          <w:lang w:eastAsia="zh-CN"/>
        </w:rPr>
        <w:t>）</w:t>
      </w:r>
    </w:p>
    <w:p w14:paraId="7383628B">
      <w:pPr>
        <w:spacing w:line="360" w:lineRule="auto"/>
        <w:ind w:firstLine="472" w:firstLineChars="200"/>
        <w:rPr>
          <w:rFonts w:hint="eastAsia"/>
          <w:color w:val="auto"/>
          <w:sz w:val="24"/>
          <w:szCs w:val="22"/>
          <w:highlight w:val="none"/>
        </w:rPr>
        <w:sectPr>
          <w:pgSz w:w="16838" w:h="11905" w:orient="landscape"/>
          <w:pgMar w:top="1474" w:right="1474" w:bottom="1474" w:left="1474" w:header="964" w:footer="992" w:gutter="0"/>
          <w:pgBorders>
            <w:top w:val="none" w:sz="0" w:space="0"/>
            <w:left w:val="none" w:sz="0" w:space="0"/>
            <w:bottom w:val="none" w:sz="0" w:space="0"/>
            <w:right w:val="none" w:sz="0" w:space="0"/>
          </w:pgBorders>
          <w:pgNumType w:fmt="decimal"/>
          <w:cols w:space="720" w:num="1"/>
          <w:docGrid w:type="linesAndChars" w:linePitch="347" w:charSpace="-1024"/>
        </w:sectPr>
      </w:pPr>
    </w:p>
    <w:p w14:paraId="10FC4BD0">
      <w:pPr>
        <w:pStyle w:val="5"/>
        <w:bidi w:val="0"/>
        <w:ind w:firstLine="472" w:firstLineChars="200"/>
        <w:rPr>
          <w:color w:val="auto"/>
          <w:highlight w:val="none"/>
        </w:rPr>
      </w:pPr>
      <w:r>
        <w:rPr>
          <w:rFonts w:hint="eastAsia" w:ascii="Times New Roman" w:hAnsi="Times New Roman" w:eastAsia="宋体" w:cs="Times New Roman"/>
          <w:color w:val="auto"/>
          <w:kern w:val="2"/>
          <w:sz w:val="24"/>
          <w:szCs w:val="24"/>
          <w:highlight w:val="none"/>
          <w:lang w:val="en-US" w:eastAsia="zh-CN" w:bidi="ar-SA"/>
        </w:rPr>
        <w:t>（4）整治措施</w:t>
      </w:r>
    </w:p>
    <w:p w14:paraId="37149CBD">
      <w:pPr>
        <w:spacing w:line="360" w:lineRule="auto"/>
        <w:ind w:firstLine="472" w:firstLineChars="200"/>
        <w:rPr>
          <w:rFonts w:hint="eastAsia"/>
          <w:color w:val="auto"/>
          <w:kern w:val="0"/>
          <w:sz w:val="24"/>
          <w:szCs w:val="24"/>
          <w:highlight w:val="none"/>
        </w:rPr>
      </w:pPr>
      <w:r>
        <w:rPr>
          <w:rFonts w:hint="eastAsia"/>
          <w:color w:val="auto"/>
          <w:kern w:val="0"/>
          <w:sz w:val="24"/>
          <w:szCs w:val="24"/>
          <w:highlight w:val="none"/>
        </w:rPr>
        <w:t>1）点源整治措施</w:t>
      </w:r>
    </w:p>
    <w:p w14:paraId="30C7CF45">
      <w:pPr>
        <w:spacing w:line="360" w:lineRule="auto"/>
        <w:ind w:firstLine="472" w:firstLineChars="200"/>
        <w:rPr>
          <w:rFonts w:hint="eastAsia"/>
          <w:color w:val="auto"/>
          <w:sz w:val="24"/>
          <w:szCs w:val="24"/>
          <w:highlight w:val="none"/>
          <w:lang w:val="zh-CN"/>
        </w:rPr>
      </w:pPr>
      <w:r>
        <w:rPr>
          <w:rFonts w:hint="eastAsia"/>
          <w:color w:val="auto"/>
          <w:sz w:val="24"/>
          <w:szCs w:val="22"/>
          <w:highlight w:val="none"/>
        </w:rPr>
        <w:t>经调查，各</w:t>
      </w:r>
      <w:r>
        <w:rPr>
          <w:rFonts w:hint="eastAsia"/>
          <w:color w:val="auto"/>
          <w:kern w:val="0"/>
          <w:sz w:val="24"/>
          <w:szCs w:val="24"/>
          <w:highlight w:val="none"/>
        </w:rPr>
        <w:t>水源地一级保护区</w:t>
      </w:r>
      <w:r>
        <w:rPr>
          <w:rFonts w:hint="eastAsia"/>
          <w:color w:val="auto"/>
          <w:sz w:val="24"/>
          <w:szCs w:val="22"/>
          <w:highlight w:val="none"/>
        </w:rPr>
        <w:t>范围内无点源污染，无需整治。</w:t>
      </w:r>
    </w:p>
    <w:p w14:paraId="5FA2D247">
      <w:pPr>
        <w:spacing w:line="360" w:lineRule="auto"/>
        <w:ind w:firstLine="472" w:firstLineChars="200"/>
        <w:rPr>
          <w:rFonts w:hint="eastAsia"/>
          <w:color w:val="auto"/>
          <w:sz w:val="24"/>
          <w:szCs w:val="22"/>
          <w:highlight w:val="none"/>
        </w:rPr>
      </w:pPr>
      <w:r>
        <w:rPr>
          <w:rFonts w:hint="eastAsia"/>
          <w:color w:val="auto"/>
          <w:sz w:val="24"/>
          <w:szCs w:val="22"/>
          <w:highlight w:val="none"/>
        </w:rPr>
        <w:t>2）非点源</w:t>
      </w:r>
      <w:r>
        <w:rPr>
          <w:rFonts w:hint="eastAsia"/>
          <w:color w:val="auto"/>
          <w:kern w:val="0"/>
          <w:sz w:val="24"/>
          <w:szCs w:val="24"/>
          <w:highlight w:val="none"/>
        </w:rPr>
        <w:t>整治措施</w:t>
      </w:r>
    </w:p>
    <w:p w14:paraId="40B302F2">
      <w:pPr>
        <w:spacing w:line="360" w:lineRule="auto"/>
        <w:ind w:firstLine="472" w:firstLineChars="200"/>
        <w:rPr>
          <w:rFonts w:ascii="Segoe UI" w:hAnsi="Segoe UI" w:eastAsia="Segoe UI" w:cs="Segoe UI"/>
          <w:i w:val="0"/>
          <w:iCs w:val="0"/>
          <w:caps w:val="0"/>
          <w:color w:val="auto"/>
          <w:spacing w:val="0"/>
          <w:sz w:val="24"/>
          <w:szCs w:val="24"/>
          <w:highlight w:val="none"/>
          <w:shd w:val="clear" w:fill="FFFFFF"/>
        </w:rPr>
      </w:pPr>
      <w:r>
        <w:rPr>
          <w:rFonts w:hint="eastAsia"/>
          <w:color w:val="auto"/>
          <w:sz w:val="24"/>
          <w:szCs w:val="24"/>
          <w:highlight w:val="none"/>
          <w:lang w:val="zh-CN"/>
        </w:rPr>
        <w:t>根据《关于答复全国集中式饮用水水源地环境保护专项行动有关问题的函》（环办环监函〔2018〕767号），原有居民住宅允许在饮用水水源保护区内保留，优先开展农村环境综合整治工作，其产生的生活污水和垃圾必须收集处理，保护区外排放。本次调整为保证饮用水安全，</w:t>
      </w:r>
      <w:r>
        <w:rPr>
          <w:rFonts w:ascii="Segoe UI" w:hAnsi="Segoe UI" w:eastAsia="Segoe UI" w:cs="Segoe UI"/>
          <w:i w:val="0"/>
          <w:iCs w:val="0"/>
          <w:caps w:val="0"/>
          <w:color w:val="auto"/>
          <w:spacing w:val="0"/>
          <w:sz w:val="24"/>
          <w:szCs w:val="24"/>
          <w:highlight w:val="none"/>
          <w:shd w:val="clear" w:fill="FFFFFF"/>
        </w:rPr>
        <w:t>建议对保护区内现有居民住宅以及闲置房屋</w:t>
      </w:r>
      <w:r>
        <w:rPr>
          <w:rFonts w:hint="eastAsia" w:ascii="Segoe UI" w:hAnsi="Segoe UI" w:eastAsia="宋体" w:cs="Segoe UI"/>
          <w:i w:val="0"/>
          <w:iCs w:val="0"/>
          <w:caps w:val="0"/>
          <w:color w:val="auto"/>
          <w:spacing w:val="0"/>
          <w:sz w:val="24"/>
          <w:szCs w:val="24"/>
          <w:highlight w:val="none"/>
          <w:shd w:val="clear" w:fill="FFFFFF"/>
          <w:lang w:eastAsia="zh-CN"/>
        </w:rPr>
        <w:t>、</w:t>
      </w:r>
      <w:r>
        <w:rPr>
          <w:rFonts w:hint="eastAsia" w:ascii="Segoe UI" w:hAnsi="Segoe UI" w:cs="Segoe UI"/>
          <w:i w:val="0"/>
          <w:iCs w:val="0"/>
          <w:caps w:val="0"/>
          <w:color w:val="auto"/>
          <w:spacing w:val="0"/>
          <w:sz w:val="24"/>
          <w:szCs w:val="24"/>
          <w:highlight w:val="none"/>
          <w:shd w:val="clear" w:fill="FFFFFF"/>
          <w:lang w:eastAsia="zh-CN"/>
        </w:rPr>
        <w:t>仓房</w:t>
      </w:r>
      <w:r>
        <w:rPr>
          <w:rFonts w:hint="eastAsia" w:ascii="Segoe UI" w:hAnsi="Segoe UI" w:eastAsia="宋体" w:cs="Segoe UI"/>
          <w:i w:val="0"/>
          <w:iCs w:val="0"/>
          <w:caps w:val="0"/>
          <w:color w:val="auto"/>
          <w:spacing w:val="0"/>
          <w:sz w:val="24"/>
          <w:szCs w:val="24"/>
          <w:highlight w:val="none"/>
          <w:shd w:val="clear" w:fill="FFFFFF"/>
          <w:lang w:val="en-US" w:eastAsia="zh-CN"/>
        </w:rPr>
        <w:t>等</w:t>
      </w:r>
      <w:r>
        <w:rPr>
          <w:rFonts w:ascii="Segoe UI" w:hAnsi="Segoe UI" w:eastAsia="Segoe UI" w:cs="Segoe UI"/>
          <w:i w:val="0"/>
          <w:iCs w:val="0"/>
          <w:caps w:val="0"/>
          <w:color w:val="auto"/>
          <w:spacing w:val="0"/>
          <w:sz w:val="24"/>
          <w:szCs w:val="24"/>
          <w:highlight w:val="none"/>
          <w:shd w:val="clear" w:fill="FFFFFF"/>
        </w:rPr>
        <w:t>，制定并实施有序的拆迁计划。</w:t>
      </w:r>
    </w:p>
    <w:p w14:paraId="6F2A1C68">
      <w:pPr>
        <w:spacing w:line="360" w:lineRule="auto"/>
        <w:ind w:firstLine="472" w:firstLineChars="200"/>
        <w:rPr>
          <w:rFonts w:hint="eastAsia"/>
          <w:color w:val="auto"/>
          <w:sz w:val="24"/>
          <w:szCs w:val="24"/>
          <w:highlight w:val="none"/>
          <w:lang w:val="zh-CN"/>
        </w:rPr>
      </w:pPr>
      <w:r>
        <w:rPr>
          <w:rFonts w:hint="eastAsia"/>
          <w:color w:val="auto"/>
          <w:sz w:val="24"/>
          <w:szCs w:val="24"/>
          <w:highlight w:val="none"/>
          <w:lang w:val="zh-CN"/>
        </w:rPr>
        <w:t>各保护区内农业种植应严格控制农药、化肥等非点源污染，不得在保护区内丢弃农药、农药包装物等。现阶段应加强</w:t>
      </w:r>
      <w:r>
        <w:rPr>
          <w:color w:val="auto"/>
          <w:sz w:val="24"/>
          <w:szCs w:val="22"/>
          <w:highlight w:val="none"/>
        </w:rPr>
        <w:t>测土配方施肥和平衡施肥</w:t>
      </w:r>
      <w:r>
        <w:rPr>
          <w:rFonts w:hint="eastAsia"/>
          <w:color w:val="auto"/>
          <w:sz w:val="24"/>
          <w:szCs w:val="22"/>
          <w:highlight w:val="none"/>
        </w:rPr>
        <w:t>，</w:t>
      </w:r>
      <w:r>
        <w:rPr>
          <w:color w:val="auto"/>
          <w:sz w:val="24"/>
          <w:szCs w:val="22"/>
          <w:highlight w:val="none"/>
        </w:rPr>
        <w:t>推广病虫综合防治、精准施药技术、</w:t>
      </w:r>
      <w:r>
        <w:rPr>
          <w:rFonts w:hint="eastAsia"/>
          <w:color w:val="auto"/>
          <w:sz w:val="24"/>
          <w:szCs w:val="22"/>
          <w:highlight w:val="none"/>
          <w:lang w:eastAsia="zh-CN"/>
        </w:rPr>
        <w:t>绿色</w:t>
      </w:r>
      <w:r>
        <w:rPr>
          <w:color w:val="auto"/>
          <w:sz w:val="24"/>
          <w:szCs w:val="22"/>
          <w:highlight w:val="none"/>
        </w:rPr>
        <w:t>有机农业技术等，实施农药替代</w:t>
      </w:r>
      <w:r>
        <w:rPr>
          <w:rFonts w:hint="eastAsia"/>
          <w:color w:val="auto"/>
          <w:sz w:val="24"/>
          <w:szCs w:val="22"/>
          <w:highlight w:val="none"/>
        </w:rPr>
        <w:t>，今后结合土地利用调整，尽快</w:t>
      </w:r>
      <w:r>
        <w:rPr>
          <w:color w:val="auto"/>
          <w:sz w:val="24"/>
          <w:szCs w:val="22"/>
          <w:highlight w:val="none"/>
        </w:rPr>
        <w:t>争取政府资金补偿退耕还林还草</w:t>
      </w:r>
      <w:r>
        <w:rPr>
          <w:rFonts w:hint="eastAsia"/>
          <w:color w:val="auto"/>
          <w:sz w:val="24"/>
          <w:szCs w:val="22"/>
          <w:highlight w:val="none"/>
        </w:rPr>
        <w:t>。</w:t>
      </w:r>
    </w:p>
    <w:p w14:paraId="71765FE7">
      <w:pPr>
        <w:spacing w:line="360" w:lineRule="auto"/>
        <w:ind w:firstLine="472" w:firstLineChars="200"/>
        <w:rPr>
          <w:rFonts w:hint="eastAsia"/>
          <w:color w:val="auto"/>
          <w:sz w:val="24"/>
          <w:szCs w:val="24"/>
          <w:highlight w:val="none"/>
        </w:rPr>
      </w:pPr>
      <w:r>
        <w:rPr>
          <w:rFonts w:hint="eastAsia"/>
          <w:color w:val="auto"/>
          <w:sz w:val="24"/>
          <w:szCs w:val="24"/>
          <w:highlight w:val="none"/>
        </w:rPr>
        <w:t>3）</w:t>
      </w:r>
      <w:r>
        <w:rPr>
          <w:rFonts w:hint="eastAsia"/>
          <w:color w:val="auto"/>
          <w:sz w:val="24"/>
          <w:szCs w:val="22"/>
          <w:highlight w:val="none"/>
        </w:rPr>
        <w:t>流动源</w:t>
      </w:r>
      <w:r>
        <w:rPr>
          <w:color w:val="auto"/>
          <w:sz w:val="24"/>
          <w:szCs w:val="24"/>
          <w:highlight w:val="none"/>
        </w:rPr>
        <w:t>和其他</w:t>
      </w:r>
      <w:r>
        <w:rPr>
          <w:rFonts w:hint="eastAsia"/>
          <w:color w:val="auto"/>
          <w:kern w:val="0"/>
          <w:sz w:val="24"/>
          <w:szCs w:val="24"/>
          <w:highlight w:val="none"/>
        </w:rPr>
        <w:t>整治措施</w:t>
      </w:r>
    </w:p>
    <w:p w14:paraId="73DBAE99">
      <w:pPr>
        <w:spacing w:line="360" w:lineRule="auto"/>
        <w:ind w:firstLine="472" w:firstLineChars="200"/>
        <w:rPr>
          <w:rFonts w:hint="eastAsia"/>
          <w:color w:val="auto"/>
          <w:sz w:val="24"/>
          <w:szCs w:val="24"/>
          <w:highlight w:val="none"/>
        </w:rPr>
      </w:pPr>
      <w:r>
        <w:rPr>
          <w:rFonts w:hint="eastAsia"/>
          <w:color w:val="auto"/>
          <w:sz w:val="24"/>
          <w:szCs w:val="24"/>
          <w:highlight w:val="none"/>
          <w:lang w:eastAsia="zh-CN"/>
        </w:rPr>
        <w:t>各</w:t>
      </w:r>
      <w:r>
        <w:rPr>
          <w:rFonts w:hint="eastAsia"/>
          <w:color w:val="auto"/>
          <w:sz w:val="24"/>
          <w:szCs w:val="24"/>
          <w:highlight w:val="none"/>
        </w:rPr>
        <w:t>保护区内道路应加强管理，设立明显的警示标志，一旦发生事故，尽快采取有效措施，及时有效处置。</w:t>
      </w:r>
    </w:p>
    <w:p w14:paraId="7C03CBCD">
      <w:pPr>
        <w:spacing w:line="360" w:lineRule="auto"/>
        <w:ind w:firstLine="470"/>
        <w:rPr>
          <w:rFonts w:hint="eastAsia" w:ascii="Times New Roman" w:hAnsi="Times New Roman" w:eastAsia="宋体" w:cs="Times New Roman"/>
          <w:color w:val="auto"/>
          <w:highlight w:val="none"/>
        </w:rPr>
      </w:pPr>
      <w:r>
        <w:rPr>
          <w:color w:val="auto"/>
          <w:sz w:val="24"/>
          <w:szCs w:val="24"/>
          <w:highlight w:val="none"/>
        </w:rPr>
        <w:t>水源地一级保护区内污染源分布情况见表4-</w:t>
      </w:r>
      <w:r>
        <w:rPr>
          <w:rFonts w:hint="eastAsia"/>
          <w:color w:val="auto"/>
          <w:sz w:val="24"/>
          <w:szCs w:val="24"/>
          <w:highlight w:val="none"/>
        </w:rPr>
        <w:t>3</w:t>
      </w:r>
      <w:r>
        <w:rPr>
          <w:color w:val="auto"/>
          <w:sz w:val="24"/>
          <w:szCs w:val="24"/>
          <w:highlight w:val="none"/>
        </w:rPr>
        <w:t>，具体污染防治措施见表4-</w:t>
      </w:r>
      <w:r>
        <w:rPr>
          <w:rFonts w:hint="eastAsia"/>
          <w:color w:val="auto"/>
          <w:sz w:val="24"/>
          <w:szCs w:val="24"/>
          <w:highlight w:val="none"/>
        </w:rPr>
        <w:t>4</w:t>
      </w:r>
      <w:r>
        <w:rPr>
          <w:color w:val="auto"/>
          <w:sz w:val="24"/>
          <w:szCs w:val="24"/>
          <w:highlight w:val="none"/>
        </w:rPr>
        <w:t>。</w:t>
      </w:r>
    </w:p>
    <w:p w14:paraId="59339C1C">
      <w:pPr>
        <w:pStyle w:val="13"/>
        <w:rPr>
          <w:rFonts w:hint="eastAsia" w:ascii="Times New Roman" w:hAnsi="Times New Roman" w:eastAsia="宋体" w:cs="Times New Roman"/>
          <w:color w:val="auto"/>
          <w:highlight w:val="none"/>
        </w:rPr>
        <w:sectPr>
          <w:pgSz w:w="11905" w:h="16838"/>
          <w:pgMar w:top="1474" w:right="1474" w:bottom="1474" w:left="1474" w:header="964" w:footer="992" w:gutter="0"/>
          <w:pgBorders>
            <w:top w:val="none" w:sz="0" w:space="0"/>
            <w:left w:val="none" w:sz="0" w:space="0"/>
            <w:bottom w:val="none" w:sz="0" w:space="0"/>
            <w:right w:val="none" w:sz="0" w:space="0"/>
          </w:pgBorders>
          <w:pgNumType w:fmt="decimal"/>
          <w:cols w:space="720" w:num="1"/>
          <w:docGrid w:type="linesAndChars" w:linePitch="347" w:charSpace="-1024"/>
        </w:sectPr>
      </w:pPr>
    </w:p>
    <w:p w14:paraId="4DDED311">
      <w:pPr>
        <w:spacing w:line="360" w:lineRule="auto"/>
        <w:ind w:firstLine="0" w:firstLineChars="0"/>
        <w:jc w:val="center"/>
        <w:rPr>
          <w:rFonts w:ascii="Times New Roman" w:hAnsi="Times New Roman" w:eastAsia="黑体" w:cs="Times New Roman"/>
          <w:color w:val="auto"/>
          <w:sz w:val="24"/>
          <w:szCs w:val="24"/>
          <w:highlight w:val="none"/>
        </w:rPr>
      </w:pPr>
      <w:r>
        <w:rPr>
          <w:rFonts w:hint="eastAsia" w:ascii="Times New Roman" w:hAnsi="Times New Roman" w:eastAsia="黑体" w:cs="Times New Roman"/>
          <w:color w:val="auto"/>
          <w:sz w:val="24"/>
          <w:szCs w:val="24"/>
          <w:highlight w:val="none"/>
        </w:rPr>
        <w:t>表4</w:t>
      </w:r>
      <w:r>
        <w:rPr>
          <w:rFonts w:ascii="Times New Roman" w:hAnsi="Times New Roman" w:eastAsia="黑体" w:cs="Times New Roman"/>
          <w:color w:val="auto"/>
          <w:sz w:val="24"/>
          <w:szCs w:val="24"/>
          <w:highlight w:val="none"/>
        </w:rPr>
        <w:t>-</w:t>
      </w:r>
      <w:r>
        <w:rPr>
          <w:rFonts w:hint="eastAsia" w:ascii="Times New Roman" w:hAnsi="Times New Roman" w:eastAsia="黑体" w:cs="Times New Roman"/>
          <w:color w:val="auto"/>
          <w:sz w:val="24"/>
          <w:szCs w:val="24"/>
          <w:highlight w:val="none"/>
        </w:rPr>
        <w:t>3</w:t>
      </w:r>
      <w:r>
        <w:rPr>
          <w:rFonts w:ascii="Times New Roman" w:hAnsi="Times New Roman" w:eastAsia="黑体" w:cs="Times New Roman"/>
          <w:color w:val="auto"/>
          <w:sz w:val="24"/>
          <w:szCs w:val="24"/>
          <w:highlight w:val="none"/>
        </w:rPr>
        <w:t xml:space="preserve"> 水源保护区内污染源分布情况</w:t>
      </w:r>
    </w:p>
    <w:tbl>
      <w:tblPr>
        <w:tblStyle w:val="21"/>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65"/>
        <w:gridCol w:w="1155"/>
        <w:gridCol w:w="731"/>
        <w:gridCol w:w="864"/>
        <w:gridCol w:w="1445"/>
        <w:gridCol w:w="909"/>
        <w:gridCol w:w="977"/>
        <w:gridCol w:w="963"/>
        <w:gridCol w:w="920"/>
        <w:gridCol w:w="917"/>
        <w:gridCol w:w="1293"/>
        <w:gridCol w:w="1188"/>
        <w:gridCol w:w="2171"/>
      </w:tblGrid>
      <w:tr w14:paraId="3AFBE6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200" w:type="pct"/>
            <w:vAlign w:val="center"/>
          </w:tcPr>
          <w:p w14:paraId="0773DD34">
            <w:pPr>
              <w:pStyle w:val="30"/>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eastAsia="宋体"/>
                <w:color w:val="auto"/>
                <w:sz w:val="21"/>
                <w:szCs w:val="21"/>
                <w:highlight w:val="none"/>
                <w:lang w:val="en-US" w:eastAsia="zh-CN"/>
              </w:rPr>
            </w:pPr>
            <w:r>
              <w:rPr>
                <w:rFonts w:hint="eastAsia"/>
                <w:color w:val="auto"/>
                <w:sz w:val="21"/>
                <w:szCs w:val="21"/>
                <w:highlight w:val="none"/>
                <w:lang w:val="en-US" w:eastAsia="zh-CN"/>
              </w:rPr>
              <w:t>序号</w:t>
            </w:r>
          </w:p>
        </w:tc>
        <w:tc>
          <w:tcPr>
            <w:tcW w:w="409" w:type="pct"/>
            <w:vAlign w:val="center"/>
          </w:tcPr>
          <w:p w14:paraId="5658B7AF">
            <w:pPr>
              <w:widowControl/>
              <w:snapToGrid w:val="0"/>
              <w:spacing w:line="240" w:lineRule="auto"/>
              <w:ind w:firstLine="0" w:firstLineChars="0"/>
              <w:jc w:val="center"/>
              <w:rPr>
                <w:rFonts w:hint="default"/>
                <w:color w:val="auto"/>
                <w:sz w:val="21"/>
                <w:szCs w:val="21"/>
                <w:highlight w:val="none"/>
                <w:lang w:val="zh-CN"/>
              </w:rPr>
            </w:pPr>
            <w:r>
              <w:rPr>
                <w:rFonts w:hint="eastAsia" w:ascii="Times New Roman" w:hAnsi="Times New Roman" w:eastAsia="宋体" w:cs="Times New Roman"/>
                <w:color w:val="auto"/>
                <w:kern w:val="0"/>
                <w:sz w:val="21"/>
                <w:szCs w:val="21"/>
                <w:highlight w:val="none"/>
                <w:lang w:eastAsia="en-US"/>
              </w:rPr>
              <w:t>水源保护区名称</w:t>
            </w:r>
          </w:p>
        </w:tc>
        <w:tc>
          <w:tcPr>
            <w:tcW w:w="259" w:type="pct"/>
            <w:vAlign w:val="center"/>
          </w:tcPr>
          <w:p w14:paraId="1C64855A">
            <w:pPr>
              <w:widowControl/>
              <w:snapToGrid w:val="0"/>
              <w:spacing w:line="240" w:lineRule="auto"/>
              <w:ind w:firstLine="0" w:firstLineChars="0"/>
              <w:jc w:val="center"/>
              <w:rPr>
                <w:rFonts w:hint="default"/>
                <w:color w:val="auto"/>
                <w:sz w:val="21"/>
                <w:szCs w:val="21"/>
                <w:highlight w:val="none"/>
                <w:lang w:val="zh-CN"/>
              </w:rPr>
            </w:pPr>
            <w:r>
              <w:rPr>
                <w:rFonts w:hint="eastAsia" w:ascii="Times New Roman" w:hAnsi="Times New Roman" w:eastAsia="宋体" w:cs="Times New Roman"/>
                <w:color w:val="auto"/>
                <w:kern w:val="0"/>
                <w:sz w:val="21"/>
                <w:szCs w:val="21"/>
                <w:highlight w:val="none"/>
              </w:rPr>
              <w:t>取水井名称</w:t>
            </w:r>
          </w:p>
        </w:tc>
        <w:tc>
          <w:tcPr>
            <w:tcW w:w="306" w:type="pct"/>
            <w:vAlign w:val="center"/>
          </w:tcPr>
          <w:p w14:paraId="035817C5">
            <w:pPr>
              <w:widowControl/>
              <w:snapToGrid w:val="0"/>
              <w:spacing w:line="240" w:lineRule="auto"/>
              <w:ind w:firstLine="0" w:firstLineChars="0"/>
              <w:jc w:val="center"/>
              <w:rPr>
                <w:rFonts w:hint="default"/>
                <w:color w:val="auto"/>
                <w:sz w:val="21"/>
                <w:szCs w:val="21"/>
                <w:highlight w:val="none"/>
                <w:lang w:val="zh-CN"/>
              </w:rPr>
            </w:pPr>
            <w:r>
              <w:rPr>
                <w:rFonts w:hint="eastAsia" w:ascii="Times New Roman" w:hAnsi="Times New Roman" w:eastAsia="宋体" w:cs="Times New Roman"/>
                <w:color w:val="auto"/>
                <w:kern w:val="0"/>
                <w:sz w:val="21"/>
                <w:szCs w:val="21"/>
                <w:highlight w:val="none"/>
              </w:rPr>
              <w:t>保护区类别</w:t>
            </w:r>
          </w:p>
        </w:tc>
        <w:tc>
          <w:tcPr>
            <w:tcW w:w="512" w:type="pct"/>
            <w:vAlign w:val="center"/>
          </w:tcPr>
          <w:p w14:paraId="77243D83">
            <w:pPr>
              <w:widowControl/>
              <w:snapToGrid w:val="0"/>
              <w:spacing w:line="240" w:lineRule="auto"/>
              <w:ind w:firstLine="0" w:firstLineChars="0"/>
              <w:jc w:val="center"/>
              <w:rPr>
                <w:rFonts w:hint="default"/>
                <w:color w:val="auto"/>
                <w:sz w:val="21"/>
                <w:szCs w:val="21"/>
                <w:highlight w:val="none"/>
                <w:lang w:val="zh-CN"/>
              </w:rPr>
            </w:pPr>
            <w:r>
              <w:rPr>
                <w:rFonts w:hint="eastAsia" w:ascii="Times New Roman" w:hAnsi="Times New Roman" w:eastAsia="宋体" w:cs="Times New Roman"/>
                <w:color w:val="auto"/>
                <w:kern w:val="0"/>
                <w:sz w:val="21"/>
                <w:szCs w:val="21"/>
                <w:highlight w:val="none"/>
              </w:rPr>
              <w:t>污染类型</w:t>
            </w:r>
          </w:p>
        </w:tc>
        <w:tc>
          <w:tcPr>
            <w:tcW w:w="322" w:type="pct"/>
            <w:vAlign w:val="center"/>
          </w:tcPr>
          <w:p w14:paraId="39899459">
            <w:pPr>
              <w:widowControl/>
              <w:snapToGrid w:val="0"/>
              <w:spacing w:line="240" w:lineRule="auto"/>
              <w:ind w:firstLine="0" w:firstLineChars="0"/>
              <w:jc w:val="center"/>
              <w:rPr>
                <w:rFonts w:hint="default"/>
                <w:color w:val="auto"/>
                <w:sz w:val="21"/>
                <w:szCs w:val="21"/>
                <w:highlight w:val="none"/>
                <w:lang w:val="zh-CN"/>
              </w:rPr>
            </w:pPr>
            <w:r>
              <w:rPr>
                <w:rFonts w:hint="eastAsia" w:ascii="Times New Roman" w:hAnsi="Times New Roman" w:eastAsia="宋体" w:cs="Times New Roman"/>
                <w:color w:val="auto"/>
                <w:kern w:val="0"/>
                <w:sz w:val="21"/>
                <w:szCs w:val="21"/>
                <w:highlight w:val="none"/>
              </w:rPr>
              <w:t>保护区内居民户数（户）</w:t>
            </w:r>
          </w:p>
        </w:tc>
        <w:tc>
          <w:tcPr>
            <w:tcW w:w="346" w:type="pct"/>
            <w:vAlign w:val="center"/>
          </w:tcPr>
          <w:p w14:paraId="05F7ACFB">
            <w:pPr>
              <w:widowControl/>
              <w:snapToGrid w:val="0"/>
              <w:spacing w:line="240" w:lineRule="auto"/>
              <w:ind w:firstLine="0" w:firstLineChars="0"/>
              <w:jc w:val="center"/>
              <w:rPr>
                <w:rFonts w:hint="default"/>
                <w:color w:val="auto"/>
                <w:sz w:val="21"/>
                <w:szCs w:val="21"/>
                <w:highlight w:val="none"/>
                <w:lang w:val="zh-CN"/>
              </w:rPr>
            </w:pPr>
            <w:r>
              <w:rPr>
                <w:rFonts w:hint="eastAsia" w:ascii="Times New Roman" w:hAnsi="Times New Roman" w:eastAsia="宋体" w:cs="Times New Roman"/>
                <w:color w:val="auto"/>
                <w:kern w:val="0"/>
                <w:sz w:val="21"/>
                <w:szCs w:val="21"/>
                <w:highlight w:val="none"/>
              </w:rPr>
              <w:t>保护区内居住人口数量（人）</w:t>
            </w:r>
          </w:p>
        </w:tc>
        <w:tc>
          <w:tcPr>
            <w:tcW w:w="341" w:type="pct"/>
            <w:vAlign w:val="center"/>
          </w:tcPr>
          <w:p w14:paraId="3E97E554">
            <w:pPr>
              <w:widowControl/>
              <w:snapToGrid w:val="0"/>
              <w:spacing w:line="240" w:lineRule="auto"/>
              <w:ind w:firstLine="0" w:firstLineChars="0"/>
              <w:jc w:val="center"/>
              <w:rPr>
                <w:rFonts w:hint="default"/>
                <w:color w:val="auto"/>
                <w:sz w:val="21"/>
                <w:szCs w:val="21"/>
                <w:highlight w:val="none"/>
                <w:lang w:val="zh-CN"/>
              </w:rPr>
            </w:pPr>
            <w:r>
              <w:rPr>
                <w:rFonts w:hint="eastAsia" w:ascii="Times New Roman" w:hAnsi="Times New Roman" w:eastAsia="宋体" w:cs="Times New Roman"/>
                <w:color w:val="auto"/>
                <w:kern w:val="0"/>
                <w:sz w:val="21"/>
                <w:szCs w:val="21"/>
                <w:highlight w:val="none"/>
              </w:rPr>
              <w:t>保护区内农田面积（公顷）</w:t>
            </w:r>
          </w:p>
        </w:tc>
        <w:tc>
          <w:tcPr>
            <w:tcW w:w="326" w:type="pct"/>
            <w:vAlign w:val="center"/>
          </w:tcPr>
          <w:p w14:paraId="609A0973">
            <w:pPr>
              <w:widowControl/>
              <w:snapToGrid w:val="0"/>
              <w:spacing w:line="240" w:lineRule="auto"/>
              <w:ind w:firstLine="0" w:firstLineChars="0"/>
              <w:jc w:val="center"/>
              <w:rPr>
                <w:rFonts w:hint="default"/>
                <w:color w:val="auto"/>
                <w:sz w:val="21"/>
                <w:szCs w:val="21"/>
                <w:highlight w:val="none"/>
                <w:lang w:val="zh-CN"/>
              </w:rPr>
            </w:pPr>
            <w:r>
              <w:rPr>
                <w:rFonts w:hint="eastAsia" w:ascii="Times New Roman" w:hAnsi="Times New Roman" w:eastAsia="宋体" w:cs="Times New Roman"/>
                <w:color w:val="auto"/>
                <w:kern w:val="0"/>
                <w:sz w:val="21"/>
                <w:szCs w:val="21"/>
                <w:highlight w:val="none"/>
              </w:rPr>
              <w:t>保护区内生活垃圾（</w:t>
            </w:r>
            <w:r>
              <w:rPr>
                <w:rFonts w:ascii="Times New Roman" w:hAnsi="Times New Roman" w:eastAsia="宋体" w:cs="Times New Roman"/>
                <w:color w:val="auto"/>
                <w:kern w:val="0"/>
                <w:sz w:val="21"/>
                <w:szCs w:val="21"/>
                <w:highlight w:val="none"/>
              </w:rPr>
              <w:t>吨/年</w:t>
            </w:r>
            <w:r>
              <w:rPr>
                <w:rFonts w:hint="eastAsia" w:ascii="Times New Roman" w:hAnsi="Times New Roman" w:eastAsia="宋体" w:cs="Times New Roman"/>
                <w:color w:val="auto"/>
                <w:kern w:val="0"/>
                <w:sz w:val="21"/>
                <w:szCs w:val="21"/>
                <w:highlight w:val="none"/>
              </w:rPr>
              <w:t>）</w:t>
            </w:r>
          </w:p>
        </w:tc>
        <w:tc>
          <w:tcPr>
            <w:tcW w:w="325" w:type="pct"/>
            <w:vAlign w:val="center"/>
          </w:tcPr>
          <w:p w14:paraId="620F164E">
            <w:pPr>
              <w:widowControl/>
              <w:snapToGrid w:val="0"/>
              <w:spacing w:line="240" w:lineRule="auto"/>
              <w:ind w:firstLine="0" w:firstLineChars="0"/>
              <w:jc w:val="center"/>
              <w:rPr>
                <w:rFonts w:hint="default"/>
                <w:color w:val="auto"/>
                <w:sz w:val="21"/>
                <w:szCs w:val="21"/>
                <w:highlight w:val="none"/>
                <w:lang w:val="zh-CN"/>
              </w:rPr>
            </w:pPr>
            <w:r>
              <w:rPr>
                <w:rFonts w:hint="eastAsia" w:ascii="Times New Roman" w:hAnsi="Times New Roman" w:eastAsia="宋体" w:cs="Times New Roman"/>
                <w:color w:val="auto"/>
                <w:kern w:val="0"/>
                <w:sz w:val="21"/>
                <w:szCs w:val="21"/>
                <w:highlight w:val="none"/>
              </w:rPr>
              <w:t>保护区内生活污水（</w:t>
            </w:r>
            <w:r>
              <w:rPr>
                <w:rFonts w:ascii="Times New Roman" w:hAnsi="Times New Roman" w:eastAsia="宋体" w:cs="Times New Roman"/>
                <w:color w:val="auto"/>
                <w:kern w:val="0"/>
                <w:sz w:val="21"/>
                <w:szCs w:val="21"/>
                <w:highlight w:val="none"/>
              </w:rPr>
              <w:t>吨/年</w:t>
            </w:r>
            <w:r>
              <w:rPr>
                <w:rFonts w:hint="eastAsia" w:ascii="Times New Roman" w:hAnsi="Times New Roman" w:eastAsia="宋体" w:cs="Times New Roman"/>
                <w:color w:val="auto"/>
                <w:kern w:val="0"/>
                <w:sz w:val="21"/>
                <w:szCs w:val="21"/>
                <w:highlight w:val="none"/>
              </w:rPr>
              <w:t>）</w:t>
            </w:r>
          </w:p>
        </w:tc>
        <w:tc>
          <w:tcPr>
            <w:tcW w:w="458" w:type="pct"/>
            <w:vAlign w:val="center"/>
          </w:tcPr>
          <w:p w14:paraId="65C067E8">
            <w:pPr>
              <w:widowControl/>
              <w:snapToGrid w:val="0"/>
              <w:spacing w:line="240" w:lineRule="auto"/>
              <w:ind w:firstLine="0" w:firstLineChars="0"/>
              <w:jc w:val="center"/>
              <w:rPr>
                <w:rFonts w:hint="default"/>
                <w:color w:val="auto"/>
                <w:sz w:val="21"/>
                <w:szCs w:val="21"/>
                <w:highlight w:val="none"/>
                <w:lang w:val="zh-CN"/>
              </w:rPr>
            </w:pPr>
            <w:r>
              <w:rPr>
                <w:rFonts w:hint="eastAsia" w:ascii="Times New Roman" w:hAnsi="Times New Roman" w:eastAsia="宋体" w:cs="Times New Roman"/>
                <w:color w:val="auto"/>
                <w:kern w:val="0"/>
                <w:sz w:val="21"/>
                <w:szCs w:val="21"/>
                <w:highlight w:val="none"/>
              </w:rPr>
              <w:t>保护区内道路穿越距离（米）</w:t>
            </w:r>
          </w:p>
        </w:tc>
        <w:tc>
          <w:tcPr>
            <w:tcW w:w="421" w:type="pct"/>
            <w:vAlign w:val="center"/>
          </w:tcPr>
          <w:p w14:paraId="33CE316B">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eastAsia="zh-CN"/>
              </w:rPr>
            </w:pPr>
            <w:r>
              <w:rPr>
                <w:rFonts w:hint="eastAsia" w:cs="Times New Roman"/>
                <w:color w:val="auto"/>
                <w:kern w:val="0"/>
                <w:sz w:val="21"/>
                <w:szCs w:val="21"/>
                <w:highlight w:val="none"/>
                <w:lang w:eastAsia="zh-CN"/>
              </w:rPr>
              <w:t>保护区内建筑物面积（平方米）</w:t>
            </w:r>
          </w:p>
        </w:tc>
        <w:tc>
          <w:tcPr>
            <w:tcW w:w="769" w:type="pct"/>
            <w:vAlign w:val="center"/>
          </w:tcPr>
          <w:p w14:paraId="6582C704">
            <w:pPr>
              <w:widowControl/>
              <w:snapToGrid w:val="0"/>
              <w:spacing w:line="240" w:lineRule="auto"/>
              <w:ind w:firstLine="0" w:firstLineChars="0"/>
              <w:jc w:val="center"/>
              <w:rPr>
                <w:rFonts w:hint="default"/>
                <w:color w:val="auto"/>
                <w:sz w:val="21"/>
                <w:szCs w:val="21"/>
                <w:highlight w:val="none"/>
                <w:lang w:val="zh-CN"/>
              </w:rPr>
            </w:pPr>
            <w:r>
              <w:rPr>
                <w:rFonts w:hint="eastAsia" w:ascii="Times New Roman" w:hAnsi="Times New Roman" w:eastAsia="宋体" w:cs="Times New Roman"/>
                <w:color w:val="auto"/>
                <w:kern w:val="0"/>
                <w:sz w:val="21"/>
                <w:szCs w:val="21"/>
                <w:highlight w:val="none"/>
              </w:rPr>
              <w:t>污染分布情况</w:t>
            </w:r>
          </w:p>
        </w:tc>
      </w:tr>
      <w:tr w14:paraId="2C25D2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0" w:type="pct"/>
            <w:vAlign w:val="center"/>
          </w:tcPr>
          <w:p w14:paraId="21B5891C">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1</w:t>
            </w:r>
          </w:p>
        </w:tc>
        <w:tc>
          <w:tcPr>
            <w:tcW w:w="409" w:type="pct"/>
            <w:vMerge w:val="restart"/>
            <w:vAlign w:val="center"/>
          </w:tcPr>
          <w:p w14:paraId="097E2CB1">
            <w:pPr>
              <w:widowControl/>
              <w:spacing w:line="240" w:lineRule="auto"/>
              <w:ind w:firstLine="0" w:firstLineChars="0"/>
              <w:jc w:val="center"/>
              <w:textAlignment w:val="center"/>
              <w:rPr>
                <w:rFonts w:hint="default"/>
                <w:color w:val="auto"/>
                <w:sz w:val="21"/>
                <w:szCs w:val="21"/>
                <w:highlight w:val="none"/>
                <w:lang w:val="zh-CN"/>
              </w:rPr>
            </w:pPr>
            <w:r>
              <w:rPr>
                <w:rFonts w:hint="eastAsia" w:ascii="Times New Roman" w:hAnsi="Times New Roman" w:eastAsia="宋体" w:cs="Times New Roman"/>
                <w:color w:val="auto"/>
                <w:kern w:val="0"/>
                <w:sz w:val="21"/>
                <w:szCs w:val="21"/>
                <w:highlight w:val="none"/>
                <w:lang w:val="en-US" w:eastAsia="zh-CN" w:bidi="ar"/>
              </w:rPr>
              <w:t>绥化市庆安县发展乡</w:t>
            </w:r>
            <w:r>
              <w:rPr>
                <w:rFonts w:ascii="Times New Roman" w:hAnsi="Times New Roman" w:eastAsia="宋体" w:cs="Times New Roman"/>
                <w:color w:val="auto"/>
                <w:kern w:val="0"/>
                <w:sz w:val="21"/>
                <w:szCs w:val="21"/>
                <w:highlight w:val="none"/>
                <w:lang w:bidi="ar"/>
              </w:rPr>
              <w:t>饮用水水源地</w:t>
            </w:r>
          </w:p>
        </w:tc>
        <w:tc>
          <w:tcPr>
            <w:tcW w:w="259" w:type="pct"/>
            <w:vAlign w:val="center"/>
          </w:tcPr>
          <w:p w14:paraId="3DB2DED4">
            <w:pPr>
              <w:pStyle w:val="30"/>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sz w:val="21"/>
                <w:szCs w:val="21"/>
                <w:highlight w:val="none"/>
                <w:lang w:val="zh-CN"/>
              </w:rPr>
            </w:pPr>
            <w:r>
              <w:rPr>
                <w:color w:val="auto"/>
                <w:sz w:val="21"/>
                <w:szCs w:val="21"/>
                <w:highlight w:val="none"/>
              </w:rPr>
              <w:t>1#</w:t>
            </w:r>
          </w:p>
        </w:tc>
        <w:tc>
          <w:tcPr>
            <w:tcW w:w="306" w:type="pct"/>
            <w:vAlign w:val="center"/>
          </w:tcPr>
          <w:p w14:paraId="1450977B">
            <w:pPr>
              <w:widowControl/>
              <w:snapToGrid w:val="0"/>
              <w:spacing w:line="240" w:lineRule="auto"/>
              <w:ind w:firstLine="0" w:firstLineChars="0"/>
              <w:jc w:val="center"/>
              <w:rPr>
                <w:rFonts w:hint="default"/>
                <w:color w:val="auto"/>
                <w:sz w:val="21"/>
                <w:szCs w:val="21"/>
                <w:highlight w:val="none"/>
                <w:lang w:val="zh-CN"/>
              </w:rPr>
            </w:pPr>
            <w:r>
              <w:rPr>
                <w:rFonts w:hint="eastAsia" w:ascii="Times New Roman" w:hAnsi="Times New Roman" w:eastAsia="宋体" w:cs="Times New Roman"/>
                <w:color w:val="auto"/>
                <w:kern w:val="0"/>
                <w:sz w:val="21"/>
                <w:szCs w:val="21"/>
                <w:highlight w:val="none"/>
              </w:rPr>
              <w:t>一级保护区</w:t>
            </w:r>
          </w:p>
        </w:tc>
        <w:tc>
          <w:tcPr>
            <w:tcW w:w="512" w:type="pct"/>
            <w:vAlign w:val="center"/>
          </w:tcPr>
          <w:p w14:paraId="56A21B3D">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eastAsia="zh-CN"/>
              </w:rPr>
            </w:pPr>
            <w:r>
              <w:rPr>
                <w:rFonts w:hint="eastAsia" w:ascii="Times New Roman" w:hAnsi="Times New Roman" w:eastAsia="宋体" w:cs="Times New Roman"/>
                <w:color w:val="auto"/>
                <w:kern w:val="0"/>
                <w:sz w:val="21"/>
                <w:szCs w:val="21"/>
                <w:highlight w:val="none"/>
              </w:rPr>
              <w:t>农业面源污染、</w:t>
            </w:r>
            <w:r>
              <w:rPr>
                <w:rFonts w:hint="eastAsia" w:cs="Times New Roman"/>
                <w:color w:val="auto"/>
                <w:kern w:val="0"/>
                <w:sz w:val="21"/>
                <w:szCs w:val="21"/>
                <w:highlight w:val="none"/>
                <w:lang w:eastAsia="zh-CN"/>
              </w:rPr>
              <w:t>道路穿越</w:t>
            </w:r>
          </w:p>
        </w:tc>
        <w:tc>
          <w:tcPr>
            <w:tcW w:w="322" w:type="pct"/>
            <w:vAlign w:val="center"/>
          </w:tcPr>
          <w:p w14:paraId="1F9233B1">
            <w:pPr>
              <w:pStyle w:val="30"/>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eastAsia="宋体"/>
                <w:color w:val="auto"/>
                <w:sz w:val="21"/>
                <w:szCs w:val="21"/>
                <w:highlight w:val="none"/>
                <w:lang w:val="en-US" w:eastAsia="zh-CN"/>
              </w:rPr>
            </w:pPr>
            <w:r>
              <w:rPr>
                <w:rFonts w:hint="eastAsia"/>
                <w:color w:val="auto"/>
                <w:sz w:val="21"/>
                <w:szCs w:val="21"/>
                <w:highlight w:val="none"/>
                <w:lang w:val="en-US" w:eastAsia="zh-CN"/>
              </w:rPr>
              <w:t>0</w:t>
            </w:r>
          </w:p>
        </w:tc>
        <w:tc>
          <w:tcPr>
            <w:tcW w:w="346" w:type="pct"/>
            <w:vAlign w:val="center"/>
          </w:tcPr>
          <w:p w14:paraId="51046D1D">
            <w:pPr>
              <w:pStyle w:val="30"/>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eastAsia="宋体"/>
                <w:color w:val="auto"/>
                <w:sz w:val="21"/>
                <w:szCs w:val="21"/>
                <w:highlight w:val="none"/>
                <w:lang w:val="en-US" w:eastAsia="zh-CN"/>
              </w:rPr>
            </w:pPr>
            <w:r>
              <w:rPr>
                <w:rFonts w:hint="eastAsia"/>
                <w:color w:val="auto"/>
                <w:sz w:val="21"/>
                <w:szCs w:val="21"/>
                <w:highlight w:val="none"/>
                <w:lang w:val="en-US" w:eastAsia="zh-CN"/>
              </w:rPr>
              <w:t>0</w:t>
            </w:r>
          </w:p>
        </w:tc>
        <w:tc>
          <w:tcPr>
            <w:tcW w:w="341" w:type="pct"/>
            <w:vAlign w:val="center"/>
          </w:tcPr>
          <w:p w14:paraId="18D4402F">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0.104</w:t>
            </w:r>
          </w:p>
        </w:tc>
        <w:tc>
          <w:tcPr>
            <w:tcW w:w="326" w:type="pct"/>
            <w:vAlign w:val="center"/>
          </w:tcPr>
          <w:p w14:paraId="22828D3D">
            <w:pPr>
              <w:pStyle w:val="30"/>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eastAsia="宋体"/>
                <w:color w:val="auto"/>
                <w:sz w:val="21"/>
                <w:szCs w:val="21"/>
                <w:highlight w:val="none"/>
                <w:lang w:val="en-US" w:eastAsia="zh-CN"/>
              </w:rPr>
            </w:pPr>
            <w:r>
              <w:rPr>
                <w:rFonts w:hint="eastAsia"/>
                <w:color w:val="auto"/>
                <w:sz w:val="21"/>
                <w:szCs w:val="21"/>
                <w:highlight w:val="none"/>
                <w:lang w:val="en-US" w:eastAsia="zh-CN"/>
              </w:rPr>
              <w:t>0</w:t>
            </w:r>
          </w:p>
        </w:tc>
        <w:tc>
          <w:tcPr>
            <w:tcW w:w="325" w:type="pct"/>
            <w:vAlign w:val="center"/>
          </w:tcPr>
          <w:p w14:paraId="7C8D4019">
            <w:pPr>
              <w:pStyle w:val="30"/>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eastAsia="宋体"/>
                <w:color w:val="auto"/>
                <w:sz w:val="21"/>
                <w:szCs w:val="21"/>
                <w:highlight w:val="none"/>
                <w:lang w:val="en-US" w:eastAsia="zh-CN"/>
              </w:rPr>
            </w:pPr>
            <w:r>
              <w:rPr>
                <w:rFonts w:hint="eastAsia"/>
                <w:color w:val="auto"/>
                <w:sz w:val="21"/>
                <w:szCs w:val="21"/>
                <w:highlight w:val="none"/>
                <w:lang w:val="en-US" w:eastAsia="zh-CN"/>
              </w:rPr>
              <w:t>0</w:t>
            </w:r>
          </w:p>
        </w:tc>
        <w:tc>
          <w:tcPr>
            <w:tcW w:w="458" w:type="pct"/>
            <w:vAlign w:val="center"/>
          </w:tcPr>
          <w:p w14:paraId="5B4D801A">
            <w:pPr>
              <w:pStyle w:val="30"/>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27</w:t>
            </w:r>
          </w:p>
        </w:tc>
        <w:tc>
          <w:tcPr>
            <w:tcW w:w="421" w:type="pct"/>
            <w:vAlign w:val="center"/>
          </w:tcPr>
          <w:p w14:paraId="18C1634C">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val="en-US" w:eastAsia="zh-CN"/>
              </w:rPr>
            </w:pPr>
            <w:r>
              <w:rPr>
                <w:rFonts w:hint="eastAsia"/>
                <w:color w:val="auto"/>
                <w:sz w:val="21"/>
                <w:szCs w:val="21"/>
                <w:highlight w:val="none"/>
                <w:lang w:val="en-US" w:eastAsia="zh-CN"/>
              </w:rPr>
              <w:t>/</w:t>
            </w:r>
          </w:p>
        </w:tc>
        <w:tc>
          <w:tcPr>
            <w:tcW w:w="769" w:type="pct"/>
            <w:vAlign w:val="center"/>
          </w:tcPr>
          <w:p w14:paraId="79DD04DE">
            <w:pPr>
              <w:pStyle w:val="30"/>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sz w:val="21"/>
                <w:szCs w:val="21"/>
                <w:highlight w:val="none"/>
              </w:rPr>
            </w:pPr>
            <w:r>
              <w:rPr>
                <w:rFonts w:hint="eastAsia"/>
                <w:color w:val="auto"/>
                <w:kern w:val="0"/>
                <w:sz w:val="21"/>
                <w:szCs w:val="21"/>
                <w:highlight w:val="none"/>
              </w:rPr>
              <w:t>一级保护区内有农田化肥农药使用；乡村道路存在农药运输</w:t>
            </w:r>
          </w:p>
        </w:tc>
      </w:tr>
      <w:tr w14:paraId="68798A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0" w:type="pct"/>
            <w:vAlign w:val="center"/>
          </w:tcPr>
          <w:p w14:paraId="544857DD">
            <w:pPr>
              <w:pStyle w:val="30"/>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eastAsia="宋体"/>
                <w:color w:val="auto"/>
                <w:sz w:val="21"/>
                <w:szCs w:val="21"/>
                <w:highlight w:val="none"/>
                <w:lang w:val="en-US" w:eastAsia="zh-CN"/>
              </w:rPr>
            </w:pPr>
            <w:r>
              <w:rPr>
                <w:rFonts w:hint="eastAsia"/>
                <w:color w:val="auto"/>
                <w:sz w:val="21"/>
                <w:szCs w:val="21"/>
                <w:highlight w:val="none"/>
                <w:lang w:val="en-US" w:eastAsia="zh-CN"/>
              </w:rPr>
              <w:t>2</w:t>
            </w:r>
          </w:p>
        </w:tc>
        <w:tc>
          <w:tcPr>
            <w:tcW w:w="409" w:type="pct"/>
            <w:vMerge w:val="continue"/>
            <w:vAlign w:val="center"/>
          </w:tcPr>
          <w:p w14:paraId="5971591A">
            <w:pPr>
              <w:pStyle w:val="30"/>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sz w:val="21"/>
                <w:szCs w:val="21"/>
                <w:highlight w:val="none"/>
                <w:lang w:val="zh-CN"/>
              </w:rPr>
            </w:pPr>
          </w:p>
        </w:tc>
        <w:tc>
          <w:tcPr>
            <w:tcW w:w="259" w:type="pct"/>
            <w:vAlign w:val="center"/>
          </w:tcPr>
          <w:p w14:paraId="63BE538A">
            <w:pPr>
              <w:pStyle w:val="30"/>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sz w:val="21"/>
                <w:szCs w:val="21"/>
                <w:highlight w:val="none"/>
                <w:lang w:val="zh-CN"/>
              </w:rPr>
            </w:pPr>
            <w:r>
              <w:rPr>
                <w:color w:val="auto"/>
                <w:sz w:val="21"/>
                <w:szCs w:val="21"/>
                <w:highlight w:val="none"/>
              </w:rPr>
              <w:t>2#</w:t>
            </w:r>
          </w:p>
        </w:tc>
        <w:tc>
          <w:tcPr>
            <w:tcW w:w="306" w:type="pct"/>
            <w:vAlign w:val="center"/>
          </w:tcPr>
          <w:p w14:paraId="32257137">
            <w:pPr>
              <w:widowControl/>
              <w:snapToGrid w:val="0"/>
              <w:spacing w:line="240" w:lineRule="auto"/>
              <w:ind w:firstLine="0" w:firstLineChars="0"/>
              <w:jc w:val="center"/>
              <w:rPr>
                <w:rFonts w:hint="default"/>
                <w:color w:val="auto"/>
                <w:sz w:val="21"/>
                <w:szCs w:val="21"/>
                <w:highlight w:val="none"/>
                <w:lang w:val="zh-CN"/>
              </w:rPr>
            </w:pPr>
            <w:r>
              <w:rPr>
                <w:rFonts w:hint="eastAsia" w:ascii="Times New Roman" w:hAnsi="Times New Roman" w:eastAsia="宋体" w:cs="Times New Roman"/>
                <w:color w:val="auto"/>
                <w:kern w:val="0"/>
                <w:sz w:val="21"/>
                <w:szCs w:val="21"/>
                <w:highlight w:val="none"/>
              </w:rPr>
              <w:t>一级保护区</w:t>
            </w:r>
          </w:p>
        </w:tc>
        <w:tc>
          <w:tcPr>
            <w:tcW w:w="512" w:type="pct"/>
            <w:vAlign w:val="center"/>
          </w:tcPr>
          <w:p w14:paraId="34905F7C">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eastAsia" w:ascii="Times New Roman" w:hAnsi="Times New Roman" w:eastAsia="宋体" w:cs="Times New Roman"/>
                <w:color w:val="auto"/>
                <w:kern w:val="0"/>
                <w:sz w:val="21"/>
                <w:szCs w:val="21"/>
                <w:highlight w:val="none"/>
              </w:rPr>
              <w:t>农业面源污染</w:t>
            </w:r>
          </w:p>
        </w:tc>
        <w:tc>
          <w:tcPr>
            <w:tcW w:w="322" w:type="pct"/>
            <w:vAlign w:val="center"/>
          </w:tcPr>
          <w:p w14:paraId="14CE521D">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rFonts w:hint="eastAsia"/>
                <w:color w:val="auto"/>
                <w:sz w:val="21"/>
                <w:szCs w:val="21"/>
                <w:highlight w:val="none"/>
                <w:lang w:val="en-US" w:eastAsia="zh-CN"/>
              </w:rPr>
              <w:t>0</w:t>
            </w:r>
          </w:p>
        </w:tc>
        <w:tc>
          <w:tcPr>
            <w:tcW w:w="346" w:type="pct"/>
            <w:vAlign w:val="center"/>
          </w:tcPr>
          <w:p w14:paraId="70E6471F">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rFonts w:hint="eastAsia"/>
                <w:color w:val="auto"/>
                <w:sz w:val="21"/>
                <w:szCs w:val="21"/>
                <w:highlight w:val="none"/>
                <w:lang w:val="en-US" w:eastAsia="zh-CN"/>
              </w:rPr>
              <w:t>0</w:t>
            </w:r>
          </w:p>
        </w:tc>
        <w:tc>
          <w:tcPr>
            <w:tcW w:w="341" w:type="pct"/>
            <w:vAlign w:val="center"/>
          </w:tcPr>
          <w:p w14:paraId="2326ECA8">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rFonts w:hint="eastAsia"/>
                <w:color w:val="auto"/>
                <w:sz w:val="21"/>
                <w:szCs w:val="21"/>
                <w:highlight w:val="none"/>
                <w:lang w:val="en-US" w:eastAsia="zh-CN"/>
              </w:rPr>
              <w:t>0.082</w:t>
            </w:r>
          </w:p>
        </w:tc>
        <w:tc>
          <w:tcPr>
            <w:tcW w:w="326" w:type="pct"/>
            <w:vAlign w:val="center"/>
          </w:tcPr>
          <w:p w14:paraId="4ECB1F50">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rFonts w:hint="eastAsia"/>
                <w:color w:val="auto"/>
                <w:sz w:val="21"/>
                <w:szCs w:val="21"/>
                <w:highlight w:val="none"/>
                <w:lang w:val="en-US" w:eastAsia="zh-CN"/>
              </w:rPr>
              <w:t>0</w:t>
            </w:r>
          </w:p>
        </w:tc>
        <w:tc>
          <w:tcPr>
            <w:tcW w:w="325" w:type="pct"/>
            <w:vAlign w:val="center"/>
          </w:tcPr>
          <w:p w14:paraId="17E36907">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rFonts w:hint="eastAsia"/>
                <w:color w:val="auto"/>
                <w:sz w:val="21"/>
                <w:szCs w:val="21"/>
                <w:highlight w:val="none"/>
                <w:lang w:val="en-US" w:eastAsia="zh-CN"/>
              </w:rPr>
              <w:t>0</w:t>
            </w:r>
          </w:p>
        </w:tc>
        <w:tc>
          <w:tcPr>
            <w:tcW w:w="458" w:type="pct"/>
            <w:vAlign w:val="center"/>
          </w:tcPr>
          <w:p w14:paraId="49F7B18B">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rFonts w:hint="eastAsia"/>
                <w:color w:val="auto"/>
                <w:sz w:val="21"/>
                <w:szCs w:val="21"/>
                <w:highlight w:val="none"/>
                <w:lang w:val="en-US" w:eastAsia="zh-CN"/>
              </w:rPr>
              <w:t>0</w:t>
            </w:r>
          </w:p>
        </w:tc>
        <w:tc>
          <w:tcPr>
            <w:tcW w:w="421" w:type="pct"/>
            <w:vAlign w:val="center"/>
          </w:tcPr>
          <w:p w14:paraId="5E6B04A8">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val="en-US" w:eastAsia="zh-CN"/>
              </w:rPr>
            </w:pPr>
            <w:r>
              <w:rPr>
                <w:rFonts w:hint="eastAsia"/>
                <w:color w:val="auto"/>
                <w:sz w:val="21"/>
                <w:szCs w:val="21"/>
                <w:highlight w:val="none"/>
                <w:lang w:val="en-US" w:eastAsia="zh-CN"/>
              </w:rPr>
              <w:t>/</w:t>
            </w:r>
          </w:p>
        </w:tc>
        <w:tc>
          <w:tcPr>
            <w:tcW w:w="769" w:type="pct"/>
            <w:vAlign w:val="center"/>
          </w:tcPr>
          <w:p w14:paraId="66272809">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rFonts w:hint="eastAsia"/>
                <w:color w:val="auto"/>
                <w:kern w:val="0"/>
                <w:sz w:val="21"/>
                <w:szCs w:val="21"/>
                <w:highlight w:val="none"/>
              </w:rPr>
              <w:t>一级保护区内有农田化肥农药使用</w:t>
            </w:r>
          </w:p>
        </w:tc>
      </w:tr>
      <w:tr w14:paraId="15C933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0" w:type="pct"/>
            <w:vAlign w:val="center"/>
          </w:tcPr>
          <w:p w14:paraId="38F6C5F4">
            <w:pPr>
              <w:pStyle w:val="30"/>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eastAsia="宋体"/>
                <w:color w:val="auto"/>
                <w:sz w:val="21"/>
                <w:szCs w:val="21"/>
                <w:highlight w:val="none"/>
                <w:lang w:val="en-US" w:eastAsia="zh-CN"/>
              </w:rPr>
            </w:pPr>
            <w:r>
              <w:rPr>
                <w:rFonts w:hint="eastAsia"/>
                <w:color w:val="auto"/>
                <w:sz w:val="21"/>
                <w:szCs w:val="21"/>
                <w:highlight w:val="none"/>
                <w:lang w:val="en-US" w:eastAsia="zh-CN"/>
              </w:rPr>
              <w:t>3</w:t>
            </w:r>
          </w:p>
        </w:tc>
        <w:tc>
          <w:tcPr>
            <w:tcW w:w="409" w:type="pct"/>
            <w:vMerge w:val="continue"/>
            <w:vAlign w:val="center"/>
          </w:tcPr>
          <w:p w14:paraId="2558CA18">
            <w:pPr>
              <w:pStyle w:val="30"/>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sz w:val="21"/>
                <w:szCs w:val="21"/>
                <w:highlight w:val="none"/>
                <w:lang w:val="zh-CN"/>
              </w:rPr>
            </w:pPr>
          </w:p>
        </w:tc>
        <w:tc>
          <w:tcPr>
            <w:tcW w:w="259" w:type="pct"/>
            <w:vAlign w:val="center"/>
          </w:tcPr>
          <w:p w14:paraId="66743850">
            <w:pPr>
              <w:pStyle w:val="30"/>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sz w:val="21"/>
                <w:szCs w:val="21"/>
                <w:highlight w:val="none"/>
                <w:lang w:val="zh-CN"/>
              </w:rPr>
            </w:pPr>
            <w:r>
              <w:rPr>
                <w:color w:val="auto"/>
                <w:sz w:val="21"/>
                <w:szCs w:val="21"/>
                <w:highlight w:val="none"/>
              </w:rPr>
              <w:t>3#</w:t>
            </w:r>
          </w:p>
        </w:tc>
        <w:tc>
          <w:tcPr>
            <w:tcW w:w="306" w:type="pct"/>
            <w:vAlign w:val="center"/>
          </w:tcPr>
          <w:p w14:paraId="4082994C">
            <w:pPr>
              <w:widowControl/>
              <w:snapToGrid w:val="0"/>
              <w:spacing w:line="240" w:lineRule="auto"/>
              <w:ind w:firstLine="0" w:firstLineChars="0"/>
              <w:jc w:val="center"/>
              <w:rPr>
                <w:rFonts w:hint="default"/>
                <w:color w:val="auto"/>
                <w:sz w:val="21"/>
                <w:szCs w:val="21"/>
                <w:highlight w:val="none"/>
                <w:lang w:val="zh-CN"/>
              </w:rPr>
            </w:pPr>
            <w:r>
              <w:rPr>
                <w:rFonts w:hint="eastAsia" w:ascii="Times New Roman" w:hAnsi="Times New Roman" w:eastAsia="宋体" w:cs="Times New Roman"/>
                <w:color w:val="auto"/>
                <w:kern w:val="0"/>
                <w:sz w:val="21"/>
                <w:szCs w:val="21"/>
                <w:highlight w:val="none"/>
              </w:rPr>
              <w:t>一级保护区</w:t>
            </w:r>
          </w:p>
        </w:tc>
        <w:tc>
          <w:tcPr>
            <w:tcW w:w="512" w:type="pct"/>
            <w:vAlign w:val="center"/>
          </w:tcPr>
          <w:p w14:paraId="2908618E">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eastAsia" w:ascii="Times New Roman" w:hAnsi="Times New Roman" w:eastAsia="宋体" w:cs="Times New Roman"/>
                <w:color w:val="auto"/>
                <w:kern w:val="0"/>
                <w:sz w:val="21"/>
                <w:szCs w:val="21"/>
                <w:highlight w:val="none"/>
              </w:rPr>
              <w:t>农业面源污染</w:t>
            </w:r>
          </w:p>
        </w:tc>
        <w:tc>
          <w:tcPr>
            <w:tcW w:w="322" w:type="pct"/>
            <w:vAlign w:val="center"/>
          </w:tcPr>
          <w:p w14:paraId="7B943621">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rPr>
            </w:pPr>
            <w:r>
              <w:rPr>
                <w:rFonts w:hint="eastAsia"/>
                <w:color w:val="auto"/>
                <w:sz w:val="21"/>
                <w:szCs w:val="21"/>
                <w:highlight w:val="none"/>
                <w:lang w:val="en-US" w:eastAsia="zh-CN"/>
              </w:rPr>
              <w:t>0</w:t>
            </w:r>
          </w:p>
        </w:tc>
        <w:tc>
          <w:tcPr>
            <w:tcW w:w="346" w:type="pct"/>
            <w:vAlign w:val="center"/>
          </w:tcPr>
          <w:p w14:paraId="6B27641D">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rPr>
            </w:pPr>
            <w:r>
              <w:rPr>
                <w:rFonts w:hint="eastAsia"/>
                <w:color w:val="auto"/>
                <w:sz w:val="21"/>
                <w:szCs w:val="21"/>
                <w:highlight w:val="none"/>
                <w:lang w:val="en-US" w:eastAsia="zh-CN"/>
              </w:rPr>
              <w:t>0</w:t>
            </w:r>
          </w:p>
        </w:tc>
        <w:tc>
          <w:tcPr>
            <w:tcW w:w="341" w:type="pct"/>
            <w:vAlign w:val="center"/>
          </w:tcPr>
          <w:p w14:paraId="68173CF0">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rPr>
            </w:pPr>
            <w:r>
              <w:rPr>
                <w:rFonts w:hint="eastAsia"/>
                <w:color w:val="auto"/>
                <w:sz w:val="21"/>
                <w:szCs w:val="21"/>
                <w:highlight w:val="none"/>
                <w:lang w:val="en-US" w:eastAsia="zh-CN"/>
              </w:rPr>
              <w:t>0.077</w:t>
            </w:r>
          </w:p>
        </w:tc>
        <w:tc>
          <w:tcPr>
            <w:tcW w:w="326" w:type="pct"/>
            <w:vAlign w:val="center"/>
          </w:tcPr>
          <w:p w14:paraId="500003FA">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rPr>
            </w:pPr>
            <w:r>
              <w:rPr>
                <w:rFonts w:hint="eastAsia"/>
                <w:color w:val="auto"/>
                <w:sz w:val="21"/>
                <w:szCs w:val="21"/>
                <w:highlight w:val="none"/>
                <w:lang w:val="en-US" w:eastAsia="zh-CN"/>
              </w:rPr>
              <w:t>0</w:t>
            </w:r>
          </w:p>
        </w:tc>
        <w:tc>
          <w:tcPr>
            <w:tcW w:w="325" w:type="pct"/>
            <w:vAlign w:val="center"/>
          </w:tcPr>
          <w:p w14:paraId="73EC8AB3">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rPr>
            </w:pPr>
            <w:r>
              <w:rPr>
                <w:rFonts w:hint="eastAsia"/>
                <w:color w:val="auto"/>
                <w:sz w:val="21"/>
                <w:szCs w:val="21"/>
                <w:highlight w:val="none"/>
                <w:lang w:val="en-US" w:eastAsia="zh-CN"/>
              </w:rPr>
              <w:t>0</w:t>
            </w:r>
          </w:p>
        </w:tc>
        <w:tc>
          <w:tcPr>
            <w:tcW w:w="458" w:type="pct"/>
            <w:vAlign w:val="center"/>
          </w:tcPr>
          <w:p w14:paraId="5E531001">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rPr>
            </w:pPr>
            <w:r>
              <w:rPr>
                <w:rFonts w:hint="eastAsia"/>
                <w:color w:val="auto"/>
                <w:sz w:val="21"/>
                <w:szCs w:val="21"/>
                <w:highlight w:val="none"/>
                <w:lang w:val="en-US" w:eastAsia="zh-CN"/>
              </w:rPr>
              <w:t>0</w:t>
            </w:r>
          </w:p>
        </w:tc>
        <w:tc>
          <w:tcPr>
            <w:tcW w:w="421" w:type="pct"/>
            <w:vAlign w:val="center"/>
          </w:tcPr>
          <w:p w14:paraId="588DEF20">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val="en-US" w:eastAsia="zh-CN"/>
              </w:rPr>
            </w:pPr>
            <w:r>
              <w:rPr>
                <w:rFonts w:hint="eastAsia"/>
                <w:color w:val="auto"/>
                <w:sz w:val="21"/>
                <w:szCs w:val="21"/>
                <w:highlight w:val="none"/>
                <w:lang w:val="en-US" w:eastAsia="zh-CN"/>
              </w:rPr>
              <w:t>/</w:t>
            </w:r>
          </w:p>
        </w:tc>
        <w:tc>
          <w:tcPr>
            <w:tcW w:w="769" w:type="pct"/>
            <w:vAlign w:val="center"/>
          </w:tcPr>
          <w:p w14:paraId="37CD95A4">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rPr>
            </w:pPr>
            <w:r>
              <w:rPr>
                <w:rFonts w:hint="eastAsia"/>
                <w:color w:val="auto"/>
                <w:kern w:val="0"/>
                <w:sz w:val="21"/>
                <w:szCs w:val="21"/>
                <w:highlight w:val="none"/>
              </w:rPr>
              <w:t>一级保护区内有农田化肥农药使用</w:t>
            </w:r>
          </w:p>
        </w:tc>
      </w:tr>
      <w:tr w14:paraId="742074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0" w:type="pct"/>
            <w:vAlign w:val="center"/>
          </w:tcPr>
          <w:p w14:paraId="4003D005">
            <w:pPr>
              <w:pStyle w:val="30"/>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eastAsia="宋体"/>
                <w:color w:val="auto"/>
                <w:sz w:val="21"/>
                <w:szCs w:val="21"/>
                <w:highlight w:val="none"/>
                <w:lang w:val="en-US" w:eastAsia="zh-CN"/>
              </w:rPr>
            </w:pPr>
            <w:r>
              <w:rPr>
                <w:rFonts w:hint="eastAsia"/>
                <w:color w:val="auto"/>
                <w:sz w:val="21"/>
                <w:szCs w:val="21"/>
                <w:highlight w:val="none"/>
                <w:lang w:val="en-US" w:eastAsia="zh-CN"/>
              </w:rPr>
              <w:t>4</w:t>
            </w:r>
          </w:p>
        </w:tc>
        <w:tc>
          <w:tcPr>
            <w:tcW w:w="409" w:type="pct"/>
            <w:vMerge w:val="continue"/>
            <w:vAlign w:val="center"/>
          </w:tcPr>
          <w:p w14:paraId="416D8B64">
            <w:pPr>
              <w:pStyle w:val="30"/>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sz w:val="21"/>
                <w:szCs w:val="21"/>
                <w:highlight w:val="none"/>
                <w:lang w:val="zh-CN"/>
              </w:rPr>
            </w:pPr>
          </w:p>
        </w:tc>
        <w:tc>
          <w:tcPr>
            <w:tcW w:w="259" w:type="pct"/>
            <w:vAlign w:val="center"/>
          </w:tcPr>
          <w:p w14:paraId="42B4AFAA">
            <w:pPr>
              <w:pStyle w:val="30"/>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sz w:val="21"/>
                <w:szCs w:val="21"/>
                <w:highlight w:val="none"/>
                <w:lang w:val="zh-CN"/>
              </w:rPr>
            </w:pPr>
            <w:r>
              <w:rPr>
                <w:color w:val="auto"/>
                <w:sz w:val="21"/>
                <w:szCs w:val="21"/>
                <w:highlight w:val="none"/>
              </w:rPr>
              <w:t>4#</w:t>
            </w:r>
          </w:p>
        </w:tc>
        <w:tc>
          <w:tcPr>
            <w:tcW w:w="306" w:type="pct"/>
            <w:vAlign w:val="center"/>
          </w:tcPr>
          <w:p w14:paraId="7FCC937C">
            <w:pPr>
              <w:widowControl/>
              <w:snapToGrid w:val="0"/>
              <w:spacing w:line="240" w:lineRule="auto"/>
              <w:ind w:firstLine="0" w:firstLineChars="0"/>
              <w:jc w:val="center"/>
              <w:rPr>
                <w:rFonts w:hint="default"/>
                <w:color w:val="auto"/>
                <w:sz w:val="21"/>
                <w:szCs w:val="21"/>
                <w:highlight w:val="none"/>
                <w:lang w:val="zh-CN"/>
              </w:rPr>
            </w:pPr>
            <w:r>
              <w:rPr>
                <w:rFonts w:hint="eastAsia" w:ascii="Times New Roman" w:hAnsi="Times New Roman" w:eastAsia="宋体" w:cs="Times New Roman"/>
                <w:color w:val="auto"/>
                <w:kern w:val="0"/>
                <w:sz w:val="21"/>
                <w:szCs w:val="21"/>
                <w:highlight w:val="none"/>
              </w:rPr>
              <w:t>一级保护区</w:t>
            </w:r>
          </w:p>
        </w:tc>
        <w:tc>
          <w:tcPr>
            <w:tcW w:w="512" w:type="pct"/>
            <w:vAlign w:val="center"/>
          </w:tcPr>
          <w:p w14:paraId="618406B3">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zh-CN"/>
              </w:rPr>
            </w:pPr>
            <w:r>
              <w:rPr>
                <w:rFonts w:hint="eastAsia" w:ascii="Times New Roman" w:hAnsi="Times New Roman" w:eastAsia="宋体" w:cs="Times New Roman"/>
                <w:color w:val="auto"/>
                <w:kern w:val="0"/>
                <w:sz w:val="21"/>
                <w:szCs w:val="21"/>
                <w:highlight w:val="none"/>
              </w:rPr>
              <w:t>农业面源污染</w:t>
            </w:r>
          </w:p>
        </w:tc>
        <w:tc>
          <w:tcPr>
            <w:tcW w:w="322" w:type="pct"/>
            <w:vAlign w:val="center"/>
          </w:tcPr>
          <w:p w14:paraId="6FD2A766">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rPr>
            </w:pPr>
            <w:r>
              <w:rPr>
                <w:rFonts w:hint="eastAsia"/>
                <w:color w:val="auto"/>
                <w:sz w:val="21"/>
                <w:szCs w:val="21"/>
                <w:highlight w:val="none"/>
                <w:lang w:val="en-US" w:eastAsia="zh-CN"/>
              </w:rPr>
              <w:t>0</w:t>
            </w:r>
          </w:p>
        </w:tc>
        <w:tc>
          <w:tcPr>
            <w:tcW w:w="346" w:type="pct"/>
            <w:vAlign w:val="center"/>
          </w:tcPr>
          <w:p w14:paraId="40488FEC">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rFonts w:hint="eastAsia"/>
                <w:color w:val="auto"/>
                <w:sz w:val="21"/>
                <w:szCs w:val="21"/>
                <w:highlight w:val="none"/>
                <w:lang w:val="en-US" w:eastAsia="zh-CN"/>
              </w:rPr>
              <w:t>0</w:t>
            </w:r>
          </w:p>
        </w:tc>
        <w:tc>
          <w:tcPr>
            <w:tcW w:w="341" w:type="pct"/>
            <w:vAlign w:val="center"/>
          </w:tcPr>
          <w:p w14:paraId="57172F90">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rFonts w:hint="eastAsia"/>
                <w:color w:val="auto"/>
                <w:sz w:val="21"/>
                <w:szCs w:val="21"/>
                <w:highlight w:val="none"/>
                <w:lang w:val="en-US" w:eastAsia="zh-CN"/>
              </w:rPr>
              <w:t>0.109</w:t>
            </w:r>
          </w:p>
        </w:tc>
        <w:tc>
          <w:tcPr>
            <w:tcW w:w="326" w:type="pct"/>
            <w:vAlign w:val="center"/>
          </w:tcPr>
          <w:p w14:paraId="3A673A0B">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rFonts w:hint="eastAsia"/>
                <w:color w:val="auto"/>
                <w:sz w:val="21"/>
                <w:szCs w:val="21"/>
                <w:highlight w:val="none"/>
                <w:lang w:val="en-US" w:eastAsia="zh-CN"/>
              </w:rPr>
              <w:t>0</w:t>
            </w:r>
          </w:p>
        </w:tc>
        <w:tc>
          <w:tcPr>
            <w:tcW w:w="325" w:type="pct"/>
            <w:vAlign w:val="center"/>
          </w:tcPr>
          <w:p w14:paraId="77665F08">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rFonts w:hint="eastAsia"/>
                <w:color w:val="auto"/>
                <w:sz w:val="21"/>
                <w:szCs w:val="21"/>
                <w:highlight w:val="none"/>
                <w:lang w:val="en-US" w:eastAsia="zh-CN"/>
              </w:rPr>
              <w:t>0</w:t>
            </w:r>
          </w:p>
        </w:tc>
        <w:tc>
          <w:tcPr>
            <w:tcW w:w="458" w:type="pct"/>
            <w:vAlign w:val="center"/>
          </w:tcPr>
          <w:p w14:paraId="558C4982">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rFonts w:hint="eastAsia"/>
                <w:color w:val="auto"/>
                <w:sz w:val="21"/>
                <w:szCs w:val="21"/>
                <w:highlight w:val="none"/>
                <w:lang w:val="en-US" w:eastAsia="zh-CN"/>
              </w:rPr>
              <w:t>0</w:t>
            </w:r>
          </w:p>
        </w:tc>
        <w:tc>
          <w:tcPr>
            <w:tcW w:w="421" w:type="pct"/>
            <w:vAlign w:val="center"/>
          </w:tcPr>
          <w:p w14:paraId="7EAF338F">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val="en-US" w:eastAsia="zh-CN"/>
              </w:rPr>
            </w:pPr>
            <w:r>
              <w:rPr>
                <w:rFonts w:hint="eastAsia"/>
                <w:color w:val="auto"/>
                <w:sz w:val="21"/>
                <w:szCs w:val="21"/>
                <w:highlight w:val="none"/>
                <w:lang w:val="en-US" w:eastAsia="zh-CN"/>
              </w:rPr>
              <w:t>/</w:t>
            </w:r>
          </w:p>
        </w:tc>
        <w:tc>
          <w:tcPr>
            <w:tcW w:w="769" w:type="pct"/>
            <w:vAlign w:val="center"/>
          </w:tcPr>
          <w:p w14:paraId="53529693">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rFonts w:hint="eastAsia"/>
                <w:color w:val="auto"/>
                <w:kern w:val="0"/>
                <w:sz w:val="21"/>
                <w:szCs w:val="21"/>
                <w:highlight w:val="none"/>
              </w:rPr>
              <w:t>一级保护区内有农田化肥农药使用</w:t>
            </w:r>
          </w:p>
        </w:tc>
      </w:tr>
      <w:tr w14:paraId="4B5536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0" w:type="pct"/>
            <w:vAlign w:val="center"/>
          </w:tcPr>
          <w:p w14:paraId="3C9C2786">
            <w:pPr>
              <w:pStyle w:val="30"/>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eastAsia="宋体"/>
                <w:color w:val="auto"/>
                <w:sz w:val="21"/>
                <w:szCs w:val="21"/>
                <w:highlight w:val="none"/>
                <w:lang w:val="en-US" w:eastAsia="zh-CN"/>
              </w:rPr>
            </w:pPr>
            <w:r>
              <w:rPr>
                <w:rFonts w:hint="eastAsia"/>
                <w:color w:val="auto"/>
                <w:sz w:val="21"/>
                <w:szCs w:val="21"/>
                <w:highlight w:val="none"/>
                <w:lang w:val="en-US" w:eastAsia="zh-CN"/>
              </w:rPr>
              <w:t>5</w:t>
            </w:r>
          </w:p>
        </w:tc>
        <w:tc>
          <w:tcPr>
            <w:tcW w:w="409" w:type="pct"/>
            <w:vMerge w:val="continue"/>
            <w:vAlign w:val="center"/>
          </w:tcPr>
          <w:p w14:paraId="1FFBEC48">
            <w:pPr>
              <w:pStyle w:val="30"/>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sz w:val="21"/>
                <w:szCs w:val="21"/>
                <w:highlight w:val="none"/>
                <w:lang w:val="zh-CN"/>
              </w:rPr>
            </w:pPr>
          </w:p>
        </w:tc>
        <w:tc>
          <w:tcPr>
            <w:tcW w:w="259" w:type="pct"/>
            <w:vAlign w:val="center"/>
          </w:tcPr>
          <w:p w14:paraId="2596D5FD">
            <w:pPr>
              <w:pStyle w:val="30"/>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sz w:val="21"/>
                <w:szCs w:val="21"/>
                <w:highlight w:val="none"/>
                <w:lang w:val="zh-CN"/>
              </w:rPr>
            </w:pPr>
            <w:r>
              <w:rPr>
                <w:color w:val="auto"/>
                <w:sz w:val="21"/>
                <w:szCs w:val="21"/>
                <w:highlight w:val="none"/>
              </w:rPr>
              <w:t>5#</w:t>
            </w:r>
          </w:p>
        </w:tc>
        <w:tc>
          <w:tcPr>
            <w:tcW w:w="306" w:type="pct"/>
            <w:vAlign w:val="center"/>
          </w:tcPr>
          <w:p w14:paraId="4AE09D47">
            <w:pPr>
              <w:widowControl/>
              <w:snapToGrid w:val="0"/>
              <w:spacing w:line="240" w:lineRule="auto"/>
              <w:ind w:firstLine="0" w:firstLineChars="0"/>
              <w:jc w:val="center"/>
              <w:rPr>
                <w:rFonts w:hint="default"/>
                <w:color w:val="auto"/>
                <w:sz w:val="21"/>
                <w:szCs w:val="21"/>
                <w:highlight w:val="none"/>
                <w:lang w:val="zh-CN"/>
              </w:rPr>
            </w:pPr>
            <w:r>
              <w:rPr>
                <w:rFonts w:hint="eastAsia" w:ascii="Times New Roman" w:hAnsi="Times New Roman" w:eastAsia="宋体" w:cs="Times New Roman"/>
                <w:color w:val="auto"/>
                <w:kern w:val="0"/>
                <w:sz w:val="21"/>
                <w:szCs w:val="21"/>
                <w:highlight w:val="none"/>
              </w:rPr>
              <w:t>一级保护区</w:t>
            </w:r>
          </w:p>
        </w:tc>
        <w:tc>
          <w:tcPr>
            <w:tcW w:w="512" w:type="pct"/>
            <w:vAlign w:val="center"/>
          </w:tcPr>
          <w:p w14:paraId="6DDB39FA">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zh-CN"/>
              </w:rPr>
            </w:pPr>
            <w:r>
              <w:rPr>
                <w:rFonts w:hint="eastAsia" w:ascii="Times New Roman" w:hAnsi="Times New Roman" w:eastAsia="宋体" w:cs="Times New Roman"/>
                <w:color w:val="auto"/>
                <w:kern w:val="0"/>
                <w:sz w:val="21"/>
                <w:szCs w:val="21"/>
                <w:highlight w:val="none"/>
              </w:rPr>
              <w:t>农业面源污染</w:t>
            </w:r>
          </w:p>
        </w:tc>
        <w:tc>
          <w:tcPr>
            <w:tcW w:w="322" w:type="pct"/>
            <w:vAlign w:val="center"/>
          </w:tcPr>
          <w:p w14:paraId="6AD989DB">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rPr>
            </w:pPr>
            <w:r>
              <w:rPr>
                <w:rFonts w:hint="eastAsia"/>
                <w:color w:val="auto"/>
                <w:sz w:val="21"/>
                <w:szCs w:val="21"/>
                <w:highlight w:val="none"/>
                <w:lang w:val="en-US" w:eastAsia="zh-CN"/>
              </w:rPr>
              <w:t>0</w:t>
            </w:r>
          </w:p>
        </w:tc>
        <w:tc>
          <w:tcPr>
            <w:tcW w:w="346" w:type="pct"/>
            <w:vAlign w:val="center"/>
          </w:tcPr>
          <w:p w14:paraId="0E520E0A">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rPr>
            </w:pPr>
            <w:r>
              <w:rPr>
                <w:rFonts w:hint="eastAsia"/>
                <w:color w:val="auto"/>
                <w:sz w:val="21"/>
                <w:szCs w:val="21"/>
                <w:highlight w:val="none"/>
                <w:lang w:val="en-US" w:eastAsia="zh-CN"/>
              </w:rPr>
              <w:t>0</w:t>
            </w:r>
          </w:p>
        </w:tc>
        <w:tc>
          <w:tcPr>
            <w:tcW w:w="341" w:type="pct"/>
            <w:vAlign w:val="center"/>
          </w:tcPr>
          <w:p w14:paraId="73673CA7">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rPr>
            </w:pPr>
            <w:r>
              <w:rPr>
                <w:rFonts w:hint="eastAsia"/>
                <w:color w:val="auto"/>
                <w:sz w:val="21"/>
                <w:szCs w:val="21"/>
                <w:highlight w:val="none"/>
                <w:lang w:val="en-US" w:eastAsia="zh-CN"/>
              </w:rPr>
              <w:t>0.085</w:t>
            </w:r>
          </w:p>
        </w:tc>
        <w:tc>
          <w:tcPr>
            <w:tcW w:w="326" w:type="pct"/>
            <w:vAlign w:val="center"/>
          </w:tcPr>
          <w:p w14:paraId="45110AA9">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rPr>
            </w:pPr>
            <w:r>
              <w:rPr>
                <w:rFonts w:hint="eastAsia"/>
                <w:color w:val="auto"/>
                <w:sz w:val="21"/>
                <w:szCs w:val="21"/>
                <w:highlight w:val="none"/>
                <w:lang w:val="en-US" w:eastAsia="zh-CN"/>
              </w:rPr>
              <w:t>0</w:t>
            </w:r>
          </w:p>
        </w:tc>
        <w:tc>
          <w:tcPr>
            <w:tcW w:w="325" w:type="pct"/>
            <w:vAlign w:val="center"/>
          </w:tcPr>
          <w:p w14:paraId="083A6605">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rPr>
            </w:pPr>
            <w:r>
              <w:rPr>
                <w:rFonts w:hint="eastAsia"/>
                <w:color w:val="auto"/>
                <w:sz w:val="21"/>
                <w:szCs w:val="21"/>
                <w:highlight w:val="none"/>
                <w:lang w:val="en-US" w:eastAsia="zh-CN"/>
              </w:rPr>
              <w:t>0</w:t>
            </w:r>
          </w:p>
        </w:tc>
        <w:tc>
          <w:tcPr>
            <w:tcW w:w="458" w:type="pct"/>
            <w:vAlign w:val="center"/>
          </w:tcPr>
          <w:p w14:paraId="503868BD">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rPr>
            </w:pPr>
            <w:r>
              <w:rPr>
                <w:rFonts w:hint="eastAsia"/>
                <w:color w:val="auto"/>
                <w:sz w:val="21"/>
                <w:szCs w:val="21"/>
                <w:highlight w:val="none"/>
                <w:lang w:val="en-US" w:eastAsia="zh-CN"/>
              </w:rPr>
              <w:t>0</w:t>
            </w:r>
          </w:p>
        </w:tc>
        <w:tc>
          <w:tcPr>
            <w:tcW w:w="421" w:type="pct"/>
            <w:vAlign w:val="center"/>
          </w:tcPr>
          <w:p w14:paraId="40C3A5A7">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val="en-US" w:eastAsia="zh-CN"/>
              </w:rPr>
            </w:pPr>
            <w:r>
              <w:rPr>
                <w:rFonts w:hint="eastAsia"/>
                <w:color w:val="auto"/>
                <w:sz w:val="21"/>
                <w:szCs w:val="21"/>
                <w:highlight w:val="none"/>
                <w:lang w:val="en-US" w:eastAsia="zh-CN"/>
              </w:rPr>
              <w:t>/</w:t>
            </w:r>
          </w:p>
        </w:tc>
        <w:tc>
          <w:tcPr>
            <w:tcW w:w="769" w:type="pct"/>
            <w:vAlign w:val="center"/>
          </w:tcPr>
          <w:p w14:paraId="6BC4670A">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rFonts w:hint="eastAsia"/>
                <w:color w:val="auto"/>
                <w:kern w:val="0"/>
                <w:sz w:val="21"/>
                <w:szCs w:val="21"/>
                <w:highlight w:val="none"/>
              </w:rPr>
              <w:t>一级保护区内有农田化肥农药使用</w:t>
            </w:r>
          </w:p>
        </w:tc>
      </w:tr>
      <w:tr w14:paraId="727D76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0" w:type="pct"/>
            <w:vAlign w:val="center"/>
          </w:tcPr>
          <w:p w14:paraId="6DDC266B">
            <w:pPr>
              <w:pStyle w:val="30"/>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eastAsia="宋体"/>
                <w:color w:val="auto"/>
                <w:sz w:val="21"/>
                <w:szCs w:val="21"/>
                <w:highlight w:val="none"/>
                <w:lang w:val="en-US" w:eastAsia="zh-CN"/>
              </w:rPr>
            </w:pPr>
            <w:r>
              <w:rPr>
                <w:rFonts w:hint="eastAsia"/>
                <w:color w:val="auto"/>
                <w:sz w:val="21"/>
                <w:szCs w:val="21"/>
                <w:highlight w:val="none"/>
                <w:lang w:val="en-US" w:eastAsia="zh-CN"/>
              </w:rPr>
              <w:t>6</w:t>
            </w:r>
          </w:p>
        </w:tc>
        <w:tc>
          <w:tcPr>
            <w:tcW w:w="409" w:type="pct"/>
            <w:vMerge w:val="continue"/>
            <w:vAlign w:val="center"/>
          </w:tcPr>
          <w:p w14:paraId="78CA0896">
            <w:pPr>
              <w:pStyle w:val="30"/>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sz w:val="21"/>
                <w:szCs w:val="21"/>
                <w:highlight w:val="none"/>
                <w:lang w:val="zh-CN"/>
              </w:rPr>
            </w:pPr>
          </w:p>
        </w:tc>
        <w:tc>
          <w:tcPr>
            <w:tcW w:w="259" w:type="pct"/>
            <w:vAlign w:val="center"/>
          </w:tcPr>
          <w:p w14:paraId="104BE18D">
            <w:pPr>
              <w:pStyle w:val="30"/>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sz w:val="21"/>
                <w:szCs w:val="21"/>
                <w:highlight w:val="none"/>
                <w:lang w:val="zh-CN"/>
              </w:rPr>
            </w:pPr>
            <w:r>
              <w:rPr>
                <w:color w:val="auto"/>
                <w:sz w:val="21"/>
                <w:szCs w:val="21"/>
                <w:highlight w:val="none"/>
              </w:rPr>
              <w:t>6#</w:t>
            </w:r>
          </w:p>
        </w:tc>
        <w:tc>
          <w:tcPr>
            <w:tcW w:w="306" w:type="pct"/>
            <w:vAlign w:val="center"/>
          </w:tcPr>
          <w:p w14:paraId="483E8047">
            <w:pPr>
              <w:widowControl/>
              <w:snapToGrid w:val="0"/>
              <w:spacing w:line="240" w:lineRule="auto"/>
              <w:ind w:firstLine="0" w:firstLineChars="0"/>
              <w:jc w:val="center"/>
              <w:rPr>
                <w:rFonts w:hint="default"/>
                <w:color w:val="auto"/>
                <w:sz w:val="21"/>
                <w:szCs w:val="21"/>
                <w:highlight w:val="none"/>
                <w:lang w:val="zh-CN"/>
              </w:rPr>
            </w:pPr>
            <w:r>
              <w:rPr>
                <w:rFonts w:hint="eastAsia" w:ascii="Times New Roman" w:hAnsi="Times New Roman" w:eastAsia="宋体" w:cs="Times New Roman"/>
                <w:color w:val="auto"/>
                <w:kern w:val="0"/>
                <w:sz w:val="21"/>
                <w:szCs w:val="21"/>
                <w:highlight w:val="none"/>
              </w:rPr>
              <w:t>一级保护区</w:t>
            </w:r>
          </w:p>
        </w:tc>
        <w:tc>
          <w:tcPr>
            <w:tcW w:w="512" w:type="pct"/>
            <w:vAlign w:val="center"/>
          </w:tcPr>
          <w:p w14:paraId="0F344D8D">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eastAsia" w:ascii="Times New Roman" w:hAnsi="Times New Roman" w:eastAsia="宋体" w:cs="Times New Roman"/>
                <w:color w:val="auto"/>
                <w:kern w:val="0"/>
                <w:sz w:val="21"/>
                <w:szCs w:val="21"/>
                <w:highlight w:val="none"/>
              </w:rPr>
              <w:t>农业面源污染</w:t>
            </w:r>
          </w:p>
        </w:tc>
        <w:tc>
          <w:tcPr>
            <w:tcW w:w="322" w:type="pct"/>
            <w:vAlign w:val="center"/>
          </w:tcPr>
          <w:p w14:paraId="6C503475">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rFonts w:hint="eastAsia"/>
                <w:color w:val="auto"/>
                <w:sz w:val="21"/>
                <w:szCs w:val="21"/>
                <w:highlight w:val="none"/>
                <w:lang w:val="en-US" w:eastAsia="zh-CN"/>
              </w:rPr>
              <w:t>0</w:t>
            </w:r>
          </w:p>
        </w:tc>
        <w:tc>
          <w:tcPr>
            <w:tcW w:w="346" w:type="pct"/>
            <w:vAlign w:val="center"/>
          </w:tcPr>
          <w:p w14:paraId="535E422F">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rFonts w:hint="eastAsia"/>
                <w:color w:val="auto"/>
                <w:sz w:val="21"/>
                <w:szCs w:val="21"/>
                <w:highlight w:val="none"/>
                <w:lang w:val="en-US" w:eastAsia="zh-CN"/>
              </w:rPr>
              <w:t>0</w:t>
            </w:r>
          </w:p>
        </w:tc>
        <w:tc>
          <w:tcPr>
            <w:tcW w:w="341" w:type="pct"/>
            <w:vAlign w:val="center"/>
          </w:tcPr>
          <w:p w14:paraId="5716702C">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rFonts w:hint="eastAsia"/>
                <w:color w:val="auto"/>
                <w:sz w:val="21"/>
                <w:szCs w:val="21"/>
                <w:highlight w:val="none"/>
                <w:lang w:val="en-US" w:eastAsia="zh-CN"/>
              </w:rPr>
              <w:t>0.174</w:t>
            </w:r>
          </w:p>
        </w:tc>
        <w:tc>
          <w:tcPr>
            <w:tcW w:w="326" w:type="pct"/>
            <w:vAlign w:val="center"/>
          </w:tcPr>
          <w:p w14:paraId="4C8D42BD">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rFonts w:hint="eastAsia"/>
                <w:color w:val="auto"/>
                <w:sz w:val="21"/>
                <w:szCs w:val="21"/>
                <w:highlight w:val="none"/>
                <w:lang w:val="en-US" w:eastAsia="zh-CN"/>
              </w:rPr>
              <w:t>0</w:t>
            </w:r>
          </w:p>
        </w:tc>
        <w:tc>
          <w:tcPr>
            <w:tcW w:w="325" w:type="pct"/>
            <w:vAlign w:val="center"/>
          </w:tcPr>
          <w:p w14:paraId="1268A820">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rFonts w:hint="eastAsia"/>
                <w:color w:val="auto"/>
                <w:sz w:val="21"/>
                <w:szCs w:val="21"/>
                <w:highlight w:val="none"/>
                <w:lang w:val="en-US" w:eastAsia="zh-CN"/>
              </w:rPr>
              <w:t>0</w:t>
            </w:r>
          </w:p>
        </w:tc>
        <w:tc>
          <w:tcPr>
            <w:tcW w:w="458" w:type="pct"/>
            <w:vAlign w:val="center"/>
          </w:tcPr>
          <w:p w14:paraId="0B52B47C">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rFonts w:hint="eastAsia"/>
                <w:color w:val="auto"/>
                <w:sz w:val="21"/>
                <w:szCs w:val="21"/>
                <w:highlight w:val="none"/>
                <w:lang w:val="en-US" w:eastAsia="zh-CN"/>
              </w:rPr>
              <w:t>0</w:t>
            </w:r>
          </w:p>
        </w:tc>
        <w:tc>
          <w:tcPr>
            <w:tcW w:w="421" w:type="pct"/>
            <w:vAlign w:val="center"/>
          </w:tcPr>
          <w:p w14:paraId="70E321F6">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val="en-US" w:eastAsia="zh-CN"/>
              </w:rPr>
            </w:pPr>
            <w:r>
              <w:rPr>
                <w:rFonts w:hint="eastAsia"/>
                <w:color w:val="auto"/>
                <w:sz w:val="21"/>
                <w:szCs w:val="21"/>
                <w:highlight w:val="none"/>
                <w:lang w:val="en-US" w:eastAsia="zh-CN"/>
              </w:rPr>
              <w:t>/</w:t>
            </w:r>
          </w:p>
        </w:tc>
        <w:tc>
          <w:tcPr>
            <w:tcW w:w="769" w:type="pct"/>
            <w:vAlign w:val="center"/>
          </w:tcPr>
          <w:p w14:paraId="0DA62120">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rFonts w:hint="eastAsia"/>
                <w:color w:val="auto"/>
                <w:kern w:val="0"/>
                <w:sz w:val="21"/>
                <w:szCs w:val="21"/>
                <w:highlight w:val="none"/>
              </w:rPr>
              <w:t>一级保护区内有农田化肥农药使用</w:t>
            </w:r>
          </w:p>
        </w:tc>
      </w:tr>
      <w:tr w14:paraId="047863A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0" w:type="pct"/>
            <w:vAlign w:val="center"/>
          </w:tcPr>
          <w:p w14:paraId="3E7B835F">
            <w:pPr>
              <w:pStyle w:val="30"/>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eastAsia="宋体"/>
                <w:color w:val="auto"/>
                <w:sz w:val="21"/>
                <w:szCs w:val="21"/>
                <w:highlight w:val="none"/>
                <w:lang w:val="en-US" w:eastAsia="zh-CN"/>
              </w:rPr>
            </w:pPr>
            <w:r>
              <w:rPr>
                <w:rFonts w:hint="eastAsia"/>
                <w:color w:val="auto"/>
                <w:sz w:val="21"/>
                <w:szCs w:val="21"/>
                <w:highlight w:val="none"/>
                <w:lang w:val="en-US" w:eastAsia="zh-CN"/>
              </w:rPr>
              <w:t>7</w:t>
            </w:r>
          </w:p>
        </w:tc>
        <w:tc>
          <w:tcPr>
            <w:tcW w:w="409" w:type="pct"/>
            <w:vMerge w:val="continue"/>
            <w:vAlign w:val="center"/>
          </w:tcPr>
          <w:p w14:paraId="4254FF02">
            <w:pPr>
              <w:pStyle w:val="30"/>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sz w:val="21"/>
                <w:szCs w:val="21"/>
                <w:highlight w:val="none"/>
                <w:lang w:val="zh-CN"/>
              </w:rPr>
            </w:pPr>
          </w:p>
        </w:tc>
        <w:tc>
          <w:tcPr>
            <w:tcW w:w="259" w:type="pct"/>
            <w:vAlign w:val="center"/>
          </w:tcPr>
          <w:p w14:paraId="4C20C46A">
            <w:pPr>
              <w:pStyle w:val="30"/>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sz w:val="21"/>
                <w:szCs w:val="21"/>
                <w:highlight w:val="none"/>
                <w:lang w:val="zh-CN"/>
              </w:rPr>
            </w:pPr>
            <w:r>
              <w:rPr>
                <w:color w:val="auto"/>
                <w:sz w:val="21"/>
                <w:szCs w:val="21"/>
                <w:highlight w:val="none"/>
              </w:rPr>
              <w:t>7#</w:t>
            </w:r>
          </w:p>
        </w:tc>
        <w:tc>
          <w:tcPr>
            <w:tcW w:w="306" w:type="pct"/>
            <w:vAlign w:val="center"/>
          </w:tcPr>
          <w:p w14:paraId="533C58F7">
            <w:pPr>
              <w:widowControl/>
              <w:snapToGrid w:val="0"/>
              <w:spacing w:line="240" w:lineRule="auto"/>
              <w:ind w:firstLine="0" w:firstLineChars="0"/>
              <w:jc w:val="center"/>
              <w:rPr>
                <w:rFonts w:hint="default"/>
                <w:color w:val="auto"/>
                <w:sz w:val="21"/>
                <w:szCs w:val="21"/>
                <w:highlight w:val="none"/>
                <w:lang w:val="zh-CN"/>
              </w:rPr>
            </w:pPr>
            <w:r>
              <w:rPr>
                <w:rFonts w:hint="eastAsia" w:ascii="Times New Roman" w:hAnsi="Times New Roman" w:eastAsia="宋体" w:cs="Times New Roman"/>
                <w:color w:val="auto"/>
                <w:kern w:val="0"/>
                <w:sz w:val="21"/>
                <w:szCs w:val="21"/>
                <w:highlight w:val="none"/>
              </w:rPr>
              <w:t>一级保护区</w:t>
            </w:r>
          </w:p>
        </w:tc>
        <w:tc>
          <w:tcPr>
            <w:tcW w:w="512" w:type="pct"/>
            <w:vAlign w:val="center"/>
          </w:tcPr>
          <w:p w14:paraId="7883E0AE">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zh-CN"/>
              </w:rPr>
            </w:pPr>
            <w:r>
              <w:rPr>
                <w:rFonts w:hint="eastAsia" w:ascii="Times New Roman" w:hAnsi="Times New Roman" w:eastAsia="宋体" w:cs="Times New Roman"/>
                <w:color w:val="auto"/>
                <w:kern w:val="0"/>
                <w:sz w:val="21"/>
                <w:szCs w:val="21"/>
                <w:highlight w:val="none"/>
              </w:rPr>
              <w:t>农业面源污染</w:t>
            </w:r>
          </w:p>
        </w:tc>
        <w:tc>
          <w:tcPr>
            <w:tcW w:w="322" w:type="pct"/>
            <w:vAlign w:val="center"/>
          </w:tcPr>
          <w:p w14:paraId="1DB38E67">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rFonts w:hint="eastAsia"/>
                <w:color w:val="auto"/>
                <w:sz w:val="21"/>
                <w:szCs w:val="21"/>
                <w:highlight w:val="none"/>
                <w:lang w:val="en-US" w:eastAsia="zh-CN"/>
              </w:rPr>
              <w:t>0</w:t>
            </w:r>
          </w:p>
        </w:tc>
        <w:tc>
          <w:tcPr>
            <w:tcW w:w="346" w:type="pct"/>
            <w:vAlign w:val="center"/>
          </w:tcPr>
          <w:p w14:paraId="2EC468EE">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rFonts w:hint="eastAsia"/>
                <w:color w:val="auto"/>
                <w:sz w:val="21"/>
                <w:szCs w:val="21"/>
                <w:highlight w:val="none"/>
                <w:lang w:val="en-US" w:eastAsia="zh-CN"/>
              </w:rPr>
              <w:t>0</w:t>
            </w:r>
          </w:p>
        </w:tc>
        <w:tc>
          <w:tcPr>
            <w:tcW w:w="341" w:type="pct"/>
            <w:vAlign w:val="center"/>
          </w:tcPr>
          <w:p w14:paraId="7AEFE732">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rFonts w:hint="eastAsia"/>
                <w:color w:val="auto"/>
                <w:sz w:val="21"/>
                <w:szCs w:val="21"/>
                <w:highlight w:val="none"/>
                <w:lang w:val="en-US" w:eastAsia="zh-CN"/>
              </w:rPr>
              <w:t>0.178</w:t>
            </w:r>
          </w:p>
        </w:tc>
        <w:tc>
          <w:tcPr>
            <w:tcW w:w="326" w:type="pct"/>
            <w:vAlign w:val="center"/>
          </w:tcPr>
          <w:p w14:paraId="1F683034">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rFonts w:hint="eastAsia"/>
                <w:color w:val="auto"/>
                <w:sz w:val="21"/>
                <w:szCs w:val="21"/>
                <w:highlight w:val="none"/>
                <w:lang w:val="en-US" w:eastAsia="zh-CN"/>
              </w:rPr>
              <w:t>0</w:t>
            </w:r>
          </w:p>
        </w:tc>
        <w:tc>
          <w:tcPr>
            <w:tcW w:w="325" w:type="pct"/>
            <w:vAlign w:val="center"/>
          </w:tcPr>
          <w:p w14:paraId="73FF599F">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rFonts w:hint="eastAsia"/>
                <w:color w:val="auto"/>
                <w:sz w:val="21"/>
                <w:szCs w:val="21"/>
                <w:highlight w:val="none"/>
                <w:lang w:val="en-US" w:eastAsia="zh-CN"/>
              </w:rPr>
              <w:t>0</w:t>
            </w:r>
          </w:p>
        </w:tc>
        <w:tc>
          <w:tcPr>
            <w:tcW w:w="458" w:type="pct"/>
            <w:vAlign w:val="center"/>
          </w:tcPr>
          <w:p w14:paraId="51F58FAF">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rFonts w:hint="eastAsia"/>
                <w:color w:val="auto"/>
                <w:sz w:val="21"/>
                <w:szCs w:val="21"/>
                <w:highlight w:val="none"/>
                <w:lang w:val="en-US" w:eastAsia="zh-CN"/>
              </w:rPr>
              <w:t>0</w:t>
            </w:r>
          </w:p>
        </w:tc>
        <w:tc>
          <w:tcPr>
            <w:tcW w:w="421" w:type="pct"/>
            <w:vAlign w:val="center"/>
          </w:tcPr>
          <w:p w14:paraId="4CE41538">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val="en-US" w:eastAsia="zh-CN"/>
              </w:rPr>
            </w:pPr>
            <w:r>
              <w:rPr>
                <w:rFonts w:hint="eastAsia"/>
                <w:color w:val="auto"/>
                <w:sz w:val="21"/>
                <w:szCs w:val="21"/>
                <w:highlight w:val="none"/>
                <w:lang w:val="en-US" w:eastAsia="zh-CN"/>
              </w:rPr>
              <w:t>/</w:t>
            </w:r>
          </w:p>
        </w:tc>
        <w:tc>
          <w:tcPr>
            <w:tcW w:w="769" w:type="pct"/>
            <w:vAlign w:val="center"/>
          </w:tcPr>
          <w:p w14:paraId="2AC4B459">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rFonts w:hint="eastAsia"/>
                <w:color w:val="auto"/>
                <w:kern w:val="0"/>
                <w:sz w:val="21"/>
                <w:szCs w:val="21"/>
                <w:highlight w:val="none"/>
              </w:rPr>
              <w:t>一级保护区内有农田化肥农药使用</w:t>
            </w:r>
          </w:p>
        </w:tc>
      </w:tr>
      <w:tr w14:paraId="3F914B5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0" w:type="pct"/>
            <w:vAlign w:val="center"/>
          </w:tcPr>
          <w:p w14:paraId="4D6ED872">
            <w:pPr>
              <w:pStyle w:val="30"/>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eastAsia="宋体"/>
                <w:color w:val="auto"/>
                <w:sz w:val="21"/>
                <w:szCs w:val="21"/>
                <w:highlight w:val="none"/>
                <w:lang w:val="en-US" w:eastAsia="zh-CN"/>
              </w:rPr>
            </w:pPr>
            <w:r>
              <w:rPr>
                <w:rFonts w:hint="eastAsia"/>
                <w:color w:val="auto"/>
                <w:sz w:val="21"/>
                <w:szCs w:val="21"/>
                <w:highlight w:val="none"/>
                <w:lang w:val="en-US" w:eastAsia="zh-CN"/>
              </w:rPr>
              <w:t>8</w:t>
            </w:r>
          </w:p>
        </w:tc>
        <w:tc>
          <w:tcPr>
            <w:tcW w:w="409" w:type="pct"/>
            <w:vMerge w:val="continue"/>
            <w:vAlign w:val="center"/>
          </w:tcPr>
          <w:p w14:paraId="25A9915C">
            <w:pPr>
              <w:pStyle w:val="30"/>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sz w:val="21"/>
                <w:szCs w:val="21"/>
                <w:highlight w:val="none"/>
                <w:lang w:val="zh-CN"/>
              </w:rPr>
            </w:pPr>
          </w:p>
        </w:tc>
        <w:tc>
          <w:tcPr>
            <w:tcW w:w="259" w:type="pct"/>
            <w:vAlign w:val="center"/>
          </w:tcPr>
          <w:p w14:paraId="231ED01B">
            <w:pPr>
              <w:pStyle w:val="30"/>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sz w:val="21"/>
                <w:szCs w:val="21"/>
                <w:highlight w:val="none"/>
                <w:lang w:val="zh-CN"/>
              </w:rPr>
            </w:pPr>
            <w:r>
              <w:rPr>
                <w:color w:val="auto"/>
                <w:sz w:val="21"/>
                <w:szCs w:val="21"/>
                <w:highlight w:val="none"/>
              </w:rPr>
              <w:t>8#</w:t>
            </w:r>
          </w:p>
        </w:tc>
        <w:tc>
          <w:tcPr>
            <w:tcW w:w="306" w:type="pct"/>
            <w:vAlign w:val="center"/>
          </w:tcPr>
          <w:p w14:paraId="25B783AD">
            <w:pPr>
              <w:widowControl/>
              <w:snapToGrid w:val="0"/>
              <w:spacing w:line="240" w:lineRule="auto"/>
              <w:ind w:firstLine="0" w:firstLineChars="0"/>
              <w:jc w:val="center"/>
              <w:rPr>
                <w:rFonts w:hint="default"/>
                <w:color w:val="auto"/>
                <w:sz w:val="21"/>
                <w:szCs w:val="21"/>
                <w:highlight w:val="none"/>
                <w:lang w:val="zh-CN"/>
              </w:rPr>
            </w:pPr>
            <w:r>
              <w:rPr>
                <w:rFonts w:hint="eastAsia" w:ascii="Times New Roman" w:hAnsi="Times New Roman" w:eastAsia="宋体" w:cs="Times New Roman"/>
                <w:color w:val="auto"/>
                <w:kern w:val="0"/>
                <w:sz w:val="21"/>
                <w:szCs w:val="21"/>
                <w:highlight w:val="none"/>
              </w:rPr>
              <w:t>一级保护区</w:t>
            </w:r>
          </w:p>
        </w:tc>
        <w:tc>
          <w:tcPr>
            <w:tcW w:w="512" w:type="pct"/>
            <w:vAlign w:val="center"/>
          </w:tcPr>
          <w:p w14:paraId="618FAA8C">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zh-CN" w:eastAsia="zh-CN"/>
              </w:rPr>
            </w:pPr>
            <w:r>
              <w:rPr>
                <w:rFonts w:hint="eastAsia" w:ascii="Times New Roman" w:hAnsi="Times New Roman" w:eastAsia="宋体" w:cs="Times New Roman"/>
                <w:color w:val="auto"/>
                <w:kern w:val="0"/>
                <w:sz w:val="21"/>
                <w:szCs w:val="21"/>
                <w:highlight w:val="none"/>
              </w:rPr>
              <w:t>农业面源污染、</w:t>
            </w:r>
            <w:r>
              <w:rPr>
                <w:rFonts w:hint="eastAsia" w:cs="Times New Roman"/>
                <w:color w:val="auto"/>
                <w:kern w:val="0"/>
                <w:sz w:val="21"/>
                <w:szCs w:val="21"/>
                <w:highlight w:val="none"/>
                <w:lang w:eastAsia="zh-CN"/>
              </w:rPr>
              <w:t>道路穿越</w:t>
            </w:r>
          </w:p>
        </w:tc>
        <w:tc>
          <w:tcPr>
            <w:tcW w:w="322" w:type="pct"/>
            <w:vAlign w:val="center"/>
          </w:tcPr>
          <w:p w14:paraId="1B0B2876">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rFonts w:hint="eastAsia"/>
                <w:color w:val="auto"/>
                <w:sz w:val="21"/>
                <w:szCs w:val="21"/>
                <w:highlight w:val="none"/>
                <w:lang w:val="en-US" w:eastAsia="zh-CN"/>
              </w:rPr>
              <w:t>0</w:t>
            </w:r>
          </w:p>
        </w:tc>
        <w:tc>
          <w:tcPr>
            <w:tcW w:w="346" w:type="pct"/>
            <w:vAlign w:val="center"/>
          </w:tcPr>
          <w:p w14:paraId="33AB6469">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rFonts w:hint="eastAsia"/>
                <w:color w:val="auto"/>
                <w:sz w:val="21"/>
                <w:szCs w:val="21"/>
                <w:highlight w:val="none"/>
                <w:lang w:val="en-US" w:eastAsia="zh-CN"/>
              </w:rPr>
              <w:t>0</w:t>
            </w:r>
          </w:p>
        </w:tc>
        <w:tc>
          <w:tcPr>
            <w:tcW w:w="341" w:type="pct"/>
            <w:vAlign w:val="center"/>
          </w:tcPr>
          <w:p w14:paraId="1BF6EF54">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rFonts w:hint="eastAsia"/>
                <w:color w:val="auto"/>
                <w:sz w:val="21"/>
                <w:szCs w:val="21"/>
                <w:highlight w:val="none"/>
                <w:lang w:val="en-US" w:eastAsia="zh-CN"/>
              </w:rPr>
              <w:t>0.070</w:t>
            </w:r>
          </w:p>
        </w:tc>
        <w:tc>
          <w:tcPr>
            <w:tcW w:w="326" w:type="pct"/>
            <w:vAlign w:val="center"/>
          </w:tcPr>
          <w:p w14:paraId="17A0B65D">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rFonts w:hint="eastAsia"/>
                <w:color w:val="auto"/>
                <w:sz w:val="21"/>
                <w:szCs w:val="21"/>
                <w:highlight w:val="none"/>
                <w:lang w:val="en-US" w:eastAsia="zh-CN"/>
              </w:rPr>
              <w:t>0</w:t>
            </w:r>
          </w:p>
        </w:tc>
        <w:tc>
          <w:tcPr>
            <w:tcW w:w="325" w:type="pct"/>
            <w:vAlign w:val="center"/>
          </w:tcPr>
          <w:p w14:paraId="14C532C5">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rFonts w:hint="eastAsia"/>
                <w:color w:val="auto"/>
                <w:sz w:val="21"/>
                <w:szCs w:val="21"/>
                <w:highlight w:val="none"/>
                <w:lang w:val="en-US" w:eastAsia="zh-CN"/>
              </w:rPr>
              <w:t>0</w:t>
            </w:r>
          </w:p>
        </w:tc>
        <w:tc>
          <w:tcPr>
            <w:tcW w:w="458" w:type="pct"/>
            <w:vAlign w:val="center"/>
          </w:tcPr>
          <w:p w14:paraId="6461C448">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60</w:t>
            </w:r>
          </w:p>
        </w:tc>
        <w:tc>
          <w:tcPr>
            <w:tcW w:w="421" w:type="pct"/>
            <w:vAlign w:val="center"/>
          </w:tcPr>
          <w:p w14:paraId="18937878">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val="en-US" w:eastAsia="zh-CN"/>
              </w:rPr>
            </w:pPr>
            <w:r>
              <w:rPr>
                <w:rFonts w:hint="eastAsia"/>
                <w:color w:val="auto"/>
                <w:sz w:val="21"/>
                <w:szCs w:val="21"/>
                <w:highlight w:val="none"/>
                <w:lang w:val="en-US" w:eastAsia="zh-CN"/>
              </w:rPr>
              <w:t>/</w:t>
            </w:r>
          </w:p>
        </w:tc>
        <w:tc>
          <w:tcPr>
            <w:tcW w:w="769" w:type="pct"/>
            <w:vAlign w:val="center"/>
          </w:tcPr>
          <w:p w14:paraId="5C01D1AB">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rFonts w:hint="eastAsia"/>
                <w:color w:val="auto"/>
                <w:kern w:val="0"/>
                <w:sz w:val="21"/>
                <w:szCs w:val="21"/>
                <w:highlight w:val="none"/>
              </w:rPr>
              <w:t>一级保护区内有农田化肥农药使用；乡村道路存在农药运输</w:t>
            </w:r>
          </w:p>
        </w:tc>
      </w:tr>
      <w:tr w14:paraId="7C25D0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0" w:type="pct"/>
            <w:vAlign w:val="center"/>
          </w:tcPr>
          <w:p w14:paraId="1E19DE88">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9</w:t>
            </w:r>
          </w:p>
        </w:tc>
        <w:tc>
          <w:tcPr>
            <w:tcW w:w="409" w:type="pct"/>
            <w:vMerge w:val="restart"/>
            <w:vAlign w:val="center"/>
          </w:tcPr>
          <w:p w14:paraId="410DAC9E">
            <w:pPr>
              <w:widowControl/>
              <w:spacing w:line="240" w:lineRule="auto"/>
              <w:ind w:firstLine="0" w:firstLineChars="0"/>
              <w:jc w:val="center"/>
              <w:textAlignment w:val="center"/>
              <w:rPr>
                <w:rFonts w:hint="default"/>
                <w:color w:val="auto"/>
                <w:sz w:val="21"/>
                <w:szCs w:val="21"/>
                <w:highlight w:val="none"/>
                <w:lang w:val="zh-CN"/>
              </w:rPr>
            </w:pPr>
            <w:r>
              <w:rPr>
                <w:rFonts w:hint="eastAsia" w:ascii="Times New Roman" w:hAnsi="Times New Roman" w:eastAsia="宋体" w:cs="Times New Roman"/>
                <w:color w:val="auto"/>
                <w:kern w:val="0"/>
                <w:sz w:val="21"/>
                <w:szCs w:val="21"/>
                <w:highlight w:val="none"/>
                <w:lang w:val="en-US" w:eastAsia="zh-CN" w:bidi="ar"/>
              </w:rPr>
              <w:t>绥化市庆安县建民乡</w:t>
            </w:r>
            <w:r>
              <w:rPr>
                <w:rFonts w:ascii="Times New Roman" w:hAnsi="Times New Roman" w:eastAsia="宋体" w:cs="Times New Roman"/>
                <w:color w:val="auto"/>
                <w:kern w:val="0"/>
                <w:sz w:val="21"/>
                <w:szCs w:val="21"/>
                <w:highlight w:val="none"/>
                <w:lang w:bidi="ar"/>
              </w:rPr>
              <w:t>饮用水水源地</w:t>
            </w:r>
          </w:p>
        </w:tc>
        <w:tc>
          <w:tcPr>
            <w:tcW w:w="259" w:type="pct"/>
            <w:vAlign w:val="center"/>
          </w:tcPr>
          <w:p w14:paraId="0BBF1E02">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color w:val="auto"/>
                <w:sz w:val="21"/>
                <w:szCs w:val="21"/>
                <w:highlight w:val="none"/>
              </w:rPr>
              <w:t>1#</w:t>
            </w:r>
          </w:p>
        </w:tc>
        <w:tc>
          <w:tcPr>
            <w:tcW w:w="306" w:type="pct"/>
            <w:vAlign w:val="center"/>
          </w:tcPr>
          <w:p w14:paraId="7E8159B6">
            <w:pPr>
              <w:widowControl/>
              <w:snapToGrid w:val="0"/>
              <w:spacing w:line="240" w:lineRule="auto"/>
              <w:ind w:firstLine="0" w:firstLineChars="0"/>
              <w:jc w:val="center"/>
              <w:rPr>
                <w:rFonts w:hint="default"/>
                <w:color w:val="auto"/>
                <w:sz w:val="21"/>
                <w:szCs w:val="21"/>
                <w:highlight w:val="none"/>
                <w:lang w:val="zh-CN"/>
              </w:rPr>
            </w:pPr>
            <w:r>
              <w:rPr>
                <w:rFonts w:hint="eastAsia" w:ascii="Times New Roman" w:hAnsi="Times New Roman" w:eastAsia="宋体" w:cs="Times New Roman"/>
                <w:color w:val="auto"/>
                <w:kern w:val="0"/>
                <w:sz w:val="21"/>
                <w:szCs w:val="21"/>
                <w:highlight w:val="none"/>
              </w:rPr>
              <w:t>一级保护区</w:t>
            </w:r>
          </w:p>
        </w:tc>
        <w:tc>
          <w:tcPr>
            <w:tcW w:w="512" w:type="pct"/>
            <w:vAlign w:val="center"/>
          </w:tcPr>
          <w:p w14:paraId="58A7ED99">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zh-CN" w:eastAsia="zh-CN"/>
              </w:rPr>
            </w:pPr>
            <w:r>
              <w:rPr>
                <w:rFonts w:hint="eastAsia" w:ascii="Times New Roman" w:hAnsi="Times New Roman" w:eastAsia="宋体" w:cs="Times New Roman"/>
                <w:color w:val="auto"/>
                <w:kern w:val="0"/>
                <w:sz w:val="21"/>
                <w:szCs w:val="21"/>
                <w:highlight w:val="none"/>
              </w:rPr>
              <w:t>农业面源污染、</w:t>
            </w:r>
            <w:r>
              <w:rPr>
                <w:rFonts w:hint="eastAsia" w:cs="Times New Roman"/>
                <w:color w:val="auto"/>
                <w:kern w:val="0"/>
                <w:sz w:val="21"/>
                <w:szCs w:val="21"/>
                <w:highlight w:val="none"/>
                <w:lang w:eastAsia="zh-CN"/>
              </w:rPr>
              <w:t>道路穿越</w:t>
            </w:r>
          </w:p>
        </w:tc>
        <w:tc>
          <w:tcPr>
            <w:tcW w:w="322" w:type="pct"/>
            <w:vAlign w:val="center"/>
          </w:tcPr>
          <w:p w14:paraId="0D1796CB">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rFonts w:hint="eastAsia"/>
                <w:color w:val="auto"/>
                <w:sz w:val="21"/>
                <w:szCs w:val="21"/>
                <w:highlight w:val="none"/>
                <w:lang w:val="en-US" w:eastAsia="zh-CN"/>
              </w:rPr>
              <w:t>0</w:t>
            </w:r>
          </w:p>
        </w:tc>
        <w:tc>
          <w:tcPr>
            <w:tcW w:w="346" w:type="pct"/>
            <w:vAlign w:val="center"/>
          </w:tcPr>
          <w:p w14:paraId="268CCDAD">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rFonts w:hint="eastAsia"/>
                <w:color w:val="auto"/>
                <w:sz w:val="21"/>
                <w:szCs w:val="21"/>
                <w:highlight w:val="none"/>
                <w:lang w:val="en-US" w:eastAsia="zh-CN"/>
              </w:rPr>
              <w:t>0</w:t>
            </w:r>
          </w:p>
        </w:tc>
        <w:tc>
          <w:tcPr>
            <w:tcW w:w="341" w:type="pct"/>
            <w:vAlign w:val="center"/>
          </w:tcPr>
          <w:p w14:paraId="61CE8DC8">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rFonts w:hint="eastAsia"/>
                <w:color w:val="auto"/>
                <w:sz w:val="21"/>
                <w:szCs w:val="21"/>
                <w:highlight w:val="none"/>
                <w:lang w:val="en-US" w:eastAsia="zh-CN"/>
              </w:rPr>
              <w:t>0.001</w:t>
            </w:r>
          </w:p>
        </w:tc>
        <w:tc>
          <w:tcPr>
            <w:tcW w:w="326" w:type="pct"/>
            <w:vAlign w:val="center"/>
          </w:tcPr>
          <w:p w14:paraId="74BB6CB5">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rFonts w:hint="eastAsia"/>
                <w:color w:val="auto"/>
                <w:sz w:val="21"/>
                <w:szCs w:val="21"/>
                <w:highlight w:val="none"/>
                <w:lang w:val="en-US" w:eastAsia="zh-CN"/>
              </w:rPr>
              <w:t>0</w:t>
            </w:r>
          </w:p>
        </w:tc>
        <w:tc>
          <w:tcPr>
            <w:tcW w:w="325" w:type="pct"/>
            <w:vAlign w:val="center"/>
          </w:tcPr>
          <w:p w14:paraId="266228F0">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rFonts w:hint="eastAsia"/>
                <w:color w:val="auto"/>
                <w:sz w:val="21"/>
                <w:szCs w:val="21"/>
                <w:highlight w:val="none"/>
                <w:lang w:val="en-US" w:eastAsia="zh-CN"/>
              </w:rPr>
              <w:t>0</w:t>
            </w:r>
          </w:p>
        </w:tc>
        <w:tc>
          <w:tcPr>
            <w:tcW w:w="458" w:type="pct"/>
            <w:vAlign w:val="center"/>
          </w:tcPr>
          <w:p w14:paraId="52010A89">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25</w:t>
            </w:r>
          </w:p>
        </w:tc>
        <w:tc>
          <w:tcPr>
            <w:tcW w:w="421" w:type="pct"/>
            <w:vAlign w:val="center"/>
          </w:tcPr>
          <w:p w14:paraId="7E095667">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val="en-US" w:eastAsia="zh-CN"/>
              </w:rPr>
            </w:pPr>
            <w:r>
              <w:rPr>
                <w:rFonts w:hint="eastAsia"/>
                <w:color w:val="auto"/>
                <w:sz w:val="21"/>
                <w:szCs w:val="21"/>
                <w:highlight w:val="none"/>
                <w:lang w:val="en-US" w:eastAsia="zh-CN"/>
              </w:rPr>
              <w:t>/</w:t>
            </w:r>
          </w:p>
        </w:tc>
        <w:tc>
          <w:tcPr>
            <w:tcW w:w="769" w:type="pct"/>
            <w:vAlign w:val="center"/>
          </w:tcPr>
          <w:p w14:paraId="42A4AA9A">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rFonts w:hint="eastAsia"/>
                <w:color w:val="auto"/>
                <w:kern w:val="0"/>
                <w:sz w:val="21"/>
                <w:szCs w:val="21"/>
                <w:highlight w:val="none"/>
              </w:rPr>
              <w:t>一级保护区内有农田化肥农药使用；乡村道路存在农药运输</w:t>
            </w:r>
          </w:p>
        </w:tc>
      </w:tr>
      <w:tr w14:paraId="7E127E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0" w:type="pct"/>
            <w:vAlign w:val="center"/>
          </w:tcPr>
          <w:p w14:paraId="20653646">
            <w:pPr>
              <w:pStyle w:val="30"/>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10</w:t>
            </w:r>
          </w:p>
        </w:tc>
        <w:tc>
          <w:tcPr>
            <w:tcW w:w="409" w:type="pct"/>
            <w:vMerge w:val="continue"/>
            <w:vAlign w:val="center"/>
          </w:tcPr>
          <w:p w14:paraId="4373ECF4">
            <w:pPr>
              <w:pStyle w:val="30"/>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sz w:val="21"/>
                <w:szCs w:val="21"/>
                <w:highlight w:val="none"/>
                <w:lang w:val="zh-CN"/>
              </w:rPr>
            </w:pPr>
          </w:p>
        </w:tc>
        <w:tc>
          <w:tcPr>
            <w:tcW w:w="259" w:type="pct"/>
            <w:vAlign w:val="center"/>
          </w:tcPr>
          <w:p w14:paraId="2A8703F7">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color w:val="auto"/>
                <w:sz w:val="21"/>
                <w:szCs w:val="21"/>
                <w:highlight w:val="none"/>
              </w:rPr>
              <w:t>2#</w:t>
            </w:r>
          </w:p>
        </w:tc>
        <w:tc>
          <w:tcPr>
            <w:tcW w:w="306" w:type="pct"/>
            <w:vAlign w:val="center"/>
          </w:tcPr>
          <w:p w14:paraId="385B8994">
            <w:pPr>
              <w:widowControl/>
              <w:snapToGrid w:val="0"/>
              <w:spacing w:line="240" w:lineRule="auto"/>
              <w:ind w:firstLine="0" w:firstLineChars="0"/>
              <w:jc w:val="center"/>
              <w:rPr>
                <w:rFonts w:hint="default"/>
                <w:color w:val="auto"/>
                <w:sz w:val="21"/>
                <w:szCs w:val="21"/>
                <w:highlight w:val="none"/>
                <w:lang w:val="zh-CN"/>
              </w:rPr>
            </w:pPr>
            <w:r>
              <w:rPr>
                <w:rFonts w:hint="eastAsia" w:ascii="Times New Roman" w:hAnsi="Times New Roman" w:eastAsia="宋体" w:cs="Times New Roman"/>
                <w:color w:val="auto"/>
                <w:kern w:val="0"/>
                <w:sz w:val="21"/>
                <w:szCs w:val="21"/>
                <w:highlight w:val="none"/>
              </w:rPr>
              <w:t>一级保护区</w:t>
            </w:r>
          </w:p>
        </w:tc>
        <w:tc>
          <w:tcPr>
            <w:tcW w:w="512" w:type="pct"/>
            <w:vAlign w:val="center"/>
          </w:tcPr>
          <w:p w14:paraId="637F22F7">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zh-CN" w:eastAsia="zh-CN"/>
              </w:rPr>
            </w:pPr>
            <w:r>
              <w:rPr>
                <w:rFonts w:hint="eastAsia" w:ascii="Times New Roman" w:hAnsi="Times New Roman" w:eastAsia="宋体" w:cs="Times New Roman"/>
                <w:color w:val="auto"/>
                <w:kern w:val="0"/>
                <w:sz w:val="21"/>
                <w:szCs w:val="21"/>
                <w:highlight w:val="none"/>
              </w:rPr>
              <w:t>农业面源污染、</w:t>
            </w:r>
            <w:r>
              <w:rPr>
                <w:rFonts w:hint="eastAsia" w:cs="Times New Roman"/>
                <w:color w:val="auto"/>
                <w:kern w:val="0"/>
                <w:sz w:val="21"/>
                <w:szCs w:val="21"/>
                <w:highlight w:val="none"/>
                <w:lang w:eastAsia="zh-CN"/>
              </w:rPr>
              <w:t>道路穿越</w:t>
            </w:r>
          </w:p>
        </w:tc>
        <w:tc>
          <w:tcPr>
            <w:tcW w:w="322" w:type="pct"/>
            <w:vAlign w:val="center"/>
          </w:tcPr>
          <w:p w14:paraId="598A19A4">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rFonts w:hint="eastAsia"/>
                <w:color w:val="auto"/>
                <w:sz w:val="21"/>
                <w:szCs w:val="21"/>
                <w:highlight w:val="none"/>
                <w:lang w:val="en-US" w:eastAsia="zh-CN"/>
              </w:rPr>
              <w:t>0</w:t>
            </w:r>
          </w:p>
        </w:tc>
        <w:tc>
          <w:tcPr>
            <w:tcW w:w="346" w:type="pct"/>
            <w:vAlign w:val="center"/>
          </w:tcPr>
          <w:p w14:paraId="2C5FA1D3">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rFonts w:hint="eastAsia"/>
                <w:color w:val="auto"/>
                <w:sz w:val="21"/>
                <w:szCs w:val="21"/>
                <w:highlight w:val="none"/>
                <w:lang w:val="en-US" w:eastAsia="zh-CN"/>
              </w:rPr>
              <w:t>0</w:t>
            </w:r>
          </w:p>
        </w:tc>
        <w:tc>
          <w:tcPr>
            <w:tcW w:w="341" w:type="pct"/>
            <w:vAlign w:val="center"/>
          </w:tcPr>
          <w:p w14:paraId="37970F18">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rFonts w:hint="eastAsia"/>
                <w:color w:val="auto"/>
                <w:sz w:val="21"/>
                <w:szCs w:val="21"/>
                <w:highlight w:val="none"/>
                <w:lang w:val="en-US" w:eastAsia="zh-CN"/>
              </w:rPr>
              <w:t>0.094</w:t>
            </w:r>
          </w:p>
        </w:tc>
        <w:tc>
          <w:tcPr>
            <w:tcW w:w="326" w:type="pct"/>
            <w:vAlign w:val="center"/>
          </w:tcPr>
          <w:p w14:paraId="07F80D8C">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rFonts w:hint="eastAsia"/>
                <w:color w:val="auto"/>
                <w:sz w:val="21"/>
                <w:szCs w:val="21"/>
                <w:highlight w:val="none"/>
                <w:lang w:val="en-US" w:eastAsia="zh-CN"/>
              </w:rPr>
              <w:t>0</w:t>
            </w:r>
          </w:p>
        </w:tc>
        <w:tc>
          <w:tcPr>
            <w:tcW w:w="325" w:type="pct"/>
            <w:vAlign w:val="center"/>
          </w:tcPr>
          <w:p w14:paraId="77960A77">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rFonts w:hint="eastAsia"/>
                <w:color w:val="auto"/>
                <w:sz w:val="21"/>
                <w:szCs w:val="21"/>
                <w:highlight w:val="none"/>
                <w:lang w:val="en-US" w:eastAsia="zh-CN"/>
              </w:rPr>
              <w:t>0</w:t>
            </w:r>
          </w:p>
        </w:tc>
        <w:tc>
          <w:tcPr>
            <w:tcW w:w="458" w:type="pct"/>
            <w:vAlign w:val="center"/>
          </w:tcPr>
          <w:p w14:paraId="3D6E9929">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26</w:t>
            </w:r>
          </w:p>
        </w:tc>
        <w:tc>
          <w:tcPr>
            <w:tcW w:w="421" w:type="pct"/>
            <w:vAlign w:val="center"/>
          </w:tcPr>
          <w:p w14:paraId="37ED5DE0">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val="en-US" w:eastAsia="zh-CN"/>
              </w:rPr>
            </w:pPr>
            <w:r>
              <w:rPr>
                <w:rFonts w:hint="eastAsia"/>
                <w:color w:val="auto"/>
                <w:sz w:val="21"/>
                <w:szCs w:val="21"/>
                <w:highlight w:val="none"/>
                <w:lang w:val="en-US" w:eastAsia="zh-CN"/>
              </w:rPr>
              <w:t>/</w:t>
            </w:r>
          </w:p>
        </w:tc>
        <w:tc>
          <w:tcPr>
            <w:tcW w:w="769" w:type="pct"/>
            <w:vAlign w:val="center"/>
          </w:tcPr>
          <w:p w14:paraId="16F080E3">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rFonts w:hint="eastAsia"/>
                <w:color w:val="auto"/>
                <w:kern w:val="0"/>
                <w:sz w:val="21"/>
                <w:szCs w:val="21"/>
                <w:highlight w:val="none"/>
              </w:rPr>
              <w:t>一级保护区内有农田化肥农药使用；乡村道路存在农药运输</w:t>
            </w:r>
          </w:p>
        </w:tc>
      </w:tr>
      <w:tr w14:paraId="4B8B85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0" w:type="pct"/>
            <w:vAlign w:val="center"/>
          </w:tcPr>
          <w:p w14:paraId="283FE416">
            <w:pPr>
              <w:pStyle w:val="30"/>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11</w:t>
            </w:r>
          </w:p>
        </w:tc>
        <w:tc>
          <w:tcPr>
            <w:tcW w:w="409" w:type="pct"/>
            <w:vMerge w:val="continue"/>
            <w:vAlign w:val="center"/>
          </w:tcPr>
          <w:p w14:paraId="1EAEED17">
            <w:pPr>
              <w:pStyle w:val="30"/>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sz w:val="21"/>
                <w:szCs w:val="21"/>
                <w:highlight w:val="none"/>
                <w:lang w:val="zh-CN"/>
              </w:rPr>
            </w:pPr>
          </w:p>
        </w:tc>
        <w:tc>
          <w:tcPr>
            <w:tcW w:w="259" w:type="pct"/>
            <w:vAlign w:val="center"/>
          </w:tcPr>
          <w:p w14:paraId="2496EAA6">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color w:val="auto"/>
                <w:sz w:val="21"/>
                <w:szCs w:val="21"/>
                <w:highlight w:val="none"/>
              </w:rPr>
              <w:t>3#</w:t>
            </w:r>
          </w:p>
        </w:tc>
        <w:tc>
          <w:tcPr>
            <w:tcW w:w="306" w:type="pct"/>
            <w:vAlign w:val="center"/>
          </w:tcPr>
          <w:p w14:paraId="7300CC09">
            <w:pPr>
              <w:widowControl/>
              <w:snapToGrid w:val="0"/>
              <w:spacing w:line="240" w:lineRule="auto"/>
              <w:ind w:firstLine="0" w:firstLineChars="0"/>
              <w:jc w:val="center"/>
              <w:rPr>
                <w:rFonts w:hint="default"/>
                <w:color w:val="auto"/>
                <w:sz w:val="21"/>
                <w:szCs w:val="21"/>
                <w:highlight w:val="none"/>
                <w:lang w:val="zh-CN"/>
              </w:rPr>
            </w:pPr>
            <w:r>
              <w:rPr>
                <w:rFonts w:hint="eastAsia" w:ascii="Times New Roman" w:hAnsi="Times New Roman" w:eastAsia="宋体" w:cs="Times New Roman"/>
                <w:color w:val="auto"/>
                <w:kern w:val="0"/>
                <w:sz w:val="21"/>
                <w:szCs w:val="21"/>
                <w:highlight w:val="none"/>
              </w:rPr>
              <w:t>一级保护区</w:t>
            </w:r>
          </w:p>
        </w:tc>
        <w:tc>
          <w:tcPr>
            <w:tcW w:w="512" w:type="pct"/>
            <w:vAlign w:val="center"/>
          </w:tcPr>
          <w:p w14:paraId="56C2493E">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zh-CN"/>
              </w:rPr>
            </w:pPr>
            <w:r>
              <w:rPr>
                <w:rFonts w:hint="eastAsia" w:ascii="Times New Roman" w:hAnsi="Times New Roman" w:eastAsia="宋体" w:cs="Times New Roman"/>
                <w:color w:val="auto"/>
                <w:kern w:val="0"/>
                <w:sz w:val="21"/>
                <w:szCs w:val="21"/>
                <w:highlight w:val="none"/>
              </w:rPr>
              <w:t>农业面源污染</w:t>
            </w:r>
          </w:p>
        </w:tc>
        <w:tc>
          <w:tcPr>
            <w:tcW w:w="322" w:type="pct"/>
            <w:vAlign w:val="center"/>
          </w:tcPr>
          <w:p w14:paraId="6203302F">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rFonts w:hint="eastAsia"/>
                <w:color w:val="auto"/>
                <w:sz w:val="21"/>
                <w:szCs w:val="21"/>
                <w:highlight w:val="none"/>
                <w:lang w:val="en-US" w:eastAsia="zh-CN"/>
              </w:rPr>
              <w:t>0</w:t>
            </w:r>
          </w:p>
        </w:tc>
        <w:tc>
          <w:tcPr>
            <w:tcW w:w="346" w:type="pct"/>
            <w:vAlign w:val="center"/>
          </w:tcPr>
          <w:p w14:paraId="5268F86F">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rFonts w:hint="eastAsia"/>
                <w:color w:val="auto"/>
                <w:sz w:val="21"/>
                <w:szCs w:val="21"/>
                <w:highlight w:val="none"/>
                <w:lang w:val="en-US" w:eastAsia="zh-CN"/>
              </w:rPr>
              <w:t>0</w:t>
            </w:r>
          </w:p>
        </w:tc>
        <w:tc>
          <w:tcPr>
            <w:tcW w:w="341" w:type="pct"/>
            <w:vAlign w:val="center"/>
          </w:tcPr>
          <w:p w14:paraId="7A8D651B">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rFonts w:hint="eastAsia"/>
                <w:color w:val="auto"/>
                <w:sz w:val="21"/>
                <w:szCs w:val="21"/>
                <w:highlight w:val="none"/>
                <w:lang w:val="en-US" w:eastAsia="zh-CN"/>
              </w:rPr>
              <w:t>0.282</w:t>
            </w:r>
          </w:p>
        </w:tc>
        <w:tc>
          <w:tcPr>
            <w:tcW w:w="326" w:type="pct"/>
            <w:vAlign w:val="center"/>
          </w:tcPr>
          <w:p w14:paraId="35198952">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rFonts w:hint="eastAsia"/>
                <w:color w:val="auto"/>
                <w:sz w:val="21"/>
                <w:szCs w:val="21"/>
                <w:highlight w:val="none"/>
                <w:lang w:val="en-US" w:eastAsia="zh-CN"/>
              </w:rPr>
              <w:t>0</w:t>
            </w:r>
          </w:p>
        </w:tc>
        <w:tc>
          <w:tcPr>
            <w:tcW w:w="325" w:type="pct"/>
            <w:vAlign w:val="center"/>
          </w:tcPr>
          <w:p w14:paraId="2B1FE056">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rFonts w:hint="eastAsia"/>
                <w:color w:val="auto"/>
                <w:sz w:val="21"/>
                <w:szCs w:val="21"/>
                <w:highlight w:val="none"/>
                <w:lang w:val="en-US" w:eastAsia="zh-CN"/>
              </w:rPr>
              <w:t>0</w:t>
            </w:r>
          </w:p>
        </w:tc>
        <w:tc>
          <w:tcPr>
            <w:tcW w:w="458" w:type="pct"/>
            <w:vAlign w:val="center"/>
          </w:tcPr>
          <w:p w14:paraId="659D065E">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rFonts w:hint="eastAsia"/>
                <w:color w:val="auto"/>
                <w:sz w:val="21"/>
                <w:szCs w:val="21"/>
                <w:highlight w:val="none"/>
                <w:lang w:val="en-US" w:eastAsia="zh-CN"/>
              </w:rPr>
              <w:t>0</w:t>
            </w:r>
          </w:p>
        </w:tc>
        <w:tc>
          <w:tcPr>
            <w:tcW w:w="421" w:type="pct"/>
            <w:vAlign w:val="center"/>
          </w:tcPr>
          <w:p w14:paraId="2EF57096">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val="en-US" w:eastAsia="zh-CN"/>
              </w:rPr>
            </w:pPr>
            <w:r>
              <w:rPr>
                <w:rFonts w:hint="eastAsia"/>
                <w:color w:val="auto"/>
                <w:sz w:val="21"/>
                <w:szCs w:val="21"/>
                <w:highlight w:val="none"/>
                <w:lang w:val="en-US" w:eastAsia="zh-CN"/>
              </w:rPr>
              <w:t>/</w:t>
            </w:r>
          </w:p>
        </w:tc>
        <w:tc>
          <w:tcPr>
            <w:tcW w:w="769" w:type="pct"/>
            <w:vAlign w:val="center"/>
          </w:tcPr>
          <w:p w14:paraId="3C212E05">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rFonts w:hint="eastAsia"/>
                <w:color w:val="auto"/>
                <w:kern w:val="0"/>
                <w:sz w:val="21"/>
                <w:szCs w:val="21"/>
                <w:highlight w:val="none"/>
              </w:rPr>
              <w:t>一级保护区内有农田化肥农药使用</w:t>
            </w:r>
          </w:p>
        </w:tc>
      </w:tr>
      <w:tr w14:paraId="3BB57B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0" w:type="pct"/>
            <w:vAlign w:val="center"/>
          </w:tcPr>
          <w:p w14:paraId="698418CE">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12</w:t>
            </w:r>
          </w:p>
        </w:tc>
        <w:tc>
          <w:tcPr>
            <w:tcW w:w="409" w:type="pct"/>
            <w:vMerge w:val="restart"/>
            <w:vAlign w:val="center"/>
          </w:tcPr>
          <w:p w14:paraId="2DF3F558">
            <w:pPr>
              <w:widowControl/>
              <w:spacing w:line="240" w:lineRule="auto"/>
              <w:ind w:firstLine="0" w:firstLineChars="0"/>
              <w:jc w:val="center"/>
              <w:textAlignment w:val="center"/>
              <w:rPr>
                <w:rFonts w:hint="default"/>
                <w:color w:val="auto"/>
                <w:sz w:val="21"/>
                <w:szCs w:val="21"/>
                <w:highlight w:val="none"/>
                <w:lang w:val="zh-CN"/>
              </w:rPr>
            </w:pPr>
            <w:r>
              <w:rPr>
                <w:rFonts w:hint="eastAsia" w:ascii="Times New Roman" w:hAnsi="Times New Roman" w:eastAsia="宋体" w:cs="Times New Roman"/>
                <w:color w:val="auto"/>
                <w:kern w:val="0"/>
                <w:sz w:val="21"/>
                <w:szCs w:val="21"/>
                <w:highlight w:val="none"/>
                <w:lang w:val="en-US" w:eastAsia="zh-CN" w:bidi="ar"/>
              </w:rPr>
              <w:t>绥化市庆安县同乐镇</w:t>
            </w:r>
            <w:r>
              <w:rPr>
                <w:rFonts w:ascii="Times New Roman" w:hAnsi="Times New Roman" w:eastAsia="宋体" w:cs="Times New Roman"/>
                <w:color w:val="auto"/>
                <w:kern w:val="0"/>
                <w:sz w:val="21"/>
                <w:szCs w:val="21"/>
                <w:highlight w:val="none"/>
                <w:lang w:bidi="ar"/>
              </w:rPr>
              <w:t>饮用水水源地</w:t>
            </w:r>
          </w:p>
        </w:tc>
        <w:tc>
          <w:tcPr>
            <w:tcW w:w="259" w:type="pct"/>
            <w:vAlign w:val="center"/>
          </w:tcPr>
          <w:p w14:paraId="3AA1FDFD">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color w:val="auto"/>
                <w:sz w:val="21"/>
                <w:szCs w:val="21"/>
                <w:highlight w:val="none"/>
              </w:rPr>
              <w:t>1#</w:t>
            </w:r>
          </w:p>
        </w:tc>
        <w:tc>
          <w:tcPr>
            <w:tcW w:w="306" w:type="pct"/>
            <w:vAlign w:val="center"/>
          </w:tcPr>
          <w:p w14:paraId="3468EF17">
            <w:pPr>
              <w:widowControl/>
              <w:snapToGrid w:val="0"/>
              <w:spacing w:line="240" w:lineRule="auto"/>
              <w:ind w:firstLine="0" w:firstLineChars="0"/>
              <w:jc w:val="center"/>
              <w:rPr>
                <w:rFonts w:hint="default"/>
                <w:color w:val="auto"/>
                <w:sz w:val="21"/>
                <w:szCs w:val="21"/>
                <w:highlight w:val="none"/>
                <w:lang w:val="zh-CN"/>
              </w:rPr>
            </w:pPr>
            <w:r>
              <w:rPr>
                <w:rFonts w:hint="eastAsia" w:ascii="Times New Roman" w:hAnsi="Times New Roman" w:eastAsia="宋体" w:cs="Times New Roman"/>
                <w:color w:val="auto"/>
                <w:kern w:val="0"/>
                <w:sz w:val="21"/>
                <w:szCs w:val="21"/>
                <w:highlight w:val="none"/>
              </w:rPr>
              <w:t>一级保护区</w:t>
            </w:r>
          </w:p>
        </w:tc>
        <w:tc>
          <w:tcPr>
            <w:tcW w:w="512" w:type="pct"/>
            <w:vAlign w:val="center"/>
          </w:tcPr>
          <w:p w14:paraId="2FA35420">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zh-CN"/>
              </w:rPr>
            </w:pPr>
            <w:r>
              <w:rPr>
                <w:rFonts w:hint="eastAsia" w:ascii="Times New Roman" w:hAnsi="Times New Roman" w:eastAsia="宋体" w:cs="Times New Roman"/>
                <w:color w:val="auto"/>
                <w:kern w:val="0"/>
                <w:sz w:val="21"/>
                <w:szCs w:val="21"/>
                <w:highlight w:val="none"/>
              </w:rPr>
              <w:t>农业面源污染</w:t>
            </w:r>
          </w:p>
        </w:tc>
        <w:tc>
          <w:tcPr>
            <w:tcW w:w="322" w:type="pct"/>
            <w:vAlign w:val="center"/>
          </w:tcPr>
          <w:p w14:paraId="40CA269C">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rFonts w:hint="eastAsia"/>
                <w:color w:val="auto"/>
                <w:sz w:val="21"/>
                <w:szCs w:val="21"/>
                <w:highlight w:val="none"/>
                <w:lang w:val="en-US" w:eastAsia="zh-CN"/>
              </w:rPr>
              <w:t>0</w:t>
            </w:r>
          </w:p>
        </w:tc>
        <w:tc>
          <w:tcPr>
            <w:tcW w:w="346" w:type="pct"/>
            <w:vAlign w:val="center"/>
          </w:tcPr>
          <w:p w14:paraId="7FE17AC0">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rFonts w:hint="eastAsia"/>
                <w:color w:val="auto"/>
                <w:sz w:val="21"/>
                <w:szCs w:val="21"/>
                <w:highlight w:val="none"/>
                <w:lang w:val="en-US" w:eastAsia="zh-CN"/>
              </w:rPr>
              <w:t>0</w:t>
            </w:r>
          </w:p>
        </w:tc>
        <w:tc>
          <w:tcPr>
            <w:tcW w:w="341" w:type="pct"/>
            <w:vAlign w:val="center"/>
          </w:tcPr>
          <w:p w14:paraId="6B394E5E">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rFonts w:hint="eastAsia"/>
                <w:color w:val="auto"/>
                <w:sz w:val="21"/>
                <w:szCs w:val="21"/>
                <w:highlight w:val="none"/>
                <w:lang w:val="en-US" w:eastAsia="zh-CN"/>
              </w:rPr>
              <w:t>0.167</w:t>
            </w:r>
          </w:p>
        </w:tc>
        <w:tc>
          <w:tcPr>
            <w:tcW w:w="326" w:type="pct"/>
            <w:vAlign w:val="center"/>
          </w:tcPr>
          <w:p w14:paraId="7826836D">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rFonts w:hint="eastAsia"/>
                <w:color w:val="auto"/>
                <w:sz w:val="21"/>
                <w:szCs w:val="21"/>
                <w:highlight w:val="none"/>
                <w:lang w:val="en-US" w:eastAsia="zh-CN"/>
              </w:rPr>
              <w:t>0</w:t>
            </w:r>
          </w:p>
        </w:tc>
        <w:tc>
          <w:tcPr>
            <w:tcW w:w="325" w:type="pct"/>
            <w:vAlign w:val="center"/>
          </w:tcPr>
          <w:p w14:paraId="0DDFD547">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rFonts w:hint="eastAsia"/>
                <w:color w:val="auto"/>
                <w:sz w:val="21"/>
                <w:szCs w:val="21"/>
                <w:highlight w:val="none"/>
                <w:lang w:val="en-US" w:eastAsia="zh-CN"/>
              </w:rPr>
              <w:t>0</w:t>
            </w:r>
          </w:p>
        </w:tc>
        <w:tc>
          <w:tcPr>
            <w:tcW w:w="458" w:type="pct"/>
            <w:vAlign w:val="center"/>
          </w:tcPr>
          <w:p w14:paraId="53D93A13">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rFonts w:hint="eastAsia"/>
                <w:color w:val="auto"/>
                <w:sz w:val="21"/>
                <w:szCs w:val="21"/>
                <w:highlight w:val="none"/>
                <w:lang w:val="en-US" w:eastAsia="zh-CN"/>
              </w:rPr>
              <w:t>0</w:t>
            </w:r>
          </w:p>
        </w:tc>
        <w:tc>
          <w:tcPr>
            <w:tcW w:w="421" w:type="pct"/>
            <w:vAlign w:val="center"/>
          </w:tcPr>
          <w:p w14:paraId="6CF59147">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val="en-US" w:eastAsia="zh-CN"/>
              </w:rPr>
            </w:pPr>
            <w:r>
              <w:rPr>
                <w:rFonts w:hint="eastAsia"/>
                <w:color w:val="auto"/>
                <w:sz w:val="21"/>
                <w:szCs w:val="21"/>
                <w:highlight w:val="none"/>
                <w:lang w:val="en-US" w:eastAsia="zh-CN"/>
              </w:rPr>
              <w:t>/</w:t>
            </w:r>
          </w:p>
        </w:tc>
        <w:tc>
          <w:tcPr>
            <w:tcW w:w="769" w:type="pct"/>
            <w:vAlign w:val="center"/>
          </w:tcPr>
          <w:p w14:paraId="62461A74">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rFonts w:hint="eastAsia"/>
                <w:color w:val="auto"/>
                <w:kern w:val="0"/>
                <w:sz w:val="21"/>
                <w:szCs w:val="21"/>
                <w:highlight w:val="none"/>
              </w:rPr>
              <w:t>一级保护区内有农田化肥农药使用</w:t>
            </w:r>
          </w:p>
        </w:tc>
      </w:tr>
      <w:tr w14:paraId="026FF8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0" w:type="pct"/>
            <w:vAlign w:val="center"/>
          </w:tcPr>
          <w:p w14:paraId="0235F310">
            <w:pPr>
              <w:pStyle w:val="30"/>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13</w:t>
            </w:r>
          </w:p>
        </w:tc>
        <w:tc>
          <w:tcPr>
            <w:tcW w:w="409" w:type="pct"/>
            <w:vMerge w:val="continue"/>
            <w:vAlign w:val="center"/>
          </w:tcPr>
          <w:p w14:paraId="406FA389">
            <w:pPr>
              <w:pStyle w:val="30"/>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sz w:val="21"/>
                <w:szCs w:val="21"/>
                <w:highlight w:val="none"/>
                <w:lang w:val="zh-CN"/>
              </w:rPr>
            </w:pPr>
          </w:p>
        </w:tc>
        <w:tc>
          <w:tcPr>
            <w:tcW w:w="259" w:type="pct"/>
            <w:vAlign w:val="center"/>
          </w:tcPr>
          <w:p w14:paraId="1EAC8714">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color w:val="auto"/>
                <w:sz w:val="21"/>
                <w:szCs w:val="21"/>
                <w:highlight w:val="none"/>
              </w:rPr>
              <w:t>2#</w:t>
            </w:r>
          </w:p>
        </w:tc>
        <w:tc>
          <w:tcPr>
            <w:tcW w:w="306" w:type="pct"/>
            <w:vAlign w:val="center"/>
          </w:tcPr>
          <w:p w14:paraId="078255E8">
            <w:pPr>
              <w:widowControl/>
              <w:snapToGrid w:val="0"/>
              <w:spacing w:line="240" w:lineRule="auto"/>
              <w:ind w:firstLine="0" w:firstLineChars="0"/>
              <w:jc w:val="center"/>
              <w:rPr>
                <w:rFonts w:hint="default"/>
                <w:color w:val="auto"/>
                <w:sz w:val="21"/>
                <w:szCs w:val="21"/>
                <w:highlight w:val="none"/>
                <w:lang w:val="zh-CN"/>
              </w:rPr>
            </w:pPr>
            <w:r>
              <w:rPr>
                <w:rFonts w:hint="eastAsia" w:ascii="Times New Roman" w:hAnsi="Times New Roman" w:eastAsia="宋体" w:cs="Times New Roman"/>
                <w:color w:val="auto"/>
                <w:kern w:val="0"/>
                <w:sz w:val="21"/>
                <w:szCs w:val="21"/>
                <w:highlight w:val="none"/>
              </w:rPr>
              <w:t>一级保护区</w:t>
            </w:r>
          </w:p>
        </w:tc>
        <w:tc>
          <w:tcPr>
            <w:tcW w:w="512" w:type="pct"/>
            <w:vAlign w:val="center"/>
          </w:tcPr>
          <w:p w14:paraId="47C5F983">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zh-CN" w:eastAsia="zh-CN"/>
              </w:rPr>
            </w:pPr>
            <w:r>
              <w:rPr>
                <w:rFonts w:hint="eastAsia" w:ascii="Times New Roman" w:hAnsi="Times New Roman" w:eastAsia="宋体" w:cs="Times New Roman"/>
                <w:color w:val="auto"/>
                <w:kern w:val="0"/>
                <w:sz w:val="21"/>
                <w:szCs w:val="21"/>
                <w:highlight w:val="none"/>
              </w:rPr>
              <w:t>农业面源污染、</w:t>
            </w:r>
            <w:r>
              <w:rPr>
                <w:rFonts w:hint="eastAsia" w:ascii="Times New Roman" w:hAnsi="Times New Roman" w:eastAsia="宋体" w:cs="Times New Roman"/>
                <w:color w:val="auto"/>
                <w:kern w:val="0"/>
                <w:sz w:val="21"/>
                <w:szCs w:val="21"/>
                <w:highlight w:val="none"/>
                <w:lang w:eastAsia="zh-CN"/>
              </w:rPr>
              <w:t>道路穿越、</w:t>
            </w:r>
            <w:r>
              <w:rPr>
                <w:rFonts w:hint="eastAsia" w:ascii="Times New Roman" w:hAnsi="Times New Roman" w:eastAsia="宋体" w:cs="Times New Roman"/>
                <w:color w:val="auto"/>
                <w:kern w:val="0"/>
                <w:sz w:val="21"/>
                <w:szCs w:val="21"/>
                <w:highlight w:val="none"/>
                <w:lang w:val="zh-CN"/>
              </w:rPr>
              <w:t>生活污染源</w:t>
            </w:r>
          </w:p>
        </w:tc>
        <w:tc>
          <w:tcPr>
            <w:tcW w:w="322" w:type="pct"/>
            <w:vAlign w:val="center"/>
          </w:tcPr>
          <w:p w14:paraId="25ABEA64">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eastAsia="宋体"/>
                <w:color w:val="auto"/>
                <w:sz w:val="21"/>
                <w:szCs w:val="21"/>
                <w:highlight w:val="none"/>
                <w:lang w:val="en-US" w:eastAsia="zh-CN"/>
              </w:rPr>
            </w:pPr>
            <w:r>
              <w:rPr>
                <w:rFonts w:hint="eastAsia"/>
                <w:color w:val="auto"/>
                <w:sz w:val="21"/>
                <w:szCs w:val="21"/>
                <w:highlight w:val="none"/>
                <w:lang w:val="en-US" w:eastAsia="zh-CN"/>
              </w:rPr>
              <w:t>0</w:t>
            </w:r>
          </w:p>
        </w:tc>
        <w:tc>
          <w:tcPr>
            <w:tcW w:w="346" w:type="pct"/>
            <w:vAlign w:val="center"/>
          </w:tcPr>
          <w:p w14:paraId="03A498BF">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eastAsia="宋体"/>
                <w:color w:val="auto"/>
                <w:sz w:val="21"/>
                <w:szCs w:val="21"/>
                <w:highlight w:val="none"/>
                <w:lang w:val="en-US" w:eastAsia="zh-CN"/>
              </w:rPr>
            </w:pPr>
            <w:r>
              <w:rPr>
                <w:rFonts w:hint="eastAsia"/>
                <w:color w:val="auto"/>
                <w:sz w:val="21"/>
                <w:szCs w:val="21"/>
                <w:highlight w:val="none"/>
                <w:lang w:val="en-US" w:eastAsia="zh-CN"/>
              </w:rPr>
              <w:t>0</w:t>
            </w:r>
          </w:p>
        </w:tc>
        <w:tc>
          <w:tcPr>
            <w:tcW w:w="341" w:type="pct"/>
            <w:vAlign w:val="center"/>
          </w:tcPr>
          <w:p w14:paraId="62CA9063">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rFonts w:hint="eastAsia"/>
                <w:color w:val="auto"/>
                <w:sz w:val="21"/>
                <w:szCs w:val="21"/>
                <w:highlight w:val="none"/>
                <w:lang w:val="en-US" w:eastAsia="zh-CN"/>
              </w:rPr>
              <w:t>0.158</w:t>
            </w:r>
          </w:p>
        </w:tc>
        <w:tc>
          <w:tcPr>
            <w:tcW w:w="326" w:type="pct"/>
            <w:vAlign w:val="center"/>
          </w:tcPr>
          <w:p w14:paraId="40E209F7">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rFonts w:hint="eastAsia"/>
                <w:color w:val="auto"/>
                <w:sz w:val="21"/>
                <w:szCs w:val="21"/>
                <w:highlight w:val="none"/>
                <w:lang w:val="en-US" w:eastAsia="zh-CN"/>
              </w:rPr>
              <w:t>0.36</w:t>
            </w:r>
          </w:p>
        </w:tc>
        <w:tc>
          <w:tcPr>
            <w:tcW w:w="325" w:type="pct"/>
            <w:vAlign w:val="center"/>
          </w:tcPr>
          <w:p w14:paraId="7FD0B0D1">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rFonts w:hint="eastAsia"/>
                <w:color w:val="auto"/>
                <w:sz w:val="21"/>
                <w:szCs w:val="21"/>
                <w:highlight w:val="none"/>
                <w:lang w:val="en-US" w:eastAsia="zh-CN"/>
              </w:rPr>
              <w:t>29.2</w:t>
            </w:r>
          </w:p>
        </w:tc>
        <w:tc>
          <w:tcPr>
            <w:tcW w:w="458" w:type="pct"/>
            <w:vAlign w:val="center"/>
          </w:tcPr>
          <w:p w14:paraId="2A110BB4">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rFonts w:hint="eastAsia"/>
                <w:color w:val="auto"/>
                <w:sz w:val="21"/>
                <w:szCs w:val="21"/>
                <w:highlight w:val="none"/>
                <w:lang w:val="en-US" w:eastAsia="zh-CN"/>
              </w:rPr>
              <w:t>0</w:t>
            </w:r>
          </w:p>
        </w:tc>
        <w:tc>
          <w:tcPr>
            <w:tcW w:w="421" w:type="pct"/>
            <w:vAlign w:val="center"/>
          </w:tcPr>
          <w:p w14:paraId="44D5A15D">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val="en-US" w:eastAsia="zh-CN"/>
              </w:rPr>
            </w:pPr>
            <w:r>
              <w:rPr>
                <w:rFonts w:hint="eastAsia"/>
                <w:color w:val="auto"/>
                <w:sz w:val="21"/>
                <w:szCs w:val="21"/>
                <w:highlight w:val="none"/>
                <w:lang w:val="en-US" w:eastAsia="zh-CN"/>
              </w:rPr>
              <w:t>/</w:t>
            </w:r>
          </w:p>
        </w:tc>
        <w:tc>
          <w:tcPr>
            <w:tcW w:w="769" w:type="pct"/>
            <w:vAlign w:val="center"/>
          </w:tcPr>
          <w:p w14:paraId="1EB2CF40">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rFonts w:hint="eastAsia"/>
                <w:color w:val="auto"/>
                <w:kern w:val="0"/>
                <w:sz w:val="21"/>
                <w:szCs w:val="21"/>
                <w:highlight w:val="none"/>
              </w:rPr>
              <w:t>一级保护区内有农田化肥农药使用；乡村道路存在农药运输</w:t>
            </w:r>
          </w:p>
        </w:tc>
      </w:tr>
      <w:tr w14:paraId="04778F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0" w:type="pct"/>
            <w:vAlign w:val="center"/>
          </w:tcPr>
          <w:p w14:paraId="12EB2BBB">
            <w:pPr>
              <w:pStyle w:val="30"/>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14</w:t>
            </w:r>
          </w:p>
        </w:tc>
        <w:tc>
          <w:tcPr>
            <w:tcW w:w="409" w:type="pct"/>
            <w:vMerge w:val="continue"/>
            <w:vAlign w:val="center"/>
          </w:tcPr>
          <w:p w14:paraId="0C1D6C23">
            <w:pPr>
              <w:pStyle w:val="30"/>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sz w:val="21"/>
                <w:szCs w:val="21"/>
                <w:highlight w:val="none"/>
                <w:lang w:val="zh-CN"/>
              </w:rPr>
            </w:pPr>
          </w:p>
        </w:tc>
        <w:tc>
          <w:tcPr>
            <w:tcW w:w="259" w:type="pct"/>
            <w:vAlign w:val="center"/>
          </w:tcPr>
          <w:p w14:paraId="5262330E">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color w:val="auto"/>
                <w:sz w:val="21"/>
                <w:szCs w:val="21"/>
                <w:highlight w:val="none"/>
              </w:rPr>
              <w:t>3#</w:t>
            </w:r>
          </w:p>
        </w:tc>
        <w:tc>
          <w:tcPr>
            <w:tcW w:w="306" w:type="pct"/>
            <w:vAlign w:val="center"/>
          </w:tcPr>
          <w:p w14:paraId="3BB4D3A0">
            <w:pPr>
              <w:widowControl/>
              <w:snapToGrid w:val="0"/>
              <w:spacing w:line="240" w:lineRule="auto"/>
              <w:ind w:firstLine="0" w:firstLineChars="0"/>
              <w:jc w:val="center"/>
              <w:rPr>
                <w:rFonts w:hint="default"/>
                <w:color w:val="auto"/>
                <w:sz w:val="21"/>
                <w:szCs w:val="21"/>
                <w:highlight w:val="none"/>
                <w:lang w:val="zh-CN"/>
              </w:rPr>
            </w:pPr>
            <w:r>
              <w:rPr>
                <w:rFonts w:hint="eastAsia" w:ascii="Times New Roman" w:hAnsi="Times New Roman" w:eastAsia="宋体" w:cs="Times New Roman"/>
                <w:color w:val="auto"/>
                <w:kern w:val="0"/>
                <w:sz w:val="21"/>
                <w:szCs w:val="21"/>
                <w:highlight w:val="none"/>
              </w:rPr>
              <w:t>一级保护区</w:t>
            </w:r>
          </w:p>
        </w:tc>
        <w:tc>
          <w:tcPr>
            <w:tcW w:w="512" w:type="pct"/>
            <w:vAlign w:val="center"/>
          </w:tcPr>
          <w:p w14:paraId="330DCC42">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zh-CN" w:eastAsia="zh-CN"/>
              </w:rPr>
            </w:pPr>
            <w:r>
              <w:rPr>
                <w:rFonts w:hint="eastAsia" w:ascii="Times New Roman" w:hAnsi="Times New Roman" w:eastAsia="宋体" w:cs="Times New Roman"/>
                <w:color w:val="auto"/>
                <w:kern w:val="0"/>
                <w:sz w:val="21"/>
                <w:szCs w:val="21"/>
                <w:highlight w:val="none"/>
              </w:rPr>
              <w:t>农业面源污染、</w:t>
            </w:r>
            <w:r>
              <w:rPr>
                <w:rFonts w:hint="eastAsia" w:cs="Times New Roman"/>
                <w:color w:val="auto"/>
                <w:kern w:val="0"/>
                <w:sz w:val="21"/>
                <w:szCs w:val="21"/>
                <w:highlight w:val="none"/>
                <w:lang w:eastAsia="zh-CN"/>
              </w:rPr>
              <w:t>道路穿越</w:t>
            </w:r>
          </w:p>
        </w:tc>
        <w:tc>
          <w:tcPr>
            <w:tcW w:w="322" w:type="pct"/>
            <w:vAlign w:val="center"/>
          </w:tcPr>
          <w:p w14:paraId="106C3D72">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rFonts w:hint="eastAsia"/>
                <w:color w:val="auto"/>
                <w:sz w:val="21"/>
                <w:szCs w:val="21"/>
                <w:highlight w:val="none"/>
                <w:lang w:val="en-US" w:eastAsia="zh-CN"/>
              </w:rPr>
              <w:t>0</w:t>
            </w:r>
          </w:p>
        </w:tc>
        <w:tc>
          <w:tcPr>
            <w:tcW w:w="346" w:type="pct"/>
            <w:vAlign w:val="center"/>
          </w:tcPr>
          <w:p w14:paraId="56DAD8EE">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rFonts w:hint="eastAsia"/>
                <w:color w:val="auto"/>
                <w:sz w:val="21"/>
                <w:szCs w:val="21"/>
                <w:highlight w:val="none"/>
                <w:lang w:val="en-US" w:eastAsia="zh-CN"/>
              </w:rPr>
              <w:t>0</w:t>
            </w:r>
          </w:p>
        </w:tc>
        <w:tc>
          <w:tcPr>
            <w:tcW w:w="341" w:type="pct"/>
            <w:vAlign w:val="center"/>
          </w:tcPr>
          <w:p w14:paraId="5E7BE5D3">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rFonts w:hint="eastAsia"/>
                <w:color w:val="auto"/>
                <w:sz w:val="21"/>
                <w:szCs w:val="21"/>
                <w:highlight w:val="none"/>
                <w:lang w:val="en-US" w:eastAsia="zh-CN"/>
              </w:rPr>
              <w:t>0.165</w:t>
            </w:r>
          </w:p>
        </w:tc>
        <w:tc>
          <w:tcPr>
            <w:tcW w:w="326" w:type="pct"/>
            <w:vAlign w:val="center"/>
          </w:tcPr>
          <w:p w14:paraId="39C5C345">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rFonts w:hint="eastAsia"/>
                <w:color w:val="auto"/>
                <w:sz w:val="21"/>
                <w:szCs w:val="21"/>
                <w:highlight w:val="none"/>
                <w:lang w:val="en-US" w:eastAsia="zh-CN"/>
              </w:rPr>
              <w:t>0</w:t>
            </w:r>
          </w:p>
        </w:tc>
        <w:tc>
          <w:tcPr>
            <w:tcW w:w="325" w:type="pct"/>
            <w:vAlign w:val="center"/>
          </w:tcPr>
          <w:p w14:paraId="3CE7A4C7">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rFonts w:hint="eastAsia"/>
                <w:color w:val="auto"/>
                <w:sz w:val="21"/>
                <w:szCs w:val="21"/>
                <w:highlight w:val="none"/>
                <w:lang w:val="en-US" w:eastAsia="zh-CN"/>
              </w:rPr>
              <w:t>0</w:t>
            </w:r>
          </w:p>
        </w:tc>
        <w:tc>
          <w:tcPr>
            <w:tcW w:w="458" w:type="pct"/>
            <w:vAlign w:val="center"/>
          </w:tcPr>
          <w:p w14:paraId="68C65399">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36</w:t>
            </w:r>
          </w:p>
        </w:tc>
        <w:tc>
          <w:tcPr>
            <w:tcW w:w="421" w:type="pct"/>
            <w:vAlign w:val="center"/>
          </w:tcPr>
          <w:p w14:paraId="4E4DB39C">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val="en-US" w:eastAsia="zh-CN"/>
              </w:rPr>
            </w:pPr>
            <w:r>
              <w:rPr>
                <w:rFonts w:hint="eastAsia"/>
                <w:color w:val="auto"/>
                <w:sz w:val="21"/>
                <w:szCs w:val="21"/>
                <w:highlight w:val="none"/>
                <w:lang w:val="en-US" w:eastAsia="zh-CN"/>
              </w:rPr>
              <w:t>/</w:t>
            </w:r>
          </w:p>
        </w:tc>
        <w:tc>
          <w:tcPr>
            <w:tcW w:w="769" w:type="pct"/>
            <w:vAlign w:val="center"/>
          </w:tcPr>
          <w:p w14:paraId="799205C3">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rFonts w:hint="eastAsia"/>
                <w:color w:val="auto"/>
                <w:kern w:val="0"/>
                <w:sz w:val="21"/>
                <w:szCs w:val="21"/>
                <w:highlight w:val="none"/>
              </w:rPr>
              <w:t>一级保护区内有农田化肥农药使用；乡村道路存在农药运输</w:t>
            </w:r>
          </w:p>
        </w:tc>
      </w:tr>
      <w:tr w14:paraId="1391E15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0" w:type="pct"/>
            <w:vAlign w:val="center"/>
          </w:tcPr>
          <w:p w14:paraId="4BC7E8BB">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15</w:t>
            </w:r>
          </w:p>
        </w:tc>
        <w:tc>
          <w:tcPr>
            <w:tcW w:w="409" w:type="pct"/>
            <w:vMerge w:val="restart"/>
            <w:vAlign w:val="center"/>
          </w:tcPr>
          <w:p w14:paraId="3549813B">
            <w:pPr>
              <w:widowControl/>
              <w:spacing w:line="240" w:lineRule="auto"/>
              <w:ind w:firstLine="0" w:firstLineChars="0"/>
              <w:jc w:val="center"/>
              <w:textAlignment w:val="center"/>
              <w:rPr>
                <w:rFonts w:hint="default"/>
                <w:color w:val="auto"/>
                <w:sz w:val="21"/>
                <w:szCs w:val="21"/>
                <w:highlight w:val="none"/>
                <w:lang w:val="zh-CN"/>
              </w:rPr>
            </w:pPr>
            <w:r>
              <w:rPr>
                <w:rFonts w:hint="eastAsia" w:ascii="Times New Roman" w:hAnsi="Times New Roman" w:eastAsia="宋体" w:cs="Times New Roman"/>
                <w:color w:val="auto"/>
                <w:kern w:val="0"/>
                <w:sz w:val="21"/>
                <w:szCs w:val="21"/>
                <w:highlight w:val="none"/>
                <w:lang w:val="en-US" w:eastAsia="zh-CN" w:bidi="ar"/>
              </w:rPr>
              <w:t>绥化市庆安县柳河镇饮用水水源地</w:t>
            </w:r>
          </w:p>
        </w:tc>
        <w:tc>
          <w:tcPr>
            <w:tcW w:w="259" w:type="pct"/>
            <w:vAlign w:val="center"/>
          </w:tcPr>
          <w:p w14:paraId="44AB0C57">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color w:val="auto"/>
                <w:sz w:val="21"/>
                <w:szCs w:val="21"/>
                <w:highlight w:val="none"/>
              </w:rPr>
              <w:t>1#</w:t>
            </w:r>
          </w:p>
        </w:tc>
        <w:tc>
          <w:tcPr>
            <w:tcW w:w="306" w:type="pct"/>
            <w:vAlign w:val="center"/>
          </w:tcPr>
          <w:p w14:paraId="146C35FE">
            <w:pPr>
              <w:widowControl/>
              <w:snapToGrid w:val="0"/>
              <w:spacing w:line="240" w:lineRule="auto"/>
              <w:ind w:firstLine="0" w:firstLineChars="0"/>
              <w:jc w:val="center"/>
              <w:rPr>
                <w:rFonts w:hint="default"/>
                <w:color w:val="auto"/>
                <w:sz w:val="21"/>
                <w:szCs w:val="21"/>
                <w:highlight w:val="none"/>
                <w:lang w:val="zh-CN"/>
              </w:rPr>
            </w:pPr>
            <w:r>
              <w:rPr>
                <w:rFonts w:hint="eastAsia" w:ascii="Times New Roman" w:hAnsi="Times New Roman" w:eastAsia="宋体" w:cs="Times New Roman"/>
                <w:color w:val="auto"/>
                <w:kern w:val="0"/>
                <w:sz w:val="21"/>
                <w:szCs w:val="21"/>
                <w:highlight w:val="none"/>
              </w:rPr>
              <w:t>一级保护区</w:t>
            </w:r>
          </w:p>
        </w:tc>
        <w:tc>
          <w:tcPr>
            <w:tcW w:w="512" w:type="pct"/>
            <w:vAlign w:val="center"/>
          </w:tcPr>
          <w:p w14:paraId="447BC47D">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zh-CN"/>
              </w:rPr>
            </w:pPr>
            <w:r>
              <w:rPr>
                <w:rFonts w:hint="eastAsia" w:ascii="Times New Roman" w:hAnsi="Times New Roman" w:eastAsia="宋体" w:cs="Times New Roman"/>
                <w:color w:val="auto"/>
                <w:kern w:val="0"/>
                <w:sz w:val="21"/>
                <w:szCs w:val="21"/>
                <w:highlight w:val="none"/>
              </w:rPr>
              <w:t>农业面源污染</w:t>
            </w:r>
          </w:p>
        </w:tc>
        <w:tc>
          <w:tcPr>
            <w:tcW w:w="322" w:type="pct"/>
            <w:vAlign w:val="center"/>
          </w:tcPr>
          <w:p w14:paraId="40EB32A7">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rFonts w:hint="eastAsia"/>
                <w:color w:val="auto"/>
                <w:sz w:val="21"/>
                <w:szCs w:val="21"/>
                <w:highlight w:val="none"/>
                <w:lang w:val="en-US" w:eastAsia="zh-CN"/>
              </w:rPr>
              <w:t>0</w:t>
            </w:r>
          </w:p>
        </w:tc>
        <w:tc>
          <w:tcPr>
            <w:tcW w:w="346" w:type="pct"/>
            <w:vAlign w:val="center"/>
          </w:tcPr>
          <w:p w14:paraId="65D5712D">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rFonts w:hint="eastAsia"/>
                <w:color w:val="auto"/>
                <w:sz w:val="21"/>
                <w:szCs w:val="21"/>
                <w:highlight w:val="none"/>
                <w:lang w:val="en-US" w:eastAsia="zh-CN"/>
              </w:rPr>
              <w:t>0</w:t>
            </w:r>
          </w:p>
        </w:tc>
        <w:tc>
          <w:tcPr>
            <w:tcW w:w="341" w:type="pct"/>
            <w:vAlign w:val="center"/>
          </w:tcPr>
          <w:p w14:paraId="1E940DDA">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rFonts w:hint="eastAsia"/>
                <w:color w:val="auto"/>
                <w:sz w:val="21"/>
                <w:szCs w:val="21"/>
                <w:highlight w:val="none"/>
                <w:lang w:val="en-US" w:eastAsia="zh-CN"/>
              </w:rPr>
              <w:t>0.135</w:t>
            </w:r>
          </w:p>
        </w:tc>
        <w:tc>
          <w:tcPr>
            <w:tcW w:w="326" w:type="pct"/>
            <w:vAlign w:val="center"/>
          </w:tcPr>
          <w:p w14:paraId="38C14C25">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rFonts w:hint="eastAsia"/>
                <w:color w:val="auto"/>
                <w:sz w:val="21"/>
                <w:szCs w:val="21"/>
                <w:highlight w:val="none"/>
                <w:lang w:val="en-US" w:eastAsia="zh-CN"/>
              </w:rPr>
              <w:t>0</w:t>
            </w:r>
          </w:p>
        </w:tc>
        <w:tc>
          <w:tcPr>
            <w:tcW w:w="325" w:type="pct"/>
            <w:vAlign w:val="center"/>
          </w:tcPr>
          <w:p w14:paraId="77010231">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rFonts w:hint="eastAsia"/>
                <w:color w:val="auto"/>
                <w:sz w:val="21"/>
                <w:szCs w:val="21"/>
                <w:highlight w:val="none"/>
                <w:lang w:val="en-US" w:eastAsia="zh-CN"/>
              </w:rPr>
              <w:t>0</w:t>
            </w:r>
          </w:p>
        </w:tc>
        <w:tc>
          <w:tcPr>
            <w:tcW w:w="458" w:type="pct"/>
            <w:vAlign w:val="center"/>
          </w:tcPr>
          <w:p w14:paraId="072163A4">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rFonts w:hint="eastAsia"/>
                <w:color w:val="auto"/>
                <w:sz w:val="21"/>
                <w:szCs w:val="21"/>
                <w:highlight w:val="none"/>
                <w:lang w:val="en-US" w:eastAsia="zh-CN"/>
              </w:rPr>
              <w:t>0</w:t>
            </w:r>
          </w:p>
        </w:tc>
        <w:tc>
          <w:tcPr>
            <w:tcW w:w="421" w:type="pct"/>
            <w:vAlign w:val="center"/>
          </w:tcPr>
          <w:p w14:paraId="7191F0C3">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val="en-US" w:eastAsia="zh-CN"/>
              </w:rPr>
            </w:pPr>
            <w:r>
              <w:rPr>
                <w:rFonts w:hint="eastAsia"/>
                <w:color w:val="auto"/>
                <w:sz w:val="21"/>
                <w:szCs w:val="21"/>
                <w:highlight w:val="none"/>
                <w:lang w:val="en-US" w:eastAsia="zh-CN"/>
              </w:rPr>
              <w:t>522（</w:t>
            </w:r>
            <w:r>
              <w:rPr>
                <w:rFonts w:hint="eastAsia"/>
                <w:color w:val="auto"/>
                <w:sz w:val="21"/>
                <w:szCs w:val="21"/>
                <w:highlight w:val="none"/>
                <w:lang w:eastAsia="zh-CN"/>
              </w:rPr>
              <w:t>废弃居民房屋</w:t>
            </w:r>
            <w:r>
              <w:rPr>
                <w:rFonts w:hint="eastAsia"/>
                <w:color w:val="auto"/>
                <w:sz w:val="21"/>
                <w:szCs w:val="21"/>
                <w:highlight w:val="none"/>
                <w:lang w:val="en-US" w:eastAsia="zh-CN"/>
              </w:rPr>
              <w:t>1间）</w:t>
            </w:r>
          </w:p>
        </w:tc>
        <w:tc>
          <w:tcPr>
            <w:tcW w:w="769" w:type="pct"/>
            <w:vAlign w:val="center"/>
          </w:tcPr>
          <w:p w14:paraId="53C3FE2D">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rFonts w:hint="eastAsia"/>
                <w:color w:val="auto"/>
                <w:kern w:val="0"/>
                <w:sz w:val="21"/>
                <w:szCs w:val="21"/>
                <w:highlight w:val="none"/>
              </w:rPr>
              <w:t>一级保护区内有农田化肥农药使用</w:t>
            </w:r>
          </w:p>
        </w:tc>
      </w:tr>
      <w:tr w14:paraId="14BF53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0" w:type="pct"/>
            <w:vAlign w:val="center"/>
          </w:tcPr>
          <w:p w14:paraId="221C3651">
            <w:pPr>
              <w:pStyle w:val="30"/>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16</w:t>
            </w:r>
          </w:p>
        </w:tc>
        <w:tc>
          <w:tcPr>
            <w:tcW w:w="409" w:type="pct"/>
            <w:vMerge w:val="continue"/>
            <w:vAlign w:val="center"/>
          </w:tcPr>
          <w:p w14:paraId="75579FF5">
            <w:pPr>
              <w:pStyle w:val="30"/>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sz w:val="21"/>
                <w:szCs w:val="21"/>
                <w:highlight w:val="none"/>
                <w:lang w:val="zh-CN"/>
              </w:rPr>
            </w:pPr>
          </w:p>
        </w:tc>
        <w:tc>
          <w:tcPr>
            <w:tcW w:w="259" w:type="pct"/>
            <w:vAlign w:val="center"/>
          </w:tcPr>
          <w:p w14:paraId="1DBDE761">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color w:val="auto"/>
                <w:sz w:val="21"/>
                <w:szCs w:val="21"/>
                <w:highlight w:val="none"/>
              </w:rPr>
              <w:t>2#</w:t>
            </w:r>
          </w:p>
        </w:tc>
        <w:tc>
          <w:tcPr>
            <w:tcW w:w="306" w:type="pct"/>
            <w:vAlign w:val="center"/>
          </w:tcPr>
          <w:p w14:paraId="7167FC24">
            <w:pPr>
              <w:widowControl/>
              <w:snapToGrid w:val="0"/>
              <w:spacing w:line="240" w:lineRule="auto"/>
              <w:ind w:firstLine="0" w:firstLineChars="0"/>
              <w:jc w:val="center"/>
              <w:rPr>
                <w:rFonts w:hint="default"/>
                <w:color w:val="auto"/>
                <w:sz w:val="21"/>
                <w:szCs w:val="21"/>
                <w:highlight w:val="none"/>
                <w:lang w:val="zh-CN"/>
              </w:rPr>
            </w:pPr>
            <w:r>
              <w:rPr>
                <w:rFonts w:hint="eastAsia" w:ascii="Times New Roman" w:hAnsi="Times New Roman" w:eastAsia="宋体" w:cs="Times New Roman"/>
                <w:color w:val="auto"/>
                <w:kern w:val="0"/>
                <w:sz w:val="21"/>
                <w:szCs w:val="21"/>
                <w:highlight w:val="none"/>
              </w:rPr>
              <w:t>一级保护区</w:t>
            </w:r>
          </w:p>
        </w:tc>
        <w:tc>
          <w:tcPr>
            <w:tcW w:w="512" w:type="pct"/>
            <w:vAlign w:val="center"/>
          </w:tcPr>
          <w:p w14:paraId="4F0AEB21">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zh-CN"/>
              </w:rPr>
            </w:pPr>
            <w:r>
              <w:rPr>
                <w:rFonts w:hint="eastAsia" w:ascii="Times New Roman" w:hAnsi="Times New Roman" w:eastAsia="宋体" w:cs="Times New Roman"/>
                <w:color w:val="auto"/>
                <w:kern w:val="0"/>
                <w:sz w:val="21"/>
                <w:szCs w:val="21"/>
                <w:highlight w:val="none"/>
              </w:rPr>
              <w:t>农业面源污染</w:t>
            </w:r>
          </w:p>
        </w:tc>
        <w:tc>
          <w:tcPr>
            <w:tcW w:w="322" w:type="pct"/>
            <w:vAlign w:val="center"/>
          </w:tcPr>
          <w:p w14:paraId="594F9CB6">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rFonts w:hint="eastAsia"/>
                <w:color w:val="auto"/>
                <w:sz w:val="21"/>
                <w:szCs w:val="21"/>
                <w:highlight w:val="none"/>
                <w:lang w:val="en-US" w:eastAsia="zh-CN"/>
              </w:rPr>
              <w:t>0</w:t>
            </w:r>
          </w:p>
        </w:tc>
        <w:tc>
          <w:tcPr>
            <w:tcW w:w="346" w:type="pct"/>
            <w:vAlign w:val="center"/>
          </w:tcPr>
          <w:p w14:paraId="064EC09E">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rFonts w:hint="eastAsia"/>
                <w:color w:val="auto"/>
                <w:sz w:val="21"/>
                <w:szCs w:val="21"/>
                <w:highlight w:val="none"/>
                <w:lang w:val="en-US" w:eastAsia="zh-CN"/>
              </w:rPr>
              <w:t>0</w:t>
            </w:r>
          </w:p>
        </w:tc>
        <w:tc>
          <w:tcPr>
            <w:tcW w:w="341" w:type="pct"/>
            <w:vAlign w:val="center"/>
          </w:tcPr>
          <w:p w14:paraId="10014DDE">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rFonts w:hint="eastAsia"/>
                <w:color w:val="auto"/>
                <w:sz w:val="21"/>
                <w:szCs w:val="21"/>
                <w:highlight w:val="none"/>
                <w:lang w:val="en-US" w:eastAsia="zh-CN"/>
              </w:rPr>
              <w:t>0.090</w:t>
            </w:r>
          </w:p>
        </w:tc>
        <w:tc>
          <w:tcPr>
            <w:tcW w:w="326" w:type="pct"/>
            <w:vAlign w:val="center"/>
          </w:tcPr>
          <w:p w14:paraId="7F1000C5">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rFonts w:hint="eastAsia"/>
                <w:color w:val="auto"/>
                <w:sz w:val="21"/>
                <w:szCs w:val="21"/>
                <w:highlight w:val="none"/>
                <w:lang w:val="en-US" w:eastAsia="zh-CN"/>
              </w:rPr>
              <w:t>0</w:t>
            </w:r>
          </w:p>
        </w:tc>
        <w:tc>
          <w:tcPr>
            <w:tcW w:w="325" w:type="pct"/>
            <w:vAlign w:val="center"/>
          </w:tcPr>
          <w:p w14:paraId="567B1EBA">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rFonts w:hint="eastAsia"/>
                <w:color w:val="auto"/>
                <w:sz w:val="21"/>
                <w:szCs w:val="21"/>
                <w:highlight w:val="none"/>
                <w:lang w:val="en-US" w:eastAsia="zh-CN"/>
              </w:rPr>
              <w:t>0</w:t>
            </w:r>
          </w:p>
        </w:tc>
        <w:tc>
          <w:tcPr>
            <w:tcW w:w="458" w:type="pct"/>
            <w:vAlign w:val="center"/>
          </w:tcPr>
          <w:p w14:paraId="513DC440">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rFonts w:hint="eastAsia"/>
                <w:color w:val="auto"/>
                <w:sz w:val="21"/>
                <w:szCs w:val="21"/>
                <w:highlight w:val="none"/>
                <w:lang w:val="en-US" w:eastAsia="zh-CN"/>
              </w:rPr>
              <w:t>0</w:t>
            </w:r>
          </w:p>
        </w:tc>
        <w:tc>
          <w:tcPr>
            <w:tcW w:w="421" w:type="pct"/>
            <w:vAlign w:val="center"/>
          </w:tcPr>
          <w:p w14:paraId="0BB0ECC4">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val="en-US" w:eastAsia="zh-CN"/>
              </w:rPr>
            </w:pPr>
            <w:r>
              <w:rPr>
                <w:rFonts w:hint="eastAsia"/>
                <w:color w:val="auto"/>
                <w:sz w:val="21"/>
                <w:szCs w:val="21"/>
                <w:highlight w:val="none"/>
                <w:lang w:val="en-US" w:eastAsia="zh-CN"/>
              </w:rPr>
              <w:t>12（</w:t>
            </w:r>
            <w:r>
              <w:rPr>
                <w:rFonts w:hint="eastAsia"/>
                <w:color w:val="auto"/>
                <w:sz w:val="21"/>
                <w:szCs w:val="21"/>
                <w:highlight w:val="none"/>
                <w:lang w:eastAsia="zh-CN"/>
              </w:rPr>
              <w:t>简易仓储棚</w:t>
            </w:r>
            <w:r>
              <w:rPr>
                <w:rFonts w:hint="eastAsia"/>
                <w:color w:val="auto"/>
                <w:sz w:val="21"/>
                <w:szCs w:val="21"/>
                <w:highlight w:val="none"/>
                <w:lang w:val="en-US" w:eastAsia="zh-CN"/>
              </w:rPr>
              <w:t>）</w:t>
            </w:r>
          </w:p>
        </w:tc>
        <w:tc>
          <w:tcPr>
            <w:tcW w:w="769" w:type="pct"/>
            <w:vAlign w:val="center"/>
          </w:tcPr>
          <w:p w14:paraId="585EC037">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rFonts w:hint="eastAsia"/>
                <w:color w:val="auto"/>
                <w:kern w:val="0"/>
                <w:sz w:val="21"/>
                <w:szCs w:val="21"/>
                <w:highlight w:val="none"/>
              </w:rPr>
              <w:t>一级保护区内有农田化肥农药使用</w:t>
            </w:r>
          </w:p>
        </w:tc>
      </w:tr>
      <w:tr w14:paraId="1545CC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0" w:type="pct"/>
            <w:vAlign w:val="center"/>
          </w:tcPr>
          <w:p w14:paraId="3048097F">
            <w:pPr>
              <w:pStyle w:val="30"/>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17</w:t>
            </w:r>
          </w:p>
        </w:tc>
        <w:tc>
          <w:tcPr>
            <w:tcW w:w="409" w:type="pct"/>
            <w:vMerge w:val="continue"/>
            <w:vAlign w:val="center"/>
          </w:tcPr>
          <w:p w14:paraId="2B8AA520">
            <w:pPr>
              <w:pStyle w:val="30"/>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sz w:val="21"/>
                <w:szCs w:val="21"/>
                <w:highlight w:val="none"/>
                <w:lang w:val="zh-CN"/>
              </w:rPr>
            </w:pPr>
          </w:p>
        </w:tc>
        <w:tc>
          <w:tcPr>
            <w:tcW w:w="259" w:type="pct"/>
            <w:vAlign w:val="center"/>
          </w:tcPr>
          <w:p w14:paraId="64E6236D">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color w:val="auto"/>
                <w:sz w:val="21"/>
                <w:szCs w:val="21"/>
                <w:highlight w:val="none"/>
              </w:rPr>
              <w:t>3#</w:t>
            </w:r>
          </w:p>
        </w:tc>
        <w:tc>
          <w:tcPr>
            <w:tcW w:w="306" w:type="pct"/>
            <w:vAlign w:val="center"/>
          </w:tcPr>
          <w:p w14:paraId="149334FA">
            <w:pPr>
              <w:widowControl/>
              <w:snapToGrid w:val="0"/>
              <w:spacing w:line="240" w:lineRule="auto"/>
              <w:ind w:firstLine="0" w:firstLineChars="0"/>
              <w:jc w:val="center"/>
              <w:rPr>
                <w:rFonts w:hint="default"/>
                <w:color w:val="auto"/>
                <w:sz w:val="21"/>
                <w:szCs w:val="21"/>
                <w:highlight w:val="none"/>
                <w:lang w:val="zh-CN"/>
              </w:rPr>
            </w:pPr>
            <w:r>
              <w:rPr>
                <w:rFonts w:hint="eastAsia" w:ascii="Times New Roman" w:hAnsi="Times New Roman" w:eastAsia="宋体" w:cs="Times New Roman"/>
                <w:color w:val="auto"/>
                <w:kern w:val="0"/>
                <w:sz w:val="21"/>
                <w:szCs w:val="21"/>
                <w:highlight w:val="none"/>
              </w:rPr>
              <w:t>一级保护区</w:t>
            </w:r>
          </w:p>
        </w:tc>
        <w:tc>
          <w:tcPr>
            <w:tcW w:w="512" w:type="pct"/>
            <w:vAlign w:val="center"/>
          </w:tcPr>
          <w:p w14:paraId="653C4528">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w:t>
            </w:r>
          </w:p>
        </w:tc>
        <w:tc>
          <w:tcPr>
            <w:tcW w:w="322" w:type="pct"/>
            <w:vAlign w:val="center"/>
          </w:tcPr>
          <w:p w14:paraId="1FC4D0E7">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rFonts w:hint="eastAsia"/>
                <w:color w:val="auto"/>
                <w:sz w:val="21"/>
                <w:szCs w:val="21"/>
                <w:highlight w:val="none"/>
                <w:lang w:val="en-US" w:eastAsia="zh-CN"/>
              </w:rPr>
              <w:t>0</w:t>
            </w:r>
          </w:p>
        </w:tc>
        <w:tc>
          <w:tcPr>
            <w:tcW w:w="346" w:type="pct"/>
            <w:vAlign w:val="center"/>
          </w:tcPr>
          <w:p w14:paraId="706F2DC9">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rFonts w:hint="eastAsia"/>
                <w:color w:val="auto"/>
                <w:sz w:val="21"/>
                <w:szCs w:val="21"/>
                <w:highlight w:val="none"/>
                <w:lang w:val="en-US" w:eastAsia="zh-CN"/>
              </w:rPr>
              <w:t>0</w:t>
            </w:r>
          </w:p>
        </w:tc>
        <w:tc>
          <w:tcPr>
            <w:tcW w:w="341" w:type="pct"/>
            <w:vAlign w:val="center"/>
          </w:tcPr>
          <w:p w14:paraId="20F77058">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eastAsia="宋体"/>
                <w:color w:val="auto"/>
                <w:sz w:val="21"/>
                <w:szCs w:val="21"/>
                <w:highlight w:val="none"/>
                <w:lang w:val="zh-CN" w:eastAsia="zh-CN"/>
              </w:rPr>
            </w:pPr>
            <w:r>
              <w:rPr>
                <w:rFonts w:hint="eastAsia"/>
                <w:color w:val="auto"/>
                <w:sz w:val="21"/>
                <w:szCs w:val="21"/>
                <w:highlight w:val="none"/>
                <w:lang w:val="en-US" w:eastAsia="zh-CN"/>
              </w:rPr>
              <w:t>0</w:t>
            </w:r>
          </w:p>
        </w:tc>
        <w:tc>
          <w:tcPr>
            <w:tcW w:w="326" w:type="pct"/>
            <w:vAlign w:val="center"/>
          </w:tcPr>
          <w:p w14:paraId="1DE8882E">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rFonts w:hint="eastAsia"/>
                <w:color w:val="auto"/>
                <w:sz w:val="21"/>
                <w:szCs w:val="21"/>
                <w:highlight w:val="none"/>
                <w:lang w:val="en-US" w:eastAsia="zh-CN"/>
              </w:rPr>
              <w:t>0</w:t>
            </w:r>
          </w:p>
        </w:tc>
        <w:tc>
          <w:tcPr>
            <w:tcW w:w="325" w:type="pct"/>
            <w:vAlign w:val="center"/>
          </w:tcPr>
          <w:p w14:paraId="4296D8A6">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rFonts w:hint="eastAsia"/>
                <w:color w:val="auto"/>
                <w:sz w:val="21"/>
                <w:szCs w:val="21"/>
                <w:highlight w:val="none"/>
                <w:lang w:val="en-US" w:eastAsia="zh-CN"/>
              </w:rPr>
              <w:t>0</w:t>
            </w:r>
          </w:p>
        </w:tc>
        <w:tc>
          <w:tcPr>
            <w:tcW w:w="458" w:type="pct"/>
            <w:vAlign w:val="center"/>
          </w:tcPr>
          <w:p w14:paraId="454D2200">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rFonts w:hint="eastAsia"/>
                <w:color w:val="auto"/>
                <w:sz w:val="21"/>
                <w:szCs w:val="21"/>
                <w:highlight w:val="none"/>
                <w:lang w:val="en-US" w:eastAsia="zh-CN"/>
              </w:rPr>
              <w:t>0</w:t>
            </w:r>
          </w:p>
        </w:tc>
        <w:tc>
          <w:tcPr>
            <w:tcW w:w="421" w:type="pct"/>
            <w:vAlign w:val="center"/>
          </w:tcPr>
          <w:p w14:paraId="6919D4C1">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val="en-US" w:eastAsia="zh-CN"/>
              </w:rPr>
            </w:pPr>
            <w:r>
              <w:rPr>
                <w:rFonts w:hint="eastAsia"/>
                <w:color w:val="auto"/>
                <w:sz w:val="21"/>
                <w:szCs w:val="21"/>
                <w:highlight w:val="none"/>
                <w:lang w:val="en-US" w:eastAsia="zh-CN"/>
              </w:rPr>
              <w:t>/</w:t>
            </w:r>
          </w:p>
        </w:tc>
        <w:tc>
          <w:tcPr>
            <w:tcW w:w="769" w:type="pct"/>
            <w:vAlign w:val="center"/>
          </w:tcPr>
          <w:p w14:paraId="498F7AC2">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rFonts w:hint="eastAsia"/>
                <w:color w:val="auto"/>
                <w:sz w:val="21"/>
                <w:szCs w:val="21"/>
                <w:highlight w:val="none"/>
                <w:lang w:val="en-US" w:eastAsia="zh-CN"/>
              </w:rPr>
              <w:t>/</w:t>
            </w:r>
          </w:p>
        </w:tc>
      </w:tr>
      <w:tr w14:paraId="16E500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0" w:type="pct"/>
            <w:shd w:val="clear" w:color="auto" w:fill="auto"/>
            <w:vAlign w:val="center"/>
          </w:tcPr>
          <w:p w14:paraId="223732E5">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18</w:t>
            </w:r>
          </w:p>
        </w:tc>
        <w:tc>
          <w:tcPr>
            <w:tcW w:w="409" w:type="pct"/>
            <w:vMerge w:val="continue"/>
            <w:vAlign w:val="center"/>
          </w:tcPr>
          <w:p w14:paraId="0D9521F5">
            <w:pPr>
              <w:pStyle w:val="30"/>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sz w:val="21"/>
                <w:szCs w:val="21"/>
                <w:highlight w:val="none"/>
                <w:lang w:val="zh-CN"/>
              </w:rPr>
            </w:pPr>
          </w:p>
        </w:tc>
        <w:tc>
          <w:tcPr>
            <w:tcW w:w="259" w:type="pct"/>
            <w:vAlign w:val="center"/>
          </w:tcPr>
          <w:p w14:paraId="43013C99">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auto"/>
                <w:sz w:val="21"/>
                <w:szCs w:val="21"/>
                <w:highlight w:val="none"/>
              </w:rPr>
            </w:pPr>
            <w:r>
              <w:rPr>
                <w:color w:val="auto"/>
                <w:sz w:val="21"/>
                <w:szCs w:val="21"/>
                <w:highlight w:val="none"/>
              </w:rPr>
              <w:t>4#</w:t>
            </w:r>
          </w:p>
        </w:tc>
        <w:tc>
          <w:tcPr>
            <w:tcW w:w="306" w:type="pct"/>
            <w:shd w:val="clear" w:color="auto" w:fill="auto"/>
            <w:vAlign w:val="center"/>
          </w:tcPr>
          <w:p w14:paraId="57D179D1">
            <w:pPr>
              <w:widowControl/>
              <w:snapToGrid w:val="0"/>
              <w:spacing w:line="240" w:lineRule="auto"/>
              <w:ind w:firstLine="0" w:firstLineChars="0"/>
              <w:jc w:val="center"/>
              <w:rPr>
                <w:rFonts w:hint="default" w:ascii="Times New Roman" w:hAnsi="Times New Roman" w:eastAsia="宋体" w:cs="Times New Roman"/>
                <w:color w:val="auto"/>
                <w:kern w:val="2"/>
                <w:sz w:val="21"/>
                <w:szCs w:val="21"/>
                <w:highlight w:val="none"/>
                <w:lang w:val="zh-CN" w:eastAsia="zh-CN" w:bidi="ar-SA"/>
              </w:rPr>
            </w:pPr>
            <w:r>
              <w:rPr>
                <w:rFonts w:hint="eastAsia" w:ascii="Times New Roman" w:hAnsi="Times New Roman" w:eastAsia="宋体" w:cs="Times New Roman"/>
                <w:color w:val="auto"/>
                <w:kern w:val="0"/>
                <w:sz w:val="21"/>
                <w:szCs w:val="21"/>
                <w:highlight w:val="none"/>
              </w:rPr>
              <w:t>一级保护区</w:t>
            </w:r>
          </w:p>
        </w:tc>
        <w:tc>
          <w:tcPr>
            <w:tcW w:w="512" w:type="pct"/>
            <w:vAlign w:val="center"/>
          </w:tcPr>
          <w:p w14:paraId="33432260">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zh-CN" w:eastAsia="zh-CN"/>
              </w:rPr>
            </w:pPr>
            <w:r>
              <w:rPr>
                <w:rFonts w:hint="eastAsia" w:ascii="Times New Roman" w:hAnsi="Times New Roman" w:eastAsia="宋体" w:cs="Times New Roman"/>
                <w:color w:val="auto"/>
                <w:kern w:val="0"/>
                <w:sz w:val="21"/>
                <w:szCs w:val="21"/>
                <w:highlight w:val="none"/>
              </w:rPr>
              <w:t>农业面源污染、</w:t>
            </w:r>
            <w:r>
              <w:rPr>
                <w:rFonts w:hint="eastAsia" w:cs="Times New Roman"/>
                <w:color w:val="auto"/>
                <w:kern w:val="0"/>
                <w:sz w:val="21"/>
                <w:szCs w:val="21"/>
                <w:highlight w:val="none"/>
                <w:lang w:eastAsia="zh-CN"/>
              </w:rPr>
              <w:t>道路穿越</w:t>
            </w:r>
          </w:p>
        </w:tc>
        <w:tc>
          <w:tcPr>
            <w:tcW w:w="322" w:type="pct"/>
            <w:vAlign w:val="center"/>
          </w:tcPr>
          <w:p w14:paraId="2372FEDC">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val="zh-CN"/>
              </w:rPr>
            </w:pPr>
            <w:r>
              <w:rPr>
                <w:rFonts w:hint="eastAsia"/>
                <w:color w:val="auto"/>
                <w:sz w:val="21"/>
                <w:szCs w:val="21"/>
                <w:highlight w:val="none"/>
                <w:lang w:val="en-US" w:eastAsia="zh-CN"/>
              </w:rPr>
              <w:t>0</w:t>
            </w:r>
          </w:p>
        </w:tc>
        <w:tc>
          <w:tcPr>
            <w:tcW w:w="346" w:type="pct"/>
            <w:vAlign w:val="center"/>
          </w:tcPr>
          <w:p w14:paraId="1520C71F">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val="zh-CN"/>
              </w:rPr>
            </w:pPr>
            <w:r>
              <w:rPr>
                <w:rFonts w:hint="eastAsia"/>
                <w:color w:val="auto"/>
                <w:sz w:val="21"/>
                <w:szCs w:val="21"/>
                <w:highlight w:val="none"/>
                <w:lang w:val="en-US" w:eastAsia="zh-CN"/>
              </w:rPr>
              <w:t>0</w:t>
            </w:r>
          </w:p>
        </w:tc>
        <w:tc>
          <w:tcPr>
            <w:tcW w:w="341" w:type="pct"/>
            <w:vAlign w:val="center"/>
          </w:tcPr>
          <w:p w14:paraId="0D69DCEA">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val="zh-CN"/>
              </w:rPr>
            </w:pPr>
            <w:r>
              <w:rPr>
                <w:rFonts w:hint="eastAsia"/>
                <w:color w:val="auto"/>
                <w:sz w:val="21"/>
                <w:szCs w:val="21"/>
                <w:highlight w:val="none"/>
                <w:lang w:val="en-US" w:eastAsia="zh-CN"/>
              </w:rPr>
              <w:t>0.046</w:t>
            </w:r>
          </w:p>
        </w:tc>
        <w:tc>
          <w:tcPr>
            <w:tcW w:w="326" w:type="pct"/>
            <w:vAlign w:val="center"/>
          </w:tcPr>
          <w:p w14:paraId="26B554E4">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val="zh-CN"/>
              </w:rPr>
            </w:pPr>
            <w:r>
              <w:rPr>
                <w:rFonts w:hint="eastAsia"/>
                <w:color w:val="auto"/>
                <w:sz w:val="21"/>
                <w:szCs w:val="21"/>
                <w:highlight w:val="none"/>
                <w:lang w:val="en-US" w:eastAsia="zh-CN"/>
              </w:rPr>
              <w:t>0</w:t>
            </w:r>
          </w:p>
        </w:tc>
        <w:tc>
          <w:tcPr>
            <w:tcW w:w="325" w:type="pct"/>
            <w:vAlign w:val="center"/>
          </w:tcPr>
          <w:p w14:paraId="66FC666D">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val="zh-CN"/>
              </w:rPr>
            </w:pPr>
            <w:r>
              <w:rPr>
                <w:rFonts w:hint="eastAsia"/>
                <w:color w:val="auto"/>
                <w:sz w:val="21"/>
                <w:szCs w:val="21"/>
                <w:highlight w:val="none"/>
                <w:lang w:val="en-US" w:eastAsia="zh-CN"/>
              </w:rPr>
              <w:t>0</w:t>
            </w:r>
          </w:p>
        </w:tc>
        <w:tc>
          <w:tcPr>
            <w:tcW w:w="458" w:type="pct"/>
            <w:vAlign w:val="center"/>
          </w:tcPr>
          <w:p w14:paraId="593F2D39">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45</w:t>
            </w:r>
          </w:p>
        </w:tc>
        <w:tc>
          <w:tcPr>
            <w:tcW w:w="421" w:type="pct"/>
            <w:vAlign w:val="center"/>
          </w:tcPr>
          <w:p w14:paraId="394079A0">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val="en-US" w:eastAsia="zh-CN"/>
              </w:rPr>
            </w:pPr>
            <w:r>
              <w:rPr>
                <w:rFonts w:hint="eastAsia"/>
                <w:color w:val="auto"/>
                <w:sz w:val="21"/>
                <w:szCs w:val="21"/>
                <w:highlight w:val="none"/>
                <w:lang w:val="en-US" w:eastAsia="zh-CN"/>
              </w:rPr>
              <w:t>/</w:t>
            </w:r>
          </w:p>
        </w:tc>
        <w:tc>
          <w:tcPr>
            <w:tcW w:w="769" w:type="pct"/>
            <w:vAlign w:val="center"/>
          </w:tcPr>
          <w:p w14:paraId="4DC98DE2">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val="zh-CN"/>
              </w:rPr>
            </w:pPr>
            <w:r>
              <w:rPr>
                <w:rFonts w:hint="eastAsia"/>
                <w:color w:val="auto"/>
                <w:kern w:val="0"/>
                <w:sz w:val="21"/>
                <w:szCs w:val="21"/>
                <w:highlight w:val="none"/>
              </w:rPr>
              <w:t>一级保护区内有农田化肥农药使用；乡村道路存在农药运输</w:t>
            </w:r>
          </w:p>
        </w:tc>
      </w:tr>
      <w:tr w14:paraId="6D7093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0" w:type="pct"/>
            <w:shd w:val="clear" w:color="auto" w:fill="auto"/>
            <w:vAlign w:val="center"/>
          </w:tcPr>
          <w:p w14:paraId="33E42AE3">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19</w:t>
            </w:r>
          </w:p>
        </w:tc>
        <w:tc>
          <w:tcPr>
            <w:tcW w:w="409" w:type="pct"/>
            <w:vMerge w:val="continue"/>
            <w:vAlign w:val="center"/>
          </w:tcPr>
          <w:p w14:paraId="39A3E894">
            <w:pPr>
              <w:pStyle w:val="30"/>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sz w:val="21"/>
                <w:szCs w:val="21"/>
                <w:highlight w:val="none"/>
                <w:lang w:val="zh-CN"/>
              </w:rPr>
            </w:pPr>
          </w:p>
        </w:tc>
        <w:tc>
          <w:tcPr>
            <w:tcW w:w="259" w:type="pct"/>
            <w:vAlign w:val="center"/>
          </w:tcPr>
          <w:p w14:paraId="689F141D">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color w:val="auto"/>
                <w:sz w:val="21"/>
                <w:szCs w:val="21"/>
                <w:highlight w:val="none"/>
              </w:rPr>
              <w:t>5#</w:t>
            </w:r>
          </w:p>
        </w:tc>
        <w:tc>
          <w:tcPr>
            <w:tcW w:w="306" w:type="pct"/>
            <w:shd w:val="clear" w:color="auto" w:fill="auto"/>
            <w:vAlign w:val="center"/>
          </w:tcPr>
          <w:p w14:paraId="6D25965F">
            <w:pPr>
              <w:widowControl/>
              <w:snapToGrid w:val="0"/>
              <w:spacing w:line="240" w:lineRule="auto"/>
              <w:ind w:firstLine="0" w:firstLineChars="0"/>
              <w:jc w:val="center"/>
              <w:rPr>
                <w:rFonts w:hint="default" w:ascii="Times New Roman" w:hAnsi="Times New Roman" w:eastAsia="宋体" w:cs="Times New Roman"/>
                <w:color w:val="auto"/>
                <w:kern w:val="2"/>
                <w:sz w:val="21"/>
                <w:szCs w:val="21"/>
                <w:highlight w:val="none"/>
                <w:lang w:val="zh-CN" w:eastAsia="zh-CN" w:bidi="ar-SA"/>
              </w:rPr>
            </w:pPr>
            <w:r>
              <w:rPr>
                <w:rFonts w:hint="eastAsia" w:ascii="Times New Roman" w:hAnsi="Times New Roman" w:eastAsia="宋体" w:cs="Times New Roman"/>
                <w:color w:val="auto"/>
                <w:kern w:val="0"/>
                <w:sz w:val="21"/>
                <w:szCs w:val="21"/>
                <w:highlight w:val="none"/>
              </w:rPr>
              <w:t>一级保护区</w:t>
            </w:r>
          </w:p>
        </w:tc>
        <w:tc>
          <w:tcPr>
            <w:tcW w:w="512" w:type="pct"/>
            <w:vAlign w:val="center"/>
          </w:tcPr>
          <w:p w14:paraId="0F22C804">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zh-CN"/>
              </w:rPr>
            </w:pPr>
            <w:r>
              <w:rPr>
                <w:rFonts w:hint="eastAsia" w:ascii="Times New Roman" w:hAnsi="Times New Roman" w:eastAsia="宋体" w:cs="Times New Roman"/>
                <w:color w:val="auto"/>
                <w:kern w:val="0"/>
                <w:sz w:val="21"/>
                <w:szCs w:val="21"/>
                <w:highlight w:val="none"/>
              </w:rPr>
              <w:t>农业面源污染</w:t>
            </w:r>
          </w:p>
        </w:tc>
        <w:tc>
          <w:tcPr>
            <w:tcW w:w="322" w:type="pct"/>
            <w:vAlign w:val="center"/>
          </w:tcPr>
          <w:p w14:paraId="48FFD4B6">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rFonts w:hint="eastAsia"/>
                <w:color w:val="auto"/>
                <w:sz w:val="21"/>
                <w:szCs w:val="21"/>
                <w:highlight w:val="none"/>
                <w:lang w:val="en-US" w:eastAsia="zh-CN"/>
              </w:rPr>
              <w:t>0</w:t>
            </w:r>
          </w:p>
        </w:tc>
        <w:tc>
          <w:tcPr>
            <w:tcW w:w="346" w:type="pct"/>
            <w:vAlign w:val="center"/>
          </w:tcPr>
          <w:p w14:paraId="5A05A79F">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rFonts w:hint="eastAsia"/>
                <w:color w:val="auto"/>
                <w:sz w:val="21"/>
                <w:szCs w:val="21"/>
                <w:highlight w:val="none"/>
                <w:lang w:val="en-US" w:eastAsia="zh-CN"/>
              </w:rPr>
              <w:t>0</w:t>
            </w:r>
          </w:p>
        </w:tc>
        <w:tc>
          <w:tcPr>
            <w:tcW w:w="341" w:type="pct"/>
            <w:vAlign w:val="center"/>
          </w:tcPr>
          <w:p w14:paraId="0484C784">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rFonts w:hint="eastAsia"/>
                <w:color w:val="auto"/>
                <w:sz w:val="21"/>
                <w:szCs w:val="21"/>
                <w:highlight w:val="none"/>
                <w:lang w:val="en-US" w:eastAsia="zh-CN"/>
              </w:rPr>
              <w:t>0.109</w:t>
            </w:r>
          </w:p>
        </w:tc>
        <w:tc>
          <w:tcPr>
            <w:tcW w:w="326" w:type="pct"/>
            <w:vAlign w:val="center"/>
          </w:tcPr>
          <w:p w14:paraId="0F649517">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rFonts w:hint="eastAsia"/>
                <w:color w:val="auto"/>
                <w:sz w:val="21"/>
                <w:szCs w:val="21"/>
                <w:highlight w:val="none"/>
                <w:lang w:val="en-US" w:eastAsia="zh-CN"/>
              </w:rPr>
              <w:t>0</w:t>
            </w:r>
          </w:p>
        </w:tc>
        <w:tc>
          <w:tcPr>
            <w:tcW w:w="325" w:type="pct"/>
            <w:vAlign w:val="center"/>
          </w:tcPr>
          <w:p w14:paraId="5C9635BE">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rFonts w:hint="eastAsia"/>
                <w:color w:val="auto"/>
                <w:sz w:val="21"/>
                <w:szCs w:val="21"/>
                <w:highlight w:val="none"/>
                <w:lang w:val="en-US" w:eastAsia="zh-CN"/>
              </w:rPr>
              <w:t>0</w:t>
            </w:r>
          </w:p>
        </w:tc>
        <w:tc>
          <w:tcPr>
            <w:tcW w:w="458" w:type="pct"/>
            <w:vAlign w:val="center"/>
          </w:tcPr>
          <w:p w14:paraId="01697D13">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rFonts w:hint="eastAsia"/>
                <w:color w:val="auto"/>
                <w:sz w:val="21"/>
                <w:szCs w:val="21"/>
                <w:highlight w:val="none"/>
                <w:lang w:val="en-US" w:eastAsia="zh-CN"/>
              </w:rPr>
              <w:t>0</w:t>
            </w:r>
          </w:p>
        </w:tc>
        <w:tc>
          <w:tcPr>
            <w:tcW w:w="421" w:type="pct"/>
            <w:vAlign w:val="center"/>
          </w:tcPr>
          <w:p w14:paraId="5870381B">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val="en-US" w:eastAsia="zh-CN"/>
              </w:rPr>
            </w:pPr>
            <w:r>
              <w:rPr>
                <w:rFonts w:hint="eastAsia"/>
                <w:color w:val="auto"/>
                <w:sz w:val="21"/>
                <w:szCs w:val="21"/>
                <w:highlight w:val="none"/>
                <w:lang w:val="en-US" w:eastAsia="zh-CN"/>
              </w:rPr>
              <w:t>/</w:t>
            </w:r>
          </w:p>
        </w:tc>
        <w:tc>
          <w:tcPr>
            <w:tcW w:w="769" w:type="pct"/>
            <w:vAlign w:val="center"/>
          </w:tcPr>
          <w:p w14:paraId="32B2C836">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sz w:val="21"/>
                <w:szCs w:val="21"/>
                <w:highlight w:val="none"/>
                <w:lang w:val="zh-CN"/>
              </w:rPr>
            </w:pPr>
            <w:r>
              <w:rPr>
                <w:rFonts w:hint="eastAsia"/>
                <w:color w:val="auto"/>
                <w:kern w:val="0"/>
                <w:sz w:val="21"/>
                <w:szCs w:val="21"/>
                <w:highlight w:val="none"/>
              </w:rPr>
              <w:t>一级保护区内有农田化肥农药使用</w:t>
            </w:r>
          </w:p>
        </w:tc>
      </w:tr>
      <w:tr w14:paraId="0BAB2DC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0" w:type="pct"/>
            <w:shd w:val="clear" w:color="auto" w:fill="auto"/>
            <w:vAlign w:val="center"/>
          </w:tcPr>
          <w:p w14:paraId="364C59CD">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20</w:t>
            </w:r>
          </w:p>
        </w:tc>
        <w:tc>
          <w:tcPr>
            <w:tcW w:w="409" w:type="pct"/>
            <w:vMerge w:val="restart"/>
            <w:vAlign w:val="center"/>
          </w:tcPr>
          <w:p w14:paraId="401D04DA">
            <w:pPr>
              <w:widowControl/>
              <w:spacing w:line="240" w:lineRule="auto"/>
              <w:ind w:firstLine="0" w:firstLineChars="0"/>
              <w:jc w:val="center"/>
              <w:textAlignment w:val="center"/>
              <w:rPr>
                <w:rFonts w:hint="default"/>
                <w:color w:val="auto"/>
                <w:sz w:val="21"/>
                <w:szCs w:val="21"/>
                <w:highlight w:val="none"/>
                <w:lang w:val="zh-CN"/>
              </w:rPr>
            </w:pPr>
            <w:r>
              <w:rPr>
                <w:rFonts w:hint="eastAsia" w:ascii="Times New Roman" w:hAnsi="Times New Roman" w:eastAsia="宋体" w:cs="Times New Roman"/>
                <w:color w:val="auto"/>
                <w:kern w:val="0"/>
                <w:sz w:val="21"/>
                <w:szCs w:val="21"/>
                <w:highlight w:val="none"/>
                <w:lang w:val="en-US" w:eastAsia="zh-CN" w:bidi="ar"/>
              </w:rPr>
              <w:t>绥化市庆安县柳河镇新强村饮用水水源地</w:t>
            </w:r>
          </w:p>
        </w:tc>
        <w:tc>
          <w:tcPr>
            <w:tcW w:w="259" w:type="pct"/>
            <w:shd w:val="clear" w:color="auto" w:fill="auto"/>
            <w:vAlign w:val="center"/>
          </w:tcPr>
          <w:p w14:paraId="4A7EBB4C">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kern w:val="2"/>
                <w:sz w:val="21"/>
                <w:szCs w:val="21"/>
                <w:highlight w:val="none"/>
                <w:lang w:val="zh-CN" w:eastAsia="zh-CN" w:bidi="ar-SA"/>
              </w:rPr>
            </w:pPr>
            <w:r>
              <w:rPr>
                <w:color w:val="auto"/>
                <w:sz w:val="21"/>
                <w:szCs w:val="21"/>
                <w:highlight w:val="none"/>
              </w:rPr>
              <w:t>1#</w:t>
            </w:r>
          </w:p>
        </w:tc>
        <w:tc>
          <w:tcPr>
            <w:tcW w:w="306" w:type="pct"/>
            <w:shd w:val="clear" w:color="auto" w:fill="auto"/>
            <w:vAlign w:val="center"/>
          </w:tcPr>
          <w:p w14:paraId="0E998CA5">
            <w:pPr>
              <w:widowControl/>
              <w:snapToGrid w:val="0"/>
              <w:spacing w:line="240" w:lineRule="auto"/>
              <w:ind w:firstLine="0" w:firstLineChars="0"/>
              <w:jc w:val="center"/>
              <w:rPr>
                <w:rFonts w:hint="default" w:ascii="Times New Roman" w:hAnsi="Times New Roman" w:eastAsia="宋体" w:cs="Times New Roman"/>
                <w:color w:val="auto"/>
                <w:kern w:val="2"/>
                <w:sz w:val="21"/>
                <w:szCs w:val="21"/>
                <w:highlight w:val="none"/>
                <w:lang w:val="zh-CN" w:eastAsia="zh-CN" w:bidi="ar-SA"/>
              </w:rPr>
            </w:pPr>
            <w:r>
              <w:rPr>
                <w:rFonts w:hint="eastAsia" w:ascii="Times New Roman" w:hAnsi="Times New Roman" w:eastAsia="宋体" w:cs="Times New Roman"/>
                <w:color w:val="auto"/>
                <w:kern w:val="0"/>
                <w:sz w:val="21"/>
                <w:szCs w:val="21"/>
                <w:highlight w:val="none"/>
              </w:rPr>
              <w:t>一级保护区</w:t>
            </w:r>
          </w:p>
        </w:tc>
        <w:tc>
          <w:tcPr>
            <w:tcW w:w="512" w:type="pct"/>
            <w:vAlign w:val="center"/>
          </w:tcPr>
          <w:p w14:paraId="6646D7FF">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zh-CN"/>
              </w:rPr>
            </w:pPr>
            <w:r>
              <w:rPr>
                <w:rFonts w:hint="eastAsia" w:ascii="Times New Roman" w:hAnsi="Times New Roman" w:eastAsia="宋体" w:cs="Times New Roman"/>
                <w:color w:val="auto"/>
                <w:kern w:val="0"/>
                <w:sz w:val="21"/>
                <w:szCs w:val="21"/>
                <w:highlight w:val="none"/>
              </w:rPr>
              <w:t>农业面源污染</w:t>
            </w:r>
          </w:p>
        </w:tc>
        <w:tc>
          <w:tcPr>
            <w:tcW w:w="322" w:type="pct"/>
            <w:vAlign w:val="center"/>
          </w:tcPr>
          <w:p w14:paraId="3A793CF0">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val="zh-CN"/>
              </w:rPr>
            </w:pPr>
            <w:r>
              <w:rPr>
                <w:rFonts w:hint="eastAsia"/>
                <w:color w:val="auto"/>
                <w:sz w:val="21"/>
                <w:szCs w:val="21"/>
                <w:highlight w:val="none"/>
                <w:lang w:val="en-US" w:eastAsia="zh-CN"/>
              </w:rPr>
              <w:t>0</w:t>
            </w:r>
          </w:p>
        </w:tc>
        <w:tc>
          <w:tcPr>
            <w:tcW w:w="346" w:type="pct"/>
            <w:vAlign w:val="center"/>
          </w:tcPr>
          <w:p w14:paraId="0E8E742D">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val="zh-CN"/>
              </w:rPr>
            </w:pPr>
            <w:r>
              <w:rPr>
                <w:rFonts w:hint="eastAsia"/>
                <w:color w:val="auto"/>
                <w:sz w:val="21"/>
                <w:szCs w:val="21"/>
                <w:highlight w:val="none"/>
                <w:lang w:val="en-US" w:eastAsia="zh-CN"/>
              </w:rPr>
              <w:t>0</w:t>
            </w:r>
          </w:p>
        </w:tc>
        <w:tc>
          <w:tcPr>
            <w:tcW w:w="341" w:type="pct"/>
            <w:vAlign w:val="center"/>
          </w:tcPr>
          <w:p w14:paraId="2ABBB967">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val="zh-CN"/>
              </w:rPr>
            </w:pPr>
            <w:r>
              <w:rPr>
                <w:rFonts w:hint="eastAsia"/>
                <w:color w:val="auto"/>
                <w:sz w:val="21"/>
                <w:szCs w:val="21"/>
                <w:highlight w:val="none"/>
                <w:lang w:val="en-US" w:eastAsia="zh-CN"/>
              </w:rPr>
              <w:t>0.131</w:t>
            </w:r>
          </w:p>
        </w:tc>
        <w:tc>
          <w:tcPr>
            <w:tcW w:w="326" w:type="pct"/>
            <w:vAlign w:val="center"/>
          </w:tcPr>
          <w:p w14:paraId="52932BF6">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val="zh-CN"/>
              </w:rPr>
            </w:pPr>
            <w:r>
              <w:rPr>
                <w:rFonts w:hint="eastAsia"/>
                <w:color w:val="auto"/>
                <w:sz w:val="21"/>
                <w:szCs w:val="21"/>
                <w:highlight w:val="none"/>
                <w:lang w:val="en-US" w:eastAsia="zh-CN"/>
              </w:rPr>
              <w:t>0</w:t>
            </w:r>
          </w:p>
        </w:tc>
        <w:tc>
          <w:tcPr>
            <w:tcW w:w="325" w:type="pct"/>
            <w:vAlign w:val="center"/>
          </w:tcPr>
          <w:p w14:paraId="08D6D34D">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val="zh-CN"/>
              </w:rPr>
            </w:pPr>
            <w:r>
              <w:rPr>
                <w:rFonts w:hint="eastAsia"/>
                <w:color w:val="auto"/>
                <w:sz w:val="21"/>
                <w:szCs w:val="21"/>
                <w:highlight w:val="none"/>
                <w:lang w:val="en-US" w:eastAsia="zh-CN"/>
              </w:rPr>
              <w:t>0</w:t>
            </w:r>
          </w:p>
        </w:tc>
        <w:tc>
          <w:tcPr>
            <w:tcW w:w="458" w:type="pct"/>
            <w:vAlign w:val="center"/>
          </w:tcPr>
          <w:p w14:paraId="0DF0159B">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val="zh-CN"/>
              </w:rPr>
            </w:pPr>
            <w:r>
              <w:rPr>
                <w:rFonts w:hint="eastAsia"/>
                <w:color w:val="auto"/>
                <w:sz w:val="21"/>
                <w:szCs w:val="21"/>
                <w:highlight w:val="none"/>
                <w:lang w:val="en-US" w:eastAsia="zh-CN"/>
              </w:rPr>
              <w:t>0</w:t>
            </w:r>
          </w:p>
        </w:tc>
        <w:tc>
          <w:tcPr>
            <w:tcW w:w="421" w:type="pct"/>
            <w:vAlign w:val="center"/>
          </w:tcPr>
          <w:p w14:paraId="5D76AEB1">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val="en-US" w:eastAsia="zh-CN"/>
              </w:rPr>
            </w:pPr>
            <w:r>
              <w:rPr>
                <w:rFonts w:hint="eastAsia"/>
                <w:color w:val="auto"/>
                <w:sz w:val="21"/>
                <w:szCs w:val="21"/>
                <w:highlight w:val="none"/>
                <w:lang w:val="en-US" w:eastAsia="zh-CN"/>
              </w:rPr>
              <w:t>/</w:t>
            </w:r>
          </w:p>
        </w:tc>
        <w:tc>
          <w:tcPr>
            <w:tcW w:w="769" w:type="pct"/>
            <w:vAlign w:val="center"/>
          </w:tcPr>
          <w:p w14:paraId="5E52DEAB">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val="zh-CN"/>
              </w:rPr>
            </w:pPr>
            <w:r>
              <w:rPr>
                <w:rFonts w:hint="eastAsia"/>
                <w:color w:val="auto"/>
                <w:kern w:val="0"/>
                <w:sz w:val="21"/>
                <w:szCs w:val="21"/>
                <w:highlight w:val="none"/>
              </w:rPr>
              <w:t>一级保护区内有农田化肥农药使用</w:t>
            </w:r>
          </w:p>
        </w:tc>
      </w:tr>
      <w:tr w14:paraId="7D5B72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0" w:type="pct"/>
            <w:shd w:val="clear" w:color="auto" w:fill="auto"/>
            <w:vAlign w:val="center"/>
          </w:tcPr>
          <w:p w14:paraId="67E94CE8">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21</w:t>
            </w:r>
          </w:p>
        </w:tc>
        <w:tc>
          <w:tcPr>
            <w:tcW w:w="409" w:type="pct"/>
            <w:vMerge w:val="continue"/>
            <w:vAlign w:val="center"/>
          </w:tcPr>
          <w:p w14:paraId="5CCF0E7C">
            <w:pPr>
              <w:pStyle w:val="30"/>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sz w:val="21"/>
                <w:szCs w:val="21"/>
                <w:highlight w:val="none"/>
                <w:lang w:val="zh-CN"/>
              </w:rPr>
            </w:pPr>
          </w:p>
        </w:tc>
        <w:tc>
          <w:tcPr>
            <w:tcW w:w="259" w:type="pct"/>
            <w:shd w:val="clear" w:color="auto" w:fill="auto"/>
            <w:vAlign w:val="center"/>
          </w:tcPr>
          <w:p w14:paraId="6964D4BE">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kern w:val="2"/>
                <w:sz w:val="21"/>
                <w:szCs w:val="21"/>
                <w:highlight w:val="none"/>
                <w:lang w:val="zh-CN" w:eastAsia="zh-CN" w:bidi="ar-SA"/>
              </w:rPr>
            </w:pPr>
            <w:r>
              <w:rPr>
                <w:color w:val="auto"/>
                <w:sz w:val="21"/>
                <w:szCs w:val="21"/>
                <w:highlight w:val="none"/>
              </w:rPr>
              <w:t>2#</w:t>
            </w:r>
          </w:p>
        </w:tc>
        <w:tc>
          <w:tcPr>
            <w:tcW w:w="306" w:type="pct"/>
            <w:shd w:val="clear" w:color="auto" w:fill="auto"/>
            <w:vAlign w:val="center"/>
          </w:tcPr>
          <w:p w14:paraId="0413EE51">
            <w:pPr>
              <w:widowControl/>
              <w:snapToGrid w:val="0"/>
              <w:spacing w:line="240" w:lineRule="auto"/>
              <w:ind w:firstLine="0" w:firstLineChars="0"/>
              <w:jc w:val="center"/>
              <w:rPr>
                <w:rFonts w:hint="default" w:ascii="Times New Roman" w:hAnsi="Times New Roman" w:eastAsia="宋体" w:cs="Times New Roman"/>
                <w:color w:val="auto"/>
                <w:kern w:val="2"/>
                <w:sz w:val="21"/>
                <w:szCs w:val="21"/>
                <w:highlight w:val="none"/>
                <w:lang w:val="zh-CN" w:eastAsia="zh-CN" w:bidi="ar-SA"/>
              </w:rPr>
            </w:pPr>
            <w:r>
              <w:rPr>
                <w:rFonts w:hint="eastAsia" w:ascii="Times New Roman" w:hAnsi="Times New Roman" w:eastAsia="宋体" w:cs="Times New Roman"/>
                <w:color w:val="auto"/>
                <w:kern w:val="0"/>
                <w:sz w:val="21"/>
                <w:szCs w:val="21"/>
                <w:highlight w:val="none"/>
              </w:rPr>
              <w:t>一级保护区</w:t>
            </w:r>
          </w:p>
        </w:tc>
        <w:tc>
          <w:tcPr>
            <w:tcW w:w="512" w:type="pct"/>
            <w:vAlign w:val="center"/>
          </w:tcPr>
          <w:p w14:paraId="3CB99D97">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zh-CN"/>
              </w:rPr>
            </w:pPr>
            <w:r>
              <w:rPr>
                <w:rFonts w:hint="eastAsia" w:ascii="Times New Roman" w:hAnsi="Times New Roman" w:eastAsia="宋体" w:cs="Times New Roman"/>
                <w:color w:val="auto"/>
                <w:kern w:val="0"/>
                <w:sz w:val="21"/>
                <w:szCs w:val="21"/>
                <w:highlight w:val="none"/>
              </w:rPr>
              <w:t>农业面源污染</w:t>
            </w:r>
          </w:p>
        </w:tc>
        <w:tc>
          <w:tcPr>
            <w:tcW w:w="322" w:type="pct"/>
            <w:vAlign w:val="center"/>
          </w:tcPr>
          <w:p w14:paraId="56630DA9">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val="zh-CN"/>
              </w:rPr>
            </w:pPr>
            <w:r>
              <w:rPr>
                <w:rFonts w:hint="eastAsia"/>
                <w:color w:val="auto"/>
                <w:sz w:val="21"/>
                <w:szCs w:val="21"/>
                <w:highlight w:val="none"/>
                <w:lang w:val="en-US" w:eastAsia="zh-CN"/>
              </w:rPr>
              <w:t>0</w:t>
            </w:r>
          </w:p>
        </w:tc>
        <w:tc>
          <w:tcPr>
            <w:tcW w:w="346" w:type="pct"/>
            <w:vAlign w:val="center"/>
          </w:tcPr>
          <w:p w14:paraId="7C5ABCC3">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val="zh-CN"/>
              </w:rPr>
            </w:pPr>
            <w:r>
              <w:rPr>
                <w:rFonts w:hint="eastAsia"/>
                <w:color w:val="auto"/>
                <w:sz w:val="21"/>
                <w:szCs w:val="21"/>
                <w:highlight w:val="none"/>
                <w:lang w:val="en-US" w:eastAsia="zh-CN"/>
              </w:rPr>
              <w:t>0</w:t>
            </w:r>
          </w:p>
        </w:tc>
        <w:tc>
          <w:tcPr>
            <w:tcW w:w="341" w:type="pct"/>
            <w:vAlign w:val="center"/>
          </w:tcPr>
          <w:p w14:paraId="422CC811">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val="zh-CN"/>
              </w:rPr>
            </w:pPr>
            <w:r>
              <w:rPr>
                <w:rFonts w:hint="eastAsia"/>
                <w:color w:val="auto"/>
                <w:sz w:val="21"/>
                <w:szCs w:val="21"/>
                <w:highlight w:val="none"/>
                <w:lang w:val="en-US" w:eastAsia="zh-CN"/>
              </w:rPr>
              <w:t>0.009</w:t>
            </w:r>
          </w:p>
        </w:tc>
        <w:tc>
          <w:tcPr>
            <w:tcW w:w="326" w:type="pct"/>
            <w:vAlign w:val="center"/>
          </w:tcPr>
          <w:p w14:paraId="31699152">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val="zh-CN"/>
              </w:rPr>
            </w:pPr>
            <w:r>
              <w:rPr>
                <w:rFonts w:hint="eastAsia"/>
                <w:color w:val="auto"/>
                <w:sz w:val="21"/>
                <w:szCs w:val="21"/>
                <w:highlight w:val="none"/>
                <w:lang w:val="en-US" w:eastAsia="zh-CN"/>
              </w:rPr>
              <w:t>0</w:t>
            </w:r>
          </w:p>
        </w:tc>
        <w:tc>
          <w:tcPr>
            <w:tcW w:w="325" w:type="pct"/>
            <w:vAlign w:val="center"/>
          </w:tcPr>
          <w:p w14:paraId="3ED75508">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val="zh-CN"/>
              </w:rPr>
            </w:pPr>
            <w:r>
              <w:rPr>
                <w:rFonts w:hint="eastAsia"/>
                <w:color w:val="auto"/>
                <w:sz w:val="21"/>
                <w:szCs w:val="21"/>
                <w:highlight w:val="none"/>
                <w:lang w:val="en-US" w:eastAsia="zh-CN"/>
              </w:rPr>
              <w:t>0</w:t>
            </w:r>
          </w:p>
        </w:tc>
        <w:tc>
          <w:tcPr>
            <w:tcW w:w="458" w:type="pct"/>
            <w:vAlign w:val="center"/>
          </w:tcPr>
          <w:p w14:paraId="5231455F">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val="zh-CN"/>
              </w:rPr>
            </w:pPr>
            <w:r>
              <w:rPr>
                <w:rFonts w:hint="eastAsia"/>
                <w:color w:val="auto"/>
                <w:sz w:val="21"/>
                <w:szCs w:val="21"/>
                <w:highlight w:val="none"/>
                <w:lang w:val="en-US" w:eastAsia="zh-CN"/>
              </w:rPr>
              <w:t>0</w:t>
            </w:r>
          </w:p>
        </w:tc>
        <w:tc>
          <w:tcPr>
            <w:tcW w:w="421" w:type="pct"/>
            <w:vAlign w:val="center"/>
          </w:tcPr>
          <w:p w14:paraId="729E7170">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val="en-US" w:eastAsia="zh-CN"/>
              </w:rPr>
            </w:pPr>
            <w:r>
              <w:rPr>
                <w:rFonts w:hint="eastAsia"/>
                <w:color w:val="auto"/>
                <w:sz w:val="21"/>
                <w:szCs w:val="21"/>
                <w:highlight w:val="none"/>
                <w:lang w:val="en-US" w:eastAsia="zh-CN"/>
              </w:rPr>
              <w:t>/</w:t>
            </w:r>
          </w:p>
        </w:tc>
        <w:tc>
          <w:tcPr>
            <w:tcW w:w="769" w:type="pct"/>
            <w:vAlign w:val="center"/>
          </w:tcPr>
          <w:p w14:paraId="28C57C46">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val="zh-CN"/>
              </w:rPr>
            </w:pPr>
            <w:r>
              <w:rPr>
                <w:rFonts w:hint="eastAsia"/>
                <w:color w:val="auto"/>
                <w:kern w:val="0"/>
                <w:sz w:val="21"/>
                <w:szCs w:val="21"/>
                <w:highlight w:val="none"/>
              </w:rPr>
              <w:t>一级保护区内有农田化肥农药使用</w:t>
            </w:r>
          </w:p>
        </w:tc>
      </w:tr>
      <w:tr w14:paraId="74B60C0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0" w:type="pct"/>
            <w:shd w:val="clear" w:color="auto" w:fill="auto"/>
            <w:vAlign w:val="center"/>
          </w:tcPr>
          <w:p w14:paraId="0A327515">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22</w:t>
            </w:r>
          </w:p>
        </w:tc>
        <w:tc>
          <w:tcPr>
            <w:tcW w:w="409" w:type="pct"/>
            <w:vMerge w:val="continue"/>
            <w:vAlign w:val="center"/>
          </w:tcPr>
          <w:p w14:paraId="1E54DD0F">
            <w:pPr>
              <w:pStyle w:val="30"/>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sz w:val="21"/>
                <w:szCs w:val="21"/>
                <w:highlight w:val="none"/>
                <w:lang w:val="zh-CN"/>
              </w:rPr>
            </w:pPr>
          </w:p>
        </w:tc>
        <w:tc>
          <w:tcPr>
            <w:tcW w:w="259" w:type="pct"/>
            <w:shd w:val="clear" w:color="auto" w:fill="auto"/>
            <w:vAlign w:val="center"/>
          </w:tcPr>
          <w:p w14:paraId="00029ADA">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kern w:val="2"/>
                <w:sz w:val="21"/>
                <w:szCs w:val="21"/>
                <w:highlight w:val="none"/>
                <w:lang w:val="zh-CN" w:eastAsia="zh-CN" w:bidi="ar-SA"/>
              </w:rPr>
            </w:pPr>
            <w:r>
              <w:rPr>
                <w:color w:val="auto"/>
                <w:sz w:val="21"/>
                <w:szCs w:val="21"/>
                <w:highlight w:val="none"/>
              </w:rPr>
              <w:t>3#</w:t>
            </w:r>
          </w:p>
        </w:tc>
        <w:tc>
          <w:tcPr>
            <w:tcW w:w="306" w:type="pct"/>
            <w:shd w:val="clear" w:color="auto" w:fill="auto"/>
            <w:vAlign w:val="center"/>
          </w:tcPr>
          <w:p w14:paraId="33FF1838">
            <w:pPr>
              <w:widowControl/>
              <w:snapToGrid w:val="0"/>
              <w:spacing w:line="240" w:lineRule="auto"/>
              <w:ind w:firstLine="0" w:firstLineChars="0"/>
              <w:jc w:val="center"/>
              <w:rPr>
                <w:rFonts w:hint="default" w:ascii="Times New Roman" w:hAnsi="Times New Roman" w:eastAsia="宋体" w:cs="Times New Roman"/>
                <w:color w:val="auto"/>
                <w:kern w:val="2"/>
                <w:sz w:val="21"/>
                <w:szCs w:val="21"/>
                <w:highlight w:val="none"/>
                <w:lang w:val="zh-CN" w:eastAsia="zh-CN" w:bidi="ar-SA"/>
              </w:rPr>
            </w:pPr>
            <w:r>
              <w:rPr>
                <w:rFonts w:hint="eastAsia" w:ascii="Times New Roman" w:hAnsi="Times New Roman" w:eastAsia="宋体" w:cs="Times New Roman"/>
                <w:color w:val="auto"/>
                <w:kern w:val="0"/>
                <w:sz w:val="21"/>
                <w:szCs w:val="21"/>
                <w:highlight w:val="none"/>
              </w:rPr>
              <w:t>一级保护区</w:t>
            </w:r>
          </w:p>
        </w:tc>
        <w:tc>
          <w:tcPr>
            <w:tcW w:w="512" w:type="pct"/>
            <w:vAlign w:val="center"/>
          </w:tcPr>
          <w:p w14:paraId="4326CF8B">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zh-CN" w:eastAsia="zh-CN"/>
              </w:rPr>
            </w:pPr>
            <w:r>
              <w:rPr>
                <w:rFonts w:hint="eastAsia" w:ascii="Times New Roman" w:hAnsi="Times New Roman" w:eastAsia="宋体" w:cs="Times New Roman"/>
                <w:color w:val="auto"/>
                <w:kern w:val="0"/>
                <w:sz w:val="21"/>
                <w:szCs w:val="21"/>
                <w:highlight w:val="none"/>
              </w:rPr>
              <w:t>农业面源污染、</w:t>
            </w:r>
            <w:r>
              <w:rPr>
                <w:rFonts w:hint="eastAsia" w:cs="Times New Roman"/>
                <w:color w:val="auto"/>
                <w:kern w:val="0"/>
                <w:sz w:val="21"/>
                <w:szCs w:val="21"/>
                <w:highlight w:val="none"/>
                <w:lang w:eastAsia="zh-CN"/>
              </w:rPr>
              <w:t>道路穿越</w:t>
            </w:r>
          </w:p>
        </w:tc>
        <w:tc>
          <w:tcPr>
            <w:tcW w:w="322" w:type="pct"/>
            <w:vAlign w:val="center"/>
          </w:tcPr>
          <w:p w14:paraId="30A47510">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val="zh-CN"/>
              </w:rPr>
            </w:pPr>
            <w:r>
              <w:rPr>
                <w:rFonts w:hint="eastAsia"/>
                <w:color w:val="auto"/>
                <w:sz w:val="21"/>
                <w:szCs w:val="21"/>
                <w:highlight w:val="none"/>
                <w:lang w:val="en-US" w:eastAsia="zh-CN"/>
              </w:rPr>
              <w:t>0</w:t>
            </w:r>
          </w:p>
        </w:tc>
        <w:tc>
          <w:tcPr>
            <w:tcW w:w="346" w:type="pct"/>
            <w:vAlign w:val="center"/>
          </w:tcPr>
          <w:p w14:paraId="0AC360F6">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val="zh-CN"/>
              </w:rPr>
            </w:pPr>
            <w:r>
              <w:rPr>
                <w:rFonts w:hint="eastAsia"/>
                <w:color w:val="auto"/>
                <w:sz w:val="21"/>
                <w:szCs w:val="21"/>
                <w:highlight w:val="none"/>
                <w:lang w:val="en-US" w:eastAsia="zh-CN"/>
              </w:rPr>
              <w:t>0</w:t>
            </w:r>
          </w:p>
        </w:tc>
        <w:tc>
          <w:tcPr>
            <w:tcW w:w="341" w:type="pct"/>
            <w:vAlign w:val="center"/>
          </w:tcPr>
          <w:p w14:paraId="6945A7B0">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val="zh-CN"/>
              </w:rPr>
            </w:pPr>
            <w:r>
              <w:rPr>
                <w:rFonts w:hint="eastAsia"/>
                <w:color w:val="auto"/>
                <w:sz w:val="21"/>
                <w:szCs w:val="21"/>
                <w:highlight w:val="none"/>
                <w:lang w:val="en-US" w:eastAsia="zh-CN"/>
              </w:rPr>
              <w:t>0.001</w:t>
            </w:r>
          </w:p>
        </w:tc>
        <w:tc>
          <w:tcPr>
            <w:tcW w:w="326" w:type="pct"/>
            <w:vAlign w:val="center"/>
          </w:tcPr>
          <w:p w14:paraId="5662C7A9">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val="zh-CN"/>
              </w:rPr>
            </w:pPr>
            <w:r>
              <w:rPr>
                <w:rFonts w:hint="eastAsia"/>
                <w:color w:val="auto"/>
                <w:sz w:val="21"/>
                <w:szCs w:val="21"/>
                <w:highlight w:val="none"/>
                <w:lang w:val="en-US" w:eastAsia="zh-CN"/>
              </w:rPr>
              <w:t>0</w:t>
            </w:r>
          </w:p>
        </w:tc>
        <w:tc>
          <w:tcPr>
            <w:tcW w:w="325" w:type="pct"/>
            <w:vAlign w:val="center"/>
          </w:tcPr>
          <w:p w14:paraId="77964DD6">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val="zh-CN"/>
              </w:rPr>
            </w:pPr>
            <w:r>
              <w:rPr>
                <w:rFonts w:hint="eastAsia"/>
                <w:color w:val="auto"/>
                <w:sz w:val="21"/>
                <w:szCs w:val="21"/>
                <w:highlight w:val="none"/>
                <w:lang w:val="en-US" w:eastAsia="zh-CN"/>
              </w:rPr>
              <w:t>0</w:t>
            </w:r>
          </w:p>
        </w:tc>
        <w:tc>
          <w:tcPr>
            <w:tcW w:w="458" w:type="pct"/>
            <w:vAlign w:val="center"/>
          </w:tcPr>
          <w:p w14:paraId="728DC9A3">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30</w:t>
            </w:r>
          </w:p>
        </w:tc>
        <w:tc>
          <w:tcPr>
            <w:tcW w:w="421" w:type="pct"/>
            <w:vAlign w:val="center"/>
          </w:tcPr>
          <w:p w14:paraId="119B183E">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val="en-US" w:eastAsia="zh-CN"/>
              </w:rPr>
            </w:pPr>
            <w:r>
              <w:rPr>
                <w:rFonts w:hint="eastAsia"/>
                <w:color w:val="auto"/>
                <w:sz w:val="21"/>
                <w:szCs w:val="21"/>
                <w:highlight w:val="none"/>
                <w:lang w:val="en-US" w:eastAsia="zh-CN"/>
              </w:rPr>
              <w:t>/</w:t>
            </w:r>
          </w:p>
        </w:tc>
        <w:tc>
          <w:tcPr>
            <w:tcW w:w="769" w:type="pct"/>
            <w:vAlign w:val="center"/>
          </w:tcPr>
          <w:p w14:paraId="04D6A5EF">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val="zh-CN"/>
              </w:rPr>
            </w:pPr>
            <w:r>
              <w:rPr>
                <w:rFonts w:hint="eastAsia"/>
                <w:color w:val="auto"/>
                <w:kern w:val="0"/>
                <w:sz w:val="21"/>
                <w:szCs w:val="21"/>
                <w:highlight w:val="none"/>
              </w:rPr>
              <w:t>一级保护区内有农田化肥农药使用；乡村道路存在农药运输</w:t>
            </w:r>
          </w:p>
        </w:tc>
      </w:tr>
      <w:tr w14:paraId="040227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0" w:type="pct"/>
            <w:shd w:val="clear" w:color="auto" w:fill="auto"/>
            <w:vAlign w:val="center"/>
          </w:tcPr>
          <w:p w14:paraId="4E52066A">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23</w:t>
            </w:r>
          </w:p>
        </w:tc>
        <w:tc>
          <w:tcPr>
            <w:tcW w:w="409" w:type="pct"/>
            <w:vMerge w:val="continue"/>
            <w:vAlign w:val="center"/>
          </w:tcPr>
          <w:p w14:paraId="544CECBB">
            <w:pPr>
              <w:pStyle w:val="30"/>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sz w:val="21"/>
                <w:szCs w:val="21"/>
                <w:highlight w:val="none"/>
                <w:lang w:val="zh-CN"/>
              </w:rPr>
            </w:pPr>
          </w:p>
        </w:tc>
        <w:tc>
          <w:tcPr>
            <w:tcW w:w="259" w:type="pct"/>
            <w:shd w:val="clear" w:color="auto" w:fill="auto"/>
            <w:vAlign w:val="center"/>
          </w:tcPr>
          <w:p w14:paraId="6A1D468E">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kern w:val="2"/>
                <w:sz w:val="21"/>
                <w:szCs w:val="21"/>
                <w:highlight w:val="none"/>
                <w:lang w:val="en-US" w:eastAsia="zh-CN" w:bidi="ar-SA"/>
              </w:rPr>
            </w:pPr>
            <w:r>
              <w:rPr>
                <w:color w:val="auto"/>
                <w:sz w:val="21"/>
                <w:szCs w:val="21"/>
                <w:highlight w:val="none"/>
              </w:rPr>
              <w:t>4#</w:t>
            </w:r>
          </w:p>
        </w:tc>
        <w:tc>
          <w:tcPr>
            <w:tcW w:w="306" w:type="pct"/>
            <w:vAlign w:val="center"/>
          </w:tcPr>
          <w:p w14:paraId="45CCCED2">
            <w:pPr>
              <w:widowControl/>
              <w:snapToGrid w:val="0"/>
              <w:spacing w:line="240" w:lineRule="auto"/>
              <w:ind w:firstLine="0" w:firstLineChars="0"/>
              <w:jc w:val="center"/>
              <w:rPr>
                <w:color w:val="auto"/>
                <w:sz w:val="21"/>
                <w:szCs w:val="21"/>
                <w:highlight w:val="none"/>
                <w:lang w:val="zh-CN"/>
              </w:rPr>
            </w:pPr>
            <w:r>
              <w:rPr>
                <w:rFonts w:hint="eastAsia" w:ascii="Times New Roman" w:hAnsi="Times New Roman" w:eastAsia="宋体" w:cs="Times New Roman"/>
                <w:color w:val="auto"/>
                <w:kern w:val="0"/>
                <w:sz w:val="21"/>
                <w:szCs w:val="21"/>
                <w:highlight w:val="none"/>
              </w:rPr>
              <w:t>一级保护区</w:t>
            </w:r>
          </w:p>
        </w:tc>
        <w:tc>
          <w:tcPr>
            <w:tcW w:w="512" w:type="pct"/>
            <w:vAlign w:val="center"/>
          </w:tcPr>
          <w:p w14:paraId="67FC7EB6">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w:t>
            </w:r>
          </w:p>
        </w:tc>
        <w:tc>
          <w:tcPr>
            <w:tcW w:w="322" w:type="pct"/>
            <w:vAlign w:val="center"/>
          </w:tcPr>
          <w:p w14:paraId="5BA46B80">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eastAsia="宋体"/>
                <w:color w:val="auto"/>
                <w:sz w:val="21"/>
                <w:szCs w:val="21"/>
                <w:highlight w:val="none"/>
                <w:lang w:val="en-US" w:eastAsia="zh-CN"/>
              </w:rPr>
            </w:pPr>
            <w:r>
              <w:rPr>
                <w:rFonts w:hint="eastAsia"/>
                <w:color w:val="auto"/>
                <w:sz w:val="21"/>
                <w:szCs w:val="21"/>
                <w:highlight w:val="none"/>
                <w:lang w:val="en-US" w:eastAsia="zh-CN"/>
              </w:rPr>
              <w:t>0</w:t>
            </w:r>
          </w:p>
        </w:tc>
        <w:tc>
          <w:tcPr>
            <w:tcW w:w="346" w:type="pct"/>
            <w:vAlign w:val="center"/>
          </w:tcPr>
          <w:p w14:paraId="4DF167F2">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eastAsia="宋体"/>
                <w:color w:val="auto"/>
                <w:sz w:val="21"/>
                <w:szCs w:val="21"/>
                <w:highlight w:val="none"/>
                <w:lang w:val="en-US" w:eastAsia="zh-CN"/>
              </w:rPr>
            </w:pPr>
            <w:r>
              <w:rPr>
                <w:rFonts w:hint="eastAsia"/>
                <w:color w:val="auto"/>
                <w:sz w:val="21"/>
                <w:szCs w:val="21"/>
                <w:highlight w:val="none"/>
                <w:lang w:val="en-US" w:eastAsia="zh-CN"/>
              </w:rPr>
              <w:t>0</w:t>
            </w:r>
          </w:p>
        </w:tc>
        <w:tc>
          <w:tcPr>
            <w:tcW w:w="341" w:type="pct"/>
            <w:vAlign w:val="center"/>
          </w:tcPr>
          <w:p w14:paraId="6BDE05F9">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eastAsia="宋体"/>
                <w:color w:val="auto"/>
                <w:sz w:val="21"/>
                <w:szCs w:val="21"/>
                <w:highlight w:val="none"/>
                <w:lang w:val="en-US" w:eastAsia="zh-CN"/>
              </w:rPr>
            </w:pPr>
            <w:r>
              <w:rPr>
                <w:rFonts w:hint="eastAsia"/>
                <w:color w:val="auto"/>
                <w:sz w:val="21"/>
                <w:szCs w:val="21"/>
                <w:highlight w:val="none"/>
                <w:lang w:val="en-US" w:eastAsia="zh-CN"/>
              </w:rPr>
              <w:t>0</w:t>
            </w:r>
          </w:p>
        </w:tc>
        <w:tc>
          <w:tcPr>
            <w:tcW w:w="326" w:type="pct"/>
            <w:vAlign w:val="center"/>
          </w:tcPr>
          <w:p w14:paraId="485D45CD">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eastAsia="宋体"/>
                <w:color w:val="auto"/>
                <w:sz w:val="21"/>
                <w:szCs w:val="21"/>
                <w:highlight w:val="none"/>
                <w:lang w:val="en-US" w:eastAsia="zh-CN"/>
              </w:rPr>
            </w:pPr>
            <w:r>
              <w:rPr>
                <w:rFonts w:hint="eastAsia"/>
                <w:color w:val="auto"/>
                <w:sz w:val="21"/>
                <w:szCs w:val="21"/>
                <w:highlight w:val="none"/>
                <w:lang w:val="en-US" w:eastAsia="zh-CN"/>
              </w:rPr>
              <w:t>0</w:t>
            </w:r>
          </w:p>
        </w:tc>
        <w:tc>
          <w:tcPr>
            <w:tcW w:w="325" w:type="pct"/>
            <w:vAlign w:val="center"/>
          </w:tcPr>
          <w:p w14:paraId="2B687615">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eastAsia="宋体"/>
                <w:color w:val="auto"/>
                <w:sz w:val="21"/>
                <w:szCs w:val="21"/>
                <w:highlight w:val="none"/>
                <w:lang w:val="en-US" w:eastAsia="zh-CN"/>
              </w:rPr>
            </w:pPr>
            <w:r>
              <w:rPr>
                <w:rFonts w:hint="eastAsia"/>
                <w:color w:val="auto"/>
                <w:sz w:val="21"/>
                <w:szCs w:val="21"/>
                <w:highlight w:val="none"/>
                <w:lang w:val="en-US" w:eastAsia="zh-CN"/>
              </w:rPr>
              <w:t>0</w:t>
            </w:r>
          </w:p>
        </w:tc>
        <w:tc>
          <w:tcPr>
            <w:tcW w:w="458" w:type="pct"/>
            <w:vAlign w:val="center"/>
          </w:tcPr>
          <w:p w14:paraId="4C326105">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eastAsia="宋体"/>
                <w:color w:val="auto"/>
                <w:sz w:val="21"/>
                <w:szCs w:val="21"/>
                <w:highlight w:val="none"/>
                <w:lang w:val="en-US" w:eastAsia="zh-CN"/>
              </w:rPr>
            </w:pPr>
            <w:r>
              <w:rPr>
                <w:rFonts w:hint="eastAsia"/>
                <w:color w:val="auto"/>
                <w:sz w:val="21"/>
                <w:szCs w:val="21"/>
                <w:highlight w:val="none"/>
                <w:lang w:val="en-US" w:eastAsia="zh-CN"/>
              </w:rPr>
              <w:t>0</w:t>
            </w:r>
          </w:p>
        </w:tc>
        <w:tc>
          <w:tcPr>
            <w:tcW w:w="421" w:type="pct"/>
            <w:vAlign w:val="center"/>
          </w:tcPr>
          <w:p w14:paraId="1463B88E">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val="en-US" w:eastAsia="zh-CN"/>
              </w:rPr>
            </w:pPr>
            <w:r>
              <w:rPr>
                <w:rFonts w:hint="eastAsia"/>
                <w:color w:val="auto"/>
                <w:sz w:val="21"/>
                <w:szCs w:val="21"/>
                <w:highlight w:val="none"/>
                <w:lang w:val="en-US" w:eastAsia="zh-CN"/>
              </w:rPr>
              <w:t>/</w:t>
            </w:r>
          </w:p>
        </w:tc>
        <w:tc>
          <w:tcPr>
            <w:tcW w:w="769" w:type="pct"/>
            <w:vAlign w:val="center"/>
          </w:tcPr>
          <w:p w14:paraId="546187E1">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eastAsia="宋体"/>
                <w:color w:val="auto"/>
                <w:sz w:val="21"/>
                <w:szCs w:val="21"/>
                <w:highlight w:val="none"/>
                <w:lang w:val="en-US" w:eastAsia="zh-CN"/>
              </w:rPr>
            </w:pPr>
            <w:r>
              <w:rPr>
                <w:rFonts w:hint="eastAsia"/>
                <w:color w:val="auto"/>
                <w:sz w:val="21"/>
                <w:szCs w:val="21"/>
                <w:highlight w:val="none"/>
                <w:lang w:val="en-US" w:eastAsia="zh-CN"/>
              </w:rPr>
              <w:t>/</w:t>
            </w:r>
          </w:p>
        </w:tc>
      </w:tr>
      <w:tr w14:paraId="07A9C5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0" w:type="pct"/>
            <w:shd w:val="clear" w:color="auto" w:fill="auto"/>
            <w:vAlign w:val="center"/>
          </w:tcPr>
          <w:p w14:paraId="57D93E1D">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24</w:t>
            </w:r>
          </w:p>
        </w:tc>
        <w:tc>
          <w:tcPr>
            <w:tcW w:w="409" w:type="pct"/>
            <w:vMerge w:val="continue"/>
            <w:vAlign w:val="center"/>
          </w:tcPr>
          <w:p w14:paraId="2FF0654E">
            <w:pPr>
              <w:pStyle w:val="30"/>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sz w:val="21"/>
                <w:szCs w:val="21"/>
                <w:highlight w:val="none"/>
                <w:lang w:val="zh-CN"/>
              </w:rPr>
            </w:pPr>
          </w:p>
        </w:tc>
        <w:tc>
          <w:tcPr>
            <w:tcW w:w="259" w:type="pct"/>
            <w:shd w:val="clear" w:color="auto" w:fill="auto"/>
            <w:vAlign w:val="center"/>
          </w:tcPr>
          <w:p w14:paraId="618CB828">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kern w:val="2"/>
                <w:sz w:val="21"/>
                <w:szCs w:val="21"/>
                <w:highlight w:val="none"/>
                <w:lang w:val="zh-CN" w:eastAsia="zh-CN" w:bidi="ar-SA"/>
              </w:rPr>
            </w:pPr>
            <w:r>
              <w:rPr>
                <w:color w:val="auto"/>
                <w:sz w:val="21"/>
                <w:szCs w:val="21"/>
                <w:highlight w:val="none"/>
              </w:rPr>
              <w:t>5#</w:t>
            </w:r>
          </w:p>
        </w:tc>
        <w:tc>
          <w:tcPr>
            <w:tcW w:w="306" w:type="pct"/>
            <w:vAlign w:val="center"/>
          </w:tcPr>
          <w:p w14:paraId="673F95F1">
            <w:pPr>
              <w:widowControl/>
              <w:snapToGrid w:val="0"/>
              <w:spacing w:line="240" w:lineRule="auto"/>
              <w:ind w:firstLine="0" w:firstLineChars="0"/>
              <w:jc w:val="center"/>
              <w:rPr>
                <w:color w:val="auto"/>
                <w:sz w:val="21"/>
                <w:szCs w:val="21"/>
                <w:highlight w:val="none"/>
                <w:lang w:val="zh-CN"/>
              </w:rPr>
            </w:pPr>
            <w:r>
              <w:rPr>
                <w:rFonts w:hint="eastAsia" w:ascii="Times New Roman" w:hAnsi="Times New Roman" w:eastAsia="宋体" w:cs="Times New Roman"/>
                <w:color w:val="auto"/>
                <w:kern w:val="0"/>
                <w:sz w:val="21"/>
                <w:szCs w:val="21"/>
                <w:highlight w:val="none"/>
              </w:rPr>
              <w:t>一级保护区</w:t>
            </w:r>
          </w:p>
        </w:tc>
        <w:tc>
          <w:tcPr>
            <w:tcW w:w="512" w:type="pct"/>
            <w:vAlign w:val="center"/>
          </w:tcPr>
          <w:p w14:paraId="43051D8E">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w:t>
            </w:r>
          </w:p>
        </w:tc>
        <w:tc>
          <w:tcPr>
            <w:tcW w:w="322" w:type="pct"/>
            <w:vAlign w:val="center"/>
          </w:tcPr>
          <w:p w14:paraId="2D4FFB7E">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val="zh-CN"/>
              </w:rPr>
            </w:pPr>
            <w:r>
              <w:rPr>
                <w:rFonts w:hint="eastAsia"/>
                <w:color w:val="auto"/>
                <w:sz w:val="21"/>
                <w:szCs w:val="21"/>
                <w:highlight w:val="none"/>
                <w:lang w:val="en-US" w:eastAsia="zh-CN"/>
              </w:rPr>
              <w:t>0</w:t>
            </w:r>
          </w:p>
        </w:tc>
        <w:tc>
          <w:tcPr>
            <w:tcW w:w="346" w:type="pct"/>
            <w:vAlign w:val="center"/>
          </w:tcPr>
          <w:p w14:paraId="679F1A70">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val="zh-CN"/>
              </w:rPr>
            </w:pPr>
            <w:r>
              <w:rPr>
                <w:rFonts w:hint="eastAsia"/>
                <w:color w:val="auto"/>
                <w:sz w:val="21"/>
                <w:szCs w:val="21"/>
                <w:highlight w:val="none"/>
                <w:lang w:val="en-US" w:eastAsia="zh-CN"/>
              </w:rPr>
              <w:t>0</w:t>
            </w:r>
          </w:p>
        </w:tc>
        <w:tc>
          <w:tcPr>
            <w:tcW w:w="341" w:type="pct"/>
            <w:vAlign w:val="center"/>
          </w:tcPr>
          <w:p w14:paraId="070001AE">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val="zh-CN"/>
              </w:rPr>
            </w:pPr>
            <w:r>
              <w:rPr>
                <w:rFonts w:hint="eastAsia"/>
                <w:color w:val="auto"/>
                <w:sz w:val="21"/>
                <w:szCs w:val="21"/>
                <w:highlight w:val="none"/>
                <w:lang w:val="en-US" w:eastAsia="zh-CN"/>
              </w:rPr>
              <w:t>0</w:t>
            </w:r>
          </w:p>
        </w:tc>
        <w:tc>
          <w:tcPr>
            <w:tcW w:w="326" w:type="pct"/>
            <w:vAlign w:val="center"/>
          </w:tcPr>
          <w:p w14:paraId="7195CF6A">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val="zh-CN"/>
              </w:rPr>
            </w:pPr>
            <w:r>
              <w:rPr>
                <w:rFonts w:hint="eastAsia"/>
                <w:color w:val="auto"/>
                <w:sz w:val="21"/>
                <w:szCs w:val="21"/>
                <w:highlight w:val="none"/>
                <w:lang w:val="en-US" w:eastAsia="zh-CN"/>
              </w:rPr>
              <w:t>0</w:t>
            </w:r>
          </w:p>
        </w:tc>
        <w:tc>
          <w:tcPr>
            <w:tcW w:w="325" w:type="pct"/>
            <w:vAlign w:val="center"/>
          </w:tcPr>
          <w:p w14:paraId="0A848744">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val="zh-CN"/>
              </w:rPr>
            </w:pPr>
            <w:r>
              <w:rPr>
                <w:rFonts w:hint="eastAsia"/>
                <w:color w:val="auto"/>
                <w:sz w:val="21"/>
                <w:szCs w:val="21"/>
                <w:highlight w:val="none"/>
                <w:lang w:val="en-US" w:eastAsia="zh-CN"/>
              </w:rPr>
              <w:t>0</w:t>
            </w:r>
          </w:p>
        </w:tc>
        <w:tc>
          <w:tcPr>
            <w:tcW w:w="458" w:type="pct"/>
            <w:vAlign w:val="center"/>
          </w:tcPr>
          <w:p w14:paraId="03BF5356">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val="zh-CN"/>
              </w:rPr>
            </w:pPr>
            <w:r>
              <w:rPr>
                <w:rFonts w:hint="eastAsia"/>
                <w:color w:val="auto"/>
                <w:sz w:val="21"/>
                <w:szCs w:val="21"/>
                <w:highlight w:val="none"/>
                <w:lang w:val="en-US" w:eastAsia="zh-CN"/>
              </w:rPr>
              <w:t>0</w:t>
            </w:r>
          </w:p>
        </w:tc>
        <w:tc>
          <w:tcPr>
            <w:tcW w:w="421" w:type="pct"/>
            <w:vAlign w:val="center"/>
          </w:tcPr>
          <w:p w14:paraId="316CC317">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val="en-US" w:eastAsia="zh-CN"/>
              </w:rPr>
            </w:pPr>
            <w:r>
              <w:rPr>
                <w:rFonts w:hint="eastAsia"/>
                <w:color w:val="auto"/>
                <w:sz w:val="21"/>
                <w:szCs w:val="21"/>
                <w:highlight w:val="none"/>
                <w:lang w:val="en-US" w:eastAsia="zh-CN"/>
              </w:rPr>
              <w:t>/</w:t>
            </w:r>
          </w:p>
        </w:tc>
        <w:tc>
          <w:tcPr>
            <w:tcW w:w="769" w:type="pct"/>
            <w:vAlign w:val="center"/>
          </w:tcPr>
          <w:p w14:paraId="03C329F5">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val="zh-CN"/>
              </w:rPr>
            </w:pPr>
            <w:r>
              <w:rPr>
                <w:rFonts w:hint="eastAsia"/>
                <w:color w:val="auto"/>
                <w:sz w:val="21"/>
                <w:szCs w:val="21"/>
                <w:highlight w:val="none"/>
                <w:lang w:val="en-US" w:eastAsia="zh-CN"/>
              </w:rPr>
              <w:t>/</w:t>
            </w:r>
          </w:p>
        </w:tc>
      </w:tr>
      <w:tr w14:paraId="62DAE1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0" w:type="pct"/>
            <w:shd w:val="clear" w:color="auto" w:fill="auto"/>
            <w:vAlign w:val="center"/>
          </w:tcPr>
          <w:p w14:paraId="16CD0871">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25</w:t>
            </w:r>
          </w:p>
        </w:tc>
        <w:tc>
          <w:tcPr>
            <w:tcW w:w="409" w:type="pct"/>
            <w:vMerge w:val="restart"/>
            <w:vAlign w:val="center"/>
          </w:tcPr>
          <w:p w14:paraId="6C6DB51A">
            <w:pPr>
              <w:widowControl/>
              <w:spacing w:line="240" w:lineRule="auto"/>
              <w:ind w:firstLine="0" w:firstLineChars="0"/>
              <w:jc w:val="center"/>
              <w:textAlignment w:val="center"/>
              <w:rPr>
                <w:rFonts w:hint="default"/>
                <w:color w:val="auto"/>
                <w:sz w:val="21"/>
                <w:szCs w:val="21"/>
                <w:highlight w:val="none"/>
                <w:lang w:val="zh-CN"/>
              </w:rPr>
            </w:pPr>
            <w:r>
              <w:rPr>
                <w:rFonts w:hint="eastAsia" w:ascii="Times New Roman" w:hAnsi="Times New Roman" w:eastAsia="宋体" w:cs="Times New Roman"/>
                <w:color w:val="auto"/>
                <w:kern w:val="0"/>
                <w:sz w:val="21"/>
                <w:szCs w:val="21"/>
                <w:highlight w:val="none"/>
                <w:lang w:val="en-US" w:eastAsia="zh-CN" w:bidi="ar"/>
              </w:rPr>
              <w:t>绥化市庆安县丰收乡饮用水水源地</w:t>
            </w:r>
          </w:p>
        </w:tc>
        <w:tc>
          <w:tcPr>
            <w:tcW w:w="259" w:type="pct"/>
            <w:vAlign w:val="center"/>
          </w:tcPr>
          <w:p w14:paraId="01487A51">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auto"/>
                <w:sz w:val="21"/>
                <w:szCs w:val="21"/>
                <w:highlight w:val="none"/>
              </w:rPr>
            </w:pPr>
            <w:r>
              <w:rPr>
                <w:color w:val="auto"/>
                <w:sz w:val="21"/>
                <w:szCs w:val="21"/>
                <w:highlight w:val="none"/>
              </w:rPr>
              <w:t>1#</w:t>
            </w:r>
          </w:p>
        </w:tc>
        <w:tc>
          <w:tcPr>
            <w:tcW w:w="306" w:type="pct"/>
            <w:vAlign w:val="center"/>
          </w:tcPr>
          <w:p w14:paraId="5DE78C0D">
            <w:pPr>
              <w:widowControl/>
              <w:snapToGrid w:val="0"/>
              <w:spacing w:line="240" w:lineRule="auto"/>
              <w:ind w:firstLine="0" w:firstLineChars="0"/>
              <w:jc w:val="center"/>
              <w:rPr>
                <w:color w:val="auto"/>
                <w:sz w:val="21"/>
                <w:szCs w:val="21"/>
                <w:highlight w:val="none"/>
                <w:lang w:val="zh-CN"/>
              </w:rPr>
            </w:pPr>
            <w:r>
              <w:rPr>
                <w:rFonts w:hint="eastAsia" w:ascii="Times New Roman" w:hAnsi="Times New Roman" w:eastAsia="宋体" w:cs="Times New Roman"/>
                <w:color w:val="auto"/>
                <w:kern w:val="0"/>
                <w:sz w:val="21"/>
                <w:szCs w:val="21"/>
                <w:highlight w:val="none"/>
              </w:rPr>
              <w:t>一级保护区</w:t>
            </w:r>
          </w:p>
        </w:tc>
        <w:tc>
          <w:tcPr>
            <w:tcW w:w="512" w:type="pct"/>
            <w:vAlign w:val="center"/>
          </w:tcPr>
          <w:p w14:paraId="3C852099">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zh-CN" w:eastAsia="zh-CN"/>
              </w:rPr>
            </w:pPr>
            <w:r>
              <w:rPr>
                <w:rFonts w:hint="eastAsia" w:ascii="Times New Roman" w:hAnsi="Times New Roman" w:eastAsia="宋体" w:cs="Times New Roman"/>
                <w:color w:val="auto"/>
                <w:kern w:val="0"/>
                <w:sz w:val="21"/>
                <w:szCs w:val="21"/>
                <w:highlight w:val="none"/>
              </w:rPr>
              <w:t>农业面源污染、</w:t>
            </w:r>
            <w:r>
              <w:rPr>
                <w:rFonts w:hint="eastAsia" w:cs="Times New Roman"/>
                <w:color w:val="auto"/>
                <w:kern w:val="0"/>
                <w:sz w:val="21"/>
                <w:szCs w:val="21"/>
                <w:highlight w:val="none"/>
                <w:lang w:eastAsia="zh-CN"/>
              </w:rPr>
              <w:t>道路穿越</w:t>
            </w:r>
          </w:p>
        </w:tc>
        <w:tc>
          <w:tcPr>
            <w:tcW w:w="322" w:type="pct"/>
            <w:vAlign w:val="center"/>
          </w:tcPr>
          <w:p w14:paraId="096AD0E4">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val="zh-CN"/>
              </w:rPr>
            </w:pPr>
            <w:r>
              <w:rPr>
                <w:rFonts w:hint="eastAsia"/>
                <w:color w:val="auto"/>
                <w:sz w:val="21"/>
                <w:szCs w:val="21"/>
                <w:highlight w:val="none"/>
                <w:lang w:val="en-US" w:eastAsia="zh-CN"/>
              </w:rPr>
              <w:t>0</w:t>
            </w:r>
          </w:p>
        </w:tc>
        <w:tc>
          <w:tcPr>
            <w:tcW w:w="346" w:type="pct"/>
            <w:vAlign w:val="center"/>
          </w:tcPr>
          <w:p w14:paraId="49D400AA">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val="zh-CN"/>
              </w:rPr>
            </w:pPr>
            <w:r>
              <w:rPr>
                <w:rFonts w:hint="eastAsia"/>
                <w:color w:val="auto"/>
                <w:sz w:val="21"/>
                <w:szCs w:val="21"/>
                <w:highlight w:val="none"/>
                <w:lang w:val="en-US" w:eastAsia="zh-CN"/>
              </w:rPr>
              <w:t>0</w:t>
            </w:r>
          </w:p>
        </w:tc>
        <w:tc>
          <w:tcPr>
            <w:tcW w:w="341" w:type="pct"/>
            <w:vAlign w:val="center"/>
          </w:tcPr>
          <w:p w14:paraId="3EDA55AC">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val="zh-CN"/>
              </w:rPr>
            </w:pPr>
            <w:r>
              <w:rPr>
                <w:rFonts w:hint="eastAsia"/>
                <w:color w:val="auto"/>
                <w:sz w:val="21"/>
                <w:szCs w:val="21"/>
                <w:highlight w:val="none"/>
                <w:lang w:val="en-US" w:eastAsia="zh-CN"/>
              </w:rPr>
              <w:t>0.180</w:t>
            </w:r>
          </w:p>
        </w:tc>
        <w:tc>
          <w:tcPr>
            <w:tcW w:w="326" w:type="pct"/>
            <w:vAlign w:val="center"/>
          </w:tcPr>
          <w:p w14:paraId="6386A5EB">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val="zh-CN"/>
              </w:rPr>
            </w:pPr>
            <w:r>
              <w:rPr>
                <w:rFonts w:hint="eastAsia"/>
                <w:color w:val="auto"/>
                <w:sz w:val="21"/>
                <w:szCs w:val="21"/>
                <w:highlight w:val="none"/>
                <w:lang w:val="en-US" w:eastAsia="zh-CN"/>
              </w:rPr>
              <w:t>0</w:t>
            </w:r>
          </w:p>
        </w:tc>
        <w:tc>
          <w:tcPr>
            <w:tcW w:w="325" w:type="pct"/>
            <w:vAlign w:val="center"/>
          </w:tcPr>
          <w:p w14:paraId="4BC8CACB">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val="zh-CN"/>
              </w:rPr>
            </w:pPr>
            <w:r>
              <w:rPr>
                <w:rFonts w:hint="eastAsia"/>
                <w:color w:val="auto"/>
                <w:sz w:val="21"/>
                <w:szCs w:val="21"/>
                <w:highlight w:val="none"/>
                <w:lang w:val="en-US" w:eastAsia="zh-CN"/>
              </w:rPr>
              <w:t>0</w:t>
            </w:r>
          </w:p>
        </w:tc>
        <w:tc>
          <w:tcPr>
            <w:tcW w:w="458" w:type="pct"/>
            <w:vAlign w:val="center"/>
          </w:tcPr>
          <w:p w14:paraId="40A738E9">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val="zh-CN"/>
              </w:rPr>
            </w:pPr>
            <w:r>
              <w:rPr>
                <w:rFonts w:hint="eastAsia"/>
                <w:color w:val="auto"/>
                <w:sz w:val="21"/>
                <w:szCs w:val="21"/>
                <w:highlight w:val="none"/>
                <w:lang w:val="en-US" w:eastAsia="zh-CN"/>
              </w:rPr>
              <w:t>57</w:t>
            </w:r>
          </w:p>
        </w:tc>
        <w:tc>
          <w:tcPr>
            <w:tcW w:w="421" w:type="pct"/>
            <w:vAlign w:val="center"/>
          </w:tcPr>
          <w:p w14:paraId="157BC780">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val="en-US" w:eastAsia="zh-CN"/>
              </w:rPr>
            </w:pPr>
            <w:r>
              <w:rPr>
                <w:rFonts w:hint="eastAsia"/>
                <w:color w:val="auto"/>
                <w:sz w:val="21"/>
                <w:szCs w:val="21"/>
                <w:highlight w:val="none"/>
                <w:lang w:val="en-US" w:eastAsia="zh-CN"/>
              </w:rPr>
              <w:t>/</w:t>
            </w:r>
          </w:p>
        </w:tc>
        <w:tc>
          <w:tcPr>
            <w:tcW w:w="769" w:type="pct"/>
            <w:vAlign w:val="center"/>
          </w:tcPr>
          <w:p w14:paraId="4A1B6027">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val="zh-CN"/>
              </w:rPr>
            </w:pPr>
            <w:r>
              <w:rPr>
                <w:rFonts w:hint="eastAsia"/>
                <w:color w:val="auto"/>
                <w:kern w:val="0"/>
                <w:sz w:val="21"/>
                <w:szCs w:val="21"/>
                <w:highlight w:val="none"/>
              </w:rPr>
              <w:t>一级保护区内有农田化肥农药使用；乡村道路存在农药运输</w:t>
            </w:r>
          </w:p>
        </w:tc>
      </w:tr>
      <w:tr w14:paraId="6F5EA0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0" w:type="pct"/>
            <w:shd w:val="clear" w:color="auto" w:fill="auto"/>
            <w:vAlign w:val="center"/>
          </w:tcPr>
          <w:p w14:paraId="050D9E5A">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26</w:t>
            </w:r>
          </w:p>
        </w:tc>
        <w:tc>
          <w:tcPr>
            <w:tcW w:w="409" w:type="pct"/>
            <w:vMerge w:val="continue"/>
            <w:vAlign w:val="center"/>
          </w:tcPr>
          <w:p w14:paraId="12BBFC10">
            <w:pPr>
              <w:pStyle w:val="30"/>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sz w:val="21"/>
                <w:szCs w:val="21"/>
                <w:highlight w:val="none"/>
                <w:lang w:val="zh-CN"/>
              </w:rPr>
            </w:pPr>
          </w:p>
        </w:tc>
        <w:tc>
          <w:tcPr>
            <w:tcW w:w="259" w:type="pct"/>
            <w:vAlign w:val="center"/>
          </w:tcPr>
          <w:p w14:paraId="6832A4F4">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auto"/>
                <w:sz w:val="21"/>
                <w:szCs w:val="21"/>
                <w:highlight w:val="none"/>
              </w:rPr>
            </w:pPr>
            <w:r>
              <w:rPr>
                <w:color w:val="auto"/>
                <w:sz w:val="21"/>
                <w:szCs w:val="21"/>
                <w:highlight w:val="none"/>
              </w:rPr>
              <w:t>2#</w:t>
            </w:r>
          </w:p>
        </w:tc>
        <w:tc>
          <w:tcPr>
            <w:tcW w:w="306" w:type="pct"/>
            <w:vAlign w:val="center"/>
          </w:tcPr>
          <w:p w14:paraId="636DB3C6">
            <w:pPr>
              <w:widowControl/>
              <w:snapToGrid w:val="0"/>
              <w:spacing w:line="240" w:lineRule="auto"/>
              <w:ind w:firstLine="0" w:firstLineChars="0"/>
              <w:jc w:val="center"/>
              <w:rPr>
                <w:color w:val="auto"/>
                <w:sz w:val="21"/>
                <w:szCs w:val="21"/>
                <w:highlight w:val="none"/>
                <w:lang w:val="zh-CN"/>
              </w:rPr>
            </w:pPr>
            <w:r>
              <w:rPr>
                <w:rFonts w:hint="eastAsia" w:ascii="Times New Roman" w:hAnsi="Times New Roman" w:eastAsia="宋体" w:cs="Times New Roman"/>
                <w:color w:val="auto"/>
                <w:kern w:val="0"/>
                <w:sz w:val="21"/>
                <w:szCs w:val="21"/>
                <w:highlight w:val="none"/>
              </w:rPr>
              <w:t>一级保护区</w:t>
            </w:r>
          </w:p>
        </w:tc>
        <w:tc>
          <w:tcPr>
            <w:tcW w:w="512" w:type="pct"/>
            <w:vAlign w:val="center"/>
          </w:tcPr>
          <w:p w14:paraId="158E6B0F">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zh-CN" w:eastAsia="zh-CN"/>
              </w:rPr>
            </w:pPr>
            <w:r>
              <w:rPr>
                <w:rFonts w:hint="eastAsia" w:ascii="Times New Roman" w:hAnsi="Times New Roman" w:eastAsia="宋体" w:cs="Times New Roman"/>
                <w:color w:val="auto"/>
                <w:kern w:val="0"/>
                <w:sz w:val="21"/>
                <w:szCs w:val="21"/>
                <w:highlight w:val="none"/>
              </w:rPr>
              <w:t>农业面源污染、</w:t>
            </w:r>
            <w:r>
              <w:rPr>
                <w:rFonts w:hint="eastAsia" w:cs="Times New Roman"/>
                <w:color w:val="auto"/>
                <w:kern w:val="0"/>
                <w:sz w:val="21"/>
                <w:szCs w:val="21"/>
                <w:highlight w:val="none"/>
                <w:lang w:eastAsia="zh-CN"/>
              </w:rPr>
              <w:t>道路穿越</w:t>
            </w:r>
          </w:p>
        </w:tc>
        <w:tc>
          <w:tcPr>
            <w:tcW w:w="322" w:type="pct"/>
            <w:vAlign w:val="center"/>
          </w:tcPr>
          <w:p w14:paraId="41A89FDA">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val="zh-CN"/>
              </w:rPr>
            </w:pPr>
            <w:r>
              <w:rPr>
                <w:rFonts w:hint="eastAsia"/>
                <w:color w:val="auto"/>
                <w:sz w:val="21"/>
                <w:szCs w:val="21"/>
                <w:highlight w:val="none"/>
                <w:lang w:val="en-US" w:eastAsia="zh-CN"/>
              </w:rPr>
              <w:t>0</w:t>
            </w:r>
          </w:p>
        </w:tc>
        <w:tc>
          <w:tcPr>
            <w:tcW w:w="346" w:type="pct"/>
            <w:vAlign w:val="center"/>
          </w:tcPr>
          <w:p w14:paraId="74740D35">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val="zh-CN"/>
              </w:rPr>
            </w:pPr>
            <w:r>
              <w:rPr>
                <w:rFonts w:hint="eastAsia"/>
                <w:color w:val="auto"/>
                <w:sz w:val="21"/>
                <w:szCs w:val="21"/>
                <w:highlight w:val="none"/>
                <w:lang w:val="en-US" w:eastAsia="zh-CN"/>
              </w:rPr>
              <w:t>0</w:t>
            </w:r>
          </w:p>
        </w:tc>
        <w:tc>
          <w:tcPr>
            <w:tcW w:w="341" w:type="pct"/>
            <w:vAlign w:val="center"/>
          </w:tcPr>
          <w:p w14:paraId="2F372F05">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val="zh-CN"/>
              </w:rPr>
            </w:pPr>
            <w:r>
              <w:rPr>
                <w:rFonts w:hint="eastAsia"/>
                <w:color w:val="auto"/>
                <w:sz w:val="21"/>
                <w:szCs w:val="21"/>
                <w:highlight w:val="none"/>
                <w:lang w:val="en-US" w:eastAsia="zh-CN"/>
              </w:rPr>
              <w:t>0.230</w:t>
            </w:r>
          </w:p>
        </w:tc>
        <w:tc>
          <w:tcPr>
            <w:tcW w:w="326" w:type="pct"/>
            <w:vAlign w:val="center"/>
          </w:tcPr>
          <w:p w14:paraId="76560928">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val="zh-CN"/>
              </w:rPr>
            </w:pPr>
            <w:r>
              <w:rPr>
                <w:rFonts w:hint="eastAsia"/>
                <w:color w:val="auto"/>
                <w:sz w:val="21"/>
                <w:szCs w:val="21"/>
                <w:highlight w:val="none"/>
                <w:lang w:val="en-US" w:eastAsia="zh-CN"/>
              </w:rPr>
              <w:t>0</w:t>
            </w:r>
          </w:p>
        </w:tc>
        <w:tc>
          <w:tcPr>
            <w:tcW w:w="325" w:type="pct"/>
            <w:vAlign w:val="center"/>
          </w:tcPr>
          <w:p w14:paraId="53170E6F">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val="zh-CN"/>
              </w:rPr>
            </w:pPr>
            <w:r>
              <w:rPr>
                <w:rFonts w:hint="eastAsia"/>
                <w:color w:val="auto"/>
                <w:sz w:val="21"/>
                <w:szCs w:val="21"/>
                <w:highlight w:val="none"/>
                <w:lang w:val="en-US" w:eastAsia="zh-CN"/>
              </w:rPr>
              <w:t>0</w:t>
            </w:r>
          </w:p>
        </w:tc>
        <w:tc>
          <w:tcPr>
            <w:tcW w:w="458" w:type="pct"/>
            <w:vAlign w:val="center"/>
          </w:tcPr>
          <w:p w14:paraId="283D4A30">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val="zh-CN"/>
              </w:rPr>
            </w:pPr>
            <w:r>
              <w:rPr>
                <w:rFonts w:hint="eastAsia"/>
                <w:color w:val="auto"/>
                <w:sz w:val="21"/>
                <w:szCs w:val="21"/>
                <w:highlight w:val="none"/>
                <w:lang w:val="en-US" w:eastAsia="zh-CN"/>
              </w:rPr>
              <w:t>58</w:t>
            </w:r>
          </w:p>
        </w:tc>
        <w:tc>
          <w:tcPr>
            <w:tcW w:w="421" w:type="pct"/>
            <w:vAlign w:val="center"/>
          </w:tcPr>
          <w:p w14:paraId="6AB793CD">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val="en-US" w:eastAsia="zh-CN"/>
              </w:rPr>
            </w:pPr>
            <w:r>
              <w:rPr>
                <w:rFonts w:hint="eastAsia"/>
                <w:color w:val="auto"/>
                <w:sz w:val="21"/>
                <w:szCs w:val="21"/>
                <w:highlight w:val="none"/>
                <w:lang w:val="en-US" w:eastAsia="zh-CN"/>
              </w:rPr>
              <w:t>/</w:t>
            </w:r>
          </w:p>
        </w:tc>
        <w:tc>
          <w:tcPr>
            <w:tcW w:w="769" w:type="pct"/>
            <w:vAlign w:val="center"/>
          </w:tcPr>
          <w:p w14:paraId="2475779C">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val="zh-CN"/>
              </w:rPr>
            </w:pPr>
            <w:r>
              <w:rPr>
                <w:rFonts w:hint="eastAsia"/>
                <w:color w:val="auto"/>
                <w:kern w:val="0"/>
                <w:sz w:val="21"/>
                <w:szCs w:val="21"/>
                <w:highlight w:val="none"/>
              </w:rPr>
              <w:t>一级保护区内有农田化肥农药使用；乡村道路存在农药运输</w:t>
            </w:r>
          </w:p>
        </w:tc>
      </w:tr>
      <w:tr w14:paraId="79C6C4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0" w:type="pct"/>
            <w:shd w:val="clear" w:color="auto" w:fill="auto"/>
            <w:vAlign w:val="center"/>
          </w:tcPr>
          <w:p w14:paraId="093E6BA9">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27</w:t>
            </w:r>
          </w:p>
        </w:tc>
        <w:tc>
          <w:tcPr>
            <w:tcW w:w="409" w:type="pct"/>
            <w:vMerge w:val="continue"/>
            <w:vAlign w:val="center"/>
          </w:tcPr>
          <w:p w14:paraId="49736EB5">
            <w:pPr>
              <w:pStyle w:val="30"/>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sz w:val="21"/>
                <w:szCs w:val="21"/>
                <w:highlight w:val="none"/>
                <w:lang w:val="zh-CN"/>
              </w:rPr>
            </w:pPr>
          </w:p>
        </w:tc>
        <w:tc>
          <w:tcPr>
            <w:tcW w:w="259" w:type="pct"/>
            <w:vAlign w:val="center"/>
          </w:tcPr>
          <w:p w14:paraId="362EA934">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auto"/>
                <w:sz w:val="21"/>
                <w:szCs w:val="21"/>
                <w:highlight w:val="none"/>
              </w:rPr>
            </w:pPr>
            <w:r>
              <w:rPr>
                <w:color w:val="auto"/>
                <w:sz w:val="21"/>
                <w:szCs w:val="21"/>
                <w:highlight w:val="none"/>
              </w:rPr>
              <w:t>3#</w:t>
            </w:r>
          </w:p>
        </w:tc>
        <w:tc>
          <w:tcPr>
            <w:tcW w:w="306" w:type="pct"/>
            <w:vAlign w:val="center"/>
          </w:tcPr>
          <w:p w14:paraId="37214F3F">
            <w:pPr>
              <w:widowControl/>
              <w:snapToGrid w:val="0"/>
              <w:spacing w:line="240" w:lineRule="auto"/>
              <w:ind w:firstLine="0" w:firstLineChars="0"/>
              <w:jc w:val="center"/>
              <w:rPr>
                <w:color w:val="auto"/>
                <w:sz w:val="21"/>
                <w:szCs w:val="21"/>
                <w:highlight w:val="none"/>
                <w:lang w:val="zh-CN"/>
              </w:rPr>
            </w:pPr>
            <w:r>
              <w:rPr>
                <w:rFonts w:hint="eastAsia" w:ascii="Times New Roman" w:hAnsi="Times New Roman" w:eastAsia="宋体" w:cs="Times New Roman"/>
                <w:color w:val="auto"/>
                <w:kern w:val="0"/>
                <w:sz w:val="21"/>
                <w:szCs w:val="21"/>
                <w:highlight w:val="none"/>
              </w:rPr>
              <w:t>一级保护区</w:t>
            </w:r>
          </w:p>
        </w:tc>
        <w:tc>
          <w:tcPr>
            <w:tcW w:w="512" w:type="pct"/>
            <w:vAlign w:val="center"/>
          </w:tcPr>
          <w:p w14:paraId="533A7B22">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zh-CN" w:eastAsia="zh-CN"/>
              </w:rPr>
            </w:pPr>
            <w:r>
              <w:rPr>
                <w:rFonts w:hint="eastAsia" w:ascii="Times New Roman" w:hAnsi="Times New Roman" w:eastAsia="宋体" w:cs="Times New Roman"/>
                <w:color w:val="auto"/>
                <w:kern w:val="0"/>
                <w:sz w:val="21"/>
                <w:szCs w:val="21"/>
                <w:highlight w:val="none"/>
              </w:rPr>
              <w:t>农业面源污染、</w:t>
            </w:r>
            <w:r>
              <w:rPr>
                <w:rFonts w:hint="eastAsia" w:cs="Times New Roman"/>
                <w:color w:val="auto"/>
                <w:kern w:val="0"/>
                <w:sz w:val="21"/>
                <w:szCs w:val="21"/>
                <w:highlight w:val="none"/>
                <w:lang w:eastAsia="zh-CN"/>
              </w:rPr>
              <w:t>道路穿越</w:t>
            </w:r>
          </w:p>
        </w:tc>
        <w:tc>
          <w:tcPr>
            <w:tcW w:w="322" w:type="pct"/>
            <w:vAlign w:val="center"/>
          </w:tcPr>
          <w:p w14:paraId="596DDF23">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val="zh-CN"/>
              </w:rPr>
            </w:pPr>
            <w:r>
              <w:rPr>
                <w:rFonts w:hint="eastAsia"/>
                <w:color w:val="auto"/>
                <w:sz w:val="21"/>
                <w:szCs w:val="21"/>
                <w:highlight w:val="none"/>
                <w:lang w:val="en-US" w:eastAsia="zh-CN"/>
              </w:rPr>
              <w:t>0</w:t>
            </w:r>
          </w:p>
        </w:tc>
        <w:tc>
          <w:tcPr>
            <w:tcW w:w="346" w:type="pct"/>
            <w:vAlign w:val="center"/>
          </w:tcPr>
          <w:p w14:paraId="09A34328">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val="zh-CN"/>
              </w:rPr>
            </w:pPr>
            <w:r>
              <w:rPr>
                <w:rFonts w:hint="eastAsia"/>
                <w:color w:val="auto"/>
                <w:sz w:val="21"/>
                <w:szCs w:val="21"/>
                <w:highlight w:val="none"/>
                <w:lang w:val="en-US" w:eastAsia="zh-CN"/>
              </w:rPr>
              <w:t>0</w:t>
            </w:r>
          </w:p>
        </w:tc>
        <w:tc>
          <w:tcPr>
            <w:tcW w:w="341" w:type="pct"/>
            <w:vAlign w:val="center"/>
          </w:tcPr>
          <w:p w14:paraId="420E4238">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val="zh-CN"/>
              </w:rPr>
            </w:pPr>
            <w:r>
              <w:rPr>
                <w:rFonts w:hint="eastAsia"/>
                <w:color w:val="auto"/>
                <w:sz w:val="21"/>
                <w:szCs w:val="21"/>
                <w:highlight w:val="none"/>
                <w:lang w:val="en-US" w:eastAsia="zh-CN"/>
              </w:rPr>
              <w:t>0.249</w:t>
            </w:r>
          </w:p>
        </w:tc>
        <w:tc>
          <w:tcPr>
            <w:tcW w:w="326" w:type="pct"/>
            <w:vAlign w:val="center"/>
          </w:tcPr>
          <w:p w14:paraId="5F10FFE5">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val="zh-CN"/>
              </w:rPr>
            </w:pPr>
            <w:r>
              <w:rPr>
                <w:rFonts w:hint="eastAsia"/>
                <w:color w:val="auto"/>
                <w:sz w:val="21"/>
                <w:szCs w:val="21"/>
                <w:highlight w:val="none"/>
                <w:lang w:val="en-US" w:eastAsia="zh-CN"/>
              </w:rPr>
              <w:t>0</w:t>
            </w:r>
          </w:p>
        </w:tc>
        <w:tc>
          <w:tcPr>
            <w:tcW w:w="325" w:type="pct"/>
            <w:vAlign w:val="center"/>
          </w:tcPr>
          <w:p w14:paraId="7512EE63">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val="zh-CN"/>
              </w:rPr>
            </w:pPr>
            <w:r>
              <w:rPr>
                <w:rFonts w:hint="eastAsia"/>
                <w:color w:val="auto"/>
                <w:sz w:val="21"/>
                <w:szCs w:val="21"/>
                <w:highlight w:val="none"/>
                <w:lang w:val="en-US" w:eastAsia="zh-CN"/>
              </w:rPr>
              <w:t>0</w:t>
            </w:r>
          </w:p>
        </w:tc>
        <w:tc>
          <w:tcPr>
            <w:tcW w:w="458" w:type="pct"/>
            <w:vAlign w:val="center"/>
          </w:tcPr>
          <w:p w14:paraId="55F9892A">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val="zh-CN"/>
              </w:rPr>
            </w:pPr>
            <w:r>
              <w:rPr>
                <w:rFonts w:hint="eastAsia"/>
                <w:color w:val="auto"/>
                <w:sz w:val="21"/>
                <w:szCs w:val="21"/>
                <w:highlight w:val="none"/>
                <w:lang w:val="en-US" w:eastAsia="zh-CN"/>
              </w:rPr>
              <w:t>57</w:t>
            </w:r>
          </w:p>
        </w:tc>
        <w:tc>
          <w:tcPr>
            <w:tcW w:w="421" w:type="pct"/>
            <w:vAlign w:val="center"/>
          </w:tcPr>
          <w:p w14:paraId="59E706FC">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val="en-US" w:eastAsia="zh-CN"/>
              </w:rPr>
            </w:pPr>
            <w:r>
              <w:rPr>
                <w:rFonts w:hint="eastAsia"/>
                <w:color w:val="auto"/>
                <w:sz w:val="21"/>
                <w:szCs w:val="21"/>
                <w:highlight w:val="none"/>
                <w:lang w:val="en-US" w:eastAsia="zh-CN"/>
              </w:rPr>
              <w:t>53（</w:t>
            </w:r>
            <w:r>
              <w:rPr>
                <w:rFonts w:hint="eastAsia"/>
                <w:color w:val="auto"/>
                <w:sz w:val="21"/>
                <w:szCs w:val="21"/>
                <w:highlight w:val="none"/>
                <w:lang w:eastAsia="zh-CN"/>
              </w:rPr>
              <w:t>废弃居民房屋</w:t>
            </w:r>
            <w:r>
              <w:rPr>
                <w:rFonts w:hint="eastAsia"/>
                <w:color w:val="auto"/>
                <w:sz w:val="21"/>
                <w:szCs w:val="21"/>
                <w:highlight w:val="none"/>
                <w:lang w:val="en-US" w:eastAsia="zh-CN"/>
              </w:rPr>
              <w:t>1间）</w:t>
            </w:r>
          </w:p>
        </w:tc>
        <w:tc>
          <w:tcPr>
            <w:tcW w:w="769" w:type="pct"/>
            <w:vAlign w:val="center"/>
          </w:tcPr>
          <w:p w14:paraId="386522EA">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val="zh-CN"/>
              </w:rPr>
            </w:pPr>
            <w:r>
              <w:rPr>
                <w:rFonts w:hint="eastAsia"/>
                <w:color w:val="auto"/>
                <w:kern w:val="0"/>
                <w:sz w:val="21"/>
                <w:szCs w:val="21"/>
                <w:highlight w:val="none"/>
              </w:rPr>
              <w:t>一级保护区内有农田化肥农药使用；乡村道路存在农药运输</w:t>
            </w:r>
          </w:p>
        </w:tc>
      </w:tr>
      <w:tr w14:paraId="23511C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0" w:type="pct"/>
            <w:shd w:val="clear" w:color="auto" w:fill="auto"/>
            <w:vAlign w:val="center"/>
          </w:tcPr>
          <w:p w14:paraId="1C7184DB">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28</w:t>
            </w:r>
          </w:p>
        </w:tc>
        <w:tc>
          <w:tcPr>
            <w:tcW w:w="409" w:type="pct"/>
            <w:vMerge w:val="restart"/>
            <w:vAlign w:val="center"/>
          </w:tcPr>
          <w:p w14:paraId="50296C96">
            <w:pPr>
              <w:widowControl/>
              <w:spacing w:line="240" w:lineRule="auto"/>
              <w:ind w:firstLine="0" w:firstLineChars="0"/>
              <w:jc w:val="center"/>
              <w:textAlignment w:val="center"/>
              <w:rPr>
                <w:rFonts w:hint="default"/>
                <w:color w:val="auto"/>
                <w:sz w:val="21"/>
                <w:szCs w:val="21"/>
                <w:highlight w:val="none"/>
                <w:lang w:val="zh-CN"/>
              </w:rPr>
            </w:pPr>
            <w:r>
              <w:rPr>
                <w:rFonts w:hint="eastAsia" w:ascii="Times New Roman" w:hAnsi="Times New Roman" w:eastAsia="宋体" w:cs="Times New Roman"/>
                <w:color w:val="auto"/>
                <w:kern w:val="0"/>
                <w:sz w:val="21"/>
                <w:szCs w:val="21"/>
                <w:highlight w:val="none"/>
                <w:lang w:val="en-US" w:eastAsia="zh-CN" w:bidi="ar"/>
              </w:rPr>
              <w:t>绥化市</w:t>
            </w:r>
            <w:r>
              <w:rPr>
                <w:rFonts w:hint="eastAsia" w:cs="Times New Roman"/>
                <w:color w:val="auto"/>
                <w:kern w:val="0"/>
                <w:sz w:val="21"/>
                <w:szCs w:val="21"/>
                <w:highlight w:val="none"/>
                <w:lang w:val="en-US" w:eastAsia="zh-CN" w:bidi="ar"/>
              </w:rPr>
              <w:t>庆</w:t>
            </w:r>
            <w:r>
              <w:rPr>
                <w:rFonts w:hint="eastAsia" w:ascii="Times New Roman" w:hAnsi="Times New Roman" w:eastAsia="宋体" w:cs="Times New Roman"/>
                <w:color w:val="auto"/>
                <w:kern w:val="0"/>
                <w:sz w:val="21"/>
                <w:szCs w:val="21"/>
                <w:highlight w:val="none"/>
                <w:lang w:val="en-US" w:eastAsia="zh-CN" w:bidi="ar"/>
              </w:rPr>
              <w:t>安县平安镇饮用水水源地</w:t>
            </w:r>
          </w:p>
        </w:tc>
        <w:tc>
          <w:tcPr>
            <w:tcW w:w="259" w:type="pct"/>
            <w:shd w:val="clear" w:color="auto" w:fill="auto"/>
            <w:vAlign w:val="center"/>
          </w:tcPr>
          <w:p w14:paraId="2131C23B">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kern w:val="2"/>
                <w:sz w:val="21"/>
                <w:szCs w:val="21"/>
                <w:highlight w:val="none"/>
                <w:lang w:val="zh-CN" w:eastAsia="zh-CN" w:bidi="ar-SA"/>
              </w:rPr>
            </w:pPr>
            <w:r>
              <w:rPr>
                <w:color w:val="auto"/>
                <w:sz w:val="21"/>
                <w:szCs w:val="21"/>
                <w:highlight w:val="none"/>
              </w:rPr>
              <w:t>1#</w:t>
            </w:r>
          </w:p>
        </w:tc>
        <w:tc>
          <w:tcPr>
            <w:tcW w:w="306" w:type="pct"/>
            <w:vAlign w:val="center"/>
          </w:tcPr>
          <w:p w14:paraId="6BE975C4">
            <w:pPr>
              <w:widowControl/>
              <w:snapToGrid w:val="0"/>
              <w:spacing w:line="240" w:lineRule="auto"/>
              <w:ind w:firstLine="0" w:firstLineChars="0"/>
              <w:jc w:val="center"/>
              <w:rPr>
                <w:color w:val="auto"/>
                <w:sz w:val="21"/>
                <w:szCs w:val="21"/>
                <w:highlight w:val="none"/>
                <w:lang w:val="zh-CN"/>
              </w:rPr>
            </w:pPr>
            <w:r>
              <w:rPr>
                <w:rFonts w:hint="eastAsia" w:ascii="Times New Roman" w:hAnsi="Times New Roman" w:eastAsia="宋体" w:cs="Times New Roman"/>
                <w:color w:val="auto"/>
                <w:kern w:val="0"/>
                <w:sz w:val="21"/>
                <w:szCs w:val="21"/>
                <w:highlight w:val="none"/>
              </w:rPr>
              <w:t>一级保护区</w:t>
            </w:r>
          </w:p>
        </w:tc>
        <w:tc>
          <w:tcPr>
            <w:tcW w:w="512" w:type="pct"/>
            <w:vAlign w:val="center"/>
          </w:tcPr>
          <w:p w14:paraId="546441A2">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zh-CN" w:eastAsia="zh-CN"/>
              </w:rPr>
            </w:pPr>
            <w:r>
              <w:rPr>
                <w:rFonts w:hint="eastAsia" w:ascii="Times New Roman" w:hAnsi="Times New Roman" w:eastAsia="宋体" w:cs="Times New Roman"/>
                <w:color w:val="auto"/>
                <w:kern w:val="0"/>
                <w:sz w:val="21"/>
                <w:szCs w:val="21"/>
                <w:highlight w:val="none"/>
              </w:rPr>
              <w:t>农业面源污染、</w:t>
            </w:r>
            <w:r>
              <w:rPr>
                <w:rFonts w:hint="eastAsia" w:cs="Times New Roman"/>
                <w:color w:val="auto"/>
                <w:kern w:val="0"/>
                <w:sz w:val="21"/>
                <w:szCs w:val="21"/>
                <w:highlight w:val="none"/>
                <w:lang w:eastAsia="zh-CN"/>
              </w:rPr>
              <w:t>道路穿越</w:t>
            </w:r>
          </w:p>
        </w:tc>
        <w:tc>
          <w:tcPr>
            <w:tcW w:w="322" w:type="pct"/>
            <w:vAlign w:val="center"/>
          </w:tcPr>
          <w:p w14:paraId="4A026603">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val="zh-CN"/>
              </w:rPr>
            </w:pPr>
            <w:r>
              <w:rPr>
                <w:rFonts w:hint="eastAsia"/>
                <w:color w:val="auto"/>
                <w:sz w:val="21"/>
                <w:szCs w:val="21"/>
                <w:highlight w:val="none"/>
                <w:lang w:val="en-US" w:eastAsia="zh-CN"/>
              </w:rPr>
              <w:t>0</w:t>
            </w:r>
          </w:p>
        </w:tc>
        <w:tc>
          <w:tcPr>
            <w:tcW w:w="346" w:type="pct"/>
            <w:vAlign w:val="center"/>
          </w:tcPr>
          <w:p w14:paraId="2C018B8E">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val="zh-CN"/>
              </w:rPr>
            </w:pPr>
            <w:r>
              <w:rPr>
                <w:rFonts w:hint="eastAsia"/>
                <w:color w:val="auto"/>
                <w:sz w:val="21"/>
                <w:szCs w:val="21"/>
                <w:highlight w:val="none"/>
                <w:lang w:val="en-US" w:eastAsia="zh-CN"/>
              </w:rPr>
              <w:t>0</w:t>
            </w:r>
          </w:p>
        </w:tc>
        <w:tc>
          <w:tcPr>
            <w:tcW w:w="341" w:type="pct"/>
            <w:vAlign w:val="center"/>
          </w:tcPr>
          <w:p w14:paraId="40F3EC16">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val="zh-CN"/>
              </w:rPr>
            </w:pPr>
            <w:r>
              <w:rPr>
                <w:rFonts w:hint="eastAsia"/>
                <w:color w:val="auto"/>
                <w:sz w:val="21"/>
                <w:szCs w:val="21"/>
                <w:highlight w:val="none"/>
                <w:lang w:val="en-US" w:eastAsia="zh-CN"/>
              </w:rPr>
              <w:t>0.090</w:t>
            </w:r>
          </w:p>
        </w:tc>
        <w:tc>
          <w:tcPr>
            <w:tcW w:w="326" w:type="pct"/>
            <w:vAlign w:val="center"/>
          </w:tcPr>
          <w:p w14:paraId="46A63B99">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val="zh-CN"/>
              </w:rPr>
            </w:pPr>
            <w:r>
              <w:rPr>
                <w:rFonts w:hint="eastAsia"/>
                <w:color w:val="auto"/>
                <w:sz w:val="21"/>
                <w:szCs w:val="21"/>
                <w:highlight w:val="none"/>
                <w:lang w:val="en-US" w:eastAsia="zh-CN"/>
              </w:rPr>
              <w:t>0</w:t>
            </w:r>
          </w:p>
        </w:tc>
        <w:tc>
          <w:tcPr>
            <w:tcW w:w="325" w:type="pct"/>
            <w:vAlign w:val="center"/>
          </w:tcPr>
          <w:p w14:paraId="71044C3F">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val="zh-CN"/>
              </w:rPr>
            </w:pPr>
            <w:r>
              <w:rPr>
                <w:rFonts w:hint="eastAsia"/>
                <w:color w:val="auto"/>
                <w:sz w:val="21"/>
                <w:szCs w:val="21"/>
                <w:highlight w:val="none"/>
                <w:lang w:val="en-US" w:eastAsia="zh-CN"/>
              </w:rPr>
              <w:t>0</w:t>
            </w:r>
          </w:p>
        </w:tc>
        <w:tc>
          <w:tcPr>
            <w:tcW w:w="458" w:type="pct"/>
            <w:vAlign w:val="center"/>
          </w:tcPr>
          <w:p w14:paraId="156733CB">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val="zh-CN"/>
              </w:rPr>
            </w:pPr>
            <w:r>
              <w:rPr>
                <w:rFonts w:hint="eastAsia"/>
                <w:color w:val="auto"/>
                <w:sz w:val="21"/>
                <w:szCs w:val="21"/>
                <w:highlight w:val="none"/>
                <w:lang w:val="en-US" w:eastAsia="zh-CN"/>
              </w:rPr>
              <w:t>37</w:t>
            </w:r>
          </w:p>
        </w:tc>
        <w:tc>
          <w:tcPr>
            <w:tcW w:w="421" w:type="pct"/>
            <w:vAlign w:val="center"/>
          </w:tcPr>
          <w:p w14:paraId="21DA44B3">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val="en-US" w:eastAsia="zh-CN"/>
              </w:rPr>
            </w:pPr>
            <w:r>
              <w:rPr>
                <w:rFonts w:hint="eastAsia"/>
                <w:color w:val="auto"/>
                <w:sz w:val="21"/>
                <w:szCs w:val="21"/>
                <w:highlight w:val="none"/>
                <w:lang w:val="en-US" w:eastAsia="zh-CN"/>
              </w:rPr>
              <w:t>/</w:t>
            </w:r>
          </w:p>
        </w:tc>
        <w:tc>
          <w:tcPr>
            <w:tcW w:w="769" w:type="pct"/>
            <w:vAlign w:val="center"/>
          </w:tcPr>
          <w:p w14:paraId="14A09D4F">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val="zh-CN"/>
              </w:rPr>
            </w:pPr>
            <w:r>
              <w:rPr>
                <w:rFonts w:hint="eastAsia"/>
                <w:color w:val="auto"/>
                <w:kern w:val="0"/>
                <w:sz w:val="21"/>
                <w:szCs w:val="21"/>
                <w:highlight w:val="none"/>
              </w:rPr>
              <w:t>一级保护区内有农田化肥农药使用；乡村道路存在农药运输</w:t>
            </w:r>
          </w:p>
        </w:tc>
      </w:tr>
      <w:tr w14:paraId="4419EE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0" w:type="pct"/>
            <w:shd w:val="clear" w:color="auto" w:fill="auto"/>
            <w:vAlign w:val="center"/>
          </w:tcPr>
          <w:p w14:paraId="37A6CDE5">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29</w:t>
            </w:r>
          </w:p>
        </w:tc>
        <w:tc>
          <w:tcPr>
            <w:tcW w:w="409" w:type="pct"/>
            <w:vMerge w:val="continue"/>
            <w:vAlign w:val="center"/>
          </w:tcPr>
          <w:p w14:paraId="17132141">
            <w:pPr>
              <w:pStyle w:val="30"/>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sz w:val="21"/>
                <w:szCs w:val="21"/>
                <w:highlight w:val="none"/>
                <w:lang w:val="zh-CN"/>
              </w:rPr>
            </w:pPr>
          </w:p>
        </w:tc>
        <w:tc>
          <w:tcPr>
            <w:tcW w:w="259" w:type="pct"/>
            <w:shd w:val="clear" w:color="auto" w:fill="auto"/>
            <w:vAlign w:val="center"/>
          </w:tcPr>
          <w:p w14:paraId="6BCDAD41">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kern w:val="2"/>
                <w:sz w:val="21"/>
                <w:szCs w:val="21"/>
                <w:highlight w:val="none"/>
                <w:lang w:val="zh-CN" w:eastAsia="zh-CN" w:bidi="ar-SA"/>
              </w:rPr>
            </w:pPr>
            <w:r>
              <w:rPr>
                <w:color w:val="auto"/>
                <w:sz w:val="21"/>
                <w:szCs w:val="21"/>
                <w:highlight w:val="none"/>
              </w:rPr>
              <w:t>2#</w:t>
            </w:r>
          </w:p>
        </w:tc>
        <w:tc>
          <w:tcPr>
            <w:tcW w:w="306" w:type="pct"/>
            <w:vAlign w:val="center"/>
          </w:tcPr>
          <w:p w14:paraId="779C5E6D">
            <w:pPr>
              <w:widowControl/>
              <w:snapToGrid w:val="0"/>
              <w:spacing w:line="240" w:lineRule="auto"/>
              <w:ind w:firstLine="0" w:firstLineChars="0"/>
              <w:jc w:val="center"/>
              <w:rPr>
                <w:color w:val="auto"/>
                <w:sz w:val="21"/>
                <w:szCs w:val="21"/>
                <w:highlight w:val="none"/>
                <w:lang w:val="zh-CN"/>
              </w:rPr>
            </w:pPr>
            <w:r>
              <w:rPr>
                <w:rFonts w:hint="eastAsia" w:ascii="Times New Roman" w:hAnsi="Times New Roman" w:eastAsia="宋体" w:cs="Times New Roman"/>
                <w:color w:val="auto"/>
                <w:kern w:val="0"/>
                <w:sz w:val="21"/>
                <w:szCs w:val="21"/>
                <w:highlight w:val="none"/>
              </w:rPr>
              <w:t>一级保护区</w:t>
            </w:r>
          </w:p>
        </w:tc>
        <w:tc>
          <w:tcPr>
            <w:tcW w:w="512" w:type="pct"/>
            <w:vAlign w:val="center"/>
          </w:tcPr>
          <w:p w14:paraId="72B02B4C">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zh-CN" w:eastAsia="zh-CN"/>
              </w:rPr>
            </w:pPr>
            <w:r>
              <w:rPr>
                <w:rFonts w:hint="eastAsia" w:ascii="Times New Roman" w:hAnsi="Times New Roman" w:eastAsia="宋体" w:cs="Times New Roman"/>
                <w:color w:val="auto"/>
                <w:kern w:val="0"/>
                <w:sz w:val="21"/>
                <w:szCs w:val="21"/>
                <w:highlight w:val="none"/>
              </w:rPr>
              <w:t>农业面源污染、</w:t>
            </w:r>
            <w:r>
              <w:rPr>
                <w:rFonts w:hint="eastAsia" w:cs="Times New Roman"/>
                <w:color w:val="auto"/>
                <w:kern w:val="0"/>
                <w:sz w:val="21"/>
                <w:szCs w:val="21"/>
                <w:highlight w:val="none"/>
                <w:lang w:eastAsia="zh-CN"/>
              </w:rPr>
              <w:t>道路穿越</w:t>
            </w:r>
          </w:p>
        </w:tc>
        <w:tc>
          <w:tcPr>
            <w:tcW w:w="322" w:type="pct"/>
            <w:vAlign w:val="center"/>
          </w:tcPr>
          <w:p w14:paraId="76C6E431">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val="zh-CN"/>
              </w:rPr>
            </w:pPr>
            <w:r>
              <w:rPr>
                <w:rFonts w:hint="eastAsia"/>
                <w:color w:val="auto"/>
                <w:sz w:val="21"/>
                <w:szCs w:val="21"/>
                <w:highlight w:val="none"/>
                <w:lang w:val="en-US" w:eastAsia="zh-CN"/>
              </w:rPr>
              <w:t>0</w:t>
            </w:r>
          </w:p>
        </w:tc>
        <w:tc>
          <w:tcPr>
            <w:tcW w:w="346" w:type="pct"/>
            <w:vAlign w:val="center"/>
          </w:tcPr>
          <w:p w14:paraId="1E26D3C5">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val="zh-CN"/>
              </w:rPr>
            </w:pPr>
            <w:r>
              <w:rPr>
                <w:rFonts w:hint="eastAsia"/>
                <w:color w:val="auto"/>
                <w:sz w:val="21"/>
                <w:szCs w:val="21"/>
                <w:highlight w:val="none"/>
                <w:lang w:val="en-US" w:eastAsia="zh-CN"/>
              </w:rPr>
              <w:t>0</w:t>
            </w:r>
          </w:p>
        </w:tc>
        <w:tc>
          <w:tcPr>
            <w:tcW w:w="341" w:type="pct"/>
            <w:vAlign w:val="center"/>
          </w:tcPr>
          <w:p w14:paraId="0F38C8EC">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val="zh-CN"/>
              </w:rPr>
            </w:pPr>
            <w:r>
              <w:rPr>
                <w:rFonts w:hint="eastAsia"/>
                <w:color w:val="auto"/>
                <w:sz w:val="21"/>
                <w:szCs w:val="21"/>
                <w:highlight w:val="none"/>
                <w:lang w:val="en-US" w:eastAsia="zh-CN"/>
              </w:rPr>
              <w:t>0.018</w:t>
            </w:r>
          </w:p>
        </w:tc>
        <w:tc>
          <w:tcPr>
            <w:tcW w:w="326" w:type="pct"/>
            <w:vAlign w:val="center"/>
          </w:tcPr>
          <w:p w14:paraId="0412A332">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val="zh-CN"/>
              </w:rPr>
            </w:pPr>
            <w:r>
              <w:rPr>
                <w:rFonts w:hint="eastAsia"/>
                <w:color w:val="auto"/>
                <w:sz w:val="21"/>
                <w:szCs w:val="21"/>
                <w:highlight w:val="none"/>
                <w:lang w:val="en-US" w:eastAsia="zh-CN"/>
              </w:rPr>
              <w:t>0</w:t>
            </w:r>
          </w:p>
        </w:tc>
        <w:tc>
          <w:tcPr>
            <w:tcW w:w="325" w:type="pct"/>
            <w:vAlign w:val="center"/>
          </w:tcPr>
          <w:p w14:paraId="29AB3D8A">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val="zh-CN"/>
              </w:rPr>
            </w:pPr>
            <w:r>
              <w:rPr>
                <w:rFonts w:hint="eastAsia"/>
                <w:color w:val="auto"/>
                <w:sz w:val="21"/>
                <w:szCs w:val="21"/>
                <w:highlight w:val="none"/>
                <w:lang w:val="en-US" w:eastAsia="zh-CN"/>
              </w:rPr>
              <w:t>0</w:t>
            </w:r>
          </w:p>
        </w:tc>
        <w:tc>
          <w:tcPr>
            <w:tcW w:w="458" w:type="pct"/>
            <w:vAlign w:val="center"/>
          </w:tcPr>
          <w:p w14:paraId="4D3CD6AE">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val="zh-CN"/>
              </w:rPr>
            </w:pPr>
            <w:r>
              <w:rPr>
                <w:rFonts w:hint="eastAsia"/>
                <w:color w:val="auto"/>
                <w:sz w:val="21"/>
                <w:szCs w:val="21"/>
                <w:highlight w:val="none"/>
                <w:lang w:val="en-US" w:eastAsia="zh-CN"/>
              </w:rPr>
              <w:t>57</w:t>
            </w:r>
          </w:p>
        </w:tc>
        <w:tc>
          <w:tcPr>
            <w:tcW w:w="421" w:type="pct"/>
            <w:vAlign w:val="center"/>
          </w:tcPr>
          <w:p w14:paraId="36F06504">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val="en-US" w:eastAsia="zh-CN"/>
              </w:rPr>
            </w:pPr>
            <w:r>
              <w:rPr>
                <w:rFonts w:hint="eastAsia"/>
                <w:color w:val="auto"/>
                <w:sz w:val="21"/>
                <w:szCs w:val="21"/>
                <w:highlight w:val="none"/>
                <w:lang w:val="en-US" w:eastAsia="zh-CN"/>
              </w:rPr>
              <w:t>286（闲置</w:t>
            </w:r>
            <w:r>
              <w:rPr>
                <w:rFonts w:hint="eastAsia"/>
                <w:color w:val="auto"/>
                <w:highlight w:val="none"/>
                <w:lang w:eastAsia="zh-CN"/>
              </w:rPr>
              <w:t>仓房</w:t>
            </w:r>
            <w:r>
              <w:rPr>
                <w:rFonts w:hint="eastAsia"/>
                <w:color w:val="auto"/>
                <w:highlight w:val="none"/>
                <w:lang w:val="en-US" w:eastAsia="zh-CN"/>
              </w:rPr>
              <w:t>1间</w:t>
            </w:r>
            <w:r>
              <w:rPr>
                <w:rFonts w:hint="eastAsia"/>
                <w:color w:val="auto"/>
                <w:sz w:val="21"/>
                <w:szCs w:val="21"/>
                <w:highlight w:val="none"/>
                <w:lang w:val="en-US" w:eastAsia="zh-CN"/>
              </w:rPr>
              <w:t>）</w:t>
            </w:r>
          </w:p>
        </w:tc>
        <w:tc>
          <w:tcPr>
            <w:tcW w:w="769" w:type="pct"/>
            <w:vAlign w:val="center"/>
          </w:tcPr>
          <w:p w14:paraId="44C69AED">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val="zh-CN"/>
              </w:rPr>
            </w:pPr>
            <w:r>
              <w:rPr>
                <w:rFonts w:hint="eastAsia"/>
                <w:color w:val="auto"/>
                <w:kern w:val="0"/>
                <w:sz w:val="21"/>
                <w:szCs w:val="21"/>
                <w:highlight w:val="none"/>
              </w:rPr>
              <w:t>一级保护区内有农田化肥农药使用；乡村道路存在农药运输</w:t>
            </w:r>
          </w:p>
        </w:tc>
      </w:tr>
    </w:tbl>
    <w:p w14:paraId="6491030A">
      <w:pPr>
        <w:spacing w:line="360" w:lineRule="auto"/>
        <w:ind w:firstLine="0" w:firstLineChars="0"/>
        <w:jc w:val="center"/>
        <w:rPr>
          <w:rFonts w:ascii="Times New Roman" w:hAnsi="Times New Roman" w:eastAsia="黑体" w:cs="Times New Roman"/>
          <w:color w:val="auto"/>
          <w:sz w:val="24"/>
          <w:szCs w:val="24"/>
          <w:highlight w:val="none"/>
        </w:rPr>
      </w:pPr>
    </w:p>
    <w:p w14:paraId="56B35FD4">
      <w:pPr>
        <w:spacing w:line="360" w:lineRule="auto"/>
        <w:ind w:firstLine="0" w:firstLineChars="0"/>
        <w:jc w:val="center"/>
        <w:rPr>
          <w:rFonts w:ascii="Times New Roman" w:hAnsi="Times New Roman" w:eastAsia="黑体" w:cs="Times New Roman"/>
          <w:color w:val="auto"/>
          <w:sz w:val="24"/>
          <w:szCs w:val="24"/>
          <w:highlight w:val="none"/>
        </w:rPr>
      </w:pPr>
      <w:r>
        <w:rPr>
          <w:rFonts w:ascii="Times New Roman" w:hAnsi="Times New Roman" w:eastAsia="黑体" w:cs="Times New Roman"/>
          <w:color w:val="auto"/>
          <w:sz w:val="24"/>
          <w:szCs w:val="24"/>
          <w:highlight w:val="none"/>
        </w:rPr>
        <w:t>表</w:t>
      </w:r>
      <w:r>
        <w:rPr>
          <w:rFonts w:hint="eastAsia" w:ascii="Times New Roman" w:hAnsi="Times New Roman" w:eastAsia="黑体" w:cs="Times New Roman"/>
          <w:color w:val="auto"/>
          <w:sz w:val="24"/>
          <w:szCs w:val="24"/>
          <w:highlight w:val="none"/>
        </w:rPr>
        <w:t>4</w:t>
      </w:r>
      <w:r>
        <w:rPr>
          <w:rFonts w:ascii="Times New Roman" w:hAnsi="Times New Roman" w:eastAsia="黑体" w:cs="Times New Roman"/>
          <w:color w:val="auto"/>
          <w:sz w:val="24"/>
          <w:szCs w:val="24"/>
          <w:highlight w:val="none"/>
        </w:rPr>
        <w:t>-</w:t>
      </w:r>
      <w:r>
        <w:rPr>
          <w:rFonts w:hint="eastAsia" w:ascii="Times New Roman" w:hAnsi="Times New Roman" w:eastAsia="黑体" w:cs="Times New Roman"/>
          <w:color w:val="auto"/>
          <w:sz w:val="24"/>
          <w:szCs w:val="24"/>
          <w:highlight w:val="none"/>
        </w:rPr>
        <w:t>4</w:t>
      </w:r>
      <w:r>
        <w:rPr>
          <w:rFonts w:ascii="Times New Roman" w:hAnsi="Times New Roman" w:eastAsia="黑体" w:cs="Times New Roman"/>
          <w:color w:val="auto"/>
          <w:sz w:val="24"/>
          <w:szCs w:val="24"/>
          <w:highlight w:val="none"/>
        </w:rPr>
        <w:t xml:space="preserve"> 水源保护区</w:t>
      </w:r>
      <w:r>
        <w:rPr>
          <w:rFonts w:hint="eastAsia" w:ascii="Times New Roman" w:hAnsi="Times New Roman" w:eastAsia="黑体" w:cs="Times New Roman"/>
          <w:color w:val="auto"/>
          <w:sz w:val="24"/>
          <w:szCs w:val="24"/>
          <w:highlight w:val="none"/>
        </w:rPr>
        <w:t>污染防治措施一览表</w:t>
      </w:r>
    </w:p>
    <w:tbl>
      <w:tblPr>
        <w:tblStyle w:val="21"/>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79"/>
        <w:gridCol w:w="3381"/>
        <w:gridCol w:w="1568"/>
        <w:gridCol w:w="8170"/>
      </w:tblGrid>
      <w:tr w14:paraId="3A6666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347" w:type="pct"/>
            <w:vAlign w:val="center"/>
          </w:tcPr>
          <w:p w14:paraId="504F5EFD">
            <w:pPr>
              <w:widowControl/>
              <w:snapToGrid w:val="0"/>
              <w:spacing w:line="240" w:lineRule="auto"/>
              <w:ind w:firstLine="0" w:firstLineChars="0"/>
              <w:jc w:val="center"/>
              <w:rPr>
                <w:rFonts w:hint="eastAsia" w:eastAsia="宋体"/>
                <w:color w:val="auto"/>
                <w:highlight w:val="none"/>
                <w:lang w:val="en-US" w:eastAsia="zh-CN"/>
              </w:rPr>
            </w:pPr>
            <w:r>
              <w:rPr>
                <w:rFonts w:hint="eastAsia" w:ascii="Times New Roman" w:hAnsi="Times New Roman" w:eastAsia="宋体" w:cs="Times New Roman"/>
                <w:color w:val="auto"/>
                <w:kern w:val="0"/>
                <w:sz w:val="21"/>
                <w:szCs w:val="21"/>
                <w:highlight w:val="none"/>
                <w:lang w:eastAsia="en-US"/>
              </w:rPr>
              <w:t>序号</w:t>
            </w:r>
          </w:p>
        </w:tc>
        <w:tc>
          <w:tcPr>
            <w:tcW w:w="1199" w:type="pct"/>
            <w:vAlign w:val="center"/>
          </w:tcPr>
          <w:p w14:paraId="6ADE5CCF">
            <w:pPr>
              <w:widowControl/>
              <w:snapToGrid w:val="0"/>
              <w:spacing w:line="240" w:lineRule="auto"/>
              <w:ind w:firstLine="0" w:firstLineChars="0"/>
              <w:jc w:val="center"/>
              <w:rPr>
                <w:rFonts w:hint="default"/>
                <w:color w:val="auto"/>
                <w:highlight w:val="none"/>
                <w:lang w:val="zh-CN"/>
              </w:rPr>
            </w:pPr>
            <w:r>
              <w:rPr>
                <w:rFonts w:hint="eastAsia" w:ascii="Times New Roman" w:hAnsi="Times New Roman" w:eastAsia="宋体" w:cs="Times New Roman"/>
                <w:color w:val="auto"/>
                <w:kern w:val="0"/>
                <w:sz w:val="21"/>
                <w:szCs w:val="21"/>
                <w:highlight w:val="none"/>
                <w:lang w:eastAsia="en-US"/>
              </w:rPr>
              <w:t>水源保护区名称</w:t>
            </w:r>
          </w:p>
        </w:tc>
        <w:tc>
          <w:tcPr>
            <w:tcW w:w="556" w:type="pct"/>
            <w:vAlign w:val="center"/>
          </w:tcPr>
          <w:p w14:paraId="5A134B88">
            <w:pPr>
              <w:widowControl/>
              <w:snapToGrid w:val="0"/>
              <w:spacing w:line="240" w:lineRule="auto"/>
              <w:ind w:firstLine="0" w:firstLineChars="0"/>
              <w:jc w:val="center"/>
              <w:rPr>
                <w:rFonts w:hint="default"/>
                <w:color w:val="auto"/>
                <w:highlight w:val="none"/>
                <w:lang w:val="zh-CN"/>
              </w:rPr>
            </w:pPr>
            <w:r>
              <w:rPr>
                <w:rFonts w:hint="eastAsia" w:ascii="Times New Roman" w:hAnsi="Times New Roman" w:eastAsia="宋体" w:cs="Times New Roman"/>
                <w:color w:val="auto"/>
                <w:kern w:val="0"/>
                <w:sz w:val="21"/>
                <w:szCs w:val="21"/>
                <w:highlight w:val="none"/>
              </w:rPr>
              <w:t>取水井名称</w:t>
            </w:r>
          </w:p>
        </w:tc>
        <w:tc>
          <w:tcPr>
            <w:tcW w:w="2897" w:type="pct"/>
            <w:vAlign w:val="center"/>
          </w:tcPr>
          <w:p w14:paraId="6813F2B5">
            <w:pPr>
              <w:widowControl/>
              <w:snapToGrid w:val="0"/>
              <w:spacing w:line="240" w:lineRule="auto"/>
              <w:ind w:firstLine="0" w:firstLineChars="0"/>
              <w:jc w:val="center"/>
              <w:rPr>
                <w:rFonts w:hint="default"/>
                <w:color w:val="auto"/>
                <w:highlight w:val="none"/>
                <w:lang w:val="zh-CN"/>
              </w:rPr>
            </w:pPr>
            <w:r>
              <w:rPr>
                <w:rFonts w:hint="eastAsia" w:ascii="Times New Roman" w:hAnsi="Times New Roman" w:eastAsia="宋体" w:cs="Times New Roman"/>
                <w:color w:val="auto"/>
                <w:kern w:val="0"/>
                <w:sz w:val="21"/>
                <w:szCs w:val="21"/>
                <w:highlight w:val="none"/>
              </w:rPr>
              <w:t>污染防治措施及建议</w:t>
            </w:r>
          </w:p>
        </w:tc>
      </w:tr>
      <w:tr w14:paraId="6BB0BF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79" w:type="dxa"/>
            <w:vAlign w:val="center"/>
          </w:tcPr>
          <w:p w14:paraId="3EBDDD6F">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1</w:t>
            </w:r>
          </w:p>
        </w:tc>
        <w:tc>
          <w:tcPr>
            <w:tcW w:w="1199" w:type="pct"/>
            <w:vMerge w:val="restart"/>
            <w:vAlign w:val="center"/>
          </w:tcPr>
          <w:p w14:paraId="5595BAAF">
            <w:pPr>
              <w:widowControl/>
              <w:spacing w:line="240" w:lineRule="auto"/>
              <w:ind w:firstLine="0" w:firstLineChars="0"/>
              <w:jc w:val="center"/>
              <w:textAlignment w:val="center"/>
              <w:rPr>
                <w:rFonts w:hint="default"/>
                <w:color w:val="auto"/>
                <w:highlight w:val="none"/>
                <w:lang w:val="zh-CN"/>
              </w:rPr>
            </w:pPr>
            <w:r>
              <w:rPr>
                <w:rFonts w:hint="eastAsia" w:ascii="Times New Roman" w:hAnsi="Times New Roman" w:eastAsia="宋体" w:cs="Times New Roman"/>
                <w:color w:val="auto"/>
                <w:kern w:val="0"/>
                <w:sz w:val="21"/>
                <w:szCs w:val="21"/>
                <w:highlight w:val="none"/>
                <w:lang w:val="en-US" w:eastAsia="zh-CN" w:bidi="ar"/>
              </w:rPr>
              <w:t>绥化市庆安县发展乡</w:t>
            </w:r>
            <w:r>
              <w:rPr>
                <w:rFonts w:ascii="Times New Roman" w:hAnsi="Times New Roman" w:eastAsia="宋体" w:cs="Times New Roman"/>
                <w:color w:val="auto"/>
                <w:kern w:val="0"/>
                <w:sz w:val="21"/>
                <w:szCs w:val="21"/>
                <w:highlight w:val="none"/>
                <w:lang w:bidi="ar"/>
              </w:rPr>
              <w:t>饮用水水源地</w:t>
            </w:r>
          </w:p>
        </w:tc>
        <w:tc>
          <w:tcPr>
            <w:tcW w:w="556" w:type="pct"/>
            <w:vAlign w:val="center"/>
          </w:tcPr>
          <w:p w14:paraId="62764FDC">
            <w:pPr>
              <w:pStyle w:val="30"/>
              <w:keepNext w:val="0"/>
              <w:keepLines w:val="0"/>
              <w:pageBreakBefore w:val="0"/>
              <w:widowControl w:val="0"/>
              <w:kinsoku/>
              <w:wordWrap/>
              <w:overflowPunct/>
              <w:topLinePunct w:val="0"/>
              <w:autoSpaceDE/>
              <w:autoSpaceDN/>
              <w:bidi w:val="0"/>
              <w:adjustRightInd/>
              <w:snapToGrid/>
              <w:spacing w:line="288" w:lineRule="auto"/>
              <w:textAlignment w:val="auto"/>
              <w:rPr>
                <w:rFonts w:hint="default"/>
                <w:color w:val="auto"/>
                <w:highlight w:val="none"/>
                <w:lang w:val="zh-CN"/>
              </w:rPr>
            </w:pPr>
            <w:r>
              <w:rPr>
                <w:color w:val="auto"/>
                <w:highlight w:val="none"/>
              </w:rPr>
              <w:t>1#</w:t>
            </w:r>
          </w:p>
        </w:tc>
        <w:tc>
          <w:tcPr>
            <w:tcW w:w="2897" w:type="pct"/>
            <w:vAlign w:val="center"/>
          </w:tcPr>
          <w:p w14:paraId="1CA7868B">
            <w:pPr>
              <w:widowControl/>
              <w:snapToGrid w:val="0"/>
              <w:spacing w:line="240" w:lineRule="auto"/>
              <w:ind w:firstLine="0" w:firstLineChars="0"/>
              <w:jc w:val="left"/>
              <w:rPr>
                <w:rFonts w:hint="default"/>
                <w:color w:val="auto"/>
                <w:highlight w:val="none"/>
                <w:lang w:val="zh-CN"/>
              </w:rPr>
            </w:pPr>
            <w:r>
              <w:rPr>
                <w:rFonts w:hint="eastAsia" w:cs="Times New Roman"/>
                <w:color w:val="auto"/>
                <w:kern w:val="0"/>
                <w:sz w:val="21"/>
                <w:szCs w:val="21"/>
                <w:highlight w:val="none"/>
                <w:lang w:val="en-US" w:eastAsia="zh-CN"/>
              </w:rPr>
              <w:t>结合水厂及井群的实际分布情况，对水厂</w:t>
            </w:r>
            <w:r>
              <w:rPr>
                <w:rFonts w:hint="default" w:cs="Times New Roman"/>
                <w:color w:val="auto"/>
                <w:kern w:val="0"/>
                <w:sz w:val="21"/>
                <w:szCs w:val="21"/>
                <w:highlight w:val="none"/>
                <w:lang w:val="en-US" w:eastAsia="zh-CN"/>
              </w:rPr>
              <w:t>及</w:t>
            </w:r>
            <w:r>
              <w:rPr>
                <w:rFonts w:hint="eastAsia" w:cs="Times New Roman"/>
                <w:color w:val="auto"/>
                <w:kern w:val="0"/>
                <w:sz w:val="21"/>
                <w:szCs w:val="21"/>
                <w:highlight w:val="none"/>
                <w:lang w:val="en-US" w:eastAsia="zh-CN"/>
              </w:rPr>
              <w:t>周边</w:t>
            </w:r>
            <w:r>
              <w:rPr>
                <w:rFonts w:hint="default" w:cs="Times New Roman"/>
                <w:color w:val="auto"/>
                <w:kern w:val="0"/>
                <w:sz w:val="21"/>
                <w:szCs w:val="21"/>
                <w:highlight w:val="none"/>
                <w:lang w:val="en-US" w:eastAsia="zh-CN"/>
              </w:rPr>
              <w:t>井群</w:t>
            </w:r>
            <w:r>
              <w:rPr>
                <w:rFonts w:hint="eastAsia" w:cs="Times New Roman"/>
                <w:color w:val="auto"/>
                <w:kern w:val="0"/>
                <w:sz w:val="21"/>
                <w:szCs w:val="21"/>
                <w:highlight w:val="none"/>
                <w:lang w:val="en-US" w:eastAsia="zh-CN"/>
              </w:rPr>
              <w:t>进行</w:t>
            </w:r>
            <w:r>
              <w:rPr>
                <w:rFonts w:hint="default" w:cs="Times New Roman"/>
                <w:color w:val="auto"/>
                <w:kern w:val="0"/>
                <w:sz w:val="21"/>
                <w:szCs w:val="21"/>
                <w:highlight w:val="none"/>
                <w:lang w:val="en-US" w:eastAsia="zh-CN"/>
              </w:rPr>
              <w:t>封闭管理</w:t>
            </w:r>
            <w:r>
              <w:rPr>
                <w:rFonts w:hint="eastAsia" w:cs="Times New Roman"/>
                <w:color w:val="auto"/>
                <w:kern w:val="0"/>
                <w:sz w:val="21"/>
                <w:szCs w:val="21"/>
                <w:highlight w:val="none"/>
                <w:lang w:val="en-US" w:eastAsia="zh-CN"/>
              </w:rPr>
              <w:t>；</w:t>
            </w:r>
            <w:r>
              <w:rPr>
                <w:rFonts w:hint="eastAsia" w:cs="Times New Roman"/>
                <w:color w:val="auto"/>
                <w:kern w:val="0"/>
                <w:sz w:val="21"/>
                <w:szCs w:val="21"/>
                <w:highlight w:val="none"/>
                <w:lang w:eastAsia="zh-CN"/>
              </w:rPr>
              <w:t>重点关注农业面源污染，科学使用农药化肥，严格控制农药化肥的使用量，</w:t>
            </w:r>
            <w:r>
              <w:rPr>
                <w:rFonts w:hint="eastAsia" w:ascii="Times New Roman" w:hAnsi="Times New Roman" w:eastAsia="宋体" w:cs="Times New Roman"/>
                <w:color w:val="auto"/>
                <w:kern w:val="0"/>
                <w:sz w:val="21"/>
                <w:szCs w:val="21"/>
                <w:highlight w:val="none"/>
              </w:rPr>
              <w:t>尽快争取政府专项资金补偿，逐步退耕还林还草；</w:t>
            </w:r>
            <w:r>
              <w:rPr>
                <w:rFonts w:hint="eastAsia" w:cs="Times New Roman"/>
                <w:color w:val="auto"/>
                <w:kern w:val="0"/>
                <w:sz w:val="21"/>
                <w:szCs w:val="21"/>
                <w:highlight w:val="none"/>
                <w:lang w:eastAsia="zh-CN"/>
              </w:rPr>
              <w:t>强化乡村道路风险防控，建议</w:t>
            </w:r>
            <w:r>
              <w:rPr>
                <w:rFonts w:hint="eastAsia" w:ascii="Times New Roman" w:hAnsi="Times New Roman" w:eastAsia="宋体" w:cs="Times New Roman"/>
                <w:color w:val="auto"/>
                <w:kern w:val="0"/>
                <w:sz w:val="21"/>
                <w:szCs w:val="21"/>
                <w:highlight w:val="none"/>
              </w:rPr>
              <w:t>穿越道路</w:t>
            </w:r>
            <w:r>
              <w:rPr>
                <w:rFonts w:ascii="Times New Roman" w:hAnsi="Times New Roman"/>
                <w:color w:val="auto"/>
                <w:sz w:val="21"/>
                <w:szCs w:val="21"/>
                <w:highlight w:val="none"/>
              </w:rPr>
              <w:t>两侧设置排水沟</w:t>
            </w:r>
            <w:r>
              <w:rPr>
                <w:rFonts w:hint="eastAsia" w:ascii="Times New Roman" w:hAnsi="Times New Roman"/>
                <w:color w:val="auto"/>
                <w:sz w:val="21"/>
                <w:szCs w:val="21"/>
                <w:highlight w:val="none"/>
                <w:lang w:eastAsia="zh-CN"/>
              </w:rPr>
              <w:t>，</w:t>
            </w:r>
            <w:r>
              <w:rPr>
                <w:rFonts w:hint="eastAsia" w:ascii="Times New Roman" w:hAnsi="Times New Roman" w:eastAsia="宋体" w:cs="Times New Roman"/>
                <w:color w:val="auto"/>
                <w:kern w:val="0"/>
                <w:sz w:val="21"/>
                <w:szCs w:val="21"/>
                <w:highlight w:val="none"/>
              </w:rPr>
              <w:t>加强管理，设立明显的警示标志；当地政府设立专项经费用于水源地的管理。</w:t>
            </w:r>
          </w:p>
        </w:tc>
      </w:tr>
      <w:tr w14:paraId="2D14C5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79" w:type="dxa"/>
            <w:vAlign w:val="center"/>
          </w:tcPr>
          <w:p w14:paraId="6C4C39D4">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eastAsia="宋体"/>
                <w:color w:val="auto"/>
                <w:highlight w:val="none"/>
                <w:lang w:val="en-US" w:eastAsia="zh-CN"/>
              </w:rPr>
            </w:pPr>
            <w:r>
              <w:rPr>
                <w:rFonts w:hint="eastAsia"/>
                <w:color w:val="auto"/>
                <w:sz w:val="21"/>
                <w:szCs w:val="21"/>
                <w:highlight w:val="none"/>
                <w:lang w:val="en-US" w:eastAsia="zh-CN"/>
              </w:rPr>
              <w:t>2</w:t>
            </w:r>
          </w:p>
        </w:tc>
        <w:tc>
          <w:tcPr>
            <w:tcW w:w="1199" w:type="pct"/>
            <w:vMerge w:val="continue"/>
            <w:vAlign w:val="center"/>
          </w:tcPr>
          <w:p w14:paraId="4FEEAE0B">
            <w:pPr>
              <w:pStyle w:val="30"/>
              <w:keepNext w:val="0"/>
              <w:keepLines w:val="0"/>
              <w:pageBreakBefore w:val="0"/>
              <w:widowControl w:val="0"/>
              <w:kinsoku/>
              <w:wordWrap/>
              <w:overflowPunct/>
              <w:topLinePunct w:val="0"/>
              <w:autoSpaceDE/>
              <w:autoSpaceDN/>
              <w:bidi w:val="0"/>
              <w:adjustRightInd/>
              <w:snapToGrid/>
              <w:spacing w:line="288" w:lineRule="auto"/>
              <w:textAlignment w:val="auto"/>
              <w:rPr>
                <w:rFonts w:hint="default"/>
                <w:color w:val="auto"/>
                <w:highlight w:val="none"/>
                <w:lang w:val="zh-CN"/>
              </w:rPr>
            </w:pPr>
          </w:p>
        </w:tc>
        <w:tc>
          <w:tcPr>
            <w:tcW w:w="556" w:type="pct"/>
            <w:vAlign w:val="center"/>
          </w:tcPr>
          <w:p w14:paraId="1010BDB3">
            <w:pPr>
              <w:pStyle w:val="30"/>
              <w:keepNext w:val="0"/>
              <w:keepLines w:val="0"/>
              <w:pageBreakBefore w:val="0"/>
              <w:widowControl w:val="0"/>
              <w:kinsoku/>
              <w:wordWrap/>
              <w:overflowPunct/>
              <w:topLinePunct w:val="0"/>
              <w:autoSpaceDE/>
              <w:autoSpaceDN/>
              <w:bidi w:val="0"/>
              <w:adjustRightInd/>
              <w:snapToGrid/>
              <w:spacing w:line="288" w:lineRule="auto"/>
              <w:textAlignment w:val="auto"/>
              <w:rPr>
                <w:rFonts w:hint="default"/>
                <w:color w:val="auto"/>
                <w:highlight w:val="none"/>
                <w:lang w:val="zh-CN"/>
              </w:rPr>
            </w:pPr>
            <w:r>
              <w:rPr>
                <w:color w:val="auto"/>
                <w:highlight w:val="none"/>
              </w:rPr>
              <w:t>2#</w:t>
            </w:r>
          </w:p>
        </w:tc>
        <w:tc>
          <w:tcPr>
            <w:tcW w:w="2897" w:type="pct"/>
            <w:vAlign w:val="center"/>
          </w:tcPr>
          <w:p w14:paraId="38FF0792">
            <w:pPr>
              <w:widowControl/>
              <w:snapToGrid w:val="0"/>
              <w:spacing w:line="240" w:lineRule="auto"/>
              <w:ind w:firstLine="0" w:firstLineChars="0"/>
              <w:jc w:val="left"/>
              <w:rPr>
                <w:rFonts w:hint="default"/>
                <w:color w:val="auto"/>
                <w:highlight w:val="none"/>
                <w:lang w:val="zh-CN"/>
              </w:rPr>
            </w:pPr>
            <w:r>
              <w:rPr>
                <w:rFonts w:hint="eastAsia" w:cs="Times New Roman"/>
                <w:color w:val="auto"/>
                <w:kern w:val="0"/>
                <w:sz w:val="21"/>
                <w:szCs w:val="21"/>
                <w:highlight w:val="none"/>
                <w:lang w:val="en-US" w:eastAsia="zh-CN"/>
              </w:rPr>
              <w:t>结合水厂及井群的实际分布情况，对水厂</w:t>
            </w:r>
            <w:r>
              <w:rPr>
                <w:rFonts w:hint="default" w:cs="Times New Roman"/>
                <w:color w:val="auto"/>
                <w:kern w:val="0"/>
                <w:sz w:val="21"/>
                <w:szCs w:val="21"/>
                <w:highlight w:val="none"/>
                <w:lang w:val="en-US" w:eastAsia="zh-CN"/>
              </w:rPr>
              <w:t>及</w:t>
            </w:r>
            <w:r>
              <w:rPr>
                <w:rFonts w:hint="eastAsia" w:cs="Times New Roman"/>
                <w:color w:val="auto"/>
                <w:kern w:val="0"/>
                <w:sz w:val="21"/>
                <w:szCs w:val="21"/>
                <w:highlight w:val="none"/>
                <w:lang w:val="en-US" w:eastAsia="zh-CN"/>
              </w:rPr>
              <w:t>周边</w:t>
            </w:r>
            <w:r>
              <w:rPr>
                <w:rFonts w:hint="default" w:cs="Times New Roman"/>
                <w:color w:val="auto"/>
                <w:kern w:val="0"/>
                <w:sz w:val="21"/>
                <w:szCs w:val="21"/>
                <w:highlight w:val="none"/>
                <w:lang w:val="en-US" w:eastAsia="zh-CN"/>
              </w:rPr>
              <w:t>井群</w:t>
            </w:r>
            <w:r>
              <w:rPr>
                <w:rFonts w:hint="eastAsia" w:cs="Times New Roman"/>
                <w:color w:val="auto"/>
                <w:kern w:val="0"/>
                <w:sz w:val="21"/>
                <w:szCs w:val="21"/>
                <w:highlight w:val="none"/>
                <w:lang w:val="en-US" w:eastAsia="zh-CN"/>
              </w:rPr>
              <w:t>进行</w:t>
            </w:r>
            <w:r>
              <w:rPr>
                <w:rFonts w:hint="default" w:cs="Times New Roman"/>
                <w:color w:val="auto"/>
                <w:kern w:val="0"/>
                <w:sz w:val="21"/>
                <w:szCs w:val="21"/>
                <w:highlight w:val="none"/>
                <w:lang w:val="en-US" w:eastAsia="zh-CN"/>
              </w:rPr>
              <w:t>封闭管理</w:t>
            </w:r>
            <w:r>
              <w:rPr>
                <w:rFonts w:hint="eastAsia" w:cs="Times New Roman"/>
                <w:color w:val="auto"/>
                <w:kern w:val="0"/>
                <w:sz w:val="21"/>
                <w:szCs w:val="21"/>
                <w:highlight w:val="none"/>
                <w:lang w:val="en-US" w:eastAsia="zh-CN"/>
              </w:rPr>
              <w:t>；</w:t>
            </w:r>
            <w:r>
              <w:rPr>
                <w:rFonts w:hint="eastAsia" w:cs="Times New Roman"/>
                <w:color w:val="auto"/>
                <w:kern w:val="0"/>
                <w:sz w:val="21"/>
                <w:szCs w:val="21"/>
                <w:highlight w:val="none"/>
                <w:lang w:eastAsia="zh-CN"/>
              </w:rPr>
              <w:t>重点关注农业面源污染，科学使用农药化肥，严格控制农药化肥的使用量，</w:t>
            </w:r>
            <w:r>
              <w:rPr>
                <w:rFonts w:hint="eastAsia" w:ascii="Times New Roman" w:hAnsi="Times New Roman" w:eastAsia="宋体" w:cs="Times New Roman"/>
                <w:color w:val="auto"/>
                <w:kern w:val="0"/>
                <w:sz w:val="21"/>
                <w:szCs w:val="21"/>
                <w:highlight w:val="none"/>
              </w:rPr>
              <w:t>尽快争取政府专项资金补偿，逐步退耕还林还草；当地政府设立专项经费用于水源地的管理。</w:t>
            </w:r>
          </w:p>
        </w:tc>
      </w:tr>
      <w:tr w14:paraId="569762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79" w:type="dxa"/>
            <w:vAlign w:val="center"/>
          </w:tcPr>
          <w:p w14:paraId="3857FD5E">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eastAsia="宋体"/>
                <w:color w:val="auto"/>
                <w:highlight w:val="none"/>
                <w:lang w:val="en-US" w:eastAsia="zh-CN"/>
              </w:rPr>
            </w:pPr>
            <w:r>
              <w:rPr>
                <w:rFonts w:hint="eastAsia"/>
                <w:color w:val="auto"/>
                <w:sz w:val="21"/>
                <w:szCs w:val="21"/>
                <w:highlight w:val="none"/>
                <w:lang w:val="en-US" w:eastAsia="zh-CN"/>
              </w:rPr>
              <w:t>3</w:t>
            </w:r>
          </w:p>
        </w:tc>
        <w:tc>
          <w:tcPr>
            <w:tcW w:w="1199" w:type="pct"/>
            <w:vMerge w:val="continue"/>
            <w:vAlign w:val="center"/>
          </w:tcPr>
          <w:p w14:paraId="141E0C6D">
            <w:pPr>
              <w:pStyle w:val="30"/>
              <w:keepNext w:val="0"/>
              <w:keepLines w:val="0"/>
              <w:pageBreakBefore w:val="0"/>
              <w:widowControl w:val="0"/>
              <w:kinsoku/>
              <w:wordWrap/>
              <w:overflowPunct/>
              <w:topLinePunct w:val="0"/>
              <w:autoSpaceDE/>
              <w:autoSpaceDN/>
              <w:bidi w:val="0"/>
              <w:adjustRightInd/>
              <w:snapToGrid/>
              <w:spacing w:line="288" w:lineRule="auto"/>
              <w:textAlignment w:val="auto"/>
              <w:rPr>
                <w:rFonts w:hint="default"/>
                <w:color w:val="auto"/>
                <w:highlight w:val="none"/>
                <w:lang w:val="zh-CN"/>
              </w:rPr>
            </w:pPr>
          </w:p>
        </w:tc>
        <w:tc>
          <w:tcPr>
            <w:tcW w:w="556" w:type="pct"/>
            <w:vAlign w:val="center"/>
          </w:tcPr>
          <w:p w14:paraId="439C8CB2">
            <w:pPr>
              <w:pStyle w:val="30"/>
              <w:keepNext w:val="0"/>
              <w:keepLines w:val="0"/>
              <w:pageBreakBefore w:val="0"/>
              <w:widowControl w:val="0"/>
              <w:kinsoku/>
              <w:wordWrap/>
              <w:overflowPunct/>
              <w:topLinePunct w:val="0"/>
              <w:autoSpaceDE/>
              <w:autoSpaceDN/>
              <w:bidi w:val="0"/>
              <w:adjustRightInd/>
              <w:snapToGrid/>
              <w:spacing w:line="288" w:lineRule="auto"/>
              <w:textAlignment w:val="auto"/>
              <w:rPr>
                <w:rFonts w:hint="default"/>
                <w:color w:val="auto"/>
                <w:highlight w:val="none"/>
                <w:lang w:val="zh-CN"/>
              </w:rPr>
            </w:pPr>
            <w:r>
              <w:rPr>
                <w:color w:val="auto"/>
                <w:highlight w:val="none"/>
              </w:rPr>
              <w:t>3#</w:t>
            </w:r>
          </w:p>
        </w:tc>
        <w:tc>
          <w:tcPr>
            <w:tcW w:w="2897" w:type="pct"/>
            <w:vAlign w:val="center"/>
          </w:tcPr>
          <w:p w14:paraId="7A86CF01">
            <w:pPr>
              <w:widowControl/>
              <w:snapToGrid w:val="0"/>
              <w:spacing w:line="240" w:lineRule="auto"/>
              <w:ind w:left="0" w:leftChars="0" w:firstLine="0" w:firstLineChars="0"/>
              <w:jc w:val="left"/>
              <w:rPr>
                <w:rFonts w:hint="default"/>
                <w:color w:val="auto"/>
                <w:highlight w:val="none"/>
                <w:lang w:val="zh-CN"/>
              </w:rPr>
            </w:pPr>
            <w:r>
              <w:rPr>
                <w:rFonts w:hint="eastAsia" w:cs="Times New Roman"/>
                <w:color w:val="auto"/>
                <w:kern w:val="0"/>
                <w:sz w:val="21"/>
                <w:szCs w:val="21"/>
                <w:highlight w:val="none"/>
                <w:lang w:val="en-US" w:eastAsia="zh-CN"/>
              </w:rPr>
              <w:t>结合水厂及井群的实际分布情况，对水厂及周边井群进行封闭管理；</w:t>
            </w:r>
            <w:r>
              <w:rPr>
                <w:rFonts w:hint="eastAsia" w:cs="Times New Roman"/>
                <w:color w:val="auto"/>
                <w:kern w:val="0"/>
                <w:sz w:val="21"/>
                <w:szCs w:val="21"/>
                <w:highlight w:val="none"/>
                <w:lang w:eastAsia="zh-CN"/>
              </w:rPr>
              <w:t>重点关注农业面源污染，科学使用农药化肥，严格控制农药化肥的使用量，</w:t>
            </w:r>
            <w:r>
              <w:rPr>
                <w:rFonts w:hint="eastAsia" w:ascii="Times New Roman" w:hAnsi="Times New Roman" w:eastAsia="宋体" w:cs="Times New Roman"/>
                <w:color w:val="auto"/>
                <w:kern w:val="0"/>
                <w:sz w:val="21"/>
                <w:szCs w:val="21"/>
                <w:highlight w:val="none"/>
              </w:rPr>
              <w:t>尽快争取政府专项资金补偿，逐步退耕还林还草；当地政府设立专项经费用于水源地的管理。</w:t>
            </w:r>
          </w:p>
        </w:tc>
      </w:tr>
      <w:tr w14:paraId="10F50B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79" w:type="dxa"/>
            <w:vAlign w:val="center"/>
          </w:tcPr>
          <w:p w14:paraId="7405421B">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eastAsia="宋体"/>
                <w:color w:val="auto"/>
                <w:highlight w:val="none"/>
                <w:lang w:val="en-US" w:eastAsia="zh-CN"/>
              </w:rPr>
            </w:pPr>
            <w:r>
              <w:rPr>
                <w:rFonts w:hint="eastAsia"/>
                <w:color w:val="auto"/>
                <w:sz w:val="21"/>
                <w:szCs w:val="21"/>
                <w:highlight w:val="none"/>
                <w:lang w:val="en-US" w:eastAsia="zh-CN"/>
              </w:rPr>
              <w:t>4</w:t>
            </w:r>
          </w:p>
        </w:tc>
        <w:tc>
          <w:tcPr>
            <w:tcW w:w="1199" w:type="pct"/>
            <w:vMerge w:val="continue"/>
            <w:vAlign w:val="center"/>
          </w:tcPr>
          <w:p w14:paraId="1C75DB62">
            <w:pPr>
              <w:pStyle w:val="30"/>
              <w:keepNext w:val="0"/>
              <w:keepLines w:val="0"/>
              <w:pageBreakBefore w:val="0"/>
              <w:widowControl w:val="0"/>
              <w:kinsoku/>
              <w:wordWrap/>
              <w:overflowPunct/>
              <w:topLinePunct w:val="0"/>
              <w:autoSpaceDE/>
              <w:autoSpaceDN/>
              <w:bidi w:val="0"/>
              <w:adjustRightInd/>
              <w:snapToGrid/>
              <w:spacing w:line="288" w:lineRule="auto"/>
              <w:textAlignment w:val="auto"/>
              <w:rPr>
                <w:rFonts w:hint="default"/>
                <w:color w:val="auto"/>
                <w:highlight w:val="none"/>
                <w:lang w:val="zh-CN"/>
              </w:rPr>
            </w:pPr>
          </w:p>
        </w:tc>
        <w:tc>
          <w:tcPr>
            <w:tcW w:w="556" w:type="pct"/>
            <w:vAlign w:val="center"/>
          </w:tcPr>
          <w:p w14:paraId="453305CC">
            <w:pPr>
              <w:pStyle w:val="30"/>
              <w:keepNext w:val="0"/>
              <w:keepLines w:val="0"/>
              <w:pageBreakBefore w:val="0"/>
              <w:widowControl w:val="0"/>
              <w:kinsoku/>
              <w:wordWrap/>
              <w:overflowPunct/>
              <w:topLinePunct w:val="0"/>
              <w:autoSpaceDE/>
              <w:autoSpaceDN/>
              <w:bidi w:val="0"/>
              <w:adjustRightInd/>
              <w:snapToGrid/>
              <w:spacing w:line="288" w:lineRule="auto"/>
              <w:textAlignment w:val="auto"/>
              <w:rPr>
                <w:rFonts w:hint="default"/>
                <w:color w:val="auto"/>
                <w:highlight w:val="none"/>
                <w:lang w:val="zh-CN"/>
              </w:rPr>
            </w:pPr>
            <w:r>
              <w:rPr>
                <w:color w:val="auto"/>
                <w:highlight w:val="none"/>
              </w:rPr>
              <w:t>4#</w:t>
            </w:r>
          </w:p>
        </w:tc>
        <w:tc>
          <w:tcPr>
            <w:tcW w:w="2897" w:type="pct"/>
            <w:vAlign w:val="center"/>
          </w:tcPr>
          <w:p w14:paraId="1A5A978E">
            <w:pPr>
              <w:widowControl/>
              <w:snapToGrid w:val="0"/>
              <w:spacing w:line="240" w:lineRule="auto"/>
              <w:ind w:left="0" w:leftChars="0" w:firstLine="0" w:firstLineChars="0"/>
              <w:jc w:val="left"/>
              <w:rPr>
                <w:rFonts w:hint="default"/>
                <w:color w:val="auto"/>
                <w:highlight w:val="none"/>
                <w:lang w:val="zh-CN"/>
              </w:rPr>
            </w:pPr>
            <w:r>
              <w:rPr>
                <w:rFonts w:hint="eastAsia" w:cs="Times New Roman"/>
                <w:color w:val="auto"/>
                <w:kern w:val="0"/>
                <w:sz w:val="21"/>
                <w:szCs w:val="21"/>
                <w:highlight w:val="none"/>
                <w:lang w:val="en-US" w:eastAsia="zh-CN"/>
              </w:rPr>
              <w:t>结合水厂及井群的实际分布情况，对水厂及周边井群进行封闭管理；</w:t>
            </w:r>
            <w:r>
              <w:rPr>
                <w:rFonts w:hint="eastAsia" w:cs="Times New Roman"/>
                <w:color w:val="auto"/>
                <w:kern w:val="0"/>
                <w:sz w:val="21"/>
                <w:szCs w:val="21"/>
                <w:highlight w:val="none"/>
                <w:lang w:eastAsia="zh-CN"/>
              </w:rPr>
              <w:t>重点关注农业面源污染，科学使用农药化肥，严格控制农药化肥的使用量，</w:t>
            </w:r>
            <w:r>
              <w:rPr>
                <w:rFonts w:hint="eastAsia" w:ascii="Times New Roman" w:hAnsi="Times New Roman" w:eastAsia="宋体" w:cs="Times New Roman"/>
                <w:color w:val="auto"/>
                <w:kern w:val="0"/>
                <w:sz w:val="21"/>
                <w:szCs w:val="21"/>
                <w:highlight w:val="none"/>
              </w:rPr>
              <w:t>尽快争取政府专项资金补偿，逐步退耕还林还草；当地政府设立专项经费用于水源地的管理。</w:t>
            </w:r>
          </w:p>
        </w:tc>
      </w:tr>
      <w:tr w14:paraId="12ADC1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79" w:type="dxa"/>
            <w:vAlign w:val="center"/>
          </w:tcPr>
          <w:p w14:paraId="16110BEC">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eastAsia="宋体"/>
                <w:color w:val="auto"/>
                <w:highlight w:val="none"/>
                <w:lang w:val="en-US" w:eastAsia="zh-CN"/>
              </w:rPr>
            </w:pPr>
            <w:r>
              <w:rPr>
                <w:rFonts w:hint="eastAsia"/>
                <w:color w:val="auto"/>
                <w:sz w:val="21"/>
                <w:szCs w:val="21"/>
                <w:highlight w:val="none"/>
                <w:lang w:val="en-US" w:eastAsia="zh-CN"/>
              </w:rPr>
              <w:t>5</w:t>
            </w:r>
          </w:p>
        </w:tc>
        <w:tc>
          <w:tcPr>
            <w:tcW w:w="1199" w:type="pct"/>
            <w:vMerge w:val="continue"/>
            <w:vAlign w:val="center"/>
          </w:tcPr>
          <w:p w14:paraId="48B1DF1B">
            <w:pPr>
              <w:pStyle w:val="30"/>
              <w:keepNext w:val="0"/>
              <w:keepLines w:val="0"/>
              <w:pageBreakBefore w:val="0"/>
              <w:widowControl w:val="0"/>
              <w:kinsoku/>
              <w:wordWrap/>
              <w:overflowPunct/>
              <w:topLinePunct w:val="0"/>
              <w:autoSpaceDE/>
              <w:autoSpaceDN/>
              <w:bidi w:val="0"/>
              <w:adjustRightInd/>
              <w:snapToGrid/>
              <w:spacing w:line="288" w:lineRule="auto"/>
              <w:textAlignment w:val="auto"/>
              <w:rPr>
                <w:rFonts w:hint="default"/>
                <w:color w:val="auto"/>
                <w:highlight w:val="none"/>
                <w:lang w:val="zh-CN"/>
              </w:rPr>
            </w:pPr>
          </w:p>
        </w:tc>
        <w:tc>
          <w:tcPr>
            <w:tcW w:w="556" w:type="pct"/>
            <w:vAlign w:val="center"/>
          </w:tcPr>
          <w:p w14:paraId="58E0CAC3">
            <w:pPr>
              <w:pStyle w:val="30"/>
              <w:keepNext w:val="0"/>
              <w:keepLines w:val="0"/>
              <w:pageBreakBefore w:val="0"/>
              <w:widowControl w:val="0"/>
              <w:kinsoku/>
              <w:wordWrap/>
              <w:overflowPunct/>
              <w:topLinePunct w:val="0"/>
              <w:autoSpaceDE/>
              <w:autoSpaceDN/>
              <w:bidi w:val="0"/>
              <w:adjustRightInd/>
              <w:snapToGrid/>
              <w:spacing w:line="288" w:lineRule="auto"/>
              <w:textAlignment w:val="auto"/>
              <w:rPr>
                <w:rFonts w:hint="default"/>
                <w:color w:val="auto"/>
                <w:highlight w:val="none"/>
                <w:lang w:val="zh-CN"/>
              </w:rPr>
            </w:pPr>
            <w:r>
              <w:rPr>
                <w:color w:val="auto"/>
                <w:highlight w:val="none"/>
              </w:rPr>
              <w:t>5#</w:t>
            </w:r>
          </w:p>
        </w:tc>
        <w:tc>
          <w:tcPr>
            <w:tcW w:w="2897" w:type="pct"/>
            <w:vAlign w:val="center"/>
          </w:tcPr>
          <w:p w14:paraId="0B8BBD53">
            <w:pPr>
              <w:widowControl/>
              <w:snapToGrid w:val="0"/>
              <w:spacing w:line="240" w:lineRule="auto"/>
              <w:ind w:left="0" w:leftChars="0" w:firstLine="0" w:firstLineChars="0"/>
              <w:jc w:val="left"/>
              <w:rPr>
                <w:rFonts w:hint="default"/>
                <w:color w:val="auto"/>
                <w:highlight w:val="none"/>
                <w:lang w:val="zh-CN"/>
              </w:rPr>
            </w:pPr>
            <w:r>
              <w:rPr>
                <w:rFonts w:hint="eastAsia" w:cs="Times New Roman"/>
                <w:color w:val="auto"/>
                <w:kern w:val="0"/>
                <w:sz w:val="21"/>
                <w:szCs w:val="21"/>
                <w:highlight w:val="none"/>
                <w:lang w:val="en-US" w:eastAsia="zh-CN"/>
              </w:rPr>
              <w:t>结合水厂及井群的实际分布情况，对水厂及周边井群进行封闭管理；</w:t>
            </w:r>
            <w:r>
              <w:rPr>
                <w:rFonts w:hint="eastAsia" w:cs="Times New Roman"/>
                <w:color w:val="auto"/>
                <w:kern w:val="0"/>
                <w:sz w:val="21"/>
                <w:szCs w:val="21"/>
                <w:highlight w:val="none"/>
                <w:lang w:eastAsia="zh-CN"/>
              </w:rPr>
              <w:t>重点关注农业面源污染，科学使用农药化肥，严格控制农药化肥的使用量，</w:t>
            </w:r>
            <w:r>
              <w:rPr>
                <w:rFonts w:hint="eastAsia" w:ascii="Times New Roman" w:hAnsi="Times New Roman" w:eastAsia="宋体" w:cs="Times New Roman"/>
                <w:color w:val="auto"/>
                <w:kern w:val="0"/>
                <w:sz w:val="21"/>
                <w:szCs w:val="21"/>
                <w:highlight w:val="none"/>
              </w:rPr>
              <w:t>尽快争取政府专项资金补偿，逐步退耕还林还草；当地政府设立专项经费用于水源地的管理。</w:t>
            </w:r>
          </w:p>
        </w:tc>
      </w:tr>
      <w:tr w14:paraId="5F60FD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79" w:type="dxa"/>
            <w:vAlign w:val="center"/>
          </w:tcPr>
          <w:p w14:paraId="4762E5EB">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eastAsia="宋体"/>
                <w:color w:val="auto"/>
                <w:highlight w:val="none"/>
                <w:lang w:val="en-US" w:eastAsia="zh-CN"/>
              </w:rPr>
            </w:pPr>
            <w:r>
              <w:rPr>
                <w:rFonts w:hint="eastAsia"/>
                <w:color w:val="auto"/>
                <w:sz w:val="21"/>
                <w:szCs w:val="21"/>
                <w:highlight w:val="none"/>
                <w:lang w:val="en-US" w:eastAsia="zh-CN"/>
              </w:rPr>
              <w:t>6</w:t>
            </w:r>
          </w:p>
        </w:tc>
        <w:tc>
          <w:tcPr>
            <w:tcW w:w="1199" w:type="pct"/>
            <w:vMerge w:val="continue"/>
            <w:vAlign w:val="center"/>
          </w:tcPr>
          <w:p w14:paraId="4C735DCE">
            <w:pPr>
              <w:pStyle w:val="30"/>
              <w:keepNext w:val="0"/>
              <w:keepLines w:val="0"/>
              <w:pageBreakBefore w:val="0"/>
              <w:widowControl w:val="0"/>
              <w:kinsoku/>
              <w:wordWrap/>
              <w:overflowPunct/>
              <w:topLinePunct w:val="0"/>
              <w:autoSpaceDE/>
              <w:autoSpaceDN/>
              <w:bidi w:val="0"/>
              <w:adjustRightInd/>
              <w:snapToGrid/>
              <w:spacing w:line="288" w:lineRule="auto"/>
              <w:textAlignment w:val="auto"/>
              <w:rPr>
                <w:rFonts w:hint="default"/>
                <w:color w:val="auto"/>
                <w:highlight w:val="none"/>
                <w:lang w:val="zh-CN"/>
              </w:rPr>
            </w:pPr>
          </w:p>
        </w:tc>
        <w:tc>
          <w:tcPr>
            <w:tcW w:w="556" w:type="pct"/>
            <w:vAlign w:val="center"/>
          </w:tcPr>
          <w:p w14:paraId="53730A87">
            <w:pPr>
              <w:pStyle w:val="30"/>
              <w:keepNext w:val="0"/>
              <w:keepLines w:val="0"/>
              <w:pageBreakBefore w:val="0"/>
              <w:widowControl w:val="0"/>
              <w:kinsoku/>
              <w:wordWrap/>
              <w:overflowPunct/>
              <w:topLinePunct w:val="0"/>
              <w:autoSpaceDE/>
              <w:autoSpaceDN/>
              <w:bidi w:val="0"/>
              <w:adjustRightInd/>
              <w:snapToGrid/>
              <w:spacing w:line="288" w:lineRule="auto"/>
              <w:textAlignment w:val="auto"/>
              <w:rPr>
                <w:rFonts w:hint="default"/>
                <w:color w:val="auto"/>
                <w:highlight w:val="none"/>
                <w:lang w:val="zh-CN"/>
              </w:rPr>
            </w:pPr>
            <w:r>
              <w:rPr>
                <w:color w:val="auto"/>
                <w:highlight w:val="none"/>
              </w:rPr>
              <w:t>6#</w:t>
            </w:r>
          </w:p>
        </w:tc>
        <w:tc>
          <w:tcPr>
            <w:tcW w:w="2897" w:type="pct"/>
            <w:vAlign w:val="center"/>
          </w:tcPr>
          <w:p w14:paraId="73246674">
            <w:pPr>
              <w:widowControl/>
              <w:snapToGrid w:val="0"/>
              <w:spacing w:line="240" w:lineRule="auto"/>
              <w:ind w:left="0" w:leftChars="0" w:firstLine="0" w:firstLineChars="0"/>
              <w:jc w:val="left"/>
              <w:rPr>
                <w:rFonts w:hint="default"/>
                <w:color w:val="auto"/>
                <w:highlight w:val="none"/>
                <w:lang w:val="zh-CN"/>
              </w:rPr>
            </w:pPr>
            <w:r>
              <w:rPr>
                <w:rFonts w:hint="eastAsia" w:cs="Times New Roman"/>
                <w:color w:val="auto"/>
                <w:kern w:val="0"/>
                <w:sz w:val="21"/>
                <w:szCs w:val="21"/>
                <w:highlight w:val="none"/>
                <w:lang w:val="en-US" w:eastAsia="zh-CN"/>
              </w:rPr>
              <w:t>结合水厂及井群的实际分布情况，对水厂及周边井群进行封闭管理；</w:t>
            </w:r>
            <w:r>
              <w:rPr>
                <w:rFonts w:hint="eastAsia" w:cs="Times New Roman"/>
                <w:color w:val="auto"/>
                <w:kern w:val="0"/>
                <w:sz w:val="21"/>
                <w:szCs w:val="21"/>
                <w:highlight w:val="none"/>
                <w:lang w:eastAsia="zh-CN"/>
              </w:rPr>
              <w:t>重点关注农业面源污染，科学使用农药化肥，严格控制农药化肥的使用量，</w:t>
            </w:r>
            <w:r>
              <w:rPr>
                <w:rFonts w:hint="eastAsia" w:ascii="Times New Roman" w:hAnsi="Times New Roman" w:eastAsia="宋体" w:cs="Times New Roman"/>
                <w:color w:val="auto"/>
                <w:kern w:val="0"/>
                <w:sz w:val="21"/>
                <w:szCs w:val="21"/>
                <w:highlight w:val="none"/>
              </w:rPr>
              <w:t>尽快争取政府专项资金补偿，逐步退耕还林还草；当地政府设立专项经费用于水源地的管理。</w:t>
            </w:r>
          </w:p>
        </w:tc>
      </w:tr>
      <w:tr w14:paraId="335134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79" w:type="dxa"/>
            <w:vAlign w:val="center"/>
          </w:tcPr>
          <w:p w14:paraId="7278F803">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eastAsia="宋体"/>
                <w:color w:val="auto"/>
                <w:highlight w:val="none"/>
                <w:lang w:val="en-US" w:eastAsia="zh-CN"/>
              </w:rPr>
            </w:pPr>
            <w:r>
              <w:rPr>
                <w:rFonts w:hint="eastAsia"/>
                <w:color w:val="auto"/>
                <w:sz w:val="21"/>
                <w:szCs w:val="21"/>
                <w:highlight w:val="none"/>
                <w:lang w:val="en-US" w:eastAsia="zh-CN"/>
              </w:rPr>
              <w:t>7</w:t>
            </w:r>
          </w:p>
        </w:tc>
        <w:tc>
          <w:tcPr>
            <w:tcW w:w="1199" w:type="pct"/>
            <w:vMerge w:val="continue"/>
            <w:vAlign w:val="center"/>
          </w:tcPr>
          <w:p w14:paraId="33EC252C">
            <w:pPr>
              <w:pStyle w:val="30"/>
              <w:keepNext w:val="0"/>
              <w:keepLines w:val="0"/>
              <w:pageBreakBefore w:val="0"/>
              <w:widowControl w:val="0"/>
              <w:kinsoku/>
              <w:wordWrap/>
              <w:overflowPunct/>
              <w:topLinePunct w:val="0"/>
              <w:autoSpaceDE/>
              <w:autoSpaceDN/>
              <w:bidi w:val="0"/>
              <w:adjustRightInd/>
              <w:snapToGrid/>
              <w:spacing w:line="288" w:lineRule="auto"/>
              <w:textAlignment w:val="auto"/>
              <w:rPr>
                <w:rFonts w:hint="default"/>
                <w:color w:val="auto"/>
                <w:highlight w:val="none"/>
                <w:lang w:val="zh-CN"/>
              </w:rPr>
            </w:pPr>
          </w:p>
        </w:tc>
        <w:tc>
          <w:tcPr>
            <w:tcW w:w="556" w:type="pct"/>
            <w:vAlign w:val="center"/>
          </w:tcPr>
          <w:p w14:paraId="5FEF4C0F">
            <w:pPr>
              <w:pStyle w:val="30"/>
              <w:keepNext w:val="0"/>
              <w:keepLines w:val="0"/>
              <w:pageBreakBefore w:val="0"/>
              <w:widowControl w:val="0"/>
              <w:kinsoku/>
              <w:wordWrap/>
              <w:overflowPunct/>
              <w:topLinePunct w:val="0"/>
              <w:autoSpaceDE/>
              <w:autoSpaceDN/>
              <w:bidi w:val="0"/>
              <w:adjustRightInd/>
              <w:snapToGrid/>
              <w:spacing w:line="288" w:lineRule="auto"/>
              <w:textAlignment w:val="auto"/>
              <w:rPr>
                <w:rFonts w:hint="default"/>
                <w:color w:val="auto"/>
                <w:highlight w:val="none"/>
                <w:lang w:val="zh-CN"/>
              </w:rPr>
            </w:pPr>
            <w:r>
              <w:rPr>
                <w:color w:val="auto"/>
                <w:highlight w:val="none"/>
              </w:rPr>
              <w:t>7#</w:t>
            </w:r>
          </w:p>
        </w:tc>
        <w:tc>
          <w:tcPr>
            <w:tcW w:w="2897" w:type="pct"/>
            <w:vAlign w:val="center"/>
          </w:tcPr>
          <w:p w14:paraId="7F497570">
            <w:pPr>
              <w:widowControl/>
              <w:snapToGrid w:val="0"/>
              <w:spacing w:line="240" w:lineRule="auto"/>
              <w:ind w:left="0" w:leftChars="0" w:firstLine="0" w:firstLineChars="0"/>
              <w:jc w:val="left"/>
              <w:rPr>
                <w:rFonts w:hint="default"/>
                <w:color w:val="auto"/>
                <w:highlight w:val="none"/>
                <w:lang w:val="zh-CN"/>
              </w:rPr>
            </w:pPr>
            <w:r>
              <w:rPr>
                <w:rFonts w:hint="eastAsia" w:cs="Times New Roman"/>
                <w:color w:val="auto"/>
                <w:kern w:val="0"/>
                <w:sz w:val="21"/>
                <w:szCs w:val="21"/>
                <w:highlight w:val="none"/>
                <w:lang w:val="en-US" w:eastAsia="zh-CN"/>
              </w:rPr>
              <w:t>结合水厂及井群的实际分布情况，对水厂及周边井群进行封闭管理；</w:t>
            </w:r>
            <w:r>
              <w:rPr>
                <w:rFonts w:hint="eastAsia" w:cs="Times New Roman"/>
                <w:color w:val="auto"/>
                <w:kern w:val="0"/>
                <w:sz w:val="21"/>
                <w:szCs w:val="21"/>
                <w:highlight w:val="none"/>
                <w:lang w:eastAsia="zh-CN"/>
              </w:rPr>
              <w:t>重点关注农业面源污染，科学使用农药化肥，严格控制农药化肥的使用量，</w:t>
            </w:r>
            <w:r>
              <w:rPr>
                <w:rFonts w:hint="eastAsia" w:ascii="Times New Roman" w:hAnsi="Times New Roman" w:eastAsia="宋体" w:cs="Times New Roman"/>
                <w:color w:val="auto"/>
                <w:kern w:val="0"/>
                <w:sz w:val="21"/>
                <w:szCs w:val="21"/>
                <w:highlight w:val="none"/>
              </w:rPr>
              <w:t>尽快争取政府专项资金补偿，逐步退耕还林还草；当地政府设立专项经费用于水源地的管理。</w:t>
            </w:r>
          </w:p>
        </w:tc>
      </w:tr>
      <w:tr w14:paraId="20533B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79" w:type="dxa"/>
            <w:vAlign w:val="center"/>
          </w:tcPr>
          <w:p w14:paraId="5641F3EA">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eastAsia="宋体"/>
                <w:color w:val="auto"/>
                <w:highlight w:val="none"/>
                <w:lang w:val="en-US" w:eastAsia="zh-CN"/>
              </w:rPr>
            </w:pPr>
            <w:r>
              <w:rPr>
                <w:rFonts w:hint="eastAsia"/>
                <w:color w:val="auto"/>
                <w:sz w:val="21"/>
                <w:szCs w:val="21"/>
                <w:highlight w:val="none"/>
                <w:lang w:val="en-US" w:eastAsia="zh-CN"/>
              </w:rPr>
              <w:t>8</w:t>
            </w:r>
          </w:p>
        </w:tc>
        <w:tc>
          <w:tcPr>
            <w:tcW w:w="1199" w:type="pct"/>
            <w:vMerge w:val="continue"/>
            <w:vAlign w:val="center"/>
          </w:tcPr>
          <w:p w14:paraId="12DEE222">
            <w:pPr>
              <w:pStyle w:val="30"/>
              <w:keepNext w:val="0"/>
              <w:keepLines w:val="0"/>
              <w:pageBreakBefore w:val="0"/>
              <w:widowControl w:val="0"/>
              <w:kinsoku/>
              <w:wordWrap/>
              <w:overflowPunct/>
              <w:topLinePunct w:val="0"/>
              <w:autoSpaceDE/>
              <w:autoSpaceDN/>
              <w:bidi w:val="0"/>
              <w:adjustRightInd/>
              <w:snapToGrid/>
              <w:spacing w:line="288" w:lineRule="auto"/>
              <w:textAlignment w:val="auto"/>
              <w:rPr>
                <w:rFonts w:hint="default"/>
                <w:color w:val="auto"/>
                <w:highlight w:val="none"/>
                <w:lang w:val="zh-CN"/>
              </w:rPr>
            </w:pPr>
          </w:p>
        </w:tc>
        <w:tc>
          <w:tcPr>
            <w:tcW w:w="556" w:type="pct"/>
            <w:vAlign w:val="center"/>
          </w:tcPr>
          <w:p w14:paraId="47F6EB28">
            <w:pPr>
              <w:pStyle w:val="30"/>
              <w:keepNext w:val="0"/>
              <w:keepLines w:val="0"/>
              <w:pageBreakBefore w:val="0"/>
              <w:widowControl w:val="0"/>
              <w:kinsoku/>
              <w:wordWrap/>
              <w:overflowPunct/>
              <w:topLinePunct w:val="0"/>
              <w:autoSpaceDE/>
              <w:autoSpaceDN/>
              <w:bidi w:val="0"/>
              <w:adjustRightInd/>
              <w:snapToGrid/>
              <w:spacing w:line="288" w:lineRule="auto"/>
              <w:textAlignment w:val="auto"/>
              <w:rPr>
                <w:rFonts w:hint="default"/>
                <w:color w:val="auto"/>
                <w:highlight w:val="none"/>
                <w:lang w:val="zh-CN"/>
              </w:rPr>
            </w:pPr>
            <w:r>
              <w:rPr>
                <w:color w:val="auto"/>
                <w:highlight w:val="none"/>
              </w:rPr>
              <w:t>8#</w:t>
            </w:r>
          </w:p>
        </w:tc>
        <w:tc>
          <w:tcPr>
            <w:tcW w:w="2897" w:type="pct"/>
            <w:vAlign w:val="center"/>
          </w:tcPr>
          <w:p w14:paraId="288FB180">
            <w:pPr>
              <w:widowControl/>
              <w:snapToGrid w:val="0"/>
              <w:spacing w:line="240" w:lineRule="auto"/>
              <w:ind w:firstLine="0" w:firstLineChars="0"/>
              <w:jc w:val="left"/>
              <w:rPr>
                <w:rFonts w:hint="default"/>
                <w:color w:val="auto"/>
                <w:highlight w:val="none"/>
                <w:lang w:val="zh-CN"/>
              </w:rPr>
            </w:pPr>
            <w:r>
              <w:rPr>
                <w:rFonts w:hint="eastAsia" w:cs="Times New Roman"/>
                <w:color w:val="auto"/>
                <w:kern w:val="0"/>
                <w:sz w:val="21"/>
                <w:szCs w:val="21"/>
                <w:highlight w:val="none"/>
                <w:lang w:val="en-US" w:eastAsia="zh-CN"/>
              </w:rPr>
              <w:t>结合水厂及井群的实际分布情况，对水厂及周边井群进行封闭管理；</w:t>
            </w:r>
            <w:r>
              <w:rPr>
                <w:rFonts w:hint="eastAsia" w:cs="Times New Roman"/>
                <w:color w:val="auto"/>
                <w:kern w:val="0"/>
                <w:sz w:val="21"/>
                <w:szCs w:val="21"/>
                <w:highlight w:val="none"/>
                <w:lang w:eastAsia="zh-CN"/>
              </w:rPr>
              <w:t>重点关注农业面源污染，科学使用农药化肥，严格控制农药化肥的使用量，</w:t>
            </w:r>
            <w:r>
              <w:rPr>
                <w:rFonts w:hint="eastAsia" w:ascii="Times New Roman" w:hAnsi="Times New Roman" w:eastAsia="宋体" w:cs="Times New Roman"/>
                <w:color w:val="auto"/>
                <w:kern w:val="0"/>
                <w:sz w:val="21"/>
                <w:szCs w:val="21"/>
                <w:highlight w:val="none"/>
              </w:rPr>
              <w:t>尽快争取政府专项资金补偿，逐步退耕还林还草；</w:t>
            </w:r>
            <w:r>
              <w:rPr>
                <w:rFonts w:hint="eastAsia" w:cs="Times New Roman"/>
                <w:color w:val="auto"/>
                <w:kern w:val="0"/>
                <w:sz w:val="21"/>
                <w:szCs w:val="21"/>
                <w:highlight w:val="none"/>
                <w:lang w:eastAsia="zh-CN"/>
              </w:rPr>
              <w:t>强化乡村道路风险防控，建议</w:t>
            </w:r>
            <w:r>
              <w:rPr>
                <w:rFonts w:hint="eastAsia" w:ascii="Times New Roman" w:hAnsi="Times New Roman" w:eastAsia="宋体" w:cs="Times New Roman"/>
                <w:color w:val="auto"/>
                <w:kern w:val="0"/>
                <w:sz w:val="21"/>
                <w:szCs w:val="21"/>
                <w:highlight w:val="none"/>
              </w:rPr>
              <w:t>穿越道路</w:t>
            </w:r>
            <w:r>
              <w:rPr>
                <w:rFonts w:ascii="Times New Roman" w:hAnsi="Times New Roman"/>
                <w:color w:val="auto"/>
                <w:sz w:val="21"/>
                <w:szCs w:val="21"/>
                <w:highlight w:val="none"/>
              </w:rPr>
              <w:t>两侧设置排水沟</w:t>
            </w:r>
            <w:r>
              <w:rPr>
                <w:rFonts w:hint="eastAsia" w:ascii="Times New Roman" w:hAnsi="Times New Roman"/>
                <w:color w:val="auto"/>
                <w:sz w:val="21"/>
                <w:szCs w:val="21"/>
                <w:highlight w:val="none"/>
                <w:lang w:eastAsia="zh-CN"/>
              </w:rPr>
              <w:t>，</w:t>
            </w:r>
            <w:r>
              <w:rPr>
                <w:rFonts w:hint="eastAsia" w:ascii="Times New Roman" w:hAnsi="Times New Roman" w:eastAsia="宋体" w:cs="Times New Roman"/>
                <w:color w:val="auto"/>
                <w:kern w:val="0"/>
                <w:sz w:val="21"/>
                <w:szCs w:val="21"/>
                <w:highlight w:val="none"/>
              </w:rPr>
              <w:t>加强管理，设立明显的警示标志；当地政府设立专项经费用于水源地的管理。</w:t>
            </w:r>
          </w:p>
        </w:tc>
      </w:tr>
      <w:tr w14:paraId="69014C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79" w:type="dxa"/>
            <w:vAlign w:val="center"/>
          </w:tcPr>
          <w:p w14:paraId="651C19A9">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9</w:t>
            </w:r>
          </w:p>
        </w:tc>
        <w:tc>
          <w:tcPr>
            <w:tcW w:w="1199" w:type="pct"/>
            <w:vMerge w:val="restart"/>
            <w:vAlign w:val="center"/>
          </w:tcPr>
          <w:p w14:paraId="191F3AE5">
            <w:pPr>
              <w:widowControl/>
              <w:spacing w:line="240" w:lineRule="auto"/>
              <w:ind w:firstLine="0" w:firstLineChars="0"/>
              <w:jc w:val="center"/>
              <w:textAlignment w:val="center"/>
              <w:rPr>
                <w:rFonts w:hint="default"/>
                <w:color w:val="auto"/>
                <w:highlight w:val="none"/>
                <w:lang w:val="zh-CN"/>
              </w:rPr>
            </w:pPr>
            <w:r>
              <w:rPr>
                <w:rFonts w:hint="eastAsia" w:ascii="Times New Roman" w:hAnsi="Times New Roman" w:eastAsia="宋体" w:cs="Times New Roman"/>
                <w:color w:val="auto"/>
                <w:kern w:val="0"/>
                <w:sz w:val="21"/>
                <w:szCs w:val="21"/>
                <w:highlight w:val="none"/>
                <w:lang w:val="en-US" w:eastAsia="zh-CN" w:bidi="ar"/>
              </w:rPr>
              <w:t>绥化市庆安县建民乡</w:t>
            </w:r>
            <w:r>
              <w:rPr>
                <w:rFonts w:ascii="Times New Roman" w:hAnsi="Times New Roman" w:eastAsia="宋体" w:cs="Times New Roman"/>
                <w:color w:val="auto"/>
                <w:kern w:val="0"/>
                <w:sz w:val="21"/>
                <w:szCs w:val="21"/>
                <w:highlight w:val="none"/>
                <w:lang w:bidi="ar"/>
              </w:rPr>
              <w:t>饮用水水源地</w:t>
            </w:r>
          </w:p>
        </w:tc>
        <w:tc>
          <w:tcPr>
            <w:tcW w:w="556" w:type="pct"/>
            <w:vAlign w:val="center"/>
          </w:tcPr>
          <w:p w14:paraId="79B875F7">
            <w:pPr>
              <w:pStyle w:val="30"/>
              <w:keepNext w:val="0"/>
              <w:keepLines w:val="0"/>
              <w:pageBreakBefore w:val="0"/>
              <w:widowControl w:val="0"/>
              <w:kinsoku/>
              <w:wordWrap/>
              <w:overflowPunct/>
              <w:topLinePunct w:val="0"/>
              <w:autoSpaceDE/>
              <w:autoSpaceDN/>
              <w:bidi w:val="0"/>
              <w:adjustRightInd/>
              <w:snapToGrid/>
              <w:spacing w:line="288" w:lineRule="auto"/>
              <w:ind w:firstLine="0" w:firstLineChars="0"/>
              <w:textAlignment w:val="auto"/>
              <w:rPr>
                <w:rFonts w:hint="default"/>
                <w:color w:val="auto"/>
                <w:highlight w:val="none"/>
                <w:lang w:val="zh-CN"/>
              </w:rPr>
            </w:pPr>
            <w:r>
              <w:rPr>
                <w:color w:val="auto"/>
                <w:highlight w:val="none"/>
              </w:rPr>
              <w:t>1#</w:t>
            </w:r>
          </w:p>
        </w:tc>
        <w:tc>
          <w:tcPr>
            <w:tcW w:w="2897" w:type="pct"/>
            <w:vAlign w:val="center"/>
          </w:tcPr>
          <w:p w14:paraId="6FA793F9">
            <w:pPr>
              <w:widowControl/>
              <w:snapToGrid w:val="0"/>
              <w:spacing w:line="240" w:lineRule="auto"/>
              <w:ind w:left="0" w:leftChars="0" w:firstLine="0" w:firstLineChars="0"/>
              <w:jc w:val="left"/>
              <w:rPr>
                <w:rFonts w:hint="default"/>
                <w:color w:val="auto"/>
                <w:highlight w:val="none"/>
                <w:lang w:val="zh-CN"/>
              </w:rPr>
            </w:pPr>
            <w:r>
              <w:rPr>
                <w:rFonts w:hint="eastAsia" w:cs="Times New Roman"/>
                <w:color w:val="auto"/>
                <w:kern w:val="0"/>
                <w:sz w:val="21"/>
                <w:szCs w:val="21"/>
                <w:highlight w:val="none"/>
                <w:lang w:val="en-US" w:eastAsia="zh-CN"/>
              </w:rPr>
              <w:t>结合水厂及井群的实际分布情况，对水厂及周边井群进行封闭管理；</w:t>
            </w:r>
            <w:r>
              <w:rPr>
                <w:rFonts w:hint="eastAsia" w:cs="Times New Roman"/>
                <w:color w:val="auto"/>
                <w:kern w:val="0"/>
                <w:sz w:val="21"/>
                <w:szCs w:val="21"/>
                <w:highlight w:val="none"/>
                <w:lang w:eastAsia="zh-CN"/>
              </w:rPr>
              <w:t>科学使用农药化肥，严格控制农药化肥的使用量，</w:t>
            </w:r>
            <w:r>
              <w:rPr>
                <w:rFonts w:hint="eastAsia" w:ascii="Times New Roman" w:hAnsi="Times New Roman" w:eastAsia="宋体" w:cs="Times New Roman"/>
                <w:color w:val="auto"/>
                <w:kern w:val="0"/>
                <w:sz w:val="21"/>
                <w:szCs w:val="21"/>
                <w:highlight w:val="none"/>
              </w:rPr>
              <w:t>尽快争取政府专项资金补偿，逐步退耕还林还草；</w:t>
            </w:r>
            <w:r>
              <w:rPr>
                <w:rFonts w:hint="eastAsia" w:cs="Times New Roman"/>
                <w:color w:val="auto"/>
                <w:kern w:val="0"/>
                <w:sz w:val="21"/>
                <w:szCs w:val="21"/>
                <w:highlight w:val="none"/>
                <w:lang w:eastAsia="zh-CN"/>
              </w:rPr>
              <w:t>强化乡村道路风险防控，建议穿越道路两侧设置排水沟，加强管理，设立明显的警示标志；</w:t>
            </w:r>
            <w:r>
              <w:rPr>
                <w:rFonts w:hint="eastAsia" w:ascii="Times New Roman" w:hAnsi="Times New Roman" w:eastAsia="宋体" w:cs="Times New Roman"/>
                <w:color w:val="auto"/>
                <w:kern w:val="0"/>
                <w:sz w:val="21"/>
                <w:szCs w:val="21"/>
                <w:highlight w:val="none"/>
              </w:rPr>
              <w:t>当地政府设立专项经费用于水源地的管理。</w:t>
            </w:r>
          </w:p>
        </w:tc>
      </w:tr>
      <w:tr w14:paraId="2C3F62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79" w:type="dxa"/>
            <w:vAlign w:val="center"/>
          </w:tcPr>
          <w:p w14:paraId="781B9B20">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eastAsia="宋体"/>
                <w:color w:val="auto"/>
                <w:highlight w:val="none"/>
                <w:lang w:val="en-US" w:eastAsia="zh-CN"/>
              </w:rPr>
            </w:pPr>
            <w:r>
              <w:rPr>
                <w:rFonts w:hint="eastAsia"/>
                <w:color w:val="auto"/>
                <w:sz w:val="21"/>
                <w:szCs w:val="21"/>
                <w:highlight w:val="none"/>
                <w:lang w:val="en-US" w:eastAsia="zh-CN"/>
              </w:rPr>
              <w:t>10</w:t>
            </w:r>
          </w:p>
        </w:tc>
        <w:tc>
          <w:tcPr>
            <w:tcW w:w="1199" w:type="pct"/>
            <w:vMerge w:val="continue"/>
            <w:vAlign w:val="center"/>
          </w:tcPr>
          <w:p w14:paraId="4C3DF670">
            <w:pPr>
              <w:pStyle w:val="30"/>
              <w:keepNext w:val="0"/>
              <w:keepLines w:val="0"/>
              <w:pageBreakBefore w:val="0"/>
              <w:widowControl w:val="0"/>
              <w:kinsoku/>
              <w:wordWrap/>
              <w:overflowPunct/>
              <w:topLinePunct w:val="0"/>
              <w:autoSpaceDE/>
              <w:autoSpaceDN/>
              <w:bidi w:val="0"/>
              <w:adjustRightInd/>
              <w:snapToGrid/>
              <w:spacing w:line="288" w:lineRule="auto"/>
              <w:textAlignment w:val="auto"/>
              <w:rPr>
                <w:rFonts w:hint="default"/>
                <w:color w:val="auto"/>
                <w:highlight w:val="none"/>
                <w:lang w:val="zh-CN"/>
              </w:rPr>
            </w:pPr>
          </w:p>
        </w:tc>
        <w:tc>
          <w:tcPr>
            <w:tcW w:w="556" w:type="pct"/>
            <w:vAlign w:val="center"/>
          </w:tcPr>
          <w:p w14:paraId="18B93EB4">
            <w:pPr>
              <w:pStyle w:val="30"/>
              <w:keepNext w:val="0"/>
              <w:keepLines w:val="0"/>
              <w:pageBreakBefore w:val="0"/>
              <w:widowControl w:val="0"/>
              <w:kinsoku/>
              <w:wordWrap/>
              <w:overflowPunct/>
              <w:topLinePunct w:val="0"/>
              <w:autoSpaceDE/>
              <w:autoSpaceDN/>
              <w:bidi w:val="0"/>
              <w:adjustRightInd/>
              <w:snapToGrid/>
              <w:spacing w:line="288" w:lineRule="auto"/>
              <w:ind w:firstLine="0" w:firstLineChars="0"/>
              <w:textAlignment w:val="auto"/>
              <w:rPr>
                <w:rFonts w:hint="default"/>
                <w:color w:val="auto"/>
                <w:highlight w:val="none"/>
                <w:lang w:val="zh-CN"/>
              </w:rPr>
            </w:pPr>
            <w:r>
              <w:rPr>
                <w:color w:val="auto"/>
                <w:highlight w:val="none"/>
              </w:rPr>
              <w:t>2#</w:t>
            </w:r>
          </w:p>
        </w:tc>
        <w:tc>
          <w:tcPr>
            <w:tcW w:w="2897" w:type="pct"/>
            <w:vAlign w:val="center"/>
          </w:tcPr>
          <w:p w14:paraId="3E5E7BAB">
            <w:pPr>
              <w:widowControl/>
              <w:snapToGrid w:val="0"/>
              <w:spacing w:line="240" w:lineRule="auto"/>
              <w:ind w:left="0" w:leftChars="0" w:firstLine="0" w:firstLineChars="0"/>
              <w:jc w:val="left"/>
              <w:rPr>
                <w:rFonts w:hint="default"/>
                <w:color w:val="auto"/>
                <w:highlight w:val="none"/>
                <w:lang w:val="zh-CN"/>
              </w:rPr>
            </w:pPr>
            <w:r>
              <w:rPr>
                <w:rFonts w:hint="eastAsia" w:cs="Times New Roman"/>
                <w:color w:val="auto"/>
                <w:kern w:val="0"/>
                <w:sz w:val="21"/>
                <w:szCs w:val="21"/>
                <w:highlight w:val="none"/>
                <w:lang w:val="en-US" w:eastAsia="zh-CN"/>
              </w:rPr>
              <w:t>结合水厂及井群的实际分布情况，对水厂及周边井群进行封闭管理；</w:t>
            </w:r>
            <w:r>
              <w:rPr>
                <w:rFonts w:hint="eastAsia" w:cs="Times New Roman"/>
                <w:color w:val="auto"/>
                <w:kern w:val="0"/>
                <w:sz w:val="21"/>
                <w:szCs w:val="21"/>
                <w:highlight w:val="none"/>
                <w:lang w:eastAsia="zh-CN"/>
              </w:rPr>
              <w:t>科学使用农药化肥，严格控制农药化肥的使用量，</w:t>
            </w:r>
            <w:r>
              <w:rPr>
                <w:rFonts w:hint="eastAsia" w:ascii="Times New Roman" w:hAnsi="Times New Roman" w:eastAsia="宋体" w:cs="Times New Roman"/>
                <w:color w:val="auto"/>
                <w:kern w:val="0"/>
                <w:sz w:val="21"/>
                <w:szCs w:val="21"/>
                <w:highlight w:val="none"/>
              </w:rPr>
              <w:t>尽快争取政府专项资金补偿，逐步退耕还林还草；</w:t>
            </w:r>
            <w:r>
              <w:rPr>
                <w:rFonts w:hint="eastAsia" w:cs="Times New Roman"/>
                <w:color w:val="auto"/>
                <w:kern w:val="0"/>
                <w:sz w:val="21"/>
                <w:szCs w:val="21"/>
                <w:highlight w:val="none"/>
                <w:lang w:eastAsia="zh-CN"/>
              </w:rPr>
              <w:t>强化乡村道路风险防控，建议</w:t>
            </w:r>
            <w:r>
              <w:rPr>
                <w:rFonts w:hint="eastAsia" w:ascii="Times New Roman" w:hAnsi="Times New Roman" w:eastAsia="宋体" w:cs="Times New Roman"/>
                <w:color w:val="auto"/>
                <w:kern w:val="0"/>
                <w:sz w:val="21"/>
                <w:szCs w:val="21"/>
                <w:highlight w:val="none"/>
              </w:rPr>
              <w:t>穿越道路</w:t>
            </w:r>
            <w:r>
              <w:rPr>
                <w:rFonts w:ascii="Times New Roman" w:hAnsi="Times New Roman"/>
                <w:color w:val="auto"/>
                <w:sz w:val="21"/>
                <w:szCs w:val="21"/>
                <w:highlight w:val="none"/>
              </w:rPr>
              <w:t>两侧设置排水沟</w:t>
            </w:r>
            <w:r>
              <w:rPr>
                <w:rFonts w:hint="eastAsia" w:ascii="Times New Roman" w:hAnsi="Times New Roman"/>
                <w:color w:val="auto"/>
                <w:sz w:val="21"/>
                <w:szCs w:val="21"/>
                <w:highlight w:val="none"/>
                <w:lang w:eastAsia="zh-CN"/>
              </w:rPr>
              <w:t>，</w:t>
            </w:r>
            <w:r>
              <w:rPr>
                <w:rFonts w:hint="eastAsia" w:ascii="Times New Roman" w:hAnsi="Times New Roman" w:eastAsia="宋体" w:cs="Times New Roman"/>
                <w:color w:val="auto"/>
                <w:kern w:val="0"/>
                <w:sz w:val="21"/>
                <w:szCs w:val="21"/>
                <w:highlight w:val="none"/>
              </w:rPr>
              <w:t>加强管理，设立明显的警示标志；当地政府设立专项经费用于水源地的管理。</w:t>
            </w:r>
          </w:p>
        </w:tc>
      </w:tr>
      <w:tr w14:paraId="29CD78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79" w:type="dxa"/>
            <w:vAlign w:val="center"/>
          </w:tcPr>
          <w:p w14:paraId="1BCF6C19">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eastAsia="宋体"/>
                <w:color w:val="auto"/>
                <w:highlight w:val="none"/>
                <w:lang w:val="en-US" w:eastAsia="zh-CN"/>
              </w:rPr>
            </w:pPr>
            <w:r>
              <w:rPr>
                <w:rFonts w:hint="eastAsia"/>
                <w:color w:val="auto"/>
                <w:sz w:val="21"/>
                <w:szCs w:val="21"/>
                <w:highlight w:val="none"/>
                <w:lang w:val="en-US" w:eastAsia="zh-CN"/>
              </w:rPr>
              <w:t>11</w:t>
            </w:r>
          </w:p>
        </w:tc>
        <w:tc>
          <w:tcPr>
            <w:tcW w:w="1199" w:type="pct"/>
            <w:vMerge w:val="continue"/>
            <w:vAlign w:val="center"/>
          </w:tcPr>
          <w:p w14:paraId="0E6C868D">
            <w:pPr>
              <w:pStyle w:val="30"/>
              <w:keepNext w:val="0"/>
              <w:keepLines w:val="0"/>
              <w:pageBreakBefore w:val="0"/>
              <w:widowControl w:val="0"/>
              <w:kinsoku/>
              <w:wordWrap/>
              <w:overflowPunct/>
              <w:topLinePunct w:val="0"/>
              <w:autoSpaceDE/>
              <w:autoSpaceDN/>
              <w:bidi w:val="0"/>
              <w:adjustRightInd/>
              <w:snapToGrid/>
              <w:spacing w:line="288" w:lineRule="auto"/>
              <w:textAlignment w:val="auto"/>
              <w:rPr>
                <w:rFonts w:hint="default"/>
                <w:color w:val="auto"/>
                <w:highlight w:val="none"/>
                <w:lang w:val="zh-CN"/>
              </w:rPr>
            </w:pPr>
          </w:p>
        </w:tc>
        <w:tc>
          <w:tcPr>
            <w:tcW w:w="556" w:type="pct"/>
            <w:vAlign w:val="center"/>
          </w:tcPr>
          <w:p w14:paraId="652C264E">
            <w:pPr>
              <w:pStyle w:val="30"/>
              <w:keepNext w:val="0"/>
              <w:keepLines w:val="0"/>
              <w:pageBreakBefore w:val="0"/>
              <w:widowControl w:val="0"/>
              <w:kinsoku/>
              <w:wordWrap/>
              <w:overflowPunct/>
              <w:topLinePunct w:val="0"/>
              <w:autoSpaceDE/>
              <w:autoSpaceDN/>
              <w:bidi w:val="0"/>
              <w:adjustRightInd/>
              <w:snapToGrid/>
              <w:spacing w:line="288" w:lineRule="auto"/>
              <w:ind w:firstLine="0" w:firstLineChars="0"/>
              <w:textAlignment w:val="auto"/>
              <w:rPr>
                <w:rFonts w:hint="default"/>
                <w:color w:val="auto"/>
                <w:highlight w:val="none"/>
                <w:lang w:val="zh-CN"/>
              </w:rPr>
            </w:pPr>
            <w:r>
              <w:rPr>
                <w:color w:val="auto"/>
                <w:highlight w:val="none"/>
              </w:rPr>
              <w:t>3#</w:t>
            </w:r>
          </w:p>
        </w:tc>
        <w:tc>
          <w:tcPr>
            <w:tcW w:w="2897" w:type="pct"/>
            <w:vAlign w:val="center"/>
          </w:tcPr>
          <w:p w14:paraId="2986DC94">
            <w:pPr>
              <w:widowControl/>
              <w:snapToGrid w:val="0"/>
              <w:spacing w:line="240" w:lineRule="auto"/>
              <w:ind w:firstLine="0" w:firstLineChars="0"/>
              <w:jc w:val="left"/>
              <w:rPr>
                <w:rFonts w:hint="default"/>
                <w:color w:val="auto"/>
                <w:highlight w:val="none"/>
                <w:lang w:val="zh-CN"/>
              </w:rPr>
            </w:pPr>
            <w:r>
              <w:rPr>
                <w:rFonts w:hint="eastAsia" w:cs="Times New Roman"/>
                <w:color w:val="auto"/>
                <w:kern w:val="0"/>
                <w:sz w:val="21"/>
                <w:szCs w:val="21"/>
                <w:highlight w:val="none"/>
                <w:lang w:val="en-US" w:eastAsia="zh-CN"/>
              </w:rPr>
              <w:t>结合水厂及井群的实际分布情况，对水厂及周边井群进行封闭管理；</w:t>
            </w:r>
            <w:r>
              <w:rPr>
                <w:rFonts w:hint="eastAsia" w:cs="Times New Roman"/>
                <w:color w:val="auto"/>
                <w:kern w:val="0"/>
                <w:sz w:val="21"/>
                <w:szCs w:val="21"/>
                <w:highlight w:val="none"/>
                <w:lang w:eastAsia="zh-CN"/>
              </w:rPr>
              <w:t>科学使用农药化肥，严格控制农药化肥的使用量，</w:t>
            </w:r>
            <w:r>
              <w:rPr>
                <w:rFonts w:hint="eastAsia" w:ascii="Times New Roman" w:hAnsi="Times New Roman" w:eastAsia="宋体" w:cs="Times New Roman"/>
                <w:color w:val="auto"/>
                <w:kern w:val="0"/>
                <w:sz w:val="21"/>
                <w:szCs w:val="21"/>
                <w:highlight w:val="none"/>
              </w:rPr>
              <w:t>尽快争取政府专项资金补偿，逐步退耕还林还草；当地政府设立专项经费用于水源地的管理。</w:t>
            </w:r>
          </w:p>
        </w:tc>
      </w:tr>
      <w:tr w14:paraId="7AE401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79" w:type="dxa"/>
            <w:vAlign w:val="center"/>
          </w:tcPr>
          <w:p w14:paraId="0FE6353E">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12</w:t>
            </w:r>
          </w:p>
        </w:tc>
        <w:tc>
          <w:tcPr>
            <w:tcW w:w="1199" w:type="pct"/>
            <w:vMerge w:val="restart"/>
            <w:vAlign w:val="center"/>
          </w:tcPr>
          <w:p w14:paraId="347C55D6">
            <w:pPr>
              <w:widowControl/>
              <w:spacing w:line="240" w:lineRule="auto"/>
              <w:ind w:firstLine="0" w:firstLineChars="0"/>
              <w:jc w:val="center"/>
              <w:textAlignment w:val="center"/>
              <w:rPr>
                <w:rFonts w:hint="default"/>
                <w:color w:val="auto"/>
                <w:highlight w:val="none"/>
                <w:lang w:val="zh-CN"/>
              </w:rPr>
            </w:pPr>
            <w:r>
              <w:rPr>
                <w:rFonts w:hint="eastAsia" w:ascii="Times New Roman" w:hAnsi="Times New Roman" w:eastAsia="宋体" w:cs="Times New Roman"/>
                <w:color w:val="auto"/>
                <w:kern w:val="0"/>
                <w:sz w:val="21"/>
                <w:szCs w:val="21"/>
                <w:highlight w:val="none"/>
                <w:lang w:val="en-US" w:eastAsia="zh-CN" w:bidi="ar"/>
              </w:rPr>
              <w:t>绥化市庆安县同乐镇</w:t>
            </w:r>
            <w:r>
              <w:rPr>
                <w:rFonts w:ascii="Times New Roman" w:hAnsi="Times New Roman" w:eastAsia="宋体" w:cs="Times New Roman"/>
                <w:color w:val="auto"/>
                <w:kern w:val="0"/>
                <w:sz w:val="21"/>
                <w:szCs w:val="21"/>
                <w:highlight w:val="none"/>
                <w:lang w:bidi="ar"/>
              </w:rPr>
              <w:t>饮用水水源地</w:t>
            </w:r>
          </w:p>
        </w:tc>
        <w:tc>
          <w:tcPr>
            <w:tcW w:w="556" w:type="pct"/>
            <w:vAlign w:val="center"/>
          </w:tcPr>
          <w:p w14:paraId="2D6A9C70">
            <w:pPr>
              <w:pStyle w:val="30"/>
              <w:keepNext w:val="0"/>
              <w:keepLines w:val="0"/>
              <w:pageBreakBefore w:val="0"/>
              <w:widowControl w:val="0"/>
              <w:kinsoku/>
              <w:wordWrap/>
              <w:overflowPunct/>
              <w:topLinePunct w:val="0"/>
              <w:autoSpaceDE/>
              <w:autoSpaceDN/>
              <w:bidi w:val="0"/>
              <w:adjustRightInd/>
              <w:snapToGrid/>
              <w:spacing w:line="288" w:lineRule="auto"/>
              <w:ind w:firstLine="0" w:firstLineChars="0"/>
              <w:textAlignment w:val="auto"/>
              <w:rPr>
                <w:rFonts w:hint="default"/>
                <w:color w:val="auto"/>
                <w:highlight w:val="none"/>
                <w:lang w:val="zh-CN"/>
              </w:rPr>
            </w:pPr>
            <w:r>
              <w:rPr>
                <w:color w:val="auto"/>
                <w:highlight w:val="none"/>
              </w:rPr>
              <w:t>1#</w:t>
            </w:r>
          </w:p>
        </w:tc>
        <w:tc>
          <w:tcPr>
            <w:tcW w:w="2897" w:type="pct"/>
            <w:vAlign w:val="center"/>
          </w:tcPr>
          <w:p w14:paraId="653E8345">
            <w:pPr>
              <w:widowControl/>
              <w:snapToGrid w:val="0"/>
              <w:spacing w:line="240" w:lineRule="auto"/>
              <w:ind w:firstLine="0" w:firstLineChars="0"/>
              <w:jc w:val="left"/>
              <w:rPr>
                <w:rFonts w:hint="default"/>
                <w:color w:val="auto"/>
                <w:highlight w:val="none"/>
                <w:lang w:val="zh-CN"/>
              </w:rPr>
            </w:pPr>
            <w:r>
              <w:rPr>
                <w:rFonts w:hint="eastAsia" w:cs="Times New Roman"/>
                <w:color w:val="auto"/>
                <w:kern w:val="0"/>
                <w:sz w:val="21"/>
                <w:szCs w:val="21"/>
                <w:highlight w:val="none"/>
                <w:lang w:val="en-US" w:eastAsia="zh-CN"/>
              </w:rPr>
              <w:t>结合水厂及井群的实际分布情况，对水厂及周边井群进行封闭管理；</w:t>
            </w:r>
            <w:r>
              <w:rPr>
                <w:rFonts w:hint="eastAsia" w:cs="Times New Roman"/>
                <w:color w:val="auto"/>
                <w:kern w:val="0"/>
                <w:sz w:val="21"/>
                <w:szCs w:val="21"/>
                <w:highlight w:val="none"/>
                <w:lang w:eastAsia="zh-CN"/>
              </w:rPr>
              <w:t>科学使用农药化肥，严格控制农药化肥的使用量，</w:t>
            </w:r>
            <w:r>
              <w:rPr>
                <w:rFonts w:hint="eastAsia" w:ascii="Times New Roman" w:hAnsi="Times New Roman" w:eastAsia="宋体" w:cs="Times New Roman"/>
                <w:color w:val="auto"/>
                <w:kern w:val="0"/>
                <w:sz w:val="21"/>
                <w:szCs w:val="21"/>
                <w:highlight w:val="none"/>
              </w:rPr>
              <w:t>尽快争取政府专项资金补偿，逐步退耕还林还草；当地政府设立专项经费用于水源地的管理。</w:t>
            </w:r>
          </w:p>
        </w:tc>
      </w:tr>
      <w:tr w14:paraId="1E2BF7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79" w:type="dxa"/>
            <w:vAlign w:val="center"/>
          </w:tcPr>
          <w:p w14:paraId="1FA5B8A6">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eastAsia="宋体"/>
                <w:color w:val="auto"/>
                <w:highlight w:val="none"/>
                <w:lang w:val="en-US" w:eastAsia="zh-CN"/>
              </w:rPr>
            </w:pPr>
            <w:r>
              <w:rPr>
                <w:rFonts w:hint="eastAsia"/>
                <w:color w:val="auto"/>
                <w:sz w:val="21"/>
                <w:szCs w:val="21"/>
                <w:highlight w:val="none"/>
                <w:lang w:val="en-US" w:eastAsia="zh-CN"/>
              </w:rPr>
              <w:t>13</w:t>
            </w:r>
          </w:p>
        </w:tc>
        <w:tc>
          <w:tcPr>
            <w:tcW w:w="1199" w:type="pct"/>
            <w:vMerge w:val="continue"/>
            <w:vAlign w:val="center"/>
          </w:tcPr>
          <w:p w14:paraId="27E9A6E7">
            <w:pPr>
              <w:pStyle w:val="30"/>
              <w:keepNext w:val="0"/>
              <w:keepLines w:val="0"/>
              <w:pageBreakBefore w:val="0"/>
              <w:widowControl w:val="0"/>
              <w:kinsoku/>
              <w:wordWrap/>
              <w:overflowPunct/>
              <w:topLinePunct w:val="0"/>
              <w:autoSpaceDE/>
              <w:autoSpaceDN/>
              <w:bidi w:val="0"/>
              <w:adjustRightInd/>
              <w:snapToGrid/>
              <w:spacing w:line="288" w:lineRule="auto"/>
              <w:textAlignment w:val="auto"/>
              <w:rPr>
                <w:rFonts w:hint="default"/>
                <w:color w:val="auto"/>
                <w:highlight w:val="none"/>
                <w:lang w:val="zh-CN"/>
              </w:rPr>
            </w:pPr>
          </w:p>
        </w:tc>
        <w:tc>
          <w:tcPr>
            <w:tcW w:w="556" w:type="pct"/>
            <w:vAlign w:val="center"/>
          </w:tcPr>
          <w:p w14:paraId="4FBBF73E">
            <w:pPr>
              <w:pStyle w:val="30"/>
              <w:keepNext w:val="0"/>
              <w:keepLines w:val="0"/>
              <w:pageBreakBefore w:val="0"/>
              <w:widowControl w:val="0"/>
              <w:kinsoku/>
              <w:wordWrap/>
              <w:overflowPunct/>
              <w:topLinePunct w:val="0"/>
              <w:autoSpaceDE/>
              <w:autoSpaceDN/>
              <w:bidi w:val="0"/>
              <w:adjustRightInd/>
              <w:snapToGrid/>
              <w:spacing w:line="288" w:lineRule="auto"/>
              <w:ind w:firstLine="0" w:firstLineChars="0"/>
              <w:textAlignment w:val="auto"/>
              <w:rPr>
                <w:rFonts w:hint="default"/>
                <w:color w:val="auto"/>
                <w:highlight w:val="none"/>
                <w:lang w:val="zh-CN"/>
              </w:rPr>
            </w:pPr>
            <w:r>
              <w:rPr>
                <w:color w:val="auto"/>
                <w:highlight w:val="none"/>
              </w:rPr>
              <w:t>2#</w:t>
            </w:r>
          </w:p>
        </w:tc>
        <w:tc>
          <w:tcPr>
            <w:tcW w:w="2897" w:type="pct"/>
            <w:vAlign w:val="center"/>
          </w:tcPr>
          <w:p w14:paraId="06ED9596">
            <w:pPr>
              <w:widowControl/>
              <w:snapToGrid w:val="0"/>
              <w:spacing w:line="240" w:lineRule="auto"/>
              <w:ind w:firstLine="0" w:firstLineChars="0"/>
              <w:jc w:val="left"/>
              <w:rPr>
                <w:rFonts w:hint="default"/>
                <w:color w:val="auto"/>
                <w:highlight w:val="none"/>
                <w:lang w:val="zh-CN"/>
              </w:rPr>
            </w:pPr>
            <w:r>
              <w:rPr>
                <w:rFonts w:hint="eastAsia" w:cs="Times New Roman"/>
                <w:color w:val="auto"/>
                <w:kern w:val="0"/>
                <w:sz w:val="21"/>
                <w:szCs w:val="21"/>
                <w:highlight w:val="none"/>
                <w:lang w:val="en-US" w:eastAsia="zh-CN"/>
              </w:rPr>
              <w:t>结合水厂及井群的实际分布情况，对水厂及周边井群进行封闭管理；</w:t>
            </w:r>
            <w:r>
              <w:rPr>
                <w:rFonts w:hint="eastAsia" w:cs="Times New Roman"/>
                <w:color w:val="auto"/>
                <w:kern w:val="0"/>
                <w:sz w:val="21"/>
                <w:szCs w:val="21"/>
                <w:highlight w:val="none"/>
                <w:lang w:eastAsia="zh-CN"/>
              </w:rPr>
              <w:t>科学使用农药化肥，严格控制农药化肥的使用量，</w:t>
            </w:r>
            <w:r>
              <w:rPr>
                <w:rFonts w:hint="eastAsia" w:ascii="Times New Roman" w:hAnsi="Times New Roman" w:eastAsia="宋体" w:cs="Times New Roman"/>
                <w:color w:val="auto"/>
                <w:kern w:val="0"/>
                <w:sz w:val="21"/>
                <w:szCs w:val="21"/>
                <w:highlight w:val="none"/>
              </w:rPr>
              <w:t>尽快争取政府专项资金补偿，逐步退耕还林还草；</w:t>
            </w:r>
            <w:r>
              <w:rPr>
                <w:rFonts w:hint="eastAsia" w:cs="Times New Roman"/>
                <w:color w:val="auto"/>
                <w:kern w:val="0"/>
                <w:sz w:val="21"/>
                <w:szCs w:val="21"/>
                <w:highlight w:val="none"/>
                <w:lang w:eastAsia="zh-CN"/>
              </w:rPr>
              <w:t>强化乡村道路风险防控，强化乡村道路风险防控，建议穿越道路两侧设置排水沟，加强管理，设立明显的警示标志；</w:t>
            </w:r>
            <w:r>
              <w:rPr>
                <w:rFonts w:hint="eastAsia" w:ascii="Times New Roman" w:hAnsi="Times New Roman" w:eastAsia="宋体" w:cs="Times New Roman"/>
                <w:color w:val="auto"/>
                <w:kern w:val="0"/>
                <w:sz w:val="21"/>
                <w:szCs w:val="21"/>
                <w:highlight w:val="none"/>
              </w:rPr>
              <w:t>当地政府设立专项经费用于水源地的管理。</w:t>
            </w:r>
          </w:p>
        </w:tc>
      </w:tr>
      <w:tr w14:paraId="4B692D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79" w:type="dxa"/>
            <w:vAlign w:val="center"/>
          </w:tcPr>
          <w:p w14:paraId="180A8D5C">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eastAsia="宋体"/>
                <w:color w:val="auto"/>
                <w:highlight w:val="none"/>
                <w:lang w:val="en-US" w:eastAsia="zh-CN"/>
              </w:rPr>
            </w:pPr>
            <w:r>
              <w:rPr>
                <w:rFonts w:hint="eastAsia"/>
                <w:color w:val="auto"/>
                <w:sz w:val="21"/>
                <w:szCs w:val="21"/>
                <w:highlight w:val="none"/>
                <w:lang w:val="en-US" w:eastAsia="zh-CN"/>
              </w:rPr>
              <w:t>14</w:t>
            </w:r>
          </w:p>
        </w:tc>
        <w:tc>
          <w:tcPr>
            <w:tcW w:w="1199" w:type="pct"/>
            <w:vMerge w:val="continue"/>
            <w:vAlign w:val="center"/>
          </w:tcPr>
          <w:p w14:paraId="19718915">
            <w:pPr>
              <w:pStyle w:val="30"/>
              <w:keepNext w:val="0"/>
              <w:keepLines w:val="0"/>
              <w:pageBreakBefore w:val="0"/>
              <w:widowControl w:val="0"/>
              <w:kinsoku/>
              <w:wordWrap/>
              <w:overflowPunct/>
              <w:topLinePunct w:val="0"/>
              <w:autoSpaceDE/>
              <w:autoSpaceDN/>
              <w:bidi w:val="0"/>
              <w:adjustRightInd/>
              <w:snapToGrid/>
              <w:spacing w:line="288" w:lineRule="auto"/>
              <w:textAlignment w:val="auto"/>
              <w:rPr>
                <w:rFonts w:hint="default"/>
                <w:color w:val="auto"/>
                <w:highlight w:val="none"/>
                <w:lang w:val="zh-CN"/>
              </w:rPr>
            </w:pPr>
          </w:p>
        </w:tc>
        <w:tc>
          <w:tcPr>
            <w:tcW w:w="556" w:type="pct"/>
            <w:vAlign w:val="center"/>
          </w:tcPr>
          <w:p w14:paraId="06879878">
            <w:pPr>
              <w:pStyle w:val="30"/>
              <w:keepNext w:val="0"/>
              <w:keepLines w:val="0"/>
              <w:pageBreakBefore w:val="0"/>
              <w:widowControl w:val="0"/>
              <w:kinsoku/>
              <w:wordWrap/>
              <w:overflowPunct/>
              <w:topLinePunct w:val="0"/>
              <w:autoSpaceDE/>
              <w:autoSpaceDN/>
              <w:bidi w:val="0"/>
              <w:adjustRightInd/>
              <w:snapToGrid/>
              <w:spacing w:line="288" w:lineRule="auto"/>
              <w:ind w:firstLine="0" w:firstLineChars="0"/>
              <w:textAlignment w:val="auto"/>
              <w:rPr>
                <w:rFonts w:hint="default"/>
                <w:color w:val="auto"/>
                <w:highlight w:val="none"/>
                <w:lang w:val="zh-CN"/>
              </w:rPr>
            </w:pPr>
            <w:r>
              <w:rPr>
                <w:color w:val="auto"/>
                <w:highlight w:val="none"/>
              </w:rPr>
              <w:t>3#</w:t>
            </w:r>
          </w:p>
        </w:tc>
        <w:tc>
          <w:tcPr>
            <w:tcW w:w="2897" w:type="pct"/>
            <w:vAlign w:val="center"/>
          </w:tcPr>
          <w:p w14:paraId="5C45D471">
            <w:pPr>
              <w:widowControl/>
              <w:snapToGrid w:val="0"/>
              <w:spacing w:line="240" w:lineRule="auto"/>
              <w:ind w:firstLine="0" w:firstLineChars="0"/>
              <w:jc w:val="left"/>
              <w:rPr>
                <w:rFonts w:hint="default"/>
                <w:color w:val="auto"/>
                <w:highlight w:val="none"/>
                <w:lang w:val="zh-CN"/>
              </w:rPr>
            </w:pPr>
            <w:r>
              <w:rPr>
                <w:rFonts w:hint="eastAsia" w:cs="Times New Roman"/>
                <w:color w:val="auto"/>
                <w:kern w:val="0"/>
                <w:sz w:val="21"/>
                <w:szCs w:val="21"/>
                <w:highlight w:val="none"/>
                <w:lang w:val="en-US" w:eastAsia="zh-CN"/>
              </w:rPr>
              <w:t>结合水厂及井群的实际分布情况，对水厂及周边井群进行封闭管理；</w:t>
            </w:r>
            <w:r>
              <w:rPr>
                <w:rFonts w:hint="eastAsia" w:cs="Times New Roman"/>
                <w:color w:val="auto"/>
                <w:kern w:val="0"/>
                <w:sz w:val="21"/>
                <w:szCs w:val="21"/>
                <w:highlight w:val="none"/>
                <w:lang w:eastAsia="zh-CN"/>
              </w:rPr>
              <w:t>科学使用农药化肥，严格控制农药化肥的使用量，</w:t>
            </w:r>
            <w:r>
              <w:rPr>
                <w:rFonts w:hint="eastAsia" w:ascii="Times New Roman" w:hAnsi="Times New Roman" w:eastAsia="宋体" w:cs="Times New Roman"/>
                <w:color w:val="auto"/>
                <w:kern w:val="0"/>
                <w:sz w:val="21"/>
                <w:szCs w:val="21"/>
                <w:highlight w:val="none"/>
              </w:rPr>
              <w:t>尽快争取政府专项资金补偿，逐步退耕还林还草；</w:t>
            </w:r>
            <w:r>
              <w:rPr>
                <w:rFonts w:hint="eastAsia" w:cs="Times New Roman"/>
                <w:color w:val="auto"/>
                <w:kern w:val="0"/>
                <w:sz w:val="21"/>
                <w:szCs w:val="21"/>
                <w:highlight w:val="none"/>
                <w:lang w:eastAsia="zh-CN"/>
              </w:rPr>
              <w:t>强化乡村道路风险防控，建议穿越道路两侧设置排水沟，加强管理，设立明显的警示标志；</w:t>
            </w:r>
            <w:r>
              <w:rPr>
                <w:rFonts w:hint="eastAsia" w:ascii="Times New Roman" w:hAnsi="Times New Roman" w:eastAsia="宋体" w:cs="Times New Roman"/>
                <w:color w:val="auto"/>
                <w:kern w:val="0"/>
                <w:sz w:val="21"/>
                <w:szCs w:val="21"/>
                <w:highlight w:val="none"/>
              </w:rPr>
              <w:t>当地政府设立专项经费用于水源地的管理。</w:t>
            </w:r>
          </w:p>
        </w:tc>
      </w:tr>
      <w:tr w14:paraId="51E23D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79" w:type="dxa"/>
            <w:vAlign w:val="center"/>
          </w:tcPr>
          <w:p w14:paraId="68102A1E">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15</w:t>
            </w:r>
          </w:p>
        </w:tc>
        <w:tc>
          <w:tcPr>
            <w:tcW w:w="1199" w:type="pct"/>
            <w:vMerge w:val="restart"/>
            <w:vAlign w:val="center"/>
          </w:tcPr>
          <w:p w14:paraId="2FE1DD6A">
            <w:pPr>
              <w:widowControl/>
              <w:spacing w:line="240" w:lineRule="auto"/>
              <w:ind w:firstLine="0" w:firstLineChars="0"/>
              <w:jc w:val="center"/>
              <w:textAlignment w:val="center"/>
              <w:rPr>
                <w:rFonts w:hint="default"/>
                <w:color w:val="auto"/>
                <w:highlight w:val="none"/>
                <w:lang w:val="zh-CN"/>
              </w:rPr>
            </w:pPr>
            <w:r>
              <w:rPr>
                <w:rFonts w:hint="eastAsia" w:ascii="Times New Roman" w:hAnsi="Times New Roman" w:eastAsia="宋体" w:cs="Times New Roman"/>
                <w:color w:val="auto"/>
                <w:kern w:val="0"/>
                <w:sz w:val="21"/>
                <w:szCs w:val="21"/>
                <w:highlight w:val="none"/>
                <w:lang w:val="en-US" w:eastAsia="zh-CN" w:bidi="ar"/>
              </w:rPr>
              <w:t>绥化市庆安县柳河镇饮用水水源地</w:t>
            </w:r>
          </w:p>
        </w:tc>
        <w:tc>
          <w:tcPr>
            <w:tcW w:w="556" w:type="pct"/>
            <w:vAlign w:val="center"/>
          </w:tcPr>
          <w:p w14:paraId="7549608B">
            <w:pPr>
              <w:pStyle w:val="30"/>
              <w:keepNext w:val="0"/>
              <w:keepLines w:val="0"/>
              <w:pageBreakBefore w:val="0"/>
              <w:widowControl w:val="0"/>
              <w:kinsoku/>
              <w:wordWrap/>
              <w:overflowPunct/>
              <w:topLinePunct w:val="0"/>
              <w:autoSpaceDE/>
              <w:autoSpaceDN/>
              <w:bidi w:val="0"/>
              <w:adjustRightInd/>
              <w:snapToGrid/>
              <w:spacing w:line="288" w:lineRule="auto"/>
              <w:ind w:firstLine="0" w:firstLineChars="0"/>
              <w:textAlignment w:val="auto"/>
              <w:rPr>
                <w:rFonts w:hint="default"/>
                <w:color w:val="auto"/>
                <w:highlight w:val="none"/>
                <w:lang w:val="zh-CN"/>
              </w:rPr>
            </w:pPr>
            <w:r>
              <w:rPr>
                <w:color w:val="auto"/>
                <w:highlight w:val="none"/>
              </w:rPr>
              <w:t>1#</w:t>
            </w:r>
          </w:p>
        </w:tc>
        <w:tc>
          <w:tcPr>
            <w:tcW w:w="2897" w:type="pct"/>
            <w:vAlign w:val="center"/>
          </w:tcPr>
          <w:p w14:paraId="4FF0CA66">
            <w:pPr>
              <w:widowControl/>
              <w:snapToGrid w:val="0"/>
              <w:spacing w:line="240" w:lineRule="auto"/>
              <w:ind w:left="0" w:leftChars="0" w:firstLine="0" w:firstLineChars="0"/>
              <w:jc w:val="left"/>
              <w:rPr>
                <w:rFonts w:hint="default"/>
                <w:color w:val="auto"/>
                <w:highlight w:val="none"/>
                <w:lang w:val="zh-CN"/>
              </w:rPr>
            </w:pPr>
            <w:r>
              <w:rPr>
                <w:rFonts w:hint="eastAsia" w:cs="Times New Roman"/>
                <w:color w:val="auto"/>
                <w:kern w:val="0"/>
                <w:sz w:val="21"/>
                <w:szCs w:val="21"/>
                <w:highlight w:val="none"/>
                <w:lang w:val="en-US" w:eastAsia="zh-CN"/>
              </w:rPr>
              <w:t>结合水厂及井群的实际分布情况，对水厂及周边井群进行封闭管理；</w:t>
            </w:r>
            <w:r>
              <w:rPr>
                <w:rFonts w:ascii="Segoe UI" w:hAnsi="Segoe UI" w:eastAsia="Segoe UI" w:cs="Segoe UI"/>
                <w:i w:val="0"/>
                <w:iCs w:val="0"/>
                <w:caps w:val="0"/>
                <w:color w:val="auto"/>
                <w:spacing w:val="0"/>
                <w:sz w:val="21"/>
                <w:szCs w:val="21"/>
                <w:highlight w:val="none"/>
                <w:shd w:val="clear" w:fill="FFFFFF"/>
              </w:rPr>
              <w:t>建议对保护区内现有</w:t>
            </w:r>
            <w:r>
              <w:rPr>
                <w:rFonts w:hint="eastAsia"/>
                <w:color w:val="auto"/>
                <w:sz w:val="21"/>
                <w:szCs w:val="21"/>
                <w:highlight w:val="none"/>
                <w:lang w:val="zh-CN" w:eastAsia="zh-CN"/>
              </w:rPr>
              <w:t>废弃学校用房</w:t>
            </w:r>
            <w:r>
              <w:rPr>
                <w:rFonts w:ascii="Segoe UI" w:hAnsi="Segoe UI" w:eastAsia="Segoe UI" w:cs="Segoe UI"/>
                <w:i w:val="0"/>
                <w:iCs w:val="0"/>
                <w:caps w:val="0"/>
                <w:color w:val="auto"/>
                <w:spacing w:val="0"/>
                <w:sz w:val="21"/>
                <w:szCs w:val="21"/>
                <w:highlight w:val="none"/>
                <w:shd w:val="clear" w:fill="FFFFFF"/>
              </w:rPr>
              <w:t>制定并实施有序的拆迁计划</w:t>
            </w:r>
            <w:r>
              <w:rPr>
                <w:rFonts w:hint="eastAsia" w:ascii="Segoe UI" w:hAnsi="Segoe UI" w:eastAsia="宋体" w:cs="Segoe UI"/>
                <w:i w:val="0"/>
                <w:iCs w:val="0"/>
                <w:caps w:val="0"/>
                <w:color w:val="auto"/>
                <w:spacing w:val="0"/>
                <w:sz w:val="21"/>
                <w:szCs w:val="21"/>
                <w:highlight w:val="none"/>
                <w:shd w:val="clear" w:fill="FFFFFF"/>
                <w:lang w:eastAsia="zh-CN"/>
              </w:rPr>
              <w:t>；</w:t>
            </w:r>
            <w:r>
              <w:rPr>
                <w:rFonts w:hint="eastAsia" w:cs="Times New Roman"/>
                <w:color w:val="auto"/>
                <w:kern w:val="0"/>
                <w:sz w:val="21"/>
                <w:szCs w:val="21"/>
                <w:highlight w:val="none"/>
                <w:lang w:eastAsia="zh-CN"/>
              </w:rPr>
              <w:t>科学使用农药化肥，严格控制农药化肥的使用量，</w:t>
            </w:r>
            <w:r>
              <w:rPr>
                <w:rFonts w:hint="eastAsia" w:ascii="Times New Roman" w:hAnsi="Times New Roman" w:eastAsia="宋体" w:cs="Times New Roman"/>
                <w:color w:val="auto"/>
                <w:kern w:val="0"/>
                <w:sz w:val="21"/>
                <w:szCs w:val="21"/>
                <w:highlight w:val="none"/>
              </w:rPr>
              <w:t>尽快争取政府专项资金补偿，逐步退耕还林还草；当地政府设立专项经费用于水源地的管理。</w:t>
            </w:r>
          </w:p>
        </w:tc>
      </w:tr>
      <w:tr w14:paraId="2865CB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79" w:type="dxa"/>
            <w:vAlign w:val="center"/>
          </w:tcPr>
          <w:p w14:paraId="372FA693">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eastAsia="宋体"/>
                <w:color w:val="auto"/>
                <w:highlight w:val="none"/>
                <w:lang w:val="en-US" w:eastAsia="zh-CN"/>
              </w:rPr>
            </w:pPr>
            <w:r>
              <w:rPr>
                <w:rFonts w:hint="eastAsia"/>
                <w:color w:val="auto"/>
                <w:sz w:val="21"/>
                <w:szCs w:val="21"/>
                <w:highlight w:val="none"/>
                <w:lang w:val="en-US" w:eastAsia="zh-CN"/>
              </w:rPr>
              <w:t>16</w:t>
            </w:r>
          </w:p>
        </w:tc>
        <w:tc>
          <w:tcPr>
            <w:tcW w:w="1199" w:type="pct"/>
            <w:vMerge w:val="continue"/>
            <w:vAlign w:val="center"/>
          </w:tcPr>
          <w:p w14:paraId="1BE3F8FC">
            <w:pPr>
              <w:pStyle w:val="30"/>
              <w:keepNext w:val="0"/>
              <w:keepLines w:val="0"/>
              <w:pageBreakBefore w:val="0"/>
              <w:widowControl w:val="0"/>
              <w:kinsoku/>
              <w:wordWrap/>
              <w:overflowPunct/>
              <w:topLinePunct w:val="0"/>
              <w:autoSpaceDE/>
              <w:autoSpaceDN/>
              <w:bidi w:val="0"/>
              <w:adjustRightInd/>
              <w:snapToGrid/>
              <w:spacing w:line="288" w:lineRule="auto"/>
              <w:textAlignment w:val="auto"/>
              <w:rPr>
                <w:rFonts w:hint="default"/>
                <w:color w:val="auto"/>
                <w:highlight w:val="none"/>
                <w:lang w:val="zh-CN"/>
              </w:rPr>
            </w:pPr>
          </w:p>
        </w:tc>
        <w:tc>
          <w:tcPr>
            <w:tcW w:w="556" w:type="pct"/>
            <w:vAlign w:val="center"/>
          </w:tcPr>
          <w:p w14:paraId="54039479">
            <w:pPr>
              <w:pStyle w:val="30"/>
              <w:keepNext w:val="0"/>
              <w:keepLines w:val="0"/>
              <w:pageBreakBefore w:val="0"/>
              <w:widowControl w:val="0"/>
              <w:kinsoku/>
              <w:wordWrap/>
              <w:overflowPunct/>
              <w:topLinePunct w:val="0"/>
              <w:autoSpaceDE/>
              <w:autoSpaceDN/>
              <w:bidi w:val="0"/>
              <w:adjustRightInd/>
              <w:snapToGrid/>
              <w:spacing w:line="288" w:lineRule="auto"/>
              <w:ind w:firstLine="0" w:firstLineChars="0"/>
              <w:textAlignment w:val="auto"/>
              <w:rPr>
                <w:rFonts w:hint="default"/>
                <w:color w:val="auto"/>
                <w:highlight w:val="none"/>
                <w:lang w:val="zh-CN"/>
              </w:rPr>
            </w:pPr>
            <w:r>
              <w:rPr>
                <w:color w:val="auto"/>
                <w:highlight w:val="none"/>
              </w:rPr>
              <w:t>2#</w:t>
            </w:r>
          </w:p>
        </w:tc>
        <w:tc>
          <w:tcPr>
            <w:tcW w:w="2897" w:type="pct"/>
            <w:vAlign w:val="center"/>
          </w:tcPr>
          <w:p w14:paraId="1B1745DB">
            <w:pPr>
              <w:widowControl/>
              <w:snapToGrid w:val="0"/>
              <w:spacing w:line="240" w:lineRule="auto"/>
              <w:ind w:left="0" w:leftChars="0" w:firstLine="0" w:firstLineChars="0"/>
              <w:jc w:val="left"/>
              <w:rPr>
                <w:rFonts w:hint="default"/>
                <w:color w:val="auto"/>
                <w:highlight w:val="none"/>
                <w:lang w:val="zh-CN"/>
              </w:rPr>
            </w:pPr>
            <w:r>
              <w:rPr>
                <w:rFonts w:hint="eastAsia" w:cs="Times New Roman"/>
                <w:color w:val="auto"/>
                <w:kern w:val="0"/>
                <w:sz w:val="21"/>
                <w:szCs w:val="21"/>
                <w:highlight w:val="none"/>
                <w:lang w:val="en-US" w:eastAsia="zh-CN"/>
              </w:rPr>
              <w:t>结合水厂及井群的实际分布情况，对水厂及周边井群进行封闭管理；</w:t>
            </w:r>
            <w:r>
              <w:rPr>
                <w:rFonts w:ascii="Segoe UI" w:hAnsi="Segoe UI" w:eastAsia="Segoe UI" w:cs="Segoe UI"/>
                <w:i w:val="0"/>
                <w:iCs w:val="0"/>
                <w:caps w:val="0"/>
                <w:color w:val="auto"/>
                <w:spacing w:val="0"/>
                <w:sz w:val="21"/>
                <w:szCs w:val="21"/>
                <w:highlight w:val="none"/>
                <w:shd w:val="clear" w:fill="FFFFFF"/>
              </w:rPr>
              <w:t>建议对保护区内现有</w:t>
            </w:r>
            <w:r>
              <w:rPr>
                <w:rFonts w:hint="eastAsia" w:ascii="Segoe UI" w:hAnsi="Segoe UI" w:cs="Segoe UI"/>
                <w:i w:val="0"/>
                <w:iCs w:val="0"/>
                <w:caps w:val="0"/>
                <w:color w:val="auto"/>
                <w:spacing w:val="0"/>
                <w:sz w:val="21"/>
                <w:szCs w:val="21"/>
                <w:highlight w:val="none"/>
                <w:shd w:val="clear" w:fill="FFFFFF"/>
                <w:lang w:eastAsia="zh-CN"/>
              </w:rPr>
              <w:t>简易仓储棚</w:t>
            </w:r>
            <w:r>
              <w:rPr>
                <w:rFonts w:ascii="Segoe UI" w:hAnsi="Segoe UI" w:eastAsia="Segoe UI" w:cs="Segoe UI"/>
                <w:i w:val="0"/>
                <w:iCs w:val="0"/>
                <w:caps w:val="0"/>
                <w:color w:val="auto"/>
                <w:spacing w:val="0"/>
                <w:sz w:val="21"/>
                <w:szCs w:val="21"/>
                <w:highlight w:val="none"/>
                <w:shd w:val="clear" w:fill="FFFFFF"/>
              </w:rPr>
              <w:t>制定并实施有序的拆迁计划</w:t>
            </w:r>
            <w:r>
              <w:rPr>
                <w:rFonts w:hint="eastAsia" w:ascii="Segoe UI" w:hAnsi="Segoe UI" w:eastAsia="宋体" w:cs="Segoe UI"/>
                <w:i w:val="0"/>
                <w:iCs w:val="0"/>
                <w:caps w:val="0"/>
                <w:color w:val="auto"/>
                <w:spacing w:val="0"/>
                <w:sz w:val="21"/>
                <w:szCs w:val="21"/>
                <w:highlight w:val="none"/>
                <w:shd w:val="clear" w:fill="FFFFFF"/>
                <w:lang w:eastAsia="zh-CN"/>
              </w:rPr>
              <w:t>；</w:t>
            </w:r>
            <w:r>
              <w:rPr>
                <w:rFonts w:hint="eastAsia" w:cs="Times New Roman"/>
                <w:color w:val="auto"/>
                <w:kern w:val="0"/>
                <w:sz w:val="21"/>
                <w:szCs w:val="21"/>
                <w:highlight w:val="none"/>
                <w:lang w:eastAsia="zh-CN"/>
              </w:rPr>
              <w:t>科学使用农药化肥，严格控制农药化肥的使用量，</w:t>
            </w:r>
            <w:r>
              <w:rPr>
                <w:rFonts w:hint="eastAsia" w:ascii="Times New Roman" w:hAnsi="Times New Roman" w:eastAsia="宋体" w:cs="Times New Roman"/>
                <w:color w:val="auto"/>
                <w:kern w:val="0"/>
                <w:sz w:val="21"/>
                <w:szCs w:val="21"/>
                <w:highlight w:val="none"/>
              </w:rPr>
              <w:t>尽快争取政府专项资金补偿，逐步退耕还林还草；当地政府设立专项经费用于水源地的管理。</w:t>
            </w:r>
          </w:p>
        </w:tc>
      </w:tr>
      <w:tr w14:paraId="33DF9D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79" w:type="dxa"/>
            <w:vAlign w:val="center"/>
          </w:tcPr>
          <w:p w14:paraId="2D72334F">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eastAsia="宋体"/>
                <w:color w:val="auto"/>
                <w:highlight w:val="none"/>
                <w:lang w:val="en-US" w:eastAsia="zh-CN"/>
              </w:rPr>
            </w:pPr>
            <w:r>
              <w:rPr>
                <w:rFonts w:hint="eastAsia"/>
                <w:color w:val="auto"/>
                <w:sz w:val="21"/>
                <w:szCs w:val="21"/>
                <w:highlight w:val="none"/>
                <w:lang w:val="en-US" w:eastAsia="zh-CN"/>
              </w:rPr>
              <w:t>17</w:t>
            </w:r>
          </w:p>
        </w:tc>
        <w:tc>
          <w:tcPr>
            <w:tcW w:w="1199" w:type="pct"/>
            <w:vMerge w:val="continue"/>
            <w:vAlign w:val="center"/>
          </w:tcPr>
          <w:p w14:paraId="5CA96127">
            <w:pPr>
              <w:pStyle w:val="30"/>
              <w:keepNext w:val="0"/>
              <w:keepLines w:val="0"/>
              <w:pageBreakBefore w:val="0"/>
              <w:widowControl w:val="0"/>
              <w:kinsoku/>
              <w:wordWrap/>
              <w:overflowPunct/>
              <w:topLinePunct w:val="0"/>
              <w:autoSpaceDE/>
              <w:autoSpaceDN/>
              <w:bidi w:val="0"/>
              <w:adjustRightInd/>
              <w:snapToGrid/>
              <w:spacing w:line="288" w:lineRule="auto"/>
              <w:textAlignment w:val="auto"/>
              <w:rPr>
                <w:rFonts w:hint="default"/>
                <w:color w:val="auto"/>
                <w:highlight w:val="none"/>
                <w:lang w:val="zh-CN"/>
              </w:rPr>
            </w:pPr>
          </w:p>
        </w:tc>
        <w:tc>
          <w:tcPr>
            <w:tcW w:w="556" w:type="pct"/>
            <w:vAlign w:val="center"/>
          </w:tcPr>
          <w:p w14:paraId="63ABEBBA">
            <w:pPr>
              <w:pStyle w:val="30"/>
              <w:keepNext w:val="0"/>
              <w:keepLines w:val="0"/>
              <w:pageBreakBefore w:val="0"/>
              <w:widowControl w:val="0"/>
              <w:kinsoku/>
              <w:wordWrap/>
              <w:overflowPunct/>
              <w:topLinePunct w:val="0"/>
              <w:autoSpaceDE/>
              <w:autoSpaceDN/>
              <w:bidi w:val="0"/>
              <w:adjustRightInd/>
              <w:snapToGrid/>
              <w:spacing w:line="288" w:lineRule="auto"/>
              <w:ind w:firstLine="0" w:firstLineChars="0"/>
              <w:textAlignment w:val="auto"/>
              <w:rPr>
                <w:rFonts w:hint="default"/>
                <w:color w:val="auto"/>
                <w:highlight w:val="none"/>
                <w:lang w:val="zh-CN"/>
              </w:rPr>
            </w:pPr>
            <w:r>
              <w:rPr>
                <w:color w:val="auto"/>
                <w:highlight w:val="none"/>
              </w:rPr>
              <w:t>3#</w:t>
            </w:r>
          </w:p>
        </w:tc>
        <w:tc>
          <w:tcPr>
            <w:tcW w:w="2897" w:type="pct"/>
            <w:vAlign w:val="center"/>
          </w:tcPr>
          <w:p w14:paraId="3522B774">
            <w:pPr>
              <w:widowControl/>
              <w:snapToGrid w:val="0"/>
              <w:spacing w:line="240" w:lineRule="auto"/>
              <w:ind w:firstLine="0" w:firstLineChars="0"/>
              <w:jc w:val="center"/>
              <w:rPr>
                <w:rFonts w:hint="eastAsia" w:eastAsia="宋体"/>
                <w:color w:val="auto"/>
                <w:highlight w:val="none"/>
                <w:lang w:val="en-US" w:eastAsia="zh-CN"/>
              </w:rPr>
            </w:pPr>
            <w:r>
              <w:rPr>
                <w:rFonts w:hint="eastAsia"/>
                <w:color w:val="auto"/>
                <w:highlight w:val="none"/>
                <w:lang w:val="en-US" w:eastAsia="zh-CN"/>
              </w:rPr>
              <w:t>/</w:t>
            </w:r>
          </w:p>
        </w:tc>
      </w:tr>
      <w:tr w14:paraId="3A83F0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79" w:type="dxa"/>
            <w:vAlign w:val="center"/>
          </w:tcPr>
          <w:p w14:paraId="230C83D4">
            <w:pPr>
              <w:widowControl/>
              <w:spacing w:line="240" w:lineRule="auto"/>
              <w:ind w:firstLine="0" w:firstLineChars="0"/>
              <w:jc w:val="center"/>
              <w:textAlignment w:val="center"/>
              <w:rPr>
                <w:rFonts w:hint="default" w:eastAsia="宋体"/>
                <w:color w:val="auto"/>
                <w:highlight w:val="none"/>
                <w:lang w:val="en-US" w:eastAsia="zh-CN"/>
              </w:rPr>
            </w:pPr>
            <w:r>
              <w:rPr>
                <w:rFonts w:hint="eastAsia" w:cs="Times New Roman"/>
                <w:color w:val="auto"/>
                <w:kern w:val="0"/>
                <w:sz w:val="21"/>
                <w:szCs w:val="21"/>
                <w:highlight w:val="none"/>
                <w:lang w:val="en-US" w:eastAsia="zh-CN" w:bidi="ar"/>
              </w:rPr>
              <w:t>18</w:t>
            </w:r>
          </w:p>
        </w:tc>
        <w:tc>
          <w:tcPr>
            <w:tcW w:w="1199" w:type="pct"/>
            <w:vMerge w:val="continue"/>
            <w:vAlign w:val="center"/>
          </w:tcPr>
          <w:p w14:paraId="14925EEC">
            <w:pPr>
              <w:pStyle w:val="30"/>
              <w:keepNext w:val="0"/>
              <w:keepLines w:val="0"/>
              <w:pageBreakBefore w:val="0"/>
              <w:widowControl w:val="0"/>
              <w:kinsoku/>
              <w:wordWrap/>
              <w:overflowPunct/>
              <w:topLinePunct w:val="0"/>
              <w:autoSpaceDE/>
              <w:autoSpaceDN/>
              <w:bidi w:val="0"/>
              <w:adjustRightInd/>
              <w:snapToGrid/>
              <w:spacing w:line="288" w:lineRule="auto"/>
              <w:textAlignment w:val="auto"/>
              <w:rPr>
                <w:rFonts w:hint="default"/>
                <w:color w:val="auto"/>
                <w:highlight w:val="none"/>
                <w:lang w:val="zh-CN"/>
              </w:rPr>
            </w:pPr>
          </w:p>
        </w:tc>
        <w:tc>
          <w:tcPr>
            <w:tcW w:w="556" w:type="pct"/>
            <w:vAlign w:val="center"/>
          </w:tcPr>
          <w:p w14:paraId="6E4DD4B5">
            <w:pPr>
              <w:pStyle w:val="30"/>
              <w:keepNext w:val="0"/>
              <w:keepLines w:val="0"/>
              <w:pageBreakBefore w:val="0"/>
              <w:widowControl w:val="0"/>
              <w:kinsoku/>
              <w:wordWrap/>
              <w:overflowPunct/>
              <w:topLinePunct w:val="0"/>
              <w:autoSpaceDE/>
              <w:autoSpaceDN/>
              <w:bidi w:val="0"/>
              <w:adjustRightInd/>
              <w:snapToGrid/>
              <w:spacing w:line="288" w:lineRule="auto"/>
              <w:ind w:firstLine="0" w:firstLineChars="0"/>
              <w:textAlignment w:val="auto"/>
              <w:rPr>
                <w:color w:val="auto"/>
                <w:highlight w:val="none"/>
              </w:rPr>
            </w:pPr>
            <w:r>
              <w:rPr>
                <w:color w:val="auto"/>
                <w:highlight w:val="none"/>
              </w:rPr>
              <w:t>4#</w:t>
            </w:r>
          </w:p>
        </w:tc>
        <w:tc>
          <w:tcPr>
            <w:tcW w:w="2897" w:type="pct"/>
            <w:shd w:val="clear" w:color="auto" w:fill="auto"/>
            <w:vAlign w:val="center"/>
          </w:tcPr>
          <w:p w14:paraId="40FC16AB">
            <w:pPr>
              <w:widowControl/>
              <w:snapToGrid w:val="0"/>
              <w:spacing w:line="240" w:lineRule="auto"/>
              <w:ind w:left="0" w:leftChars="0" w:firstLine="0" w:firstLineChars="0"/>
              <w:jc w:val="left"/>
              <w:rPr>
                <w:rFonts w:hint="default" w:ascii="Times New Roman" w:hAnsi="Times New Roman" w:eastAsia="宋体" w:cs="Times New Roman"/>
                <w:color w:val="auto"/>
                <w:kern w:val="2"/>
                <w:sz w:val="21"/>
                <w:szCs w:val="21"/>
                <w:highlight w:val="none"/>
                <w:lang w:val="zh-CN" w:eastAsia="zh-CN" w:bidi="ar-SA"/>
              </w:rPr>
            </w:pPr>
            <w:r>
              <w:rPr>
                <w:rFonts w:hint="eastAsia" w:cs="Times New Roman"/>
                <w:color w:val="auto"/>
                <w:kern w:val="0"/>
                <w:sz w:val="21"/>
                <w:szCs w:val="21"/>
                <w:highlight w:val="none"/>
                <w:lang w:val="en-US" w:eastAsia="zh-CN"/>
              </w:rPr>
              <w:t>结合水厂及井群的实际分布情况，对水厂及周边井群进行封闭管理；</w:t>
            </w:r>
            <w:r>
              <w:rPr>
                <w:rFonts w:hint="eastAsia" w:cs="Times New Roman"/>
                <w:color w:val="auto"/>
                <w:kern w:val="0"/>
                <w:sz w:val="21"/>
                <w:szCs w:val="21"/>
                <w:highlight w:val="none"/>
                <w:lang w:eastAsia="zh-CN"/>
              </w:rPr>
              <w:t>科学使用农药化肥，严格控制农药化肥的使用量，</w:t>
            </w:r>
            <w:r>
              <w:rPr>
                <w:rFonts w:hint="eastAsia" w:ascii="Times New Roman" w:hAnsi="Times New Roman" w:eastAsia="宋体" w:cs="Times New Roman"/>
                <w:color w:val="auto"/>
                <w:kern w:val="0"/>
                <w:sz w:val="21"/>
                <w:szCs w:val="21"/>
                <w:highlight w:val="none"/>
              </w:rPr>
              <w:t>尽快争取政府专项资金补偿，逐步退耕还林还草；</w:t>
            </w:r>
            <w:r>
              <w:rPr>
                <w:rFonts w:hint="eastAsia" w:cs="Times New Roman"/>
                <w:color w:val="auto"/>
                <w:kern w:val="0"/>
                <w:sz w:val="21"/>
                <w:szCs w:val="21"/>
                <w:highlight w:val="none"/>
                <w:lang w:eastAsia="zh-CN"/>
              </w:rPr>
              <w:t>强化乡村道路风险防控，建议穿越道路两侧设置排水沟，加强管理，设立明显的警示标志；</w:t>
            </w:r>
            <w:r>
              <w:rPr>
                <w:rFonts w:hint="eastAsia" w:ascii="Times New Roman" w:hAnsi="Times New Roman" w:eastAsia="宋体" w:cs="Times New Roman"/>
                <w:color w:val="auto"/>
                <w:kern w:val="0"/>
                <w:sz w:val="21"/>
                <w:szCs w:val="21"/>
                <w:highlight w:val="none"/>
              </w:rPr>
              <w:t>当地政府设立专项经费用于水源地的管理。</w:t>
            </w:r>
          </w:p>
        </w:tc>
      </w:tr>
      <w:tr w14:paraId="69BFF5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79" w:type="dxa"/>
            <w:vAlign w:val="center"/>
          </w:tcPr>
          <w:p w14:paraId="62E67B29">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eastAsia="宋体"/>
                <w:color w:val="auto"/>
                <w:highlight w:val="none"/>
                <w:lang w:val="en-US" w:eastAsia="zh-CN"/>
              </w:rPr>
            </w:pPr>
            <w:r>
              <w:rPr>
                <w:rFonts w:hint="eastAsia"/>
                <w:color w:val="auto"/>
                <w:sz w:val="21"/>
                <w:szCs w:val="21"/>
                <w:highlight w:val="none"/>
                <w:lang w:val="en-US" w:eastAsia="zh-CN"/>
              </w:rPr>
              <w:t>19</w:t>
            </w:r>
          </w:p>
        </w:tc>
        <w:tc>
          <w:tcPr>
            <w:tcW w:w="1199" w:type="pct"/>
            <w:vMerge w:val="continue"/>
            <w:vAlign w:val="center"/>
          </w:tcPr>
          <w:p w14:paraId="4EDBCCAB">
            <w:pPr>
              <w:pStyle w:val="30"/>
              <w:keepNext w:val="0"/>
              <w:keepLines w:val="0"/>
              <w:pageBreakBefore w:val="0"/>
              <w:widowControl w:val="0"/>
              <w:kinsoku/>
              <w:wordWrap/>
              <w:overflowPunct/>
              <w:topLinePunct w:val="0"/>
              <w:autoSpaceDE/>
              <w:autoSpaceDN/>
              <w:bidi w:val="0"/>
              <w:adjustRightInd/>
              <w:snapToGrid/>
              <w:spacing w:line="288" w:lineRule="auto"/>
              <w:textAlignment w:val="auto"/>
              <w:rPr>
                <w:rFonts w:hint="default"/>
                <w:color w:val="auto"/>
                <w:highlight w:val="none"/>
                <w:lang w:val="zh-CN"/>
              </w:rPr>
            </w:pPr>
          </w:p>
        </w:tc>
        <w:tc>
          <w:tcPr>
            <w:tcW w:w="556" w:type="pct"/>
            <w:vAlign w:val="center"/>
          </w:tcPr>
          <w:p w14:paraId="7BA444D7">
            <w:pPr>
              <w:pStyle w:val="30"/>
              <w:keepNext w:val="0"/>
              <w:keepLines w:val="0"/>
              <w:pageBreakBefore w:val="0"/>
              <w:widowControl w:val="0"/>
              <w:kinsoku/>
              <w:wordWrap/>
              <w:overflowPunct/>
              <w:topLinePunct w:val="0"/>
              <w:autoSpaceDE/>
              <w:autoSpaceDN/>
              <w:bidi w:val="0"/>
              <w:adjustRightInd/>
              <w:snapToGrid/>
              <w:spacing w:line="288" w:lineRule="auto"/>
              <w:ind w:firstLine="0" w:firstLineChars="0"/>
              <w:textAlignment w:val="auto"/>
              <w:rPr>
                <w:rFonts w:hint="default"/>
                <w:color w:val="auto"/>
                <w:highlight w:val="none"/>
                <w:lang w:val="zh-CN"/>
              </w:rPr>
            </w:pPr>
            <w:r>
              <w:rPr>
                <w:color w:val="auto"/>
                <w:highlight w:val="none"/>
              </w:rPr>
              <w:t>5#</w:t>
            </w:r>
          </w:p>
        </w:tc>
        <w:tc>
          <w:tcPr>
            <w:tcW w:w="2897" w:type="pct"/>
            <w:shd w:val="clear" w:color="auto" w:fill="auto"/>
            <w:vAlign w:val="center"/>
          </w:tcPr>
          <w:p w14:paraId="60C964EB">
            <w:pPr>
              <w:widowControl/>
              <w:snapToGrid w:val="0"/>
              <w:spacing w:line="240" w:lineRule="auto"/>
              <w:ind w:left="0" w:leftChars="0" w:firstLine="0" w:firstLineChars="0"/>
              <w:jc w:val="left"/>
              <w:rPr>
                <w:rFonts w:hint="default" w:ascii="Times New Roman" w:hAnsi="Times New Roman" w:eastAsia="宋体" w:cs="Times New Roman"/>
                <w:color w:val="auto"/>
                <w:kern w:val="2"/>
                <w:sz w:val="21"/>
                <w:szCs w:val="21"/>
                <w:highlight w:val="none"/>
                <w:lang w:val="zh-CN" w:eastAsia="zh-CN" w:bidi="ar-SA"/>
              </w:rPr>
            </w:pPr>
            <w:r>
              <w:rPr>
                <w:rFonts w:hint="eastAsia" w:cs="Times New Roman"/>
                <w:color w:val="auto"/>
                <w:kern w:val="0"/>
                <w:sz w:val="21"/>
                <w:szCs w:val="21"/>
                <w:highlight w:val="none"/>
                <w:lang w:val="en-US" w:eastAsia="zh-CN"/>
              </w:rPr>
              <w:t>结合水厂及井群的实际分布情况，对水厂及周边井群进行封闭管理；</w:t>
            </w:r>
            <w:r>
              <w:rPr>
                <w:rFonts w:hint="eastAsia" w:cs="Times New Roman"/>
                <w:color w:val="auto"/>
                <w:kern w:val="0"/>
                <w:sz w:val="21"/>
                <w:szCs w:val="21"/>
                <w:highlight w:val="none"/>
                <w:lang w:eastAsia="zh-CN"/>
              </w:rPr>
              <w:t>科学使用农药化肥，严格控制农药化肥的使用量，</w:t>
            </w:r>
            <w:r>
              <w:rPr>
                <w:rFonts w:hint="eastAsia" w:ascii="Times New Roman" w:hAnsi="Times New Roman" w:eastAsia="宋体" w:cs="Times New Roman"/>
                <w:color w:val="auto"/>
                <w:kern w:val="0"/>
                <w:sz w:val="21"/>
                <w:szCs w:val="21"/>
                <w:highlight w:val="none"/>
              </w:rPr>
              <w:t>尽快争取政府专项资金补偿，逐步退耕还林还草；当地政府设立专项经费用于水源地的管理。</w:t>
            </w:r>
          </w:p>
        </w:tc>
      </w:tr>
      <w:tr w14:paraId="0F40CC2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79" w:type="dxa"/>
            <w:vAlign w:val="center"/>
          </w:tcPr>
          <w:p w14:paraId="228E4A70">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kern w:val="0"/>
                <w:sz w:val="21"/>
                <w:szCs w:val="21"/>
                <w:highlight w:val="none"/>
                <w:lang w:val="en-US" w:eastAsia="zh-CN" w:bidi="ar"/>
              </w:rPr>
            </w:pPr>
            <w:r>
              <w:rPr>
                <w:rFonts w:hint="eastAsia"/>
                <w:color w:val="auto"/>
                <w:sz w:val="21"/>
                <w:szCs w:val="21"/>
                <w:highlight w:val="none"/>
                <w:lang w:val="en-US" w:eastAsia="zh-CN"/>
              </w:rPr>
              <w:t>20</w:t>
            </w:r>
          </w:p>
        </w:tc>
        <w:tc>
          <w:tcPr>
            <w:tcW w:w="1199" w:type="pct"/>
            <w:vMerge w:val="restart"/>
            <w:vAlign w:val="center"/>
          </w:tcPr>
          <w:p w14:paraId="79EAA15D">
            <w:pPr>
              <w:widowControl/>
              <w:spacing w:line="240" w:lineRule="auto"/>
              <w:ind w:firstLine="0" w:firstLineChars="0"/>
              <w:jc w:val="center"/>
              <w:textAlignment w:val="center"/>
              <w:rPr>
                <w:rFonts w:hint="default"/>
                <w:color w:val="auto"/>
                <w:highlight w:val="none"/>
                <w:lang w:val="zh-CN"/>
              </w:rPr>
            </w:pPr>
            <w:r>
              <w:rPr>
                <w:rFonts w:hint="eastAsia" w:ascii="Times New Roman" w:hAnsi="Times New Roman" w:eastAsia="宋体" w:cs="Times New Roman"/>
                <w:color w:val="auto"/>
                <w:kern w:val="0"/>
                <w:sz w:val="21"/>
                <w:szCs w:val="21"/>
                <w:highlight w:val="none"/>
                <w:lang w:val="en-US" w:eastAsia="zh-CN" w:bidi="ar"/>
              </w:rPr>
              <w:t>绥化市庆安县柳河镇新强村饮用水水源地</w:t>
            </w:r>
          </w:p>
        </w:tc>
        <w:tc>
          <w:tcPr>
            <w:tcW w:w="556" w:type="pct"/>
            <w:shd w:val="clear" w:color="auto" w:fill="auto"/>
            <w:vAlign w:val="center"/>
          </w:tcPr>
          <w:p w14:paraId="3A3AE15F">
            <w:pPr>
              <w:pStyle w:val="30"/>
              <w:keepNext w:val="0"/>
              <w:keepLines w:val="0"/>
              <w:pageBreakBefore w:val="0"/>
              <w:widowControl w:val="0"/>
              <w:kinsoku/>
              <w:wordWrap/>
              <w:overflowPunct/>
              <w:topLinePunct w:val="0"/>
              <w:autoSpaceDE/>
              <w:autoSpaceDN/>
              <w:bidi w:val="0"/>
              <w:adjustRightInd/>
              <w:snapToGrid/>
              <w:spacing w:line="288" w:lineRule="auto"/>
              <w:ind w:firstLine="0" w:firstLineChars="0"/>
              <w:textAlignment w:val="auto"/>
              <w:rPr>
                <w:rFonts w:hint="default" w:ascii="Times New Roman" w:hAnsi="Times New Roman" w:eastAsia="宋体" w:cs="Times New Roman"/>
                <w:color w:val="auto"/>
                <w:kern w:val="2"/>
                <w:sz w:val="21"/>
                <w:szCs w:val="21"/>
                <w:highlight w:val="none"/>
                <w:lang w:val="zh-CN" w:eastAsia="zh-CN" w:bidi="ar-SA"/>
              </w:rPr>
            </w:pPr>
            <w:r>
              <w:rPr>
                <w:color w:val="auto"/>
                <w:highlight w:val="none"/>
              </w:rPr>
              <w:t>1#</w:t>
            </w:r>
          </w:p>
        </w:tc>
        <w:tc>
          <w:tcPr>
            <w:tcW w:w="2897" w:type="pct"/>
            <w:shd w:val="clear" w:color="auto" w:fill="auto"/>
            <w:vAlign w:val="center"/>
          </w:tcPr>
          <w:p w14:paraId="4E6B89EA">
            <w:pPr>
              <w:widowControl/>
              <w:snapToGrid w:val="0"/>
              <w:spacing w:line="240" w:lineRule="auto"/>
              <w:ind w:left="0" w:leftChars="0" w:firstLine="0" w:firstLineChars="0"/>
              <w:jc w:val="left"/>
              <w:rPr>
                <w:rFonts w:hint="default" w:ascii="Times New Roman" w:hAnsi="Times New Roman" w:eastAsia="宋体" w:cs="Times New Roman"/>
                <w:color w:val="auto"/>
                <w:kern w:val="2"/>
                <w:sz w:val="21"/>
                <w:szCs w:val="21"/>
                <w:highlight w:val="none"/>
                <w:lang w:val="zh-CN" w:eastAsia="zh-CN" w:bidi="ar-SA"/>
              </w:rPr>
            </w:pPr>
            <w:r>
              <w:rPr>
                <w:rFonts w:hint="eastAsia" w:cs="Times New Roman"/>
                <w:color w:val="auto"/>
                <w:kern w:val="0"/>
                <w:sz w:val="21"/>
                <w:szCs w:val="21"/>
                <w:highlight w:val="none"/>
                <w:lang w:val="en-US" w:eastAsia="zh-CN"/>
              </w:rPr>
              <w:t>结合水厂及井群的实际分布情况，对水厂及周边井群进行封闭管理；</w:t>
            </w:r>
            <w:r>
              <w:rPr>
                <w:rFonts w:hint="eastAsia" w:cs="Times New Roman"/>
                <w:color w:val="auto"/>
                <w:kern w:val="0"/>
                <w:sz w:val="21"/>
                <w:szCs w:val="21"/>
                <w:highlight w:val="none"/>
                <w:lang w:eastAsia="zh-CN"/>
              </w:rPr>
              <w:t>科学使用农药化肥，严格控制农药化肥的使用量，</w:t>
            </w:r>
            <w:r>
              <w:rPr>
                <w:rFonts w:hint="eastAsia" w:ascii="Times New Roman" w:hAnsi="Times New Roman" w:eastAsia="宋体" w:cs="Times New Roman"/>
                <w:color w:val="auto"/>
                <w:kern w:val="0"/>
                <w:sz w:val="21"/>
                <w:szCs w:val="21"/>
                <w:highlight w:val="none"/>
              </w:rPr>
              <w:t>尽快争取政府专项资金补偿，逐步退耕还林还草；当地政府设立专项经费用于水源地的管理。</w:t>
            </w:r>
          </w:p>
        </w:tc>
      </w:tr>
      <w:tr w14:paraId="785AA0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79" w:type="dxa"/>
            <w:vAlign w:val="center"/>
          </w:tcPr>
          <w:p w14:paraId="4C6CA47D">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eastAsia="宋体"/>
                <w:color w:val="auto"/>
                <w:highlight w:val="none"/>
                <w:lang w:val="en-US" w:eastAsia="zh-CN"/>
              </w:rPr>
            </w:pPr>
            <w:r>
              <w:rPr>
                <w:rFonts w:hint="eastAsia"/>
                <w:color w:val="auto"/>
                <w:sz w:val="21"/>
                <w:szCs w:val="21"/>
                <w:highlight w:val="none"/>
                <w:lang w:val="en-US" w:eastAsia="zh-CN"/>
              </w:rPr>
              <w:t>21</w:t>
            </w:r>
          </w:p>
        </w:tc>
        <w:tc>
          <w:tcPr>
            <w:tcW w:w="1199" w:type="pct"/>
            <w:vMerge w:val="continue"/>
            <w:vAlign w:val="center"/>
          </w:tcPr>
          <w:p w14:paraId="137DE059">
            <w:pPr>
              <w:pStyle w:val="30"/>
              <w:keepNext w:val="0"/>
              <w:keepLines w:val="0"/>
              <w:pageBreakBefore w:val="0"/>
              <w:widowControl w:val="0"/>
              <w:kinsoku/>
              <w:wordWrap/>
              <w:overflowPunct/>
              <w:topLinePunct w:val="0"/>
              <w:autoSpaceDE/>
              <w:autoSpaceDN/>
              <w:bidi w:val="0"/>
              <w:adjustRightInd/>
              <w:snapToGrid/>
              <w:spacing w:line="288" w:lineRule="auto"/>
              <w:textAlignment w:val="auto"/>
              <w:rPr>
                <w:rFonts w:hint="default"/>
                <w:color w:val="auto"/>
                <w:highlight w:val="none"/>
                <w:lang w:val="zh-CN"/>
              </w:rPr>
            </w:pPr>
          </w:p>
        </w:tc>
        <w:tc>
          <w:tcPr>
            <w:tcW w:w="556" w:type="pct"/>
            <w:shd w:val="clear" w:color="auto" w:fill="auto"/>
            <w:vAlign w:val="center"/>
          </w:tcPr>
          <w:p w14:paraId="0EC82F2B">
            <w:pPr>
              <w:pStyle w:val="30"/>
              <w:keepNext w:val="0"/>
              <w:keepLines w:val="0"/>
              <w:pageBreakBefore w:val="0"/>
              <w:widowControl w:val="0"/>
              <w:kinsoku/>
              <w:wordWrap/>
              <w:overflowPunct/>
              <w:topLinePunct w:val="0"/>
              <w:autoSpaceDE/>
              <w:autoSpaceDN/>
              <w:bidi w:val="0"/>
              <w:adjustRightInd/>
              <w:snapToGrid/>
              <w:spacing w:line="288" w:lineRule="auto"/>
              <w:ind w:firstLine="0" w:firstLineChars="0"/>
              <w:textAlignment w:val="auto"/>
              <w:rPr>
                <w:rFonts w:hint="default" w:ascii="Times New Roman" w:hAnsi="Times New Roman" w:eastAsia="宋体" w:cs="Times New Roman"/>
                <w:color w:val="auto"/>
                <w:kern w:val="2"/>
                <w:sz w:val="21"/>
                <w:szCs w:val="21"/>
                <w:highlight w:val="none"/>
                <w:lang w:val="zh-CN" w:eastAsia="zh-CN" w:bidi="ar-SA"/>
              </w:rPr>
            </w:pPr>
            <w:r>
              <w:rPr>
                <w:color w:val="auto"/>
                <w:highlight w:val="none"/>
              </w:rPr>
              <w:t>2#</w:t>
            </w:r>
          </w:p>
        </w:tc>
        <w:tc>
          <w:tcPr>
            <w:tcW w:w="2897" w:type="pct"/>
            <w:shd w:val="clear" w:color="auto" w:fill="auto"/>
            <w:vAlign w:val="center"/>
          </w:tcPr>
          <w:p w14:paraId="1BF1FF9B">
            <w:pPr>
              <w:widowControl/>
              <w:snapToGrid w:val="0"/>
              <w:spacing w:line="240" w:lineRule="auto"/>
              <w:ind w:left="0" w:leftChars="0" w:firstLine="0" w:firstLineChars="0"/>
              <w:jc w:val="left"/>
              <w:rPr>
                <w:rFonts w:hint="default" w:ascii="Times New Roman" w:hAnsi="Times New Roman" w:eastAsia="宋体" w:cs="Times New Roman"/>
                <w:color w:val="auto"/>
                <w:kern w:val="2"/>
                <w:sz w:val="21"/>
                <w:szCs w:val="21"/>
                <w:highlight w:val="none"/>
                <w:lang w:val="zh-CN" w:eastAsia="zh-CN" w:bidi="ar-SA"/>
              </w:rPr>
            </w:pPr>
            <w:r>
              <w:rPr>
                <w:rFonts w:hint="eastAsia" w:cs="Times New Roman"/>
                <w:color w:val="auto"/>
                <w:kern w:val="0"/>
                <w:sz w:val="21"/>
                <w:szCs w:val="21"/>
                <w:highlight w:val="none"/>
                <w:lang w:val="en-US" w:eastAsia="zh-CN"/>
              </w:rPr>
              <w:t>结合水厂及井群的实际分布情况，对水厂及周边井群进行封闭管理；</w:t>
            </w:r>
            <w:r>
              <w:rPr>
                <w:rFonts w:hint="eastAsia" w:cs="Times New Roman"/>
                <w:color w:val="auto"/>
                <w:kern w:val="0"/>
                <w:sz w:val="21"/>
                <w:szCs w:val="21"/>
                <w:highlight w:val="none"/>
                <w:lang w:eastAsia="zh-CN"/>
              </w:rPr>
              <w:t>科学使用农药化肥，严格控制农药化肥的使用量，</w:t>
            </w:r>
            <w:r>
              <w:rPr>
                <w:rFonts w:hint="eastAsia" w:ascii="Times New Roman" w:hAnsi="Times New Roman" w:eastAsia="宋体" w:cs="Times New Roman"/>
                <w:color w:val="auto"/>
                <w:kern w:val="0"/>
                <w:sz w:val="21"/>
                <w:szCs w:val="21"/>
                <w:highlight w:val="none"/>
              </w:rPr>
              <w:t>尽快争取政府专项资金补偿，逐步退耕还林还草；当地政府设立专项经费用于水源地的管理。</w:t>
            </w:r>
          </w:p>
        </w:tc>
      </w:tr>
      <w:tr w14:paraId="2175CC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79" w:type="dxa"/>
            <w:vAlign w:val="center"/>
          </w:tcPr>
          <w:p w14:paraId="3AF91D5D">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eastAsia="宋体"/>
                <w:color w:val="auto"/>
                <w:highlight w:val="none"/>
                <w:lang w:val="en-US" w:eastAsia="zh-CN"/>
              </w:rPr>
            </w:pPr>
            <w:r>
              <w:rPr>
                <w:rFonts w:hint="eastAsia"/>
                <w:color w:val="auto"/>
                <w:sz w:val="21"/>
                <w:szCs w:val="21"/>
                <w:highlight w:val="none"/>
                <w:lang w:val="en-US" w:eastAsia="zh-CN"/>
              </w:rPr>
              <w:t>22</w:t>
            </w:r>
          </w:p>
        </w:tc>
        <w:tc>
          <w:tcPr>
            <w:tcW w:w="1199" w:type="pct"/>
            <w:vMerge w:val="continue"/>
            <w:vAlign w:val="center"/>
          </w:tcPr>
          <w:p w14:paraId="2385DCF5">
            <w:pPr>
              <w:pStyle w:val="30"/>
              <w:keepNext w:val="0"/>
              <w:keepLines w:val="0"/>
              <w:pageBreakBefore w:val="0"/>
              <w:widowControl w:val="0"/>
              <w:kinsoku/>
              <w:wordWrap/>
              <w:overflowPunct/>
              <w:topLinePunct w:val="0"/>
              <w:autoSpaceDE/>
              <w:autoSpaceDN/>
              <w:bidi w:val="0"/>
              <w:adjustRightInd/>
              <w:snapToGrid/>
              <w:spacing w:line="288" w:lineRule="auto"/>
              <w:textAlignment w:val="auto"/>
              <w:rPr>
                <w:rFonts w:hint="default"/>
                <w:color w:val="auto"/>
                <w:highlight w:val="none"/>
                <w:lang w:val="zh-CN"/>
              </w:rPr>
            </w:pPr>
          </w:p>
        </w:tc>
        <w:tc>
          <w:tcPr>
            <w:tcW w:w="556" w:type="pct"/>
            <w:shd w:val="clear" w:color="auto" w:fill="auto"/>
            <w:vAlign w:val="center"/>
          </w:tcPr>
          <w:p w14:paraId="5F9DCF8D">
            <w:pPr>
              <w:pStyle w:val="30"/>
              <w:keepNext w:val="0"/>
              <w:keepLines w:val="0"/>
              <w:pageBreakBefore w:val="0"/>
              <w:widowControl w:val="0"/>
              <w:kinsoku/>
              <w:wordWrap/>
              <w:overflowPunct/>
              <w:topLinePunct w:val="0"/>
              <w:autoSpaceDE/>
              <w:autoSpaceDN/>
              <w:bidi w:val="0"/>
              <w:adjustRightInd/>
              <w:snapToGrid/>
              <w:spacing w:line="288" w:lineRule="auto"/>
              <w:ind w:firstLine="0" w:firstLineChars="0"/>
              <w:textAlignment w:val="auto"/>
              <w:rPr>
                <w:rFonts w:hint="default" w:ascii="Times New Roman" w:hAnsi="Times New Roman" w:eastAsia="宋体" w:cs="Times New Roman"/>
                <w:color w:val="auto"/>
                <w:kern w:val="2"/>
                <w:sz w:val="21"/>
                <w:szCs w:val="21"/>
                <w:highlight w:val="none"/>
                <w:lang w:val="zh-CN" w:eastAsia="zh-CN" w:bidi="ar-SA"/>
              </w:rPr>
            </w:pPr>
            <w:r>
              <w:rPr>
                <w:color w:val="auto"/>
                <w:highlight w:val="none"/>
              </w:rPr>
              <w:t>3#</w:t>
            </w:r>
          </w:p>
        </w:tc>
        <w:tc>
          <w:tcPr>
            <w:tcW w:w="2897" w:type="pct"/>
            <w:shd w:val="clear" w:color="auto" w:fill="auto"/>
            <w:vAlign w:val="center"/>
          </w:tcPr>
          <w:p w14:paraId="01DF3C4D">
            <w:pPr>
              <w:widowControl/>
              <w:snapToGrid w:val="0"/>
              <w:spacing w:line="240" w:lineRule="auto"/>
              <w:ind w:firstLine="0" w:firstLineChars="0"/>
              <w:jc w:val="left"/>
              <w:rPr>
                <w:rFonts w:hint="default" w:ascii="Times New Roman" w:hAnsi="Times New Roman" w:eastAsia="宋体" w:cs="Times New Roman"/>
                <w:color w:val="auto"/>
                <w:kern w:val="2"/>
                <w:sz w:val="21"/>
                <w:szCs w:val="21"/>
                <w:highlight w:val="none"/>
                <w:lang w:val="zh-CN" w:eastAsia="zh-CN" w:bidi="ar-SA"/>
              </w:rPr>
            </w:pPr>
            <w:r>
              <w:rPr>
                <w:rFonts w:hint="eastAsia" w:cs="Times New Roman"/>
                <w:color w:val="auto"/>
                <w:kern w:val="0"/>
                <w:sz w:val="21"/>
                <w:szCs w:val="21"/>
                <w:highlight w:val="none"/>
                <w:lang w:val="en-US" w:eastAsia="zh-CN"/>
              </w:rPr>
              <w:t>结合水厂及井群的实际分布情况，对水厂及周边井群进行封闭管理；</w:t>
            </w:r>
            <w:r>
              <w:rPr>
                <w:rFonts w:hint="eastAsia" w:cs="Times New Roman"/>
                <w:color w:val="auto"/>
                <w:kern w:val="0"/>
                <w:sz w:val="21"/>
                <w:szCs w:val="21"/>
                <w:highlight w:val="none"/>
                <w:lang w:eastAsia="zh-CN"/>
              </w:rPr>
              <w:t>科学使用农药化肥，严格控制农药化肥的使用量，</w:t>
            </w:r>
            <w:r>
              <w:rPr>
                <w:rFonts w:hint="eastAsia" w:ascii="Times New Roman" w:hAnsi="Times New Roman" w:eastAsia="宋体" w:cs="Times New Roman"/>
                <w:color w:val="auto"/>
                <w:kern w:val="0"/>
                <w:sz w:val="21"/>
                <w:szCs w:val="21"/>
                <w:highlight w:val="none"/>
              </w:rPr>
              <w:t>尽快争取政府专项资金补偿，逐步退耕还林还草；</w:t>
            </w:r>
            <w:r>
              <w:rPr>
                <w:rFonts w:hint="eastAsia" w:cs="Times New Roman"/>
                <w:color w:val="auto"/>
                <w:kern w:val="0"/>
                <w:sz w:val="21"/>
                <w:szCs w:val="21"/>
                <w:highlight w:val="none"/>
                <w:lang w:eastAsia="zh-CN"/>
              </w:rPr>
              <w:t>强化乡村道路风险防控，建议穿越道路两侧设置排水沟，加强管理，设立明显的警示标志；</w:t>
            </w:r>
            <w:r>
              <w:rPr>
                <w:rFonts w:hint="eastAsia" w:ascii="Times New Roman" w:hAnsi="Times New Roman" w:eastAsia="宋体" w:cs="Times New Roman"/>
                <w:color w:val="auto"/>
                <w:kern w:val="0"/>
                <w:sz w:val="21"/>
                <w:szCs w:val="21"/>
                <w:highlight w:val="none"/>
              </w:rPr>
              <w:t>当地政府设立专项经费用于水源地的管理。</w:t>
            </w:r>
          </w:p>
        </w:tc>
      </w:tr>
      <w:tr w14:paraId="281AB4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79" w:type="dxa"/>
            <w:vAlign w:val="center"/>
          </w:tcPr>
          <w:p w14:paraId="4896C17E">
            <w:pPr>
              <w:widowControl/>
              <w:spacing w:line="240" w:lineRule="auto"/>
              <w:ind w:firstLine="0" w:firstLineChars="0"/>
              <w:jc w:val="center"/>
              <w:textAlignment w:val="center"/>
              <w:rPr>
                <w:rFonts w:hint="default" w:eastAsia="宋体"/>
                <w:color w:val="auto"/>
                <w:highlight w:val="none"/>
                <w:lang w:val="en-US" w:eastAsia="zh-CN"/>
              </w:rPr>
            </w:pPr>
            <w:r>
              <w:rPr>
                <w:rFonts w:hint="eastAsia" w:cs="Times New Roman"/>
                <w:color w:val="auto"/>
                <w:kern w:val="0"/>
                <w:sz w:val="21"/>
                <w:szCs w:val="21"/>
                <w:highlight w:val="none"/>
                <w:lang w:val="en-US" w:eastAsia="zh-CN" w:bidi="ar"/>
              </w:rPr>
              <w:t>23</w:t>
            </w:r>
          </w:p>
        </w:tc>
        <w:tc>
          <w:tcPr>
            <w:tcW w:w="1199" w:type="pct"/>
            <w:vMerge w:val="continue"/>
            <w:vAlign w:val="center"/>
          </w:tcPr>
          <w:p w14:paraId="18498C69">
            <w:pPr>
              <w:pStyle w:val="30"/>
              <w:keepNext w:val="0"/>
              <w:keepLines w:val="0"/>
              <w:pageBreakBefore w:val="0"/>
              <w:widowControl w:val="0"/>
              <w:kinsoku/>
              <w:wordWrap/>
              <w:overflowPunct/>
              <w:topLinePunct w:val="0"/>
              <w:autoSpaceDE/>
              <w:autoSpaceDN/>
              <w:bidi w:val="0"/>
              <w:adjustRightInd/>
              <w:snapToGrid/>
              <w:spacing w:line="288" w:lineRule="auto"/>
              <w:textAlignment w:val="auto"/>
              <w:rPr>
                <w:rFonts w:hint="default"/>
                <w:color w:val="auto"/>
                <w:highlight w:val="none"/>
                <w:lang w:val="zh-CN"/>
              </w:rPr>
            </w:pPr>
          </w:p>
        </w:tc>
        <w:tc>
          <w:tcPr>
            <w:tcW w:w="556" w:type="pct"/>
            <w:shd w:val="clear" w:color="auto" w:fill="auto"/>
            <w:vAlign w:val="center"/>
          </w:tcPr>
          <w:p w14:paraId="6116D4F7">
            <w:pPr>
              <w:pStyle w:val="30"/>
              <w:keepNext w:val="0"/>
              <w:keepLines w:val="0"/>
              <w:pageBreakBefore w:val="0"/>
              <w:widowControl w:val="0"/>
              <w:kinsoku/>
              <w:wordWrap/>
              <w:overflowPunct/>
              <w:topLinePunct w:val="0"/>
              <w:autoSpaceDE/>
              <w:autoSpaceDN/>
              <w:bidi w:val="0"/>
              <w:adjustRightInd/>
              <w:snapToGrid/>
              <w:spacing w:line="288" w:lineRule="auto"/>
              <w:ind w:firstLine="0" w:firstLineChars="0"/>
              <w:textAlignment w:val="auto"/>
              <w:rPr>
                <w:rFonts w:hint="eastAsia" w:ascii="Times New Roman" w:hAnsi="Times New Roman" w:eastAsia="宋体" w:cs="Times New Roman"/>
                <w:color w:val="auto"/>
                <w:kern w:val="2"/>
                <w:sz w:val="21"/>
                <w:szCs w:val="21"/>
                <w:highlight w:val="none"/>
                <w:lang w:val="en-US" w:eastAsia="zh-CN" w:bidi="ar-SA"/>
              </w:rPr>
            </w:pPr>
            <w:r>
              <w:rPr>
                <w:color w:val="auto"/>
                <w:highlight w:val="none"/>
              </w:rPr>
              <w:t>4#</w:t>
            </w:r>
          </w:p>
        </w:tc>
        <w:tc>
          <w:tcPr>
            <w:tcW w:w="2897" w:type="pct"/>
            <w:vAlign w:val="center"/>
          </w:tcPr>
          <w:p w14:paraId="40C51E35">
            <w:pPr>
              <w:widowControl/>
              <w:snapToGrid w:val="0"/>
              <w:spacing w:line="240" w:lineRule="auto"/>
              <w:ind w:firstLine="0" w:firstLineChars="0"/>
              <w:jc w:val="center"/>
              <w:rPr>
                <w:rFonts w:hint="eastAsia" w:eastAsia="宋体"/>
                <w:color w:val="auto"/>
                <w:highlight w:val="none"/>
                <w:lang w:val="en-US" w:eastAsia="zh-CN"/>
              </w:rPr>
            </w:pPr>
            <w:r>
              <w:rPr>
                <w:rFonts w:hint="eastAsia"/>
                <w:color w:val="auto"/>
                <w:highlight w:val="none"/>
                <w:lang w:val="en-US" w:eastAsia="zh-CN"/>
              </w:rPr>
              <w:t>/</w:t>
            </w:r>
          </w:p>
        </w:tc>
      </w:tr>
      <w:tr w14:paraId="120012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79" w:type="dxa"/>
            <w:vAlign w:val="center"/>
          </w:tcPr>
          <w:p w14:paraId="7C73394B">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eastAsia="宋体"/>
                <w:color w:val="auto"/>
                <w:highlight w:val="none"/>
                <w:lang w:val="en-US" w:eastAsia="zh-CN"/>
              </w:rPr>
            </w:pPr>
            <w:r>
              <w:rPr>
                <w:rFonts w:hint="eastAsia"/>
                <w:color w:val="auto"/>
                <w:sz w:val="21"/>
                <w:szCs w:val="21"/>
                <w:highlight w:val="none"/>
                <w:lang w:val="en-US" w:eastAsia="zh-CN"/>
              </w:rPr>
              <w:t>24</w:t>
            </w:r>
          </w:p>
        </w:tc>
        <w:tc>
          <w:tcPr>
            <w:tcW w:w="1199" w:type="pct"/>
            <w:vMerge w:val="continue"/>
            <w:vAlign w:val="center"/>
          </w:tcPr>
          <w:p w14:paraId="5EDA4225">
            <w:pPr>
              <w:pStyle w:val="30"/>
              <w:keepNext w:val="0"/>
              <w:keepLines w:val="0"/>
              <w:pageBreakBefore w:val="0"/>
              <w:widowControl w:val="0"/>
              <w:kinsoku/>
              <w:wordWrap/>
              <w:overflowPunct/>
              <w:topLinePunct w:val="0"/>
              <w:autoSpaceDE/>
              <w:autoSpaceDN/>
              <w:bidi w:val="0"/>
              <w:adjustRightInd/>
              <w:snapToGrid/>
              <w:spacing w:line="288" w:lineRule="auto"/>
              <w:textAlignment w:val="auto"/>
              <w:rPr>
                <w:rFonts w:hint="default"/>
                <w:color w:val="auto"/>
                <w:highlight w:val="none"/>
                <w:lang w:val="zh-CN"/>
              </w:rPr>
            </w:pPr>
          </w:p>
        </w:tc>
        <w:tc>
          <w:tcPr>
            <w:tcW w:w="556" w:type="pct"/>
            <w:shd w:val="clear" w:color="auto" w:fill="auto"/>
            <w:vAlign w:val="center"/>
          </w:tcPr>
          <w:p w14:paraId="0F9C4DEE">
            <w:pPr>
              <w:pStyle w:val="30"/>
              <w:keepNext w:val="0"/>
              <w:keepLines w:val="0"/>
              <w:pageBreakBefore w:val="0"/>
              <w:widowControl w:val="0"/>
              <w:kinsoku/>
              <w:wordWrap/>
              <w:overflowPunct/>
              <w:topLinePunct w:val="0"/>
              <w:autoSpaceDE/>
              <w:autoSpaceDN/>
              <w:bidi w:val="0"/>
              <w:adjustRightInd/>
              <w:snapToGrid/>
              <w:spacing w:line="288" w:lineRule="auto"/>
              <w:ind w:firstLine="0" w:firstLineChars="0"/>
              <w:textAlignment w:val="auto"/>
              <w:rPr>
                <w:rFonts w:hint="default" w:ascii="Times New Roman" w:hAnsi="Times New Roman" w:eastAsia="宋体" w:cs="Times New Roman"/>
                <w:color w:val="auto"/>
                <w:kern w:val="2"/>
                <w:sz w:val="21"/>
                <w:szCs w:val="21"/>
                <w:highlight w:val="none"/>
                <w:lang w:val="zh-CN" w:eastAsia="zh-CN" w:bidi="ar-SA"/>
              </w:rPr>
            </w:pPr>
            <w:r>
              <w:rPr>
                <w:color w:val="auto"/>
                <w:highlight w:val="none"/>
              </w:rPr>
              <w:t>5#</w:t>
            </w:r>
          </w:p>
        </w:tc>
        <w:tc>
          <w:tcPr>
            <w:tcW w:w="2897" w:type="pct"/>
            <w:vAlign w:val="center"/>
          </w:tcPr>
          <w:p w14:paraId="72A99459">
            <w:pPr>
              <w:widowControl/>
              <w:snapToGrid w:val="0"/>
              <w:spacing w:line="240" w:lineRule="auto"/>
              <w:ind w:firstLine="0" w:firstLineChars="0"/>
              <w:jc w:val="center"/>
              <w:rPr>
                <w:rFonts w:hint="eastAsia" w:eastAsia="宋体"/>
                <w:color w:val="auto"/>
                <w:highlight w:val="none"/>
                <w:lang w:val="en-US" w:eastAsia="zh-CN"/>
              </w:rPr>
            </w:pPr>
            <w:r>
              <w:rPr>
                <w:rFonts w:hint="eastAsia"/>
                <w:color w:val="auto"/>
                <w:highlight w:val="none"/>
                <w:lang w:val="en-US" w:eastAsia="zh-CN"/>
              </w:rPr>
              <w:t>/</w:t>
            </w:r>
          </w:p>
        </w:tc>
      </w:tr>
      <w:tr w14:paraId="1AC5BC1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79" w:type="dxa"/>
            <w:vAlign w:val="center"/>
          </w:tcPr>
          <w:p w14:paraId="3B3790B6">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kern w:val="0"/>
                <w:sz w:val="21"/>
                <w:szCs w:val="21"/>
                <w:highlight w:val="none"/>
                <w:lang w:val="en-US" w:eastAsia="zh-CN" w:bidi="ar"/>
              </w:rPr>
            </w:pPr>
            <w:r>
              <w:rPr>
                <w:rFonts w:hint="eastAsia"/>
                <w:color w:val="auto"/>
                <w:sz w:val="21"/>
                <w:szCs w:val="21"/>
                <w:highlight w:val="none"/>
                <w:lang w:val="en-US" w:eastAsia="zh-CN"/>
              </w:rPr>
              <w:t>25</w:t>
            </w:r>
          </w:p>
        </w:tc>
        <w:tc>
          <w:tcPr>
            <w:tcW w:w="1199" w:type="pct"/>
            <w:vMerge w:val="restart"/>
            <w:vAlign w:val="center"/>
          </w:tcPr>
          <w:p w14:paraId="221FDB0E">
            <w:pPr>
              <w:widowControl/>
              <w:spacing w:line="240" w:lineRule="auto"/>
              <w:ind w:firstLine="0" w:firstLineChars="0"/>
              <w:jc w:val="center"/>
              <w:textAlignment w:val="center"/>
              <w:rPr>
                <w:rFonts w:hint="default"/>
                <w:color w:val="auto"/>
                <w:highlight w:val="none"/>
                <w:lang w:val="zh-CN"/>
              </w:rPr>
            </w:pPr>
            <w:r>
              <w:rPr>
                <w:rFonts w:hint="eastAsia" w:ascii="Times New Roman" w:hAnsi="Times New Roman" w:eastAsia="宋体" w:cs="Times New Roman"/>
                <w:color w:val="auto"/>
                <w:kern w:val="0"/>
                <w:sz w:val="21"/>
                <w:szCs w:val="21"/>
                <w:highlight w:val="none"/>
                <w:lang w:val="en-US" w:eastAsia="zh-CN" w:bidi="ar"/>
              </w:rPr>
              <w:t>绥化市庆安县丰收乡饮用水水源地</w:t>
            </w:r>
          </w:p>
        </w:tc>
        <w:tc>
          <w:tcPr>
            <w:tcW w:w="556" w:type="pct"/>
            <w:vAlign w:val="center"/>
          </w:tcPr>
          <w:p w14:paraId="49B08242">
            <w:pPr>
              <w:pStyle w:val="30"/>
              <w:keepNext w:val="0"/>
              <w:keepLines w:val="0"/>
              <w:pageBreakBefore w:val="0"/>
              <w:widowControl w:val="0"/>
              <w:kinsoku/>
              <w:wordWrap/>
              <w:overflowPunct/>
              <w:topLinePunct w:val="0"/>
              <w:autoSpaceDE/>
              <w:autoSpaceDN/>
              <w:bidi w:val="0"/>
              <w:adjustRightInd/>
              <w:snapToGrid/>
              <w:spacing w:line="288" w:lineRule="auto"/>
              <w:ind w:firstLine="0" w:firstLineChars="0"/>
              <w:textAlignment w:val="auto"/>
              <w:rPr>
                <w:color w:val="auto"/>
                <w:highlight w:val="none"/>
              </w:rPr>
            </w:pPr>
            <w:r>
              <w:rPr>
                <w:color w:val="auto"/>
                <w:highlight w:val="none"/>
              </w:rPr>
              <w:t>1#</w:t>
            </w:r>
          </w:p>
        </w:tc>
        <w:tc>
          <w:tcPr>
            <w:tcW w:w="2897" w:type="pct"/>
            <w:vAlign w:val="center"/>
          </w:tcPr>
          <w:p w14:paraId="26CE91D0">
            <w:pPr>
              <w:widowControl/>
              <w:snapToGrid w:val="0"/>
              <w:spacing w:line="240" w:lineRule="auto"/>
              <w:ind w:left="0" w:leftChars="0" w:firstLine="0" w:firstLineChars="0"/>
              <w:jc w:val="left"/>
              <w:rPr>
                <w:color w:val="auto"/>
                <w:highlight w:val="none"/>
                <w:lang w:val="zh-CN"/>
              </w:rPr>
            </w:pPr>
            <w:r>
              <w:rPr>
                <w:rFonts w:hint="eastAsia" w:cs="Times New Roman"/>
                <w:color w:val="auto"/>
                <w:kern w:val="0"/>
                <w:sz w:val="21"/>
                <w:szCs w:val="21"/>
                <w:highlight w:val="none"/>
                <w:lang w:val="en-US" w:eastAsia="zh-CN"/>
              </w:rPr>
              <w:t>结合水厂及井群的实际分布情况，对水厂及周边井群进行封闭管理；</w:t>
            </w:r>
            <w:r>
              <w:rPr>
                <w:rFonts w:hint="eastAsia" w:cs="Times New Roman"/>
                <w:color w:val="auto"/>
                <w:kern w:val="0"/>
                <w:sz w:val="21"/>
                <w:szCs w:val="21"/>
                <w:highlight w:val="none"/>
                <w:lang w:eastAsia="zh-CN"/>
              </w:rPr>
              <w:t>科学使用农药化肥，严格控制农药化肥的使用量，</w:t>
            </w:r>
            <w:r>
              <w:rPr>
                <w:rFonts w:hint="eastAsia" w:ascii="Times New Roman" w:hAnsi="Times New Roman" w:eastAsia="宋体" w:cs="Times New Roman"/>
                <w:color w:val="auto"/>
                <w:kern w:val="0"/>
                <w:sz w:val="21"/>
                <w:szCs w:val="21"/>
                <w:highlight w:val="none"/>
              </w:rPr>
              <w:t>尽快争取政府专项资金补偿，逐步退耕还林还草；</w:t>
            </w:r>
            <w:r>
              <w:rPr>
                <w:rFonts w:hint="eastAsia" w:cs="Times New Roman"/>
                <w:color w:val="auto"/>
                <w:kern w:val="0"/>
                <w:sz w:val="21"/>
                <w:szCs w:val="21"/>
                <w:highlight w:val="none"/>
                <w:lang w:eastAsia="zh-CN"/>
              </w:rPr>
              <w:t>强化乡村道路风险防控，建议穿越道路两侧设置排水沟，加强管理，设立明显的警示标志；</w:t>
            </w:r>
            <w:r>
              <w:rPr>
                <w:rFonts w:hint="eastAsia" w:ascii="Times New Roman" w:hAnsi="Times New Roman" w:eastAsia="宋体" w:cs="Times New Roman"/>
                <w:color w:val="auto"/>
                <w:kern w:val="0"/>
                <w:sz w:val="21"/>
                <w:szCs w:val="21"/>
                <w:highlight w:val="none"/>
              </w:rPr>
              <w:t>当地政府设立专项经费用于水源地的管理。</w:t>
            </w:r>
          </w:p>
        </w:tc>
      </w:tr>
      <w:tr w14:paraId="75B46A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79" w:type="dxa"/>
            <w:vAlign w:val="center"/>
          </w:tcPr>
          <w:p w14:paraId="3E5B997F">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eastAsia="宋体"/>
                <w:color w:val="auto"/>
                <w:highlight w:val="none"/>
                <w:lang w:val="en-US" w:eastAsia="zh-CN"/>
              </w:rPr>
            </w:pPr>
            <w:r>
              <w:rPr>
                <w:rFonts w:hint="eastAsia"/>
                <w:color w:val="auto"/>
                <w:sz w:val="21"/>
                <w:szCs w:val="21"/>
                <w:highlight w:val="none"/>
                <w:lang w:val="en-US" w:eastAsia="zh-CN"/>
              </w:rPr>
              <w:t>26</w:t>
            </w:r>
          </w:p>
        </w:tc>
        <w:tc>
          <w:tcPr>
            <w:tcW w:w="1199" w:type="pct"/>
            <w:vMerge w:val="continue"/>
            <w:vAlign w:val="center"/>
          </w:tcPr>
          <w:p w14:paraId="1B4BDD0C">
            <w:pPr>
              <w:pStyle w:val="30"/>
              <w:keepNext w:val="0"/>
              <w:keepLines w:val="0"/>
              <w:pageBreakBefore w:val="0"/>
              <w:widowControl w:val="0"/>
              <w:kinsoku/>
              <w:wordWrap/>
              <w:overflowPunct/>
              <w:topLinePunct w:val="0"/>
              <w:autoSpaceDE/>
              <w:autoSpaceDN/>
              <w:bidi w:val="0"/>
              <w:adjustRightInd/>
              <w:snapToGrid/>
              <w:spacing w:line="288" w:lineRule="auto"/>
              <w:textAlignment w:val="auto"/>
              <w:rPr>
                <w:rFonts w:hint="default"/>
                <w:color w:val="auto"/>
                <w:highlight w:val="none"/>
                <w:lang w:val="zh-CN"/>
              </w:rPr>
            </w:pPr>
          </w:p>
        </w:tc>
        <w:tc>
          <w:tcPr>
            <w:tcW w:w="556" w:type="pct"/>
            <w:vAlign w:val="center"/>
          </w:tcPr>
          <w:p w14:paraId="30064B77">
            <w:pPr>
              <w:pStyle w:val="30"/>
              <w:keepNext w:val="0"/>
              <w:keepLines w:val="0"/>
              <w:pageBreakBefore w:val="0"/>
              <w:widowControl w:val="0"/>
              <w:kinsoku/>
              <w:wordWrap/>
              <w:overflowPunct/>
              <w:topLinePunct w:val="0"/>
              <w:autoSpaceDE/>
              <w:autoSpaceDN/>
              <w:bidi w:val="0"/>
              <w:adjustRightInd/>
              <w:snapToGrid/>
              <w:spacing w:line="288" w:lineRule="auto"/>
              <w:ind w:firstLine="0" w:firstLineChars="0"/>
              <w:textAlignment w:val="auto"/>
              <w:rPr>
                <w:color w:val="auto"/>
                <w:highlight w:val="none"/>
              </w:rPr>
            </w:pPr>
            <w:r>
              <w:rPr>
                <w:color w:val="auto"/>
                <w:highlight w:val="none"/>
              </w:rPr>
              <w:t>2#</w:t>
            </w:r>
          </w:p>
        </w:tc>
        <w:tc>
          <w:tcPr>
            <w:tcW w:w="2897" w:type="pct"/>
            <w:vAlign w:val="center"/>
          </w:tcPr>
          <w:p w14:paraId="5C561E40">
            <w:pPr>
              <w:widowControl/>
              <w:snapToGrid w:val="0"/>
              <w:spacing w:line="240" w:lineRule="auto"/>
              <w:ind w:left="0" w:leftChars="0" w:firstLine="0" w:firstLineChars="0"/>
              <w:jc w:val="left"/>
              <w:rPr>
                <w:color w:val="auto"/>
                <w:highlight w:val="none"/>
                <w:lang w:val="zh-CN"/>
              </w:rPr>
            </w:pPr>
            <w:r>
              <w:rPr>
                <w:rFonts w:hint="eastAsia" w:cs="Times New Roman"/>
                <w:color w:val="auto"/>
                <w:kern w:val="0"/>
                <w:sz w:val="21"/>
                <w:szCs w:val="21"/>
                <w:highlight w:val="none"/>
                <w:lang w:val="en-US" w:eastAsia="zh-CN"/>
              </w:rPr>
              <w:t>结合水厂及井群的实际分布情况，对水厂及周边井群进行封闭管理；</w:t>
            </w:r>
            <w:r>
              <w:rPr>
                <w:rFonts w:hint="eastAsia" w:cs="Times New Roman"/>
                <w:color w:val="auto"/>
                <w:kern w:val="0"/>
                <w:sz w:val="21"/>
                <w:szCs w:val="21"/>
                <w:highlight w:val="none"/>
                <w:lang w:eastAsia="zh-CN"/>
              </w:rPr>
              <w:t>科学使用农药化肥，严格控制农药化肥的使用量，</w:t>
            </w:r>
            <w:r>
              <w:rPr>
                <w:rFonts w:hint="eastAsia" w:ascii="Times New Roman" w:hAnsi="Times New Roman" w:eastAsia="宋体" w:cs="Times New Roman"/>
                <w:color w:val="auto"/>
                <w:kern w:val="0"/>
                <w:sz w:val="21"/>
                <w:szCs w:val="21"/>
                <w:highlight w:val="none"/>
              </w:rPr>
              <w:t>尽快争取政府专项资金补偿，逐步退耕还林还草；</w:t>
            </w:r>
            <w:r>
              <w:rPr>
                <w:rFonts w:hint="eastAsia" w:cs="Times New Roman"/>
                <w:color w:val="auto"/>
                <w:kern w:val="0"/>
                <w:sz w:val="21"/>
                <w:szCs w:val="21"/>
                <w:highlight w:val="none"/>
                <w:lang w:eastAsia="zh-CN"/>
              </w:rPr>
              <w:t>强化乡村道路风险防控，建议穿越道路两侧设置排水沟，加强管理，设立明显的警示标志；</w:t>
            </w:r>
            <w:r>
              <w:rPr>
                <w:rFonts w:hint="eastAsia" w:ascii="Times New Roman" w:hAnsi="Times New Roman" w:eastAsia="宋体" w:cs="Times New Roman"/>
                <w:color w:val="auto"/>
                <w:kern w:val="0"/>
                <w:sz w:val="21"/>
                <w:szCs w:val="21"/>
                <w:highlight w:val="none"/>
              </w:rPr>
              <w:t>当地政府设立专项经费用于水源地的管理。</w:t>
            </w:r>
          </w:p>
        </w:tc>
      </w:tr>
      <w:tr w14:paraId="78865E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79" w:type="dxa"/>
            <w:vAlign w:val="center"/>
          </w:tcPr>
          <w:p w14:paraId="3F99003F">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eastAsia="宋体"/>
                <w:color w:val="auto"/>
                <w:highlight w:val="none"/>
                <w:lang w:val="en-US" w:eastAsia="zh-CN"/>
              </w:rPr>
            </w:pPr>
            <w:r>
              <w:rPr>
                <w:rFonts w:hint="eastAsia"/>
                <w:color w:val="auto"/>
                <w:sz w:val="21"/>
                <w:szCs w:val="21"/>
                <w:highlight w:val="none"/>
                <w:lang w:val="en-US" w:eastAsia="zh-CN"/>
              </w:rPr>
              <w:t>27</w:t>
            </w:r>
          </w:p>
        </w:tc>
        <w:tc>
          <w:tcPr>
            <w:tcW w:w="1199" w:type="pct"/>
            <w:vMerge w:val="continue"/>
            <w:vAlign w:val="center"/>
          </w:tcPr>
          <w:p w14:paraId="6F0B1F7D">
            <w:pPr>
              <w:pStyle w:val="30"/>
              <w:keepNext w:val="0"/>
              <w:keepLines w:val="0"/>
              <w:pageBreakBefore w:val="0"/>
              <w:widowControl w:val="0"/>
              <w:kinsoku/>
              <w:wordWrap/>
              <w:overflowPunct/>
              <w:topLinePunct w:val="0"/>
              <w:autoSpaceDE/>
              <w:autoSpaceDN/>
              <w:bidi w:val="0"/>
              <w:adjustRightInd/>
              <w:snapToGrid/>
              <w:spacing w:line="288" w:lineRule="auto"/>
              <w:textAlignment w:val="auto"/>
              <w:rPr>
                <w:rFonts w:hint="default"/>
                <w:color w:val="auto"/>
                <w:highlight w:val="none"/>
                <w:lang w:val="zh-CN"/>
              </w:rPr>
            </w:pPr>
          </w:p>
        </w:tc>
        <w:tc>
          <w:tcPr>
            <w:tcW w:w="556" w:type="pct"/>
            <w:vAlign w:val="center"/>
          </w:tcPr>
          <w:p w14:paraId="6DD25666">
            <w:pPr>
              <w:pStyle w:val="30"/>
              <w:keepNext w:val="0"/>
              <w:keepLines w:val="0"/>
              <w:pageBreakBefore w:val="0"/>
              <w:widowControl w:val="0"/>
              <w:kinsoku/>
              <w:wordWrap/>
              <w:overflowPunct/>
              <w:topLinePunct w:val="0"/>
              <w:autoSpaceDE/>
              <w:autoSpaceDN/>
              <w:bidi w:val="0"/>
              <w:adjustRightInd/>
              <w:snapToGrid/>
              <w:spacing w:line="288" w:lineRule="auto"/>
              <w:ind w:firstLine="0" w:firstLineChars="0"/>
              <w:textAlignment w:val="auto"/>
              <w:rPr>
                <w:color w:val="auto"/>
                <w:highlight w:val="none"/>
              </w:rPr>
            </w:pPr>
            <w:r>
              <w:rPr>
                <w:color w:val="auto"/>
                <w:highlight w:val="none"/>
              </w:rPr>
              <w:t>3#</w:t>
            </w:r>
          </w:p>
        </w:tc>
        <w:tc>
          <w:tcPr>
            <w:tcW w:w="2897" w:type="pct"/>
            <w:vAlign w:val="center"/>
          </w:tcPr>
          <w:p w14:paraId="16C47658">
            <w:pPr>
              <w:widowControl/>
              <w:snapToGrid w:val="0"/>
              <w:spacing w:line="240" w:lineRule="auto"/>
              <w:ind w:left="0" w:leftChars="0" w:firstLine="0" w:firstLineChars="0"/>
              <w:jc w:val="left"/>
              <w:rPr>
                <w:color w:val="auto"/>
                <w:highlight w:val="none"/>
                <w:lang w:val="zh-CN"/>
              </w:rPr>
            </w:pPr>
            <w:r>
              <w:rPr>
                <w:rFonts w:hint="eastAsia" w:cs="Times New Roman"/>
                <w:color w:val="auto"/>
                <w:kern w:val="0"/>
                <w:sz w:val="21"/>
                <w:szCs w:val="21"/>
                <w:highlight w:val="none"/>
                <w:lang w:val="en-US" w:eastAsia="zh-CN"/>
              </w:rPr>
              <w:t>结合水厂及井群的实际分布情况，对水厂及周边井群进行封闭管理；</w:t>
            </w:r>
            <w:r>
              <w:rPr>
                <w:rFonts w:ascii="Segoe UI" w:hAnsi="Segoe UI" w:eastAsia="Segoe UI" w:cs="Segoe UI"/>
                <w:i w:val="0"/>
                <w:iCs w:val="0"/>
                <w:caps w:val="0"/>
                <w:color w:val="auto"/>
                <w:spacing w:val="0"/>
                <w:sz w:val="21"/>
                <w:szCs w:val="21"/>
                <w:highlight w:val="none"/>
                <w:shd w:val="clear" w:fill="FFFFFF"/>
              </w:rPr>
              <w:t>建议对保护区内</w:t>
            </w:r>
            <w:r>
              <w:rPr>
                <w:rFonts w:hint="eastAsia" w:ascii="Segoe UI" w:hAnsi="Segoe UI" w:eastAsia="宋体" w:cs="Segoe UI"/>
                <w:i w:val="0"/>
                <w:iCs w:val="0"/>
                <w:caps w:val="0"/>
                <w:color w:val="auto"/>
                <w:spacing w:val="0"/>
                <w:sz w:val="21"/>
                <w:szCs w:val="21"/>
                <w:highlight w:val="none"/>
                <w:shd w:val="clear" w:fill="FFFFFF"/>
                <w:lang w:eastAsia="zh-CN"/>
              </w:rPr>
              <w:t>废弃居民房屋</w:t>
            </w:r>
            <w:r>
              <w:rPr>
                <w:rFonts w:ascii="Segoe UI" w:hAnsi="Segoe UI" w:eastAsia="Segoe UI" w:cs="Segoe UI"/>
                <w:i w:val="0"/>
                <w:iCs w:val="0"/>
                <w:caps w:val="0"/>
                <w:color w:val="auto"/>
                <w:spacing w:val="0"/>
                <w:sz w:val="21"/>
                <w:szCs w:val="21"/>
                <w:highlight w:val="none"/>
                <w:shd w:val="clear" w:fill="FFFFFF"/>
              </w:rPr>
              <w:t>制定并实施有序的拆迁计划</w:t>
            </w:r>
            <w:r>
              <w:rPr>
                <w:rFonts w:hint="eastAsia" w:ascii="Segoe UI" w:hAnsi="Segoe UI" w:eastAsia="宋体" w:cs="Segoe UI"/>
                <w:i w:val="0"/>
                <w:iCs w:val="0"/>
                <w:caps w:val="0"/>
                <w:color w:val="auto"/>
                <w:spacing w:val="0"/>
                <w:sz w:val="21"/>
                <w:szCs w:val="21"/>
                <w:highlight w:val="none"/>
                <w:shd w:val="clear" w:fill="FFFFFF"/>
                <w:lang w:eastAsia="zh-CN"/>
              </w:rPr>
              <w:t>；</w:t>
            </w:r>
            <w:r>
              <w:rPr>
                <w:rFonts w:hint="eastAsia" w:cs="Times New Roman"/>
                <w:color w:val="auto"/>
                <w:kern w:val="0"/>
                <w:sz w:val="21"/>
                <w:szCs w:val="21"/>
                <w:highlight w:val="none"/>
                <w:lang w:eastAsia="zh-CN"/>
              </w:rPr>
              <w:t>科学使用农药化肥，严格控制农药化肥的使用量，</w:t>
            </w:r>
            <w:r>
              <w:rPr>
                <w:rFonts w:hint="eastAsia" w:ascii="Times New Roman" w:hAnsi="Times New Roman" w:eastAsia="宋体" w:cs="Times New Roman"/>
                <w:color w:val="auto"/>
                <w:kern w:val="0"/>
                <w:sz w:val="21"/>
                <w:szCs w:val="21"/>
                <w:highlight w:val="none"/>
              </w:rPr>
              <w:t>尽快争取政府专项资金补偿，逐步退耕还林还草；</w:t>
            </w:r>
            <w:r>
              <w:rPr>
                <w:rFonts w:hint="eastAsia" w:cs="Times New Roman"/>
                <w:color w:val="auto"/>
                <w:kern w:val="0"/>
                <w:sz w:val="21"/>
                <w:szCs w:val="21"/>
                <w:highlight w:val="none"/>
                <w:lang w:eastAsia="zh-CN"/>
              </w:rPr>
              <w:t>强化乡村道路风险防控，建议穿越道路两侧设置排水沟，加强管理，设立明显的警示标志；</w:t>
            </w:r>
            <w:r>
              <w:rPr>
                <w:rFonts w:hint="eastAsia" w:ascii="Times New Roman" w:hAnsi="Times New Roman" w:eastAsia="宋体" w:cs="Times New Roman"/>
                <w:color w:val="auto"/>
                <w:kern w:val="0"/>
                <w:sz w:val="21"/>
                <w:szCs w:val="21"/>
                <w:highlight w:val="none"/>
              </w:rPr>
              <w:t>当地政府设立专项经费用于水源地的管理。</w:t>
            </w:r>
          </w:p>
        </w:tc>
      </w:tr>
      <w:tr w14:paraId="21CA44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79" w:type="dxa"/>
            <w:vAlign w:val="center"/>
          </w:tcPr>
          <w:p w14:paraId="58919683">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28</w:t>
            </w:r>
          </w:p>
        </w:tc>
        <w:tc>
          <w:tcPr>
            <w:tcW w:w="1199" w:type="pct"/>
            <w:vMerge w:val="restart"/>
            <w:vAlign w:val="center"/>
          </w:tcPr>
          <w:p w14:paraId="295E68F6">
            <w:pPr>
              <w:widowControl/>
              <w:spacing w:line="240" w:lineRule="auto"/>
              <w:ind w:firstLine="0" w:firstLineChars="0"/>
              <w:jc w:val="center"/>
              <w:textAlignment w:val="center"/>
              <w:rPr>
                <w:rFonts w:hint="default"/>
                <w:color w:val="auto"/>
                <w:highlight w:val="none"/>
                <w:lang w:val="zh-CN"/>
              </w:rPr>
            </w:pPr>
            <w:r>
              <w:rPr>
                <w:rFonts w:hint="eastAsia" w:ascii="Times New Roman" w:hAnsi="Times New Roman" w:eastAsia="宋体" w:cs="Times New Roman"/>
                <w:color w:val="auto"/>
                <w:kern w:val="0"/>
                <w:sz w:val="21"/>
                <w:szCs w:val="21"/>
                <w:highlight w:val="none"/>
                <w:lang w:val="en-US" w:eastAsia="zh-CN" w:bidi="ar"/>
              </w:rPr>
              <w:t>绥化市</w:t>
            </w:r>
            <w:r>
              <w:rPr>
                <w:rFonts w:hint="eastAsia" w:cs="Times New Roman"/>
                <w:color w:val="auto"/>
                <w:kern w:val="0"/>
                <w:sz w:val="21"/>
                <w:szCs w:val="21"/>
                <w:highlight w:val="none"/>
                <w:lang w:val="en-US" w:eastAsia="zh-CN" w:bidi="ar"/>
              </w:rPr>
              <w:t>庆</w:t>
            </w:r>
            <w:r>
              <w:rPr>
                <w:rFonts w:hint="eastAsia" w:ascii="Times New Roman" w:hAnsi="Times New Roman" w:eastAsia="宋体" w:cs="Times New Roman"/>
                <w:color w:val="auto"/>
                <w:kern w:val="0"/>
                <w:sz w:val="21"/>
                <w:szCs w:val="21"/>
                <w:highlight w:val="none"/>
                <w:lang w:val="en-US" w:eastAsia="zh-CN" w:bidi="ar"/>
              </w:rPr>
              <w:t>安县平安镇饮用水水源地</w:t>
            </w:r>
          </w:p>
        </w:tc>
        <w:tc>
          <w:tcPr>
            <w:tcW w:w="556" w:type="pct"/>
            <w:shd w:val="clear" w:color="auto" w:fill="auto"/>
            <w:vAlign w:val="center"/>
          </w:tcPr>
          <w:p w14:paraId="70DEA8C1">
            <w:pPr>
              <w:pStyle w:val="30"/>
              <w:keepNext w:val="0"/>
              <w:keepLines w:val="0"/>
              <w:pageBreakBefore w:val="0"/>
              <w:widowControl w:val="0"/>
              <w:kinsoku/>
              <w:wordWrap/>
              <w:overflowPunct/>
              <w:topLinePunct w:val="0"/>
              <w:autoSpaceDE/>
              <w:autoSpaceDN/>
              <w:bidi w:val="0"/>
              <w:adjustRightInd/>
              <w:snapToGrid/>
              <w:spacing w:line="288" w:lineRule="auto"/>
              <w:ind w:firstLine="0" w:firstLineChars="0"/>
              <w:textAlignment w:val="auto"/>
              <w:rPr>
                <w:rFonts w:hint="default" w:ascii="Times New Roman" w:hAnsi="Times New Roman" w:eastAsia="宋体" w:cs="Times New Roman"/>
                <w:color w:val="auto"/>
                <w:kern w:val="2"/>
                <w:sz w:val="21"/>
                <w:szCs w:val="21"/>
                <w:highlight w:val="none"/>
                <w:lang w:val="zh-CN" w:eastAsia="zh-CN" w:bidi="ar-SA"/>
              </w:rPr>
            </w:pPr>
            <w:r>
              <w:rPr>
                <w:color w:val="auto"/>
                <w:highlight w:val="none"/>
              </w:rPr>
              <w:t>1#</w:t>
            </w:r>
          </w:p>
        </w:tc>
        <w:tc>
          <w:tcPr>
            <w:tcW w:w="2897" w:type="pct"/>
            <w:vAlign w:val="center"/>
          </w:tcPr>
          <w:p w14:paraId="6BD003A8">
            <w:pPr>
              <w:widowControl/>
              <w:snapToGrid w:val="0"/>
              <w:spacing w:line="240" w:lineRule="auto"/>
              <w:ind w:left="0" w:leftChars="0" w:firstLine="0" w:firstLineChars="0"/>
              <w:jc w:val="left"/>
              <w:rPr>
                <w:color w:val="auto"/>
                <w:highlight w:val="none"/>
                <w:lang w:val="zh-CN"/>
              </w:rPr>
            </w:pPr>
            <w:r>
              <w:rPr>
                <w:rFonts w:hint="eastAsia" w:cs="Times New Roman"/>
                <w:color w:val="auto"/>
                <w:kern w:val="0"/>
                <w:sz w:val="21"/>
                <w:szCs w:val="21"/>
                <w:highlight w:val="none"/>
                <w:lang w:val="en-US" w:eastAsia="zh-CN"/>
              </w:rPr>
              <w:t>结合水厂及井群的实际分布情况，对水厂及周边井群进行封闭管理；</w:t>
            </w:r>
            <w:r>
              <w:rPr>
                <w:rFonts w:hint="eastAsia" w:cs="Times New Roman"/>
                <w:color w:val="auto"/>
                <w:kern w:val="0"/>
                <w:sz w:val="21"/>
                <w:szCs w:val="21"/>
                <w:highlight w:val="none"/>
                <w:lang w:eastAsia="zh-CN"/>
              </w:rPr>
              <w:t>科学使用农药化肥，严格控制农药化肥的使用量，</w:t>
            </w:r>
            <w:r>
              <w:rPr>
                <w:rFonts w:hint="eastAsia" w:ascii="Times New Roman" w:hAnsi="Times New Roman" w:eastAsia="宋体" w:cs="Times New Roman"/>
                <w:color w:val="auto"/>
                <w:kern w:val="0"/>
                <w:sz w:val="21"/>
                <w:szCs w:val="21"/>
                <w:highlight w:val="none"/>
              </w:rPr>
              <w:t>尽快争取政府专项资金补偿，逐步退耕还林还草；</w:t>
            </w:r>
            <w:r>
              <w:rPr>
                <w:rFonts w:hint="eastAsia" w:cs="Times New Roman"/>
                <w:color w:val="auto"/>
                <w:kern w:val="0"/>
                <w:sz w:val="21"/>
                <w:szCs w:val="21"/>
                <w:highlight w:val="none"/>
                <w:lang w:eastAsia="zh-CN"/>
              </w:rPr>
              <w:t>强化乡村道路风险防控，建议穿越道路两侧设置排水沟，加强管理，设立明显的警示标志；</w:t>
            </w:r>
            <w:r>
              <w:rPr>
                <w:rFonts w:hint="eastAsia" w:ascii="Times New Roman" w:hAnsi="Times New Roman" w:eastAsia="宋体" w:cs="Times New Roman"/>
                <w:color w:val="auto"/>
                <w:kern w:val="0"/>
                <w:sz w:val="21"/>
                <w:szCs w:val="21"/>
                <w:highlight w:val="none"/>
              </w:rPr>
              <w:t>当地政府设立专项经费用于水源地的管理。</w:t>
            </w:r>
          </w:p>
        </w:tc>
      </w:tr>
      <w:tr w14:paraId="33B639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79" w:type="dxa"/>
            <w:vAlign w:val="center"/>
          </w:tcPr>
          <w:p w14:paraId="0197DDFC">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eastAsia="宋体"/>
                <w:color w:val="auto"/>
                <w:highlight w:val="none"/>
                <w:lang w:val="en-US" w:eastAsia="zh-CN"/>
              </w:rPr>
            </w:pPr>
            <w:r>
              <w:rPr>
                <w:rFonts w:hint="eastAsia"/>
                <w:color w:val="auto"/>
                <w:sz w:val="21"/>
                <w:szCs w:val="21"/>
                <w:highlight w:val="none"/>
                <w:lang w:val="en-US" w:eastAsia="zh-CN"/>
              </w:rPr>
              <w:t>29</w:t>
            </w:r>
          </w:p>
        </w:tc>
        <w:tc>
          <w:tcPr>
            <w:tcW w:w="1199" w:type="pct"/>
            <w:vMerge w:val="continue"/>
            <w:vAlign w:val="center"/>
          </w:tcPr>
          <w:p w14:paraId="4BD4AB7F">
            <w:pPr>
              <w:pStyle w:val="30"/>
              <w:keepNext w:val="0"/>
              <w:keepLines w:val="0"/>
              <w:pageBreakBefore w:val="0"/>
              <w:widowControl w:val="0"/>
              <w:kinsoku/>
              <w:wordWrap/>
              <w:overflowPunct/>
              <w:topLinePunct w:val="0"/>
              <w:autoSpaceDE/>
              <w:autoSpaceDN/>
              <w:bidi w:val="0"/>
              <w:adjustRightInd/>
              <w:snapToGrid/>
              <w:spacing w:line="288" w:lineRule="auto"/>
              <w:textAlignment w:val="auto"/>
              <w:rPr>
                <w:rFonts w:hint="default"/>
                <w:color w:val="auto"/>
                <w:highlight w:val="none"/>
                <w:lang w:val="zh-CN"/>
              </w:rPr>
            </w:pPr>
          </w:p>
        </w:tc>
        <w:tc>
          <w:tcPr>
            <w:tcW w:w="556" w:type="pct"/>
            <w:shd w:val="clear" w:color="auto" w:fill="auto"/>
            <w:vAlign w:val="center"/>
          </w:tcPr>
          <w:p w14:paraId="26811FE6">
            <w:pPr>
              <w:pStyle w:val="30"/>
              <w:keepNext w:val="0"/>
              <w:keepLines w:val="0"/>
              <w:pageBreakBefore w:val="0"/>
              <w:widowControl w:val="0"/>
              <w:kinsoku/>
              <w:wordWrap/>
              <w:overflowPunct/>
              <w:topLinePunct w:val="0"/>
              <w:autoSpaceDE/>
              <w:autoSpaceDN/>
              <w:bidi w:val="0"/>
              <w:adjustRightInd/>
              <w:snapToGrid/>
              <w:spacing w:line="288" w:lineRule="auto"/>
              <w:ind w:firstLine="0" w:firstLineChars="0"/>
              <w:textAlignment w:val="auto"/>
              <w:rPr>
                <w:rFonts w:hint="default" w:ascii="Times New Roman" w:hAnsi="Times New Roman" w:eastAsia="宋体" w:cs="Times New Roman"/>
                <w:color w:val="auto"/>
                <w:kern w:val="2"/>
                <w:sz w:val="21"/>
                <w:szCs w:val="21"/>
                <w:highlight w:val="none"/>
                <w:lang w:val="zh-CN" w:eastAsia="zh-CN" w:bidi="ar-SA"/>
              </w:rPr>
            </w:pPr>
            <w:r>
              <w:rPr>
                <w:color w:val="auto"/>
                <w:highlight w:val="none"/>
              </w:rPr>
              <w:t>2#</w:t>
            </w:r>
          </w:p>
        </w:tc>
        <w:tc>
          <w:tcPr>
            <w:tcW w:w="2897" w:type="pct"/>
            <w:vAlign w:val="center"/>
          </w:tcPr>
          <w:p w14:paraId="46791A13">
            <w:pPr>
              <w:widowControl/>
              <w:snapToGrid w:val="0"/>
              <w:spacing w:line="240" w:lineRule="auto"/>
              <w:ind w:left="0" w:leftChars="0" w:firstLine="0" w:firstLineChars="0"/>
              <w:jc w:val="left"/>
              <w:rPr>
                <w:color w:val="auto"/>
                <w:highlight w:val="none"/>
                <w:lang w:val="zh-CN"/>
              </w:rPr>
            </w:pPr>
            <w:r>
              <w:rPr>
                <w:rFonts w:hint="eastAsia" w:cs="Times New Roman"/>
                <w:color w:val="auto"/>
                <w:kern w:val="0"/>
                <w:sz w:val="21"/>
                <w:szCs w:val="21"/>
                <w:highlight w:val="none"/>
                <w:lang w:val="en-US" w:eastAsia="zh-CN"/>
              </w:rPr>
              <w:t>结合水厂及井群的实际分布情况，对水厂及周边井群进行封闭管理；</w:t>
            </w:r>
            <w:r>
              <w:rPr>
                <w:rFonts w:ascii="Segoe UI" w:hAnsi="Segoe UI" w:eastAsia="Segoe UI" w:cs="Segoe UI"/>
                <w:i w:val="0"/>
                <w:iCs w:val="0"/>
                <w:caps w:val="0"/>
                <w:color w:val="auto"/>
                <w:spacing w:val="0"/>
                <w:sz w:val="21"/>
                <w:szCs w:val="21"/>
                <w:highlight w:val="none"/>
                <w:shd w:val="clear" w:fill="FFFFFF"/>
              </w:rPr>
              <w:t>建议对保护区内</w:t>
            </w:r>
            <w:r>
              <w:rPr>
                <w:rFonts w:hint="eastAsia" w:ascii="Segoe UI" w:hAnsi="Segoe UI" w:eastAsia="宋体" w:cs="Segoe UI"/>
                <w:i w:val="0"/>
                <w:iCs w:val="0"/>
                <w:caps w:val="0"/>
                <w:color w:val="auto"/>
                <w:spacing w:val="0"/>
                <w:sz w:val="21"/>
                <w:szCs w:val="21"/>
                <w:highlight w:val="none"/>
                <w:shd w:val="clear" w:fill="FFFFFF"/>
                <w:lang w:eastAsia="zh-CN"/>
              </w:rPr>
              <w:t>闲置</w:t>
            </w:r>
            <w:r>
              <w:rPr>
                <w:rFonts w:hint="eastAsia" w:ascii="Segoe UI" w:hAnsi="Segoe UI" w:cs="Segoe UI"/>
                <w:i w:val="0"/>
                <w:iCs w:val="0"/>
                <w:caps w:val="0"/>
                <w:color w:val="auto"/>
                <w:spacing w:val="0"/>
                <w:sz w:val="21"/>
                <w:szCs w:val="21"/>
                <w:highlight w:val="none"/>
                <w:shd w:val="clear" w:fill="FFFFFF"/>
                <w:lang w:eastAsia="zh-CN"/>
              </w:rPr>
              <w:t>仓房</w:t>
            </w:r>
            <w:r>
              <w:rPr>
                <w:rFonts w:ascii="Segoe UI" w:hAnsi="Segoe UI" w:eastAsia="Segoe UI" w:cs="Segoe UI"/>
                <w:i w:val="0"/>
                <w:iCs w:val="0"/>
                <w:caps w:val="0"/>
                <w:color w:val="auto"/>
                <w:spacing w:val="0"/>
                <w:sz w:val="21"/>
                <w:szCs w:val="21"/>
                <w:highlight w:val="none"/>
                <w:shd w:val="clear" w:fill="FFFFFF"/>
              </w:rPr>
              <w:t>制定并实施有序的拆迁计划</w:t>
            </w:r>
            <w:r>
              <w:rPr>
                <w:rFonts w:hint="eastAsia" w:ascii="Segoe UI" w:hAnsi="Segoe UI" w:eastAsia="宋体" w:cs="Segoe UI"/>
                <w:i w:val="0"/>
                <w:iCs w:val="0"/>
                <w:caps w:val="0"/>
                <w:color w:val="auto"/>
                <w:spacing w:val="0"/>
                <w:sz w:val="21"/>
                <w:szCs w:val="21"/>
                <w:highlight w:val="none"/>
                <w:shd w:val="clear" w:fill="FFFFFF"/>
                <w:lang w:eastAsia="zh-CN"/>
              </w:rPr>
              <w:t>；</w:t>
            </w:r>
            <w:r>
              <w:rPr>
                <w:rFonts w:hint="eastAsia" w:cs="Times New Roman"/>
                <w:color w:val="auto"/>
                <w:kern w:val="0"/>
                <w:sz w:val="21"/>
                <w:szCs w:val="21"/>
                <w:highlight w:val="none"/>
                <w:lang w:eastAsia="zh-CN"/>
              </w:rPr>
              <w:t>科学使用农药化肥，严格控制农药化肥的使用量，</w:t>
            </w:r>
            <w:r>
              <w:rPr>
                <w:rFonts w:hint="eastAsia" w:ascii="Times New Roman" w:hAnsi="Times New Roman" w:eastAsia="宋体" w:cs="Times New Roman"/>
                <w:color w:val="auto"/>
                <w:kern w:val="0"/>
                <w:sz w:val="21"/>
                <w:szCs w:val="21"/>
                <w:highlight w:val="none"/>
              </w:rPr>
              <w:t>尽快争取政府专项资金补偿，逐步退耕还林还草；</w:t>
            </w:r>
            <w:r>
              <w:rPr>
                <w:rFonts w:hint="eastAsia" w:cs="Times New Roman"/>
                <w:color w:val="auto"/>
                <w:kern w:val="0"/>
                <w:sz w:val="21"/>
                <w:szCs w:val="21"/>
                <w:highlight w:val="none"/>
                <w:lang w:eastAsia="zh-CN"/>
              </w:rPr>
              <w:t>强化乡村道路风险防控，建议穿越道路两侧设置排水沟，加强管理，设立明显的警示标志；</w:t>
            </w:r>
            <w:r>
              <w:rPr>
                <w:rFonts w:hint="eastAsia" w:ascii="Times New Roman" w:hAnsi="Times New Roman" w:eastAsia="宋体" w:cs="Times New Roman"/>
                <w:color w:val="auto"/>
                <w:kern w:val="0"/>
                <w:sz w:val="21"/>
                <w:szCs w:val="21"/>
                <w:highlight w:val="none"/>
              </w:rPr>
              <w:t>当地政府设立专项经费用于水源地的管理。</w:t>
            </w:r>
          </w:p>
        </w:tc>
      </w:tr>
    </w:tbl>
    <w:p w14:paraId="62186213">
      <w:pPr>
        <w:pStyle w:val="13"/>
        <w:rPr>
          <w:rFonts w:hint="eastAsia" w:ascii="Times New Roman" w:hAnsi="Times New Roman" w:eastAsia="宋体" w:cs="Times New Roman"/>
          <w:color w:val="auto"/>
          <w:highlight w:val="none"/>
        </w:rPr>
        <w:sectPr>
          <w:pgSz w:w="16838" w:h="11905" w:orient="landscape"/>
          <w:pgMar w:top="1474" w:right="1474" w:bottom="1474" w:left="1474" w:header="964" w:footer="992" w:gutter="0"/>
          <w:pgBorders>
            <w:top w:val="none" w:sz="0" w:space="0"/>
            <w:left w:val="none" w:sz="0" w:space="0"/>
            <w:bottom w:val="none" w:sz="0" w:space="0"/>
            <w:right w:val="none" w:sz="0" w:space="0"/>
          </w:pgBorders>
          <w:pgNumType w:fmt="decimal"/>
          <w:cols w:space="720" w:num="1"/>
          <w:docGrid w:type="linesAndChars" w:linePitch="347" w:charSpace="-1024"/>
        </w:sectPr>
      </w:pPr>
    </w:p>
    <w:p w14:paraId="1C77EFC2">
      <w:pPr>
        <w:pStyle w:val="3"/>
        <w:rPr>
          <w:color w:val="auto"/>
          <w:highlight w:val="none"/>
        </w:rPr>
      </w:pPr>
      <w:bookmarkStart w:id="107" w:name="_Toc23070"/>
      <w:bookmarkStart w:id="108" w:name="_Toc26807"/>
      <w:r>
        <w:rPr>
          <w:rFonts w:hint="eastAsia"/>
          <w:color w:val="auto"/>
          <w:highlight w:val="none"/>
        </w:rPr>
        <w:t>4.4监控能力建设要求</w:t>
      </w:r>
      <w:bookmarkEnd w:id="107"/>
      <w:bookmarkEnd w:id="108"/>
    </w:p>
    <w:p w14:paraId="46EBA23F">
      <w:pPr>
        <w:ind w:firstLine="470"/>
        <w:rPr>
          <w:color w:val="auto"/>
          <w:highlight w:val="none"/>
        </w:rPr>
      </w:pPr>
      <w:r>
        <w:rPr>
          <w:rFonts w:hint="eastAsia"/>
          <w:color w:val="auto"/>
          <w:highlight w:val="none"/>
        </w:rPr>
        <w:t>环境监测是指对水源保护区的主要环境影响因子进行监测，目的是保证饮用水水源的水质达到相关标准的要求。通过各项水质因子的实测数据，可以直观反映出水源地的水质情况。开展环境监测工作是必须的，以便掌握水源保护区范围内地下水环境质量及其变化情况，预防突发性事故对水质的危害，同时为污染控制和环境管理等环境保护工作提供科学依据。</w:t>
      </w:r>
    </w:p>
    <w:p w14:paraId="663173FD">
      <w:pPr>
        <w:pStyle w:val="4"/>
        <w:rPr>
          <w:color w:val="auto"/>
          <w:highlight w:val="none"/>
        </w:rPr>
      </w:pPr>
      <w:bookmarkStart w:id="109" w:name="_Toc27356"/>
      <w:r>
        <w:rPr>
          <w:rFonts w:hint="eastAsia"/>
          <w:color w:val="auto"/>
          <w:highlight w:val="none"/>
        </w:rPr>
        <w:t>4.4.1监测机构</w:t>
      </w:r>
      <w:bookmarkEnd w:id="109"/>
    </w:p>
    <w:p w14:paraId="361036CF">
      <w:pPr>
        <w:ind w:firstLine="470"/>
        <w:rPr>
          <w:color w:val="auto"/>
          <w:highlight w:val="none"/>
        </w:rPr>
      </w:pPr>
      <w:r>
        <w:rPr>
          <w:rFonts w:hint="eastAsia"/>
          <w:color w:val="auto"/>
          <w:highlight w:val="none"/>
        </w:rPr>
        <w:t>由</w:t>
      </w:r>
      <w:r>
        <w:rPr>
          <w:rFonts w:hint="eastAsia"/>
          <w:color w:val="auto"/>
          <w:highlight w:val="none"/>
          <w:lang w:eastAsia="zh-CN"/>
        </w:rPr>
        <w:t>绥化市庆安</w:t>
      </w:r>
      <w:r>
        <w:rPr>
          <w:rFonts w:hint="eastAsia"/>
          <w:color w:val="auto"/>
          <w:sz w:val="24"/>
          <w:szCs w:val="24"/>
          <w:highlight w:val="none"/>
        </w:rPr>
        <w:t>生态环境局</w:t>
      </w:r>
      <w:r>
        <w:rPr>
          <w:rFonts w:hint="eastAsia"/>
          <w:color w:val="auto"/>
          <w:highlight w:val="none"/>
        </w:rPr>
        <w:t>委托</w:t>
      </w:r>
      <w:r>
        <w:rPr>
          <w:rFonts w:hint="eastAsia"/>
          <w:color w:val="auto"/>
          <w:highlight w:val="none"/>
          <w:lang w:eastAsia="zh-CN"/>
        </w:rPr>
        <w:t>庆安</w:t>
      </w:r>
      <w:r>
        <w:rPr>
          <w:rFonts w:hint="eastAsia"/>
          <w:color w:val="auto"/>
          <w:highlight w:val="none"/>
        </w:rPr>
        <w:t>县疾病预防控制中心或组织有资质的第三方检测机构进行水质监测，建立水源保护地环境监测体系。</w:t>
      </w:r>
    </w:p>
    <w:p w14:paraId="45CF1C62">
      <w:pPr>
        <w:pStyle w:val="4"/>
        <w:rPr>
          <w:color w:val="auto"/>
          <w:highlight w:val="none"/>
        </w:rPr>
      </w:pPr>
      <w:bookmarkStart w:id="110" w:name="_Toc3667"/>
      <w:r>
        <w:rPr>
          <w:rFonts w:hint="eastAsia"/>
          <w:color w:val="auto"/>
          <w:highlight w:val="none"/>
        </w:rPr>
        <w:t>4.4.2监测计划</w:t>
      </w:r>
      <w:bookmarkEnd w:id="110"/>
    </w:p>
    <w:p w14:paraId="4E2EA005">
      <w:pPr>
        <w:ind w:firstLine="470"/>
        <w:rPr>
          <w:rFonts w:hint="eastAsia" w:eastAsia="宋体"/>
          <w:color w:val="auto"/>
          <w:highlight w:val="none"/>
          <w:lang w:eastAsia="zh-CN"/>
        </w:rPr>
      </w:pPr>
      <w:r>
        <w:rPr>
          <w:rFonts w:hint="eastAsia"/>
          <w:color w:val="auto"/>
          <w:highlight w:val="none"/>
          <w:lang w:eastAsia="zh-CN"/>
        </w:rPr>
        <w:t>（</w:t>
      </w:r>
      <w:r>
        <w:rPr>
          <w:rFonts w:hint="eastAsia"/>
          <w:color w:val="auto"/>
          <w:highlight w:val="none"/>
          <w:lang w:val="en-US" w:eastAsia="zh-CN"/>
        </w:rPr>
        <w:t>1</w:t>
      </w:r>
      <w:r>
        <w:rPr>
          <w:rFonts w:hint="eastAsia"/>
          <w:color w:val="auto"/>
          <w:highlight w:val="none"/>
          <w:lang w:eastAsia="zh-CN"/>
        </w:rPr>
        <w:t>）常规监测</w:t>
      </w:r>
    </w:p>
    <w:p w14:paraId="2BF93868">
      <w:pPr>
        <w:ind w:firstLine="470"/>
        <w:rPr>
          <w:color w:val="auto"/>
          <w:highlight w:val="none"/>
        </w:rPr>
      </w:pPr>
      <w:r>
        <w:rPr>
          <w:rFonts w:hint="eastAsia"/>
          <w:color w:val="auto"/>
          <w:highlight w:val="none"/>
        </w:rPr>
        <w:t>在抽水井设置监测点；不具备条件的，可以在净水厂汇水池（加氯前）设置监测点。</w:t>
      </w:r>
    </w:p>
    <w:p w14:paraId="69595A37">
      <w:pPr>
        <w:ind w:firstLine="470"/>
        <w:rPr>
          <w:color w:val="auto"/>
          <w:highlight w:val="none"/>
        </w:rPr>
      </w:pPr>
      <w:r>
        <w:rPr>
          <w:rFonts w:hint="eastAsia"/>
          <w:color w:val="auto"/>
          <w:highlight w:val="none"/>
          <w:lang w:val="en-US" w:eastAsia="zh-CN"/>
        </w:rPr>
        <w:t>（2）</w:t>
      </w:r>
      <w:r>
        <w:rPr>
          <w:rFonts w:hint="eastAsia"/>
          <w:color w:val="auto"/>
          <w:highlight w:val="none"/>
        </w:rPr>
        <w:t>预警监控</w:t>
      </w:r>
    </w:p>
    <w:p w14:paraId="31B7F804">
      <w:pPr>
        <w:ind w:firstLine="470"/>
        <w:rPr>
          <w:color w:val="auto"/>
          <w:highlight w:val="none"/>
        </w:rPr>
      </w:pPr>
      <w:r>
        <w:rPr>
          <w:color w:val="auto"/>
          <w:highlight w:val="none"/>
        </w:rPr>
        <w:t>本项目</w:t>
      </w:r>
      <w:r>
        <w:rPr>
          <w:rFonts w:hint="eastAsia"/>
          <w:color w:val="auto"/>
          <w:highlight w:val="none"/>
          <w:lang w:eastAsia="zh-CN"/>
        </w:rPr>
        <w:t>均</w:t>
      </w:r>
      <w:r>
        <w:rPr>
          <w:color w:val="auto"/>
          <w:highlight w:val="none"/>
        </w:rPr>
        <w:t>为地下水饮用水水源地，且日供水规模小于5万立方米，</w:t>
      </w:r>
      <w:r>
        <w:rPr>
          <w:rFonts w:hint="eastAsia"/>
          <w:color w:val="auto"/>
          <w:highlight w:val="none"/>
        </w:rPr>
        <w:t>无须</w:t>
      </w:r>
      <w:r>
        <w:rPr>
          <w:color w:val="auto"/>
          <w:highlight w:val="none"/>
        </w:rPr>
        <w:t>进行预警监控及视频监控。</w:t>
      </w:r>
      <w:r>
        <w:rPr>
          <w:rFonts w:hint="eastAsia"/>
          <w:color w:val="auto"/>
          <w:highlight w:val="none"/>
        </w:rPr>
        <w:t>根据黑龙江省水污染防治条例（2023年12月1日起施行），对于饮用水水源保护区规范化建设，有条件的水源保护区可以在取水口安装视频监控设备、水质自动监测设备。</w:t>
      </w:r>
    </w:p>
    <w:p w14:paraId="36FCA3A6">
      <w:pPr>
        <w:ind w:firstLine="470"/>
        <w:rPr>
          <w:color w:val="auto"/>
          <w:highlight w:val="none"/>
        </w:rPr>
      </w:pPr>
      <w:r>
        <w:rPr>
          <w:rFonts w:hint="eastAsia"/>
          <w:color w:val="auto"/>
          <w:highlight w:val="none"/>
          <w:lang w:val="en-US" w:eastAsia="zh-CN"/>
        </w:rPr>
        <w:t>（3）</w:t>
      </w:r>
      <w:r>
        <w:rPr>
          <w:rFonts w:hint="eastAsia"/>
          <w:color w:val="auto"/>
          <w:highlight w:val="none"/>
        </w:rPr>
        <w:t>监测项目与频率</w:t>
      </w:r>
    </w:p>
    <w:p w14:paraId="3F3B83B2">
      <w:pPr>
        <w:ind w:firstLine="470"/>
        <w:rPr>
          <w:color w:val="auto"/>
          <w:highlight w:val="none"/>
        </w:rPr>
      </w:pPr>
      <w:bookmarkStart w:id="111" w:name="_Toc16683"/>
      <w:bookmarkStart w:id="112" w:name="_Toc29995"/>
      <w:bookmarkStart w:id="113" w:name="_Toc21931"/>
      <w:bookmarkStart w:id="114" w:name="_Toc28049"/>
      <w:r>
        <w:rPr>
          <w:color w:val="auto"/>
          <w:highlight w:val="none"/>
        </w:rPr>
        <w:t>根据《全国集中式生活饮用水水源地水质监测实施方案》，参照其中县级水源地监测的要求，具体监测内容见表4-</w:t>
      </w:r>
      <w:r>
        <w:rPr>
          <w:rFonts w:hint="eastAsia"/>
          <w:color w:val="auto"/>
          <w:highlight w:val="none"/>
          <w:lang w:val="en-US" w:eastAsia="zh-CN"/>
        </w:rPr>
        <w:t>5</w:t>
      </w:r>
      <w:r>
        <w:rPr>
          <w:color w:val="auto"/>
          <w:highlight w:val="none"/>
        </w:rPr>
        <w:t>。</w:t>
      </w:r>
      <w:bookmarkEnd w:id="111"/>
      <w:bookmarkEnd w:id="112"/>
      <w:bookmarkEnd w:id="113"/>
      <w:bookmarkEnd w:id="114"/>
    </w:p>
    <w:p w14:paraId="1EE46D1E">
      <w:pPr>
        <w:ind w:firstLine="470"/>
        <w:jc w:val="center"/>
        <w:rPr>
          <w:rFonts w:eastAsia="黑体"/>
          <w:color w:val="auto"/>
          <w:highlight w:val="none"/>
        </w:rPr>
      </w:pPr>
      <w:bookmarkStart w:id="115" w:name="_Toc18148_WPSOffice_Level2"/>
      <w:bookmarkStart w:id="116" w:name="_Toc27668_WPSOffice_Level2"/>
      <w:bookmarkStart w:id="117" w:name="OLE_LINK131"/>
      <w:bookmarkStart w:id="118" w:name="OLE_LINK130"/>
      <w:r>
        <w:rPr>
          <w:rFonts w:eastAsia="黑体"/>
          <w:color w:val="auto"/>
          <w:highlight w:val="none"/>
        </w:rPr>
        <w:t>表4-</w:t>
      </w:r>
      <w:r>
        <w:rPr>
          <w:rFonts w:hint="eastAsia" w:eastAsia="黑体"/>
          <w:color w:val="auto"/>
          <w:highlight w:val="none"/>
          <w:lang w:val="en-US" w:eastAsia="zh-CN"/>
        </w:rPr>
        <w:t>5</w:t>
      </w:r>
      <w:r>
        <w:rPr>
          <w:rFonts w:eastAsia="黑体"/>
          <w:color w:val="auto"/>
          <w:highlight w:val="none"/>
        </w:rPr>
        <w:t xml:space="preserve"> 监测项目及频次</w:t>
      </w:r>
      <w:bookmarkEnd w:id="115"/>
      <w:bookmarkEnd w:id="116"/>
    </w:p>
    <w:tbl>
      <w:tblPr>
        <w:tblStyle w:val="21"/>
        <w:tblW w:w="4998"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1643"/>
        <w:gridCol w:w="5479"/>
        <w:gridCol w:w="2047"/>
      </w:tblGrid>
      <w:tr w14:paraId="152D32D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425" w:hRule="atLeast"/>
          <w:jc w:val="center"/>
        </w:trPr>
        <w:tc>
          <w:tcPr>
            <w:tcW w:w="896" w:type="pct"/>
            <w:vAlign w:val="center"/>
          </w:tcPr>
          <w:p w14:paraId="10CE91A4">
            <w:pPr>
              <w:keepNext w:val="0"/>
              <w:keepLines w:val="0"/>
              <w:pageBreakBefore w:val="0"/>
              <w:widowControl w:val="0"/>
              <w:kinsoku/>
              <w:wordWrap/>
              <w:overflowPunct/>
              <w:topLinePunct w:val="0"/>
              <w:autoSpaceDE/>
              <w:autoSpaceDN/>
              <w:bidi w:val="0"/>
              <w:adjustRightInd/>
              <w:snapToGrid/>
              <w:spacing w:line="288" w:lineRule="auto"/>
              <w:ind w:firstLine="0" w:firstLineChars="0"/>
              <w:jc w:val="center"/>
              <w:textAlignment w:val="auto"/>
              <w:rPr>
                <w:bCs/>
                <w:color w:val="auto"/>
                <w:sz w:val="21"/>
                <w:szCs w:val="21"/>
                <w:highlight w:val="none"/>
              </w:rPr>
            </w:pPr>
            <w:r>
              <w:rPr>
                <w:bCs/>
                <w:color w:val="auto"/>
                <w:sz w:val="21"/>
                <w:szCs w:val="21"/>
                <w:highlight w:val="none"/>
              </w:rPr>
              <w:t>监测类别</w:t>
            </w:r>
          </w:p>
        </w:tc>
        <w:tc>
          <w:tcPr>
            <w:tcW w:w="2987" w:type="pct"/>
            <w:vAlign w:val="center"/>
          </w:tcPr>
          <w:p w14:paraId="776EF388">
            <w:pPr>
              <w:keepNext w:val="0"/>
              <w:keepLines w:val="0"/>
              <w:pageBreakBefore w:val="0"/>
              <w:widowControl w:val="0"/>
              <w:kinsoku/>
              <w:wordWrap/>
              <w:overflowPunct/>
              <w:topLinePunct w:val="0"/>
              <w:autoSpaceDE/>
              <w:autoSpaceDN/>
              <w:bidi w:val="0"/>
              <w:adjustRightInd/>
              <w:snapToGrid/>
              <w:spacing w:line="288" w:lineRule="auto"/>
              <w:ind w:firstLine="0" w:firstLineChars="0"/>
              <w:jc w:val="center"/>
              <w:textAlignment w:val="auto"/>
              <w:rPr>
                <w:bCs/>
                <w:color w:val="auto"/>
                <w:sz w:val="21"/>
                <w:szCs w:val="21"/>
                <w:highlight w:val="none"/>
              </w:rPr>
            </w:pPr>
            <w:r>
              <w:rPr>
                <w:bCs/>
                <w:color w:val="auto"/>
                <w:sz w:val="21"/>
                <w:szCs w:val="21"/>
                <w:highlight w:val="none"/>
              </w:rPr>
              <w:t>监测项目</w:t>
            </w:r>
          </w:p>
        </w:tc>
        <w:tc>
          <w:tcPr>
            <w:tcW w:w="1116" w:type="pct"/>
            <w:vAlign w:val="center"/>
          </w:tcPr>
          <w:p w14:paraId="5111F836">
            <w:pPr>
              <w:keepNext w:val="0"/>
              <w:keepLines w:val="0"/>
              <w:pageBreakBefore w:val="0"/>
              <w:widowControl w:val="0"/>
              <w:kinsoku/>
              <w:wordWrap/>
              <w:overflowPunct/>
              <w:topLinePunct w:val="0"/>
              <w:autoSpaceDE/>
              <w:autoSpaceDN/>
              <w:bidi w:val="0"/>
              <w:adjustRightInd/>
              <w:snapToGrid/>
              <w:spacing w:line="288" w:lineRule="auto"/>
              <w:ind w:firstLine="0" w:firstLineChars="0"/>
              <w:jc w:val="center"/>
              <w:textAlignment w:val="auto"/>
              <w:rPr>
                <w:bCs/>
                <w:color w:val="auto"/>
                <w:sz w:val="21"/>
                <w:szCs w:val="21"/>
                <w:highlight w:val="none"/>
              </w:rPr>
            </w:pPr>
            <w:r>
              <w:rPr>
                <w:bCs/>
                <w:color w:val="auto"/>
                <w:sz w:val="21"/>
                <w:szCs w:val="21"/>
                <w:highlight w:val="none"/>
              </w:rPr>
              <w:t>频次</w:t>
            </w:r>
          </w:p>
        </w:tc>
      </w:tr>
      <w:bookmarkEnd w:id="117"/>
      <w:bookmarkEnd w:id="118"/>
      <w:tr w14:paraId="00F8B78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425" w:hRule="atLeast"/>
          <w:jc w:val="center"/>
        </w:trPr>
        <w:tc>
          <w:tcPr>
            <w:tcW w:w="896" w:type="pct"/>
            <w:vAlign w:val="center"/>
          </w:tcPr>
          <w:p w14:paraId="20EDB479">
            <w:pPr>
              <w:keepNext w:val="0"/>
              <w:keepLines w:val="0"/>
              <w:pageBreakBefore w:val="0"/>
              <w:widowControl w:val="0"/>
              <w:kinsoku/>
              <w:wordWrap/>
              <w:overflowPunct/>
              <w:topLinePunct w:val="0"/>
              <w:autoSpaceDE/>
              <w:autoSpaceDN/>
              <w:bidi w:val="0"/>
              <w:adjustRightInd/>
              <w:snapToGrid/>
              <w:spacing w:line="288" w:lineRule="auto"/>
              <w:ind w:firstLine="0" w:firstLineChars="0"/>
              <w:jc w:val="center"/>
              <w:textAlignment w:val="auto"/>
              <w:rPr>
                <w:color w:val="auto"/>
                <w:sz w:val="21"/>
                <w:szCs w:val="21"/>
                <w:highlight w:val="none"/>
              </w:rPr>
            </w:pPr>
            <w:r>
              <w:rPr>
                <w:color w:val="auto"/>
                <w:sz w:val="21"/>
                <w:szCs w:val="21"/>
                <w:highlight w:val="none"/>
              </w:rPr>
              <w:t>常规监测</w:t>
            </w:r>
          </w:p>
        </w:tc>
        <w:tc>
          <w:tcPr>
            <w:tcW w:w="2987" w:type="pct"/>
            <w:vAlign w:val="center"/>
          </w:tcPr>
          <w:p w14:paraId="2DE75599">
            <w:pPr>
              <w:keepNext w:val="0"/>
              <w:keepLines w:val="0"/>
              <w:pageBreakBefore w:val="0"/>
              <w:widowControl w:val="0"/>
              <w:kinsoku/>
              <w:wordWrap/>
              <w:overflowPunct/>
              <w:topLinePunct w:val="0"/>
              <w:autoSpaceDE/>
              <w:autoSpaceDN/>
              <w:bidi w:val="0"/>
              <w:adjustRightInd/>
              <w:snapToGrid/>
              <w:spacing w:line="288" w:lineRule="auto"/>
              <w:ind w:firstLine="0" w:firstLineChars="0"/>
              <w:jc w:val="center"/>
              <w:textAlignment w:val="auto"/>
              <w:rPr>
                <w:color w:val="auto"/>
                <w:sz w:val="21"/>
                <w:szCs w:val="21"/>
                <w:highlight w:val="none"/>
              </w:rPr>
            </w:pPr>
            <w:r>
              <w:rPr>
                <w:color w:val="auto"/>
                <w:sz w:val="21"/>
                <w:szCs w:val="21"/>
                <w:highlight w:val="none"/>
              </w:rPr>
              <w:t>《地下水质量标准》（GB/T 14848-2017）中</w:t>
            </w:r>
            <w:r>
              <w:rPr>
                <w:rFonts w:hint="eastAsia"/>
                <w:color w:val="auto"/>
                <w:sz w:val="21"/>
                <w:szCs w:val="21"/>
                <w:highlight w:val="none"/>
              </w:rPr>
              <w:t>39</w:t>
            </w:r>
            <w:r>
              <w:rPr>
                <w:color w:val="auto"/>
                <w:sz w:val="21"/>
                <w:szCs w:val="21"/>
                <w:highlight w:val="none"/>
              </w:rPr>
              <w:t>项（环函〔2005〕47号）并统计当月总取水量</w:t>
            </w:r>
          </w:p>
        </w:tc>
        <w:tc>
          <w:tcPr>
            <w:tcW w:w="1116" w:type="pct"/>
            <w:vAlign w:val="center"/>
          </w:tcPr>
          <w:p w14:paraId="52FF9271">
            <w:pPr>
              <w:keepNext w:val="0"/>
              <w:keepLines w:val="0"/>
              <w:pageBreakBefore w:val="0"/>
              <w:widowControl w:val="0"/>
              <w:kinsoku/>
              <w:wordWrap/>
              <w:overflowPunct/>
              <w:topLinePunct w:val="0"/>
              <w:autoSpaceDE/>
              <w:autoSpaceDN/>
              <w:bidi w:val="0"/>
              <w:adjustRightInd/>
              <w:snapToGrid/>
              <w:spacing w:line="288" w:lineRule="auto"/>
              <w:ind w:firstLine="0" w:firstLineChars="0"/>
              <w:jc w:val="center"/>
              <w:textAlignment w:val="auto"/>
              <w:rPr>
                <w:color w:val="auto"/>
                <w:sz w:val="21"/>
                <w:szCs w:val="21"/>
                <w:highlight w:val="none"/>
              </w:rPr>
            </w:pPr>
            <w:r>
              <w:rPr>
                <w:color w:val="auto"/>
                <w:sz w:val="21"/>
                <w:szCs w:val="21"/>
                <w:highlight w:val="none"/>
              </w:rPr>
              <w:t>每半年一次</w:t>
            </w:r>
          </w:p>
        </w:tc>
      </w:tr>
      <w:tr w14:paraId="525EADA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425" w:hRule="atLeast"/>
          <w:jc w:val="center"/>
        </w:trPr>
        <w:tc>
          <w:tcPr>
            <w:tcW w:w="896" w:type="pct"/>
            <w:vAlign w:val="center"/>
          </w:tcPr>
          <w:p w14:paraId="2E38703B">
            <w:pPr>
              <w:keepNext w:val="0"/>
              <w:keepLines w:val="0"/>
              <w:pageBreakBefore w:val="0"/>
              <w:widowControl w:val="0"/>
              <w:kinsoku/>
              <w:wordWrap/>
              <w:overflowPunct/>
              <w:topLinePunct w:val="0"/>
              <w:autoSpaceDE/>
              <w:autoSpaceDN/>
              <w:bidi w:val="0"/>
              <w:adjustRightInd/>
              <w:snapToGrid/>
              <w:spacing w:line="288" w:lineRule="auto"/>
              <w:ind w:firstLine="0" w:firstLineChars="0"/>
              <w:jc w:val="center"/>
              <w:textAlignment w:val="auto"/>
              <w:rPr>
                <w:color w:val="auto"/>
                <w:sz w:val="21"/>
                <w:szCs w:val="21"/>
                <w:highlight w:val="none"/>
              </w:rPr>
            </w:pPr>
            <w:r>
              <w:rPr>
                <w:color w:val="auto"/>
                <w:sz w:val="21"/>
                <w:szCs w:val="21"/>
                <w:highlight w:val="none"/>
              </w:rPr>
              <w:t>水质全分析</w:t>
            </w:r>
          </w:p>
        </w:tc>
        <w:tc>
          <w:tcPr>
            <w:tcW w:w="2987" w:type="pct"/>
            <w:vAlign w:val="center"/>
          </w:tcPr>
          <w:p w14:paraId="2DBEABFC">
            <w:pPr>
              <w:keepNext w:val="0"/>
              <w:keepLines w:val="0"/>
              <w:pageBreakBefore w:val="0"/>
              <w:widowControl w:val="0"/>
              <w:kinsoku/>
              <w:wordWrap/>
              <w:overflowPunct/>
              <w:topLinePunct w:val="0"/>
              <w:autoSpaceDE/>
              <w:autoSpaceDN/>
              <w:bidi w:val="0"/>
              <w:adjustRightInd/>
              <w:snapToGrid/>
              <w:spacing w:line="288" w:lineRule="auto"/>
              <w:ind w:firstLine="0" w:firstLineChars="0"/>
              <w:jc w:val="center"/>
              <w:textAlignment w:val="auto"/>
              <w:rPr>
                <w:color w:val="auto"/>
                <w:sz w:val="21"/>
                <w:szCs w:val="21"/>
                <w:highlight w:val="none"/>
              </w:rPr>
            </w:pPr>
            <w:r>
              <w:rPr>
                <w:color w:val="auto"/>
                <w:sz w:val="21"/>
                <w:szCs w:val="21"/>
                <w:highlight w:val="none"/>
              </w:rPr>
              <w:t>《地下水质量标准》（GB/T 14848-2017）中的93项</w:t>
            </w:r>
          </w:p>
        </w:tc>
        <w:tc>
          <w:tcPr>
            <w:tcW w:w="1116" w:type="pct"/>
            <w:vAlign w:val="center"/>
          </w:tcPr>
          <w:p w14:paraId="28050C56">
            <w:pPr>
              <w:keepNext w:val="0"/>
              <w:keepLines w:val="0"/>
              <w:pageBreakBefore w:val="0"/>
              <w:widowControl w:val="0"/>
              <w:kinsoku/>
              <w:wordWrap/>
              <w:overflowPunct/>
              <w:topLinePunct w:val="0"/>
              <w:autoSpaceDE/>
              <w:autoSpaceDN/>
              <w:bidi w:val="0"/>
              <w:adjustRightInd/>
              <w:snapToGrid/>
              <w:spacing w:line="288" w:lineRule="auto"/>
              <w:ind w:firstLine="0" w:firstLineChars="0"/>
              <w:jc w:val="center"/>
              <w:textAlignment w:val="auto"/>
              <w:rPr>
                <w:color w:val="auto"/>
                <w:sz w:val="21"/>
                <w:szCs w:val="21"/>
                <w:highlight w:val="none"/>
              </w:rPr>
            </w:pPr>
            <w:r>
              <w:rPr>
                <w:color w:val="auto"/>
                <w:sz w:val="21"/>
                <w:szCs w:val="21"/>
                <w:highlight w:val="none"/>
              </w:rPr>
              <w:t>每两年开展一次</w:t>
            </w:r>
          </w:p>
        </w:tc>
      </w:tr>
    </w:tbl>
    <w:p w14:paraId="05B1BE40">
      <w:pPr>
        <w:pStyle w:val="3"/>
        <w:rPr>
          <w:color w:val="auto"/>
          <w:highlight w:val="none"/>
          <w:lang w:val="en-US"/>
        </w:rPr>
      </w:pPr>
      <w:bookmarkStart w:id="119" w:name="_Toc7947"/>
      <w:bookmarkStart w:id="120" w:name="_Toc7796"/>
      <w:bookmarkStart w:id="121" w:name="_Toc18173"/>
      <w:r>
        <w:rPr>
          <w:rFonts w:hint="eastAsia"/>
          <w:color w:val="auto"/>
          <w:highlight w:val="none"/>
        </w:rPr>
        <w:t>4.5风险防控与应急能力建设要求</w:t>
      </w:r>
      <w:bookmarkEnd w:id="119"/>
      <w:bookmarkEnd w:id="120"/>
    </w:p>
    <w:p w14:paraId="457F2932">
      <w:pPr>
        <w:ind w:firstLine="470"/>
        <w:rPr>
          <w:color w:val="auto"/>
          <w:highlight w:val="none"/>
        </w:rPr>
      </w:pPr>
      <w:r>
        <w:rPr>
          <w:color w:val="auto"/>
          <w:highlight w:val="none"/>
        </w:rPr>
        <w:t>为确保</w:t>
      </w:r>
      <w:r>
        <w:rPr>
          <w:rFonts w:hint="eastAsia"/>
          <w:color w:val="auto"/>
          <w:highlight w:val="none"/>
          <w:lang w:eastAsia="zh-CN"/>
        </w:rPr>
        <w:t>各</w:t>
      </w:r>
      <w:r>
        <w:rPr>
          <w:color w:val="auto"/>
          <w:highlight w:val="none"/>
        </w:rPr>
        <w:t>饮用水水源地突发环境事件应急处理工作及时、高效、有序地进行，有效地控制和减轻突发环境事件对饮用水源造成的危害，保障居民饮用水源安全，需制定饮用水水源地突发环境事件应急预案</w:t>
      </w:r>
      <w:r>
        <w:rPr>
          <w:rFonts w:hint="eastAsia"/>
          <w:color w:val="auto"/>
          <w:highlight w:val="none"/>
        </w:rPr>
        <w:t>以及应急演练制度</w:t>
      </w:r>
      <w:r>
        <w:rPr>
          <w:color w:val="auto"/>
          <w:highlight w:val="none"/>
        </w:rPr>
        <w:t>。预案应根据《集中式饮用水水源地规范化建设环境保护技术要求》（HJ 773-2015）编制风险防控与应急能力建设内容，具体要求如下：</w:t>
      </w:r>
    </w:p>
    <w:p w14:paraId="24127F40">
      <w:pPr>
        <w:ind w:firstLine="470"/>
        <w:rPr>
          <w:color w:val="auto"/>
          <w:highlight w:val="none"/>
        </w:rPr>
      </w:pPr>
      <w:r>
        <w:rPr>
          <w:rFonts w:hint="eastAsia"/>
          <w:color w:val="auto"/>
          <w:highlight w:val="none"/>
          <w:lang w:eastAsia="zh-CN"/>
        </w:rPr>
        <w:t>（</w:t>
      </w:r>
      <w:r>
        <w:rPr>
          <w:rFonts w:hint="eastAsia"/>
          <w:color w:val="auto"/>
          <w:highlight w:val="none"/>
          <w:lang w:val="en-US" w:eastAsia="zh-CN"/>
        </w:rPr>
        <w:t>1</w:t>
      </w:r>
      <w:r>
        <w:rPr>
          <w:rFonts w:hint="eastAsia"/>
          <w:color w:val="auto"/>
          <w:highlight w:val="none"/>
          <w:lang w:eastAsia="zh-CN"/>
        </w:rPr>
        <w:t>）</w:t>
      </w:r>
      <w:r>
        <w:rPr>
          <w:color w:val="auto"/>
          <w:highlight w:val="none"/>
        </w:rPr>
        <w:t>风险识别和防范措施</w:t>
      </w:r>
    </w:p>
    <w:p w14:paraId="17DA60C8">
      <w:pPr>
        <w:ind w:firstLine="470"/>
        <w:rPr>
          <w:color w:val="auto"/>
          <w:highlight w:val="none"/>
        </w:rPr>
      </w:pPr>
      <w:r>
        <w:rPr>
          <w:color w:val="auto"/>
          <w:highlight w:val="none"/>
        </w:rPr>
        <w:t>1）完善风险防范措施</w:t>
      </w:r>
    </w:p>
    <w:p w14:paraId="7B55A585">
      <w:pPr>
        <w:ind w:firstLine="470"/>
        <w:rPr>
          <w:color w:val="auto"/>
          <w:highlight w:val="none"/>
        </w:rPr>
      </w:pPr>
      <w:r>
        <w:rPr>
          <w:color w:val="auto"/>
          <w:highlight w:val="none"/>
        </w:rPr>
        <w:t>建立饮用水水源保护区风险管理系统，落实风险防范责任，完善各类风险防范措施。保护区周边生产、使用有毒有害化学品的企业必须制订应急预案，原料储存区需设置围堰，备足应急物资。</w:t>
      </w:r>
    </w:p>
    <w:p w14:paraId="7F97D80E">
      <w:pPr>
        <w:ind w:firstLine="470"/>
        <w:rPr>
          <w:color w:val="auto"/>
          <w:highlight w:val="none"/>
        </w:rPr>
      </w:pPr>
      <w:r>
        <w:rPr>
          <w:color w:val="auto"/>
          <w:highlight w:val="none"/>
        </w:rPr>
        <w:t>2）建立风险评估机制</w:t>
      </w:r>
    </w:p>
    <w:p w14:paraId="015B771E">
      <w:pPr>
        <w:ind w:firstLine="470"/>
        <w:rPr>
          <w:color w:val="auto"/>
          <w:highlight w:val="none"/>
        </w:rPr>
      </w:pPr>
      <w:r>
        <w:rPr>
          <w:color w:val="auto"/>
          <w:highlight w:val="none"/>
        </w:rPr>
        <w:t>建立饮用水水源风险评估机制，具备饮用水水源保护区及影响范围内</w:t>
      </w:r>
      <w:bookmarkStart w:id="122" w:name="OLE_LINK97"/>
      <w:bookmarkStart w:id="123" w:name="OLE_LINK98"/>
      <w:r>
        <w:rPr>
          <w:color w:val="auto"/>
          <w:highlight w:val="none"/>
        </w:rPr>
        <w:t>风险源名录</w:t>
      </w:r>
      <w:bookmarkEnd w:id="122"/>
      <w:bookmarkEnd w:id="123"/>
      <w:r>
        <w:rPr>
          <w:color w:val="auto"/>
          <w:highlight w:val="none"/>
        </w:rPr>
        <w:t>和风险防控方案，定期或不定期开展饮用水水源地周边环境安全隐患排查及饮用水水源地环境风险评估。分析饮用水水源保护区外或与水源共处同一水文地质单元的加油站等风险源对水源的影响，分级管理水源风险，严格管理和控制有毒有害物质。评估风险源发生泄漏事故或不正常排污对水源安全产生的风险，科学编制防控方案。</w:t>
      </w:r>
    </w:p>
    <w:p w14:paraId="376E2731">
      <w:pPr>
        <w:ind w:firstLine="470"/>
        <w:rPr>
          <w:color w:val="auto"/>
          <w:highlight w:val="none"/>
        </w:rPr>
      </w:pPr>
      <w:r>
        <w:rPr>
          <w:color w:val="auto"/>
          <w:highlight w:val="none"/>
        </w:rPr>
        <w:t>3）建立供水安全保障机制</w:t>
      </w:r>
    </w:p>
    <w:p w14:paraId="486E45A7">
      <w:pPr>
        <w:ind w:firstLine="470"/>
        <w:rPr>
          <w:color w:val="auto"/>
          <w:highlight w:val="none"/>
        </w:rPr>
      </w:pPr>
      <w:r>
        <w:rPr>
          <w:color w:val="auto"/>
          <w:highlight w:val="none"/>
        </w:rPr>
        <w:t>加强备用水源的规划建设，当发生水质异常突发事件时，可通过备用水源或相邻水厂管道调水，保障供水安全。井房逐步完善水质应急处理设施和物资保障，强化进水水质深度处理能力。</w:t>
      </w:r>
    </w:p>
    <w:p w14:paraId="341E0751">
      <w:pPr>
        <w:ind w:firstLine="470"/>
        <w:rPr>
          <w:color w:val="auto"/>
          <w:highlight w:val="none"/>
        </w:rPr>
      </w:pPr>
      <w:r>
        <w:rPr>
          <w:color w:val="auto"/>
          <w:highlight w:val="none"/>
        </w:rPr>
        <w:t>4）特殊时期水源风险防范</w:t>
      </w:r>
    </w:p>
    <w:p w14:paraId="2C3912A4">
      <w:pPr>
        <w:ind w:firstLine="470"/>
        <w:rPr>
          <w:color w:val="auto"/>
          <w:highlight w:val="none"/>
        </w:rPr>
      </w:pPr>
      <w:r>
        <w:rPr>
          <w:color w:val="auto"/>
          <w:highlight w:val="none"/>
        </w:rPr>
        <w:t>在发生地震、汛期、旱期、雨雪冰冻等特殊时期，对水源的风险防范应更加严格谨慎。加强水源巡查和保护的宣传；对水源周边污染源进行全面的排查；增加水源监测频次。</w:t>
      </w:r>
    </w:p>
    <w:p w14:paraId="2AB1FD1A">
      <w:pPr>
        <w:ind w:firstLine="470"/>
        <w:rPr>
          <w:color w:val="auto"/>
          <w:highlight w:val="none"/>
        </w:rPr>
      </w:pPr>
      <w:r>
        <w:rPr>
          <w:rFonts w:hint="eastAsia"/>
          <w:color w:val="auto"/>
          <w:highlight w:val="none"/>
          <w:lang w:eastAsia="zh-CN"/>
        </w:rPr>
        <w:t>（</w:t>
      </w:r>
      <w:r>
        <w:rPr>
          <w:rFonts w:hint="eastAsia"/>
          <w:color w:val="auto"/>
          <w:highlight w:val="none"/>
          <w:lang w:val="en-US" w:eastAsia="zh-CN"/>
        </w:rPr>
        <w:t>2</w:t>
      </w:r>
      <w:r>
        <w:rPr>
          <w:rFonts w:hint="eastAsia"/>
          <w:color w:val="auto"/>
          <w:highlight w:val="none"/>
          <w:lang w:eastAsia="zh-CN"/>
        </w:rPr>
        <w:t>）</w:t>
      </w:r>
      <w:r>
        <w:rPr>
          <w:color w:val="auto"/>
          <w:highlight w:val="none"/>
        </w:rPr>
        <w:t>应急</w:t>
      </w:r>
      <w:r>
        <w:rPr>
          <w:rFonts w:hint="eastAsia"/>
          <w:color w:val="auto"/>
          <w:highlight w:val="none"/>
        </w:rPr>
        <w:t>能力</w:t>
      </w:r>
    </w:p>
    <w:p w14:paraId="26BAAE4E">
      <w:pPr>
        <w:ind w:firstLine="470"/>
        <w:rPr>
          <w:color w:val="auto"/>
          <w:highlight w:val="none"/>
        </w:rPr>
      </w:pPr>
      <w:r>
        <w:rPr>
          <w:rFonts w:hint="eastAsia"/>
          <w:color w:val="auto"/>
          <w:highlight w:val="none"/>
        </w:rPr>
        <w:t>县人民政府</w:t>
      </w:r>
      <w:r>
        <w:rPr>
          <w:color w:val="auto"/>
          <w:highlight w:val="none"/>
        </w:rPr>
        <w:t>应组织编制</w:t>
      </w:r>
      <w:r>
        <w:rPr>
          <w:rFonts w:hint="eastAsia"/>
          <w:color w:val="auto"/>
          <w:highlight w:val="none"/>
        </w:rPr>
        <w:t>全县</w:t>
      </w:r>
      <w:r>
        <w:rPr>
          <w:color w:val="auto"/>
          <w:highlight w:val="none"/>
        </w:rPr>
        <w:t>饮用水水源地应急预案，从总体上阐述处理事故的应急方针、政策，应急组织结构及相关应急职责，应急行动、措施和保障等基本</w:t>
      </w:r>
      <w:r>
        <w:rPr>
          <w:rFonts w:hint="eastAsia"/>
          <w:color w:val="auto"/>
          <w:highlight w:val="none"/>
        </w:rPr>
        <w:t>要求</w:t>
      </w:r>
      <w:r>
        <w:rPr>
          <w:color w:val="auto"/>
          <w:highlight w:val="none"/>
        </w:rPr>
        <w:t>。</w:t>
      </w:r>
    </w:p>
    <w:p w14:paraId="474F1CCC">
      <w:pPr>
        <w:ind w:firstLine="470"/>
        <w:rPr>
          <w:color w:val="auto"/>
          <w:highlight w:val="none"/>
        </w:rPr>
      </w:pPr>
      <w:r>
        <w:rPr>
          <w:color w:val="auto"/>
          <w:highlight w:val="none"/>
        </w:rPr>
        <w:t>1）饮用水水源地有专项应急预案，做到</w:t>
      </w:r>
      <w:r>
        <w:rPr>
          <w:rFonts w:ascii="宋体" w:hAnsi="宋体"/>
          <w:color w:val="auto"/>
          <w:highlight w:val="none"/>
        </w:rPr>
        <w:t>“一源一案”</w:t>
      </w:r>
      <w:r>
        <w:rPr>
          <w:color w:val="auto"/>
          <w:highlight w:val="none"/>
        </w:rPr>
        <w:t>，按照环境保护主管部门要求备案并定期演练和预案。包括但不限于以下内容：</w:t>
      </w:r>
    </w:p>
    <w:p w14:paraId="30758329">
      <w:pPr>
        <w:ind w:firstLine="470"/>
        <w:rPr>
          <w:color w:val="auto"/>
          <w:highlight w:val="none"/>
        </w:rPr>
      </w:pPr>
      <w:r>
        <w:rPr>
          <w:color w:val="auto"/>
          <w:highlight w:val="none"/>
        </w:rPr>
        <w:t>①总则</w:t>
      </w:r>
    </w:p>
    <w:p w14:paraId="6A35E910">
      <w:pPr>
        <w:ind w:firstLine="470"/>
        <w:rPr>
          <w:color w:val="auto"/>
          <w:highlight w:val="none"/>
        </w:rPr>
      </w:pPr>
      <w:r>
        <w:rPr>
          <w:color w:val="auto"/>
          <w:highlight w:val="none"/>
        </w:rPr>
        <w:t>包括编制目的、编制依据、适用范围、预案衔接、工作原则等。</w:t>
      </w:r>
    </w:p>
    <w:p w14:paraId="5BE8D3F1">
      <w:pPr>
        <w:ind w:firstLine="470"/>
        <w:rPr>
          <w:color w:val="auto"/>
          <w:highlight w:val="none"/>
        </w:rPr>
      </w:pPr>
      <w:r>
        <w:rPr>
          <w:color w:val="auto"/>
          <w:highlight w:val="none"/>
        </w:rPr>
        <w:t>②应急组织指挥体系</w:t>
      </w:r>
    </w:p>
    <w:p w14:paraId="5585B27C">
      <w:pPr>
        <w:ind w:firstLine="470"/>
        <w:rPr>
          <w:color w:val="auto"/>
          <w:highlight w:val="none"/>
        </w:rPr>
      </w:pPr>
      <w:r>
        <w:rPr>
          <w:color w:val="auto"/>
          <w:highlight w:val="none"/>
        </w:rPr>
        <w:t>包括应急组织指挥机构、现场应急指挥部、应急处置组、应急监测组、应急供水保障组、应急物资保障组、应急专家组、综合组等。</w:t>
      </w:r>
    </w:p>
    <w:p w14:paraId="3DBFF7F2">
      <w:pPr>
        <w:ind w:firstLine="470"/>
        <w:rPr>
          <w:color w:val="auto"/>
          <w:highlight w:val="none"/>
        </w:rPr>
      </w:pPr>
      <w:r>
        <w:rPr>
          <w:color w:val="auto"/>
          <w:highlight w:val="none"/>
        </w:rPr>
        <w:t>③应急响应</w:t>
      </w:r>
    </w:p>
    <w:p w14:paraId="6B00F43B">
      <w:pPr>
        <w:ind w:firstLine="470"/>
        <w:rPr>
          <w:color w:val="auto"/>
          <w:highlight w:val="none"/>
        </w:rPr>
      </w:pPr>
      <w:r>
        <w:rPr>
          <w:color w:val="auto"/>
          <w:highlight w:val="none"/>
        </w:rPr>
        <w:t>主要指应急响应流程，包括预警、信息报告与通报、事态研判、应急监测、污染源排查与处置、应急处置、物资调集及应急设施启用、舆情监测与信息发布、响应终止。</w:t>
      </w:r>
    </w:p>
    <w:p w14:paraId="7795C760">
      <w:pPr>
        <w:ind w:firstLine="470"/>
        <w:rPr>
          <w:color w:val="auto"/>
          <w:highlight w:val="none"/>
        </w:rPr>
      </w:pPr>
      <w:r>
        <w:rPr>
          <w:color w:val="auto"/>
          <w:highlight w:val="none"/>
        </w:rPr>
        <w:t>④后期工作</w:t>
      </w:r>
    </w:p>
    <w:p w14:paraId="5BD37D08">
      <w:pPr>
        <w:ind w:firstLine="470"/>
        <w:rPr>
          <w:color w:val="auto"/>
          <w:highlight w:val="none"/>
        </w:rPr>
      </w:pPr>
      <w:r>
        <w:rPr>
          <w:color w:val="auto"/>
          <w:highlight w:val="none"/>
        </w:rPr>
        <w:t>包括后期防控、事件调查、损害评估、善后处置。</w:t>
      </w:r>
    </w:p>
    <w:p w14:paraId="71AC60D6">
      <w:pPr>
        <w:ind w:firstLine="470"/>
        <w:rPr>
          <w:color w:val="auto"/>
          <w:highlight w:val="none"/>
        </w:rPr>
      </w:pPr>
      <w:r>
        <w:rPr>
          <w:color w:val="auto"/>
          <w:highlight w:val="none"/>
        </w:rPr>
        <w:t>⑤应急保障</w:t>
      </w:r>
    </w:p>
    <w:p w14:paraId="672C0601">
      <w:pPr>
        <w:ind w:firstLine="470"/>
        <w:rPr>
          <w:color w:val="auto"/>
          <w:highlight w:val="none"/>
        </w:rPr>
      </w:pPr>
      <w:r>
        <w:rPr>
          <w:color w:val="auto"/>
          <w:highlight w:val="none"/>
        </w:rPr>
        <w:t>包括通讯与信息保障、应急队伍保障、应急资源保障、经费保障、其他保障。</w:t>
      </w:r>
    </w:p>
    <w:p w14:paraId="4A2C54B7">
      <w:pPr>
        <w:ind w:firstLine="470"/>
        <w:rPr>
          <w:color w:val="auto"/>
          <w:highlight w:val="none"/>
        </w:rPr>
      </w:pPr>
      <w:r>
        <w:rPr>
          <w:color w:val="auto"/>
          <w:highlight w:val="none"/>
        </w:rPr>
        <w:t>⑥附则</w:t>
      </w:r>
    </w:p>
    <w:p w14:paraId="598552C9">
      <w:pPr>
        <w:ind w:firstLine="470"/>
        <w:rPr>
          <w:color w:val="auto"/>
          <w:highlight w:val="none"/>
        </w:rPr>
      </w:pPr>
      <w:r>
        <w:rPr>
          <w:color w:val="auto"/>
          <w:highlight w:val="none"/>
        </w:rPr>
        <w:t>包括名词术语、预案解释权属、预案演练和修订、预案实施日期。</w:t>
      </w:r>
    </w:p>
    <w:p w14:paraId="172C3475">
      <w:pPr>
        <w:ind w:firstLine="470"/>
        <w:rPr>
          <w:color w:val="auto"/>
          <w:highlight w:val="none"/>
        </w:rPr>
      </w:pPr>
      <w:r>
        <w:rPr>
          <w:color w:val="auto"/>
          <w:highlight w:val="none"/>
        </w:rPr>
        <w:t>2）饮用水水源地周边高风险区域设有应急物资（装备）储备库及事故应急池等应急防护工程。</w:t>
      </w:r>
    </w:p>
    <w:p w14:paraId="5857892A">
      <w:pPr>
        <w:ind w:firstLine="470"/>
        <w:rPr>
          <w:color w:val="auto"/>
          <w:highlight w:val="none"/>
        </w:rPr>
      </w:pPr>
      <w:r>
        <w:rPr>
          <w:color w:val="auto"/>
          <w:highlight w:val="none"/>
        </w:rPr>
        <w:t>3）具备饮用水水源地突发环境事件应急处置技术方案及应急专家组。由水源地管理、水体修复、环境保护和饮水卫生安全等方面的专家组成，能为现场应急处置提供技术支持。</w:t>
      </w:r>
    </w:p>
    <w:p w14:paraId="3384B15A">
      <w:pPr>
        <w:ind w:firstLine="470"/>
        <w:rPr>
          <w:color w:val="auto"/>
          <w:highlight w:val="none"/>
        </w:rPr>
      </w:pPr>
      <w:r>
        <w:rPr>
          <w:color w:val="auto"/>
          <w:highlight w:val="none"/>
        </w:rPr>
        <w:t>4）具备应急监测能力。强化对水源水质状况及安全形势的研判，提前预警风险源对地下水的污染，及时发出水源地安全预警，一旦发生污染，应采取相应措施，必要时停止取水。建立健全地下水水源环境监测体系，在国土资源、水利及环境保护等部门已有监测工作基础上，补充本项目地下水水源环境监测资料，逐步实现地下水水源环境信息共享。</w:t>
      </w:r>
    </w:p>
    <w:p w14:paraId="225D4716">
      <w:pPr>
        <w:ind w:firstLine="470"/>
        <w:rPr>
          <w:color w:val="auto"/>
          <w:highlight w:val="none"/>
        </w:rPr>
      </w:pPr>
      <w:r>
        <w:rPr>
          <w:color w:val="auto"/>
          <w:highlight w:val="none"/>
        </w:rPr>
        <w:t>综上，本饮用水水源地周边无高风险区域，但未进行风险防控与应急能力建设，水源保护区管理单位应编制专项应急预案并设立应急专家组，定期开展饮用水水源环境风险评估和演练。</w:t>
      </w:r>
    </w:p>
    <w:p w14:paraId="2AADB255">
      <w:pPr>
        <w:pStyle w:val="3"/>
        <w:rPr>
          <w:color w:val="auto"/>
          <w:highlight w:val="none"/>
          <w:lang w:val="en-US"/>
        </w:rPr>
      </w:pPr>
      <w:bookmarkStart w:id="124" w:name="_Toc1846"/>
      <w:r>
        <w:rPr>
          <w:rFonts w:hint="eastAsia"/>
          <w:color w:val="auto"/>
          <w:highlight w:val="none"/>
          <w:lang w:val="en-US"/>
        </w:rPr>
        <w:t>4.6管理措施要求</w:t>
      </w:r>
      <w:bookmarkEnd w:id="121"/>
      <w:bookmarkEnd w:id="124"/>
    </w:p>
    <w:p w14:paraId="0F424D99">
      <w:pPr>
        <w:pStyle w:val="4"/>
        <w:rPr>
          <w:color w:val="auto"/>
          <w:highlight w:val="none"/>
        </w:rPr>
      </w:pPr>
      <w:bookmarkStart w:id="125" w:name="_Toc7812"/>
      <w:r>
        <w:rPr>
          <w:rFonts w:hint="eastAsia"/>
          <w:color w:val="auto"/>
          <w:highlight w:val="none"/>
        </w:rPr>
        <w:t>4.6.1管理目的</w:t>
      </w:r>
      <w:bookmarkEnd w:id="125"/>
    </w:p>
    <w:p w14:paraId="38F637A5">
      <w:pPr>
        <w:ind w:firstLine="470"/>
        <w:rPr>
          <w:color w:val="auto"/>
          <w:highlight w:val="none"/>
        </w:rPr>
      </w:pPr>
      <w:r>
        <w:rPr>
          <w:color w:val="auto"/>
          <w:highlight w:val="none"/>
        </w:rPr>
        <w:t>环境管理的目的是使水源保护区各时期的环境保护措施得以落实，保证饮用水水源地供水的水质，把可能对水源保护区产生不利影响的因素通过环境保护措施的实施得以减少，实现饮用水水源保护的常态化管理。</w:t>
      </w:r>
    </w:p>
    <w:p w14:paraId="21D2F04A">
      <w:pPr>
        <w:pStyle w:val="4"/>
        <w:rPr>
          <w:color w:val="auto"/>
          <w:highlight w:val="none"/>
        </w:rPr>
      </w:pPr>
      <w:bookmarkStart w:id="126" w:name="_Toc20679"/>
      <w:r>
        <w:rPr>
          <w:rFonts w:hint="eastAsia"/>
          <w:color w:val="auto"/>
          <w:highlight w:val="none"/>
        </w:rPr>
        <w:t>4.6.2管理机构</w:t>
      </w:r>
      <w:bookmarkEnd w:id="126"/>
    </w:p>
    <w:p w14:paraId="4AB7E00E">
      <w:pPr>
        <w:ind w:firstLine="470"/>
        <w:rPr>
          <w:color w:val="auto"/>
          <w:highlight w:val="none"/>
        </w:rPr>
      </w:pPr>
      <w:r>
        <w:rPr>
          <w:rFonts w:hint="eastAsia"/>
          <w:color w:val="auto"/>
          <w:highlight w:val="none"/>
          <w:lang w:eastAsia="zh-CN"/>
        </w:rPr>
        <w:t>水源地由</w:t>
      </w:r>
      <w:r>
        <w:rPr>
          <w:rFonts w:hint="eastAsia"/>
          <w:color w:val="auto"/>
          <w:sz w:val="24"/>
          <w:szCs w:val="24"/>
          <w:highlight w:val="none"/>
        </w:rPr>
        <w:t>各乡镇人民政府</w:t>
      </w:r>
      <w:r>
        <w:rPr>
          <w:color w:val="auto"/>
          <w:highlight w:val="none"/>
        </w:rPr>
        <w:t>负责，设置专职或兼职管理人员1名。管理人员的职责是负责水源地长期的管理工作，定期配合开展水质监测工作，根据水源地保护条例，做好水源地保护工作，发现问题及时向上级机关报告并提出解决措施，确保水源地的正常供水。</w:t>
      </w:r>
    </w:p>
    <w:p w14:paraId="26F18D24">
      <w:pPr>
        <w:pStyle w:val="4"/>
        <w:rPr>
          <w:color w:val="auto"/>
          <w:highlight w:val="none"/>
        </w:rPr>
      </w:pPr>
      <w:bookmarkStart w:id="127" w:name="_Toc23204"/>
      <w:r>
        <w:rPr>
          <w:rFonts w:hint="eastAsia"/>
          <w:color w:val="auto"/>
          <w:highlight w:val="none"/>
        </w:rPr>
        <w:t>4.6.3管理内容</w:t>
      </w:r>
      <w:bookmarkEnd w:id="127"/>
    </w:p>
    <w:p w14:paraId="651AFEAA">
      <w:pPr>
        <w:ind w:firstLine="470"/>
        <w:rPr>
          <w:color w:val="auto"/>
          <w:highlight w:val="none"/>
        </w:rPr>
      </w:pPr>
      <w:r>
        <w:rPr>
          <w:color w:val="auto"/>
          <w:highlight w:val="none"/>
        </w:rPr>
        <w:t>（1）水源地命名规范，编码依据《集中式饮用水水源编码规范》（HJ 747-2015）编制，档案完整，做到</w:t>
      </w:r>
      <w:r>
        <w:rPr>
          <w:rFonts w:hint="eastAsia" w:ascii="宋体" w:hAnsi="宋体" w:cs="宋体"/>
          <w:color w:val="auto"/>
          <w:highlight w:val="none"/>
        </w:rPr>
        <w:t>“一源一档”</w:t>
      </w:r>
      <w:r>
        <w:rPr>
          <w:color w:val="auto"/>
          <w:highlight w:val="none"/>
        </w:rPr>
        <w:t>。</w:t>
      </w:r>
    </w:p>
    <w:p w14:paraId="02FEA6BC">
      <w:pPr>
        <w:ind w:firstLine="470"/>
        <w:rPr>
          <w:color w:val="auto"/>
          <w:highlight w:val="none"/>
        </w:rPr>
      </w:pPr>
      <w:r>
        <w:rPr>
          <w:color w:val="auto"/>
          <w:highlight w:val="none"/>
        </w:rPr>
        <w:t>（2）对饮用水水源地进行定期巡查。</w:t>
      </w:r>
    </w:p>
    <w:p w14:paraId="046D33AD">
      <w:pPr>
        <w:ind w:firstLine="470"/>
        <w:rPr>
          <w:color w:val="auto"/>
          <w:highlight w:val="none"/>
        </w:rPr>
      </w:pPr>
      <w:r>
        <w:rPr>
          <w:color w:val="auto"/>
          <w:highlight w:val="none"/>
        </w:rPr>
        <w:t>（3）定期开展饮用水水源地环境状况评估。</w:t>
      </w:r>
    </w:p>
    <w:p w14:paraId="44B42902">
      <w:pPr>
        <w:ind w:firstLine="470"/>
        <w:rPr>
          <w:color w:val="auto"/>
          <w:highlight w:val="none"/>
        </w:rPr>
      </w:pPr>
      <w:r>
        <w:rPr>
          <w:color w:val="auto"/>
          <w:highlight w:val="none"/>
        </w:rPr>
        <w:t>（4）完善饮用水水源地信息化管理平台。</w:t>
      </w:r>
    </w:p>
    <w:p w14:paraId="07FE87FE">
      <w:pPr>
        <w:ind w:firstLine="470"/>
        <w:rPr>
          <w:color w:val="auto"/>
          <w:highlight w:val="none"/>
        </w:rPr>
      </w:pPr>
      <w:r>
        <w:rPr>
          <w:color w:val="auto"/>
          <w:highlight w:val="none"/>
        </w:rPr>
        <w:t>（5）定期公开饮用水水源地相关信息。</w:t>
      </w:r>
    </w:p>
    <w:p w14:paraId="05494A79">
      <w:pPr>
        <w:pStyle w:val="4"/>
        <w:rPr>
          <w:color w:val="auto"/>
          <w:highlight w:val="none"/>
        </w:rPr>
      </w:pPr>
      <w:bookmarkStart w:id="128" w:name="_Toc14736"/>
      <w:r>
        <w:rPr>
          <w:rFonts w:hint="eastAsia"/>
          <w:color w:val="auto"/>
          <w:highlight w:val="none"/>
        </w:rPr>
        <w:t>4.6.4管理方法</w:t>
      </w:r>
      <w:bookmarkEnd w:id="128"/>
    </w:p>
    <w:p w14:paraId="6B5D2C57">
      <w:pPr>
        <w:ind w:firstLine="470"/>
        <w:rPr>
          <w:color w:val="auto"/>
          <w:highlight w:val="none"/>
        </w:rPr>
      </w:pPr>
      <w:r>
        <w:rPr>
          <w:color w:val="auto"/>
          <w:highlight w:val="none"/>
        </w:rPr>
        <w:t>（1）建立完善的环境管理体系</w:t>
      </w:r>
    </w:p>
    <w:p w14:paraId="503DAD30">
      <w:pPr>
        <w:ind w:firstLine="470"/>
        <w:rPr>
          <w:color w:val="auto"/>
          <w:highlight w:val="none"/>
        </w:rPr>
      </w:pPr>
      <w:r>
        <w:rPr>
          <w:color w:val="auto"/>
          <w:highlight w:val="none"/>
        </w:rPr>
        <w:t>建立完善的环境管理体系，组织、协调、管理和落实各项环境保护工作。由</w:t>
      </w:r>
      <w:r>
        <w:rPr>
          <w:rFonts w:hint="eastAsia"/>
          <w:color w:val="auto"/>
          <w:highlight w:val="none"/>
          <w:lang w:eastAsia="zh-CN"/>
        </w:rPr>
        <w:t>庆安县人民政府</w:t>
      </w:r>
      <w:r>
        <w:rPr>
          <w:color w:val="auto"/>
          <w:highlight w:val="none"/>
        </w:rPr>
        <w:t>拟定饮用水水源地保护规范性文件，明确负责人，建立水源地管理体系，设立水源地监管专项资金，非特殊情况不得挪为他用，以便突发情况可以及时响应，采取应急措施。</w:t>
      </w:r>
    </w:p>
    <w:p w14:paraId="6B1CC79E">
      <w:pPr>
        <w:ind w:firstLine="470"/>
        <w:rPr>
          <w:color w:val="auto"/>
          <w:highlight w:val="none"/>
        </w:rPr>
      </w:pPr>
      <w:r>
        <w:rPr>
          <w:color w:val="auto"/>
          <w:highlight w:val="none"/>
        </w:rPr>
        <w:t>（2）确定明确的环境管理目标</w:t>
      </w:r>
    </w:p>
    <w:p w14:paraId="6C46A916">
      <w:pPr>
        <w:ind w:firstLine="470"/>
        <w:rPr>
          <w:color w:val="auto"/>
          <w:highlight w:val="none"/>
        </w:rPr>
      </w:pPr>
      <w:r>
        <w:rPr>
          <w:color w:val="auto"/>
          <w:highlight w:val="none"/>
        </w:rPr>
        <w:t>饮用水水源地名称规范；编码依据《集中式饮用水水源编码规范》（HJ 747-2015）编制，档案完整，做到</w:t>
      </w:r>
      <w:r>
        <w:rPr>
          <w:rFonts w:hint="eastAsia" w:ascii="宋体" w:hAnsi="宋体" w:cs="宋体"/>
          <w:color w:val="auto"/>
          <w:highlight w:val="none"/>
        </w:rPr>
        <w:t>“一源一档”</w:t>
      </w:r>
      <w:r>
        <w:rPr>
          <w:color w:val="auto"/>
          <w:highlight w:val="none"/>
        </w:rPr>
        <w:t>；根据水源保护区可能受到的不同污染，制定具有针对性的、切实可行的环境管理目标和任务。</w:t>
      </w:r>
    </w:p>
    <w:p w14:paraId="63F5F7C6">
      <w:pPr>
        <w:ind w:firstLine="470"/>
        <w:rPr>
          <w:color w:val="auto"/>
          <w:highlight w:val="none"/>
        </w:rPr>
      </w:pPr>
      <w:r>
        <w:rPr>
          <w:color w:val="auto"/>
          <w:highlight w:val="none"/>
        </w:rPr>
        <w:t>（3）建立环境监测体系和制度</w:t>
      </w:r>
    </w:p>
    <w:p w14:paraId="69296D3A">
      <w:pPr>
        <w:ind w:firstLine="470"/>
        <w:rPr>
          <w:color w:val="auto"/>
          <w:highlight w:val="none"/>
        </w:rPr>
      </w:pPr>
      <w:r>
        <w:rPr>
          <w:color w:val="auto"/>
          <w:highlight w:val="none"/>
        </w:rPr>
        <w:t>环境监测是环境管理的一部分，是环境管理决策的重要依据。为及时了解和掌握水源地保护区的环境状况，实现水源地保护区的环境保护和生态环境的良性循环，需要制定全面的环境监测制度，并建立环境监测体系。</w:t>
      </w:r>
    </w:p>
    <w:p w14:paraId="069FBF5C">
      <w:pPr>
        <w:ind w:firstLine="470"/>
        <w:rPr>
          <w:color w:val="auto"/>
          <w:highlight w:val="none"/>
        </w:rPr>
      </w:pPr>
      <w:r>
        <w:rPr>
          <w:color w:val="auto"/>
          <w:highlight w:val="none"/>
        </w:rPr>
        <w:t>（4）推行和完善环境保护工作制度</w:t>
      </w:r>
    </w:p>
    <w:p w14:paraId="30F47E82">
      <w:pPr>
        <w:ind w:firstLine="470"/>
        <w:rPr>
          <w:color w:val="auto"/>
          <w:highlight w:val="none"/>
        </w:rPr>
      </w:pPr>
      <w:r>
        <w:rPr>
          <w:color w:val="auto"/>
          <w:highlight w:val="none"/>
        </w:rPr>
        <w:t>建议环境管理采取书面制度、报告制度。环境管理书面制度、报告制度可以使有关部门全面地掌握水源保护区环境保护工作的进展情况，为领导及时发现环境违法事件提供依据；而且还使得环境保护进展的有关信息能够得到及时反馈，保证环境问题及时、彻底地解决。</w:t>
      </w:r>
    </w:p>
    <w:p w14:paraId="1D65AF49">
      <w:pPr>
        <w:ind w:firstLine="470"/>
        <w:rPr>
          <w:color w:val="auto"/>
          <w:highlight w:val="none"/>
        </w:rPr>
      </w:pPr>
      <w:r>
        <w:rPr>
          <w:color w:val="auto"/>
          <w:highlight w:val="none"/>
        </w:rPr>
        <w:t>（5）开展饮用水水源地保护宣教活动</w:t>
      </w:r>
    </w:p>
    <w:p w14:paraId="2E644A50">
      <w:pPr>
        <w:ind w:firstLine="470"/>
        <w:rPr>
          <w:color w:val="auto"/>
          <w:highlight w:val="none"/>
        </w:rPr>
      </w:pPr>
      <w:r>
        <w:rPr>
          <w:color w:val="auto"/>
          <w:highlight w:val="none"/>
        </w:rPr>
        <w:t>采用悬挂饮用水水源地保护宣传横幅，张贴环保宣传挂图，集体学习等方式进行环保法律法规、水源保护宣教活动，进一步增强乡镇居民保护饮用水水源地观念和保护环境意识，推动全民参与水源地保护。</w:t>
      </w:r>
    </w:p>
    <w:p w14:paraId="4F06A727">
      <w:pPr>
        <w:pStyle w:val="4"/>
        <w:rPr>
          <w:rFonts w:hint="eastAsia" w:ascii="Times New Roman" w:hAnsi="Times New Roman" w:cs="Times New Roman"/>
          <w:color w:val="auto"/>
          <w:highlight w:val="none"/>
        </w:rPr>
      </w:pPr>
      <w:r>
        <w:rPr>
          <w:rFonts w:hint="eastAsia"/>
          <w:color w:val="auto"/>
          <w:highlight w:val="none"/>
        </w:rPr>
        <w:t>4.6.</w:t>
      </w:r>
      <w:r>
        <w:rPr>
          <w:rFonts w:hint="eastAsia"/>
          <w:color w:val="auto"/>
          <w:highlight w:val="none"/>
          <w:lang w:val="en-US" w:eastAsia="zh-CN"/>
        </w:rPr>
        <w:t>5</w:t>
      </w:r>
      <w:r>
        <w:rPr>
          <w:rFonts w:hint="eastAsia" w:ascii="Times New Roman" w:hAnsi="Times New Roman" w:cs="Times New Roman"/>
          <w:color w:val="auto"/>
          <w:highlight w:val="none"/>
        </w:rPr>
        <w:t>水井封井回填工作要求</w:t>
      </w:r>
    </w:p>
    <w:p w14:paraId="53D09EE0">
      <w:pPr>
        <w:ind w:firstLine="470"/>
        <w:rPr>
          <w:rFonts w:ascii="Times New Roman" w:hAnsi="Times New Roman" w:eastAsia="宋体" w:cs="Times New Roman"/>
          <w:color w:val="auto"/>
          <w:highlight w:val="none"/>
        </w:rPr>
      </w:pPr>
      <w:r>
        <w:rPr>
          <w:rFonts w:ascii="Times New Roman" w:hAnsi="Times New Roman" w:eastAsia="宋体" w:cs="Times New Roman"/>
          <w:color w:val="auto"/>
          <w:highlight w:val="none"/>
          <w:lang w:val="en-US" w:eastAsia="zh-CN"/>
        </w:rPr>
        <w:t>为严防废弃水井形成地下水串层污染通道，杜绝污染物通过井体垂直迁移污染含水层，保障区域地下水水质安全，本次水源地调整涉及的所有被替代、停用废弃水井，必须全部按照规范完成封井回填，该项工作是防范地下水环境风险、保障水源地长效安全的关键环节，具体管控要求如下</w:t>
      </w:r>
      <w:r>
        <w:rPr>
          <w:rFonts w:hint="eastAsia" w:ascii="Times New Roman" w:hAnsi="Times New Roman" w:eastAsia="宋体" w:cs="Times New Roman"/>
          <w:color w:val="auto"/>
          <w:highlight w:val="none"/>
          <w:lang w:val="en-US" w:eastAsia="zh-CN"/>
        </w:rPr>
        <w:t>。</w:t>
      </w:r>
    </w:p>
    <w:p w14:paraId="112ED208">
      <w:pPr>
        <w:ind w:firstLine="470"/>
        <w:rPr>
          <w:rFonts w:ascii="Times New Roman" w:hAnsi="Times New Roman" w:eastAsia="宋体" w:cs="Times New Roman"/>
          <w:color w:val="auto"/>
          <w:highlight w:val="none"/>
        </w:rPr>
      </w:pPr>
      <w:r>
        <w:rPr>
          <w:rFonts w:ascii="Times New Roman" w:hAnsi="Times New Roman" w:eastAsia="宋体" w:cs="Times New Roman"/>
          <w:color w:val="auto"/>
          <w:highlight w:val="none"/>
        </w:rPr>
        <w:t>（</w:t>
      </w:r>
      <w:r>
        <w:rPr>
          <w:rFonts w:hint="eastAsia" w:ascii="Times New Roman" w:hAnsi="Times New Roman" w:eastAsia="宋体" w:cs="Times New Roman"/>
          <w:color w:val="auto"/>
          <w:highlight w:val="none"/>
          <w:lang w:val="en-US" w:eastAsia="zh-CN"/>
        </w:rPr>
        <w:t>1</w:t>
      </w:r>
      <w:r>
        <w:rPr>
          <w:rFonts w:ascii="Times New Roman" w:hAnsi="Times New Roman" w:eastAsia="宋体" w:cs="Times New Roman"/>
          <w:color w:val="auto"/>
          <w:highlight w:val="none"/>
        </w:rPr>
        <w:t>）严格规范封井回填技术标准</w:t>
      </w:r>
    </w:p>
    <w:p w14:paraId="4A71A850">
      <w:pPr>
        <w:keepNext w:val="0"/>
        <w:keepLines w:val="0"/>
        <w:widowControl/>
        <w:suppressLineNumbers w:val="0"/>
        <w:jc w:val="left"/>
        <w:rPr>
          <w:rFonts w:ascii="Times New Roman" w:hAnsi="Times New Roman" w:eastAsia="宋体" w:cs="Times New Roman"/>
          <w:color w:val="auto"/>
          <w:highlight w:val="none"/>
          <w:lang w:val="en-US" w:eastAsia="zh-CN"/>
        </w:rPr>
      </w:pPr>
      <w:r>
        <w:rPr>
          <w:rFonts w:ascii="Times New Roman" w:hAnsi="Times New Roman" w:eastAsia="宋体" w:cs="Times New Roman"/>
          <w:color w:val="auto"/>
          <w:highlight w:val="none"/>
          <w:lang w:val="en-US" w:eastAsia="zh-CN"/>
        </w:rPr>
        <w:t>封井回填严格遵循《地下水环境监测技术规范》</w:t>
      </w:r>
      <w:r>
        <w:rPr>
          <w:rFonts w:hint="eastAsia" w:ascii="Times New Roman" w:hAnsi="Times New Roman" w:eastAsia="宋体" w:cs="Times New Roman"/>
          <w:color w:val="auto"/>
          <w:highlight w:val="none"/>
        </w:rPr>
        <w:t>（HJ 164-2020）</w:t>
      </w:r>
      <w:r>
        <w:rPr>
          <w:rFonts w:hint="eastAsia" w:ascii="Times New Roman" w:hAnsi="Times New Roman" w:eastAsia="宋体" w:cs="Times New Roman"/>
          <w:color w:val="auto"/>
          <w:highlight w:val="none"/>
          <w:lang w:eastAsia="zh-CN"/>
        </w:rPr>
        <w:t>、</w:t>
      </w:r>
      <w:r>
        <w:rPr>
          <w:rFonts w:ascii="Times New Roman" w:hAnsi="Times New Roman" w:eastAsia="宋体" w:cs="Times New Roman"/>
          <w:color w:val="auto"/>
          <w:highlight w:val="none"/>
          <w:lang w:val="en-US" w:eastAsia="zh-CN"/>
        </w:rPr>
        <w:t>《饮用水水源地规范化建设环境保护技术要求》</w:t>
      </w:r>
      <w:r>
        <w:rPr>
          <w:color w:val="auto"/>
          <w:highlight w:val="none"/>
        </w:rPr>
        <w:t>（HJ 773-2015）</w:t>
      </w:r>
      <w:r>
        <w:rPr>
          <w:rFonts w:ascii="Times New Roman" w:hAnsi="Times New Roman" w:eastAsia="宋体" w:cs="Times New Roman"/>
          <w:color w:val="auto"/>
          <w:highlight w:val="none"/>
          <w:lang w:val="en-US" w:eastAsia="zh-CN"/>
        </w:rPr>
        <w:t>等国家现行技术规范执行，全程合规操作、不留隐患。一是实施全井段封闭回填，彻底阻断井体串层通道，杜绝不同含水层贯通污染；二是选用黏土球、水泥浆等防渗合规材料，分层夯实封堵，确保封填段密实无渗漏、长效稳定；三是井口按规范硬化处理，设置醒目废弃封井标识，同步建立</w:t>
      </w:r>
      <w:r>
        <w:rPr>
          <w:rFonts w:hint="eastAsia" w:ascii="Times New Roman" w:hAnsi="Times New Roman" w:eastAsia="宋体" w:cs="Times New Roman"/>
          <w:color w:val="auto"/>
          <w:highlight w:val="none"/>
          <w:lang w:val="en-US" w:eastAsia="zh-CN"/>
        </w:rPr>
        <w:t>“</w:t>
      </w:r>
      <w:r>
        <w:rPr>
          <w:rFonts w:ascii="Times New Roman" w:hAnsi="Times New Roman" w:eastAsia="宋体" w:cs="Times New Roman"/>
          <w:color w:val="auto"/>
          <w:highlight w:val="none"/>
          <w:lang w:val="en-US" w:eastAsia="zh-CN"/>
        </w:rPr>
        <w:t>一井一档</w:t>
      </w:r>
      <w:r>
        <w:rPr>
          <w:rFonts w:hint="eastAsia" w:ascii="Times New Roman" w:hAnsi="Times New Roman" w:eastAsia="宋体" w:cs="Times New Roman"/>
          <w:color w:val="auto"/>
          <w:highlight w:val="none"/>
          <w:lang w:val="en-US" w:eastAsia="zh-CN"/>
        </w:rPr>
        <w:t>”</w:t>
      </w:r>
      <w:r>
        <w:rPr>
          <w:rFonts w:ascii="Times New Roman" w:hAnsi="Times New Roman" w:eastAsia="宋体" w:cs="Times New Roman"/>
          <w:color w:val="auto"/>
          <w:highlight w:val="none"/>
          <w:lang w:val="en-US" w:eastAsia="zh-CN"/>
        </w:rPr>
        <w:t>台账，完整留存井位、施工、材料及验收全过程资料，实现全程可追溯。</w:t>
      </w:r>
    </w:p>
    <w:p w14:paraId="00938DCC">
      <w:pPr>
        <w:ind w:firstLine="470"/>
        <w:rPr>
          <w:rFonts w:ascii="Times New Roman" w:hAnsi="Times New Roman" w:eastAsia="宋体" w:cs="Times New Roman"/>
          <w:color w:val="auto"/>
          <w:highlight w:val="none"/>
        </w:rPr>
      </w:pPr>
      <w:r>
        <w:rPr>
          <w:rFonts w:ascii="Times New Roman" w:hAnsi="Times New Roman" w:eastAsia="宋体" w:cs="Times New Roman"/>
          <w:color w:val="auto"/>
          <w:highlight w:val="none"/>
        </w:rPr>
        <w:t>（</w:t>
      </w:r>
      <w:r>
        <w:rPr>
          <w:rFonts w:hint="eastAsia" w:ascii="Times New Roman" w:hAnsi="Times New Roman" w:eastAsia="宋体" w:cs="Times New Roman"/>
          <w:color w:val="auto"/>
          <w:highlight w:val="none"/>
          <w:lang w:val="en-US" w:eastAsia="zh-CN"/>
        </w:rPr>
        <w:t>2</w:t>
      </w:r>
      <w:r>
        <w:rPr>
          <w:rFonts w:ascii="Times New Roman" w:hAnsi="Times New Roman" w:eastAsia="宋体" w:cs="Times New Roman"/>
          <w:color w:val="auto"/>
          <w:highlight w:val="none"/>
        </w:rPr>
        <w:t>）明确责任主体与监管要求</w:t>
      </w:r>
    </w:p>
    <w:p w14:paraId="44ACCBA5">
      <w:pPr>
        <w:keepNext w:val="0"/>
        <w:keepLines w:val="0"/>
        <w:widowControl/>
        <w:suppressLineNumbers w:val="0"/>
        <w:jc w:val="left"/>
        <w:rPr>
          <w:rFonts w:hint="eastAsia" w:ascii="Times New Roman" w:hAnsi="Times New Roman" w:cs="Times New Roman"/>
          <w:color w:val="auto"/>
          <w:highlight w:val="none"/>
        </w:rPr>
      </w:pPr>
      <w:r>
        <w:rPr>
          <w:rFonts w:ascii="宋体" w:hAnsi="宋体" w:eastAsia="宋体" w:cs="宋体"/>
          <w:color w:val="auto"/>
          <w:kern w:val="0"/>
          <w:sz w:val="24"/>
          <w:szCs w:val="24"/>
          <w:highlight w:val="none"/>
          <w:lang w:val="en-US" w:eastAsia="zh-CN" w:bidi="ar"/>
        </w:rPr>
        <w:t>压实层级责任，确保封井质量达标：县供水主管部门牵头统筹，各涉及乡镇人民政府落实属地监管责任，供水运营管护单位承担具体实施主体责任，三方协同推进施工、管控与验收。封井前完成现场核查备案，施工过程全程监督管控，完工后组织专项验收</w:t>
      </w:r>
      <w:r>
        <w:rPr>
          <w:rFonts w:ascii="Times New Roman" w:hAnsi="Times New Roman" w:eastAsia="宋体" w:cs="Times New Roman"/>
          <w:color w:val="auto"/>
          <w:highlight w:val="none"/>
          <w:lang w:val="en-US" w:eastAsia="zh-CN"/>
        </w:rPr>
        <w:t>；</w:t>
      </w:r>
      <w:r>
        <w:rPr>
          <w:rFonts w:ascii="宋体" w:hAnsi="宋体" w:eastAsia="宋体" w:cs="宋体"/>
          <w:color w:val="auto"/>
          <w:kern w:val="0"/>
          <w:sz w:val="24"/>
          <w:szCs w:val="24"/>
          <w:highlight w:val="none"/>
          <w:lang w:val="en-US" w:eastAsia="zh-CN" w:bidi="ar"/>
        </w:rPr>
        <w:t>后续建立长效监管机制，严禁擅自启封、损毁已封填水井，定期排查复核，切实守住地下水环境安全底线。</w:t>
      </w:r>
    </w:p>
    <w:p w14:paraId="4773C286">
      <w:pPr>
        <w:ind w:firstLine="470"/>
        <w:rPr>
          <w:color w:val="auto"/>
          <w:highlight w:val="none"/>
        </w:rPr>
        <w:sectPr>
          <w:pgSz w:w="11905" w:h="16838"/>
          <w:pgMar w:top="1474" w:right="1474" w:bottom="1474" w:left="1474" w:header="964" w:footer="992" w:gutter="0"/>
          <w:pgBorders>
            <w:top w:val="none" w:sz="0" w:space="0"/>
            <w:left w:val="none" w:sz="0" w:space="0"/>
            <w:bottom w:val="none" w:sz="0" w:space="0"/>
            <w:right w:val="none" w:sz="0" w:space="0"/>
          </w:pgBorders>
          <w:pgNumType w:fmt="decimal"/>
          <w:cols w:space="720" w:num="1"/>
          <w:docGrid w:type="linesAndChars" w:linePitch="347" w:charSpace="-1024"/>
        </w:sectPr>
      </w:pPr>
    </w:p>
    <w:p w14:paraId="64288BC2">
      <w:pPr>
        <w:pStyle w:val="2"/>
        <w:keepNext/>
        <w:wordWrap w:val="0"/>
        <w:overflowPunct w:val="0"/>
        <w:autoSpaceDE w:val="0"/>
        <w:autoSpaceDN w:val="0"/>
        <w:rPr>
          <w:rFonts w:cs="黑体"/>
          <w:color w:val="auto"/>
          <w:kern w:val="0"/>
          <w:highlight w:val="none"/>
        </w:rPr>
      </w:pPr>
      <w:bookmarkStart w:id="129" w:name="_Toc19447"/>
      <w:bookmarkStart w:id="130" w:name="_Toc9206"/>
      <w:r>
        <w:rPr>
          <w:rFonts w:hint="eastAsia" w:cs="黑体"/>
          <w:color w:val="auto"/>
          <w:kern w:val="0"/>
          <w:highlight w:val="none"/>
        </w:rPr>
        <w:t>5 饮用水水源保护区建设投资估算</w:t>
      </w:r>
      <w:bookmarkEnd w:id="129"/>
      <w:bookmarkEnd w:id="130"/>
    </w:p>
    <w:p w14:paraId="7D8FCA2D">
      <w:pPr>
        <w:pStyle w:val="3"/>
        <w:rPr>
          <w:color w:val="auto"/>
          <w:highlight w:val="none"/>
        </w:rPr>
      </w:pPr>
      <w:bookmarkStart w:id="131" w:name="_Toc22829"/>
      <w:bookmarkStart w:id="132" w:name="_Toc10705"/>
      <w:r>
        <w:rPr>
          <w:rFonts w:hint="eastAsia"/>
          <w:color w:val="auto"/>
          <w:highlight w:val="none"/>
        </w:rPr>
        <w:t>5.1保护区规范化建设项目投资估算</w:t>
      </w:r>
      <w:bookmarkEnd w:id="131"/>
      <w:bookmarkEnd w:id="132"/>
    </w:p>
    <w:p w14:paraId="5E7292B1">
      <w:pPr>
        <w:pStyle w:val="4"/>
        <w:rPr>
          <w:color w:val="auto"/>
          <w:highlight w:val="none"/>
        </w:rPr>
      </w:pPr>
      <w:bookmarkStart w:id="133" w:name="_Toc11894"/>
      <w:r>
        <w:rPr>
          <w:rFonts w:hint="eastAsia"/>
          <w:color w:val="auto"/>
          <w:highlight w:val="none"/>
        </w:rPr>
        <w:t>5.1.</w:t>
      </w:r>
      <w:r>
        <w:rPr>
          <w:rFonts w:hint="eastAsia"/>
          <w:color w:val="auto"/>
          <w:highlight w:val="none"/>
          <w:lang w:val="en-US" w:eastAsia="zh-CN"/>
        </w:rPr>
        <w:t>1</w:t>
      </w:r>
      <w:r>
        <w:rPr>
          <w:rFonts w:hint="eastAsia"/>
          <w:color w:val="auto"/>
          <w:highlight w:val="none"/>
        </w:rPr>
        <w:t>物理隔离</w:t>
      </w:r>
      <w:bookmarkEnd w:id="133"/>
    </w:p>
    <w:p w14:paraId="552E018F">
      <w:pPr>
        <w:keepNext w:val="0"/>
        <w:keepLines w:val="0"/>
        <w:widowControl/>
        <w:suppressLineNumbers w:val="0"/>
        <w:jc w:val="left"/>
        <w:rPr>
          <w:color w:val="auto"/>
          <w:highlight w:val="none"/>
        </w:rPr>
      </w:pPr>
      <w:r>
        <w:rPr>
          <w:color w:val="auto"/>
          <w:sz w:val="24"/>
          <w:szCs w:val="24"/>
          <w:highlight w:val="none"/>
        </w:rPr>
        <w:t>本次</w:t>
      </w:r>
      <w:r>
        <w:rPr>
          <w:rFonts w:hint="eastAsia"/>
          <w:color w:val="auto"/>
          <w:sz w:val="24"/>
          <w:szCs w:val="24"/>
          <w:highlight w:val="none"/>
        </w:rPr>
        <w:t>划分</w:t>
      </w:r>
      <w:r>
        <w:rPr>
          <w:color w:val="auto"/>
          <w:sz w:val="24"/>
          <w:szCs w:val="24"/>
          <w:highlight w:val="none"/>
        </w:rPr>
        <w:t>应根据</w:t>
      </w:r>
      <w:r>
        <w:rPr>
          <w:rFonts w:hint="eastAsia"/>
          <w:color w:val="auto"/>
          <w:sz w:val="24"/>
          <w:szCs w:val="24"/>
          <w:highlight w:val="none"/>
        </w:rPr>
        <w:t>水源地一级</w:t>
      </w:r>
      <w:r>
        <w:rPr>
          <w:color w:val="auto"/>
          <w:sz w:val="24"/>
          <w:szCs w:val="24"/>
          <w:highlight w:val="none"/>
        </w:rPr>
        <w:t>保护区半径在保护区</w:t>
      </w:r>
      <w:r>
        <w:rPr>
          <w:rFonts w:hint="eastAsia"/>
          <w:color w:val="auto"/>
          <w:sz w:val="24"/>
          <w:szCs w:val="24"/>
          <w:highlight w:val="none"/>
        </w:rPr>
        <w:t>边界</w:t>
      </w:r>
      <w:r>
        <w:rPr>
          <w:color w:val="auto"/>
          <w:sz w:val="24"/>
          <w:szCs w:val="24"/>
          <w:highlight w:val="none"/>
        </w:rPr>
        <w:t>设置围栏，目前</w:t>
      </w:r>
      <w:r>
        <w:rPr>
          <w:rFonts w:hint="eastAsia"/>
          <w:color w:val="auto"/>
          <w:sz w:val="24"/>
          <w:szCs w:val="24"/>
          <w:highlight w:val="none"/>
        </w:rPr>
        <w:t>设立的保护区隔离防护不符合本次饮用水水源保护区隔离防护设立的要求，依据《集中式饮用水水源地规范化建设环境保护技术要求》（HJ 773-2015）</w:t>
      </w:r>
      <w:r>
        <w:rPr>
          <w:rFonts w:hint="eastAsia" w:ascii="Times New Roman" w:hAnsi="Times New Roman" w:eastAsia="宋体" w:cs="Times New Roman"/>
          <w:color w:val="auto"/>
          <w:sz w:val="24"/>
          <w:szCs w:val="24"/>
          <w:highlight w:val="none"/>
        </w:rPr>
        <w:t>，应在</w:t>
      </w:r>
      <w:r>
        <w:rPr>
          <w:rFonts w:hint="eastAsia" w:ascii="Times New Roman" w:hAnsi="Times New Roman" w:eastAsia="宋体" w:cs="Times New Roman"/>
          <w:color w:val="auto"/>
          <w:sz w:val="24"/>
          <w:szCs w:val="24"/>
          <w:highlight w:val="none"/>
          <w:lang w:eastAsia="zh-CN"/>
        </w:rPr>
        <w:t>绥化市庆安县丰收乡等6个乡镇级和柳河镇新强村1个村屯级集中式饮用水水源</w:t>
      </w:r>
      <w:r>
        <w:rPr>
          <w:rFonts w:hint="eastAsia" w:ascii="Times New Roman" w:hAnsi="Times New Roman" w:eastAsia="宋体" w:cs="Times New Roman"/>
          <w:color w:val="auto"/>
          <w:sz w:val="24"/>
          <w:szCs w:val="24"/>
          <w:highlight w:val="none"/>
        </w:rPr>
        <w:t>一级保护区边界设置封闭隔</w:t>
      </w:r>
      <w:r>
        <w:rPr>
          <w:rFonts w:hint="eastAsia"/>
          <w:color w:val="auto"/>
          <w:sz w:val="24"/>
          <w:szCs w:val="24"/>
          <w:highlight w:val="none"/>
        </w:rPr>
        <w:t>离防护设施</w:t>
      </w:r>
      <w:r>
        <w:rPr>
          <w:rFonts w:hint="default" w:ascii="Times New Roman" w:hAnsi="Times New Roman" w:cs="Times New Roman"/>
          <w:color w:val="auto"/>
          <w:sz w:val="24"/>
          <w:szCs w:val="24"/>
          <w:highlight w:val="none"/>
        </w:rPr>
        <w:t>，</w:t>
      </w:r>
      <w:r>
        <w:rPr>
          <w:rFonts w:hint="default" w:ascii="Times New Roman" w:hAnsi="Times New Roman" w:eastAsia="宋体" w:cs="Times New Roman"/>
          <w:color w:val="auto"/>
          <w:kern w:val="0"/>
          <w:sz w:val="24"/>
          <w:szCs w:val="24"/>
          <w:highlight w:val="none"/>
          <w:lang w:val="en-US" w:eastAsia="zh-CN" w:bidi="ar"/>
        </w:rPr>
        <w:t>针对本次调整后的29眼集中供水水源井，结合各水源地现场地形条件、地标标识、地物界限等实际情况，因地制宜开展一级保护区边界规范化围栏建设，全面补齐防护短板。针对保护区内局部涉及农田、道路的特殊点位，实行分类施策、精准管控：对涉及的零散农田，逐步实施退耕还林、</w:t>
      </w:r>
      <w:r>
        <w:rPr>
          <w:rFonts w:hint="eastAsia" w:ascii="Times New Roman" w:hAnsi="Times New Roman" w:eastAsia="宋体" w:cs="Times New Roman"/>
          <w:color w:val="auto"/>
          <w:kern w:val="0"/>
          <w:sz w:val="24"/>
          <w:szCs w:val="24"/>
          <w:highlight w:val="none"/>
          <w:lang w:val="en-US" w:eastAsia="zh-CN" w:bidi="ar"/>
        </w:rPr>
        <w:t>还草</w:t>
      </w:r>
      <w:r>
        <w:rPr>
          <w:rFonts w:hint="default" w:ascii="Times New Roman" w:hAnsi="Times New Roman" w:eastAsia="宋体" w:cs="Times New Roman"/>
          <w:color w:val="auto"/>
          <w:kern w:val="0"/>
          <w:sz w:val="24"/>
          <w:szCs w:val="24"/>
          <w:highlight w:val="none"/>
          <w:lang w:val="en-US" w:eastAsia="zh-CN" w:bidi="ar"/>
        </w:rPr>
        <w:t>，逐步退出农业种植活动，从源头消除农业面源污染隐患；对可完全封闭的内部道路，结合一级保护区边界走向，统一布设闭环式规范化围栏，实现全区域封闭管控；对受地形、现有路网限制无法完全封闭的道路，优化围栏布设方案，将通行道路与取水井口核心区域彻底隔离分隔，阻断人员随意进入、车辆靠近井口的路径，杜绝道路通行、农田耕作等各类人类活动对取水口造成直接污染。</w:t>
      </w:r>
      <w:r>
        <w:rPr>
          <w:rFonts w:ascii="宋体" w:hAnsi="宋体" w:eastAsia="宋体" w:cs="宋体"/>
          <w:color w:val="auto"/>
          <w:kern w:val="0"/>
          <w:sz w:val="24"/>
          <w:szCs w:val="24"/>
          <w:highlight w:val="none"/>
          <w:lang w:val="en-US" w:eastAsia="zh-CN" w:bidi="ar"/>
        </w:rPr>
        <w:t>通过上述规范化隔离防护措施，可全面封闭取水口核心保护区域，有效阻隔井口周边农田耕作、车辆通行、人员活动等潜在污染行为，配合井口密闭防护</w:t>
      </w:r>
      <w:r>
        <w:rPr>
          <w:rFonts w:hint="eastAsia" w:ascii="宋体" w:hAnsi="宋体" w:eastAsia="宋体" w:cs="宋体"/>
          <w:color w:val="auto"/>
          <w:kern w:val="0"/>
          <w:sz w:val="24"/>
          <w:szCs w:val="24"/>
          <w:highlight w:val="none"/>
          <w:lang w:val="en-US" w:eastAsia="zh-CN" w:bidi="ar"/>
        </w:rPr>
        <w:t>等</w:t>
      </w:r>
      <w:r>
        <w:rPr>
          <w:rFonts w:ascii="宋体" w:hAnsi="宋体" w:eastAsia="宋体" w:cs="宋体"/>
          <w:color w:val="auto"/>
          <w:kern w:val="0"/>
          <w:sz w:val="24"/>
          <w:szCs w:val="24"/>
          <w:highlight w:val="none"/>
          <w:lang w:val="en-US" w:eastAsia="zh-CN" w:bidi="ar"/>
        </w:rPr>
        <w:t>措施，构建完整的物理防护屏障，切实筑牢水源地水质安全第一道防线。</w:t>
      </w:r>
    </w:p>
    <w:p w14:paraId="4CDF64D7">
      <w:pPr>
        <w:ind w:firstLine="470"/>
        <w:rPr>
          <w:color w:val="auto"/>
          <w:highlight w:val="none"/>
        </w:rPr>
      </w:pPr>
      <w:r>
        <w:rPr>
          <w:rFonts w:hint="default" w:ascii="Times New Roman" w:hAnsi="Times New Roman" w:eastAsia="宋体" w:cs="Times New Roman"/>
          <w:color w:val="auto"/>
          <w:kern w:val="0"/>
          <w:sz w:val="24"/>
          <w:szCs w:val="24"/>
          <w:highlight w:val="none"/>
          <w:lang w:val="en-US" w:eastAsia="zh-CN" w:bidi="ar"/>
        </w:rPr>
        <w:t>结合各水源地现场地形条件、地标标识、地物界限等实际情况</w:t>
      </w:r>
      <w:r>
        <w:rPr>
          <w:rFonts w:hint="eastAsia"/>
          <w:color w:val="auto"/>
          <w:sz w:val="24"/>
          <w:szCs w:val="24"/>
          <w:highlight w:val="none"/>
        </w:rPr>
        <w:t>，</w:t>
      </w:r>
      <w:r>
        <w:rPr>
          <w:color w:val="auto"/>
          <w:highlight w:val="none"/>
        </w:rPr>
        <w:t>在</w:t>
      </w:r>
      <w:r>
        <w:rPr>
          <w:rFonts w:hint="eastAsia"/>
          <w:color w:val="auto"/>
          <w:highlight w:val="none"/>
          <w:lang w:eastAsia="zh-CN"/>
        </w:rPr>
        <w:t>本次调整水源地的</w:t>
      </w:r>
      <w:r>
        <w:rPr>
          <w:rFonts w:hint="eastAsia"/>
          <w:color w:val="auto"/>
          <w:highlight w:val="none"/>
          <w:lang w:val="en-US" w:eastAsia="zh-CN"/>
        </w:rPr>
        <w:t>29</w:t>
      </w:r>
      <w:r>
        <w:rPr>
          <w:color w:val="auto"/>
          <w:highlight w:val="none"/>
        </w:rPr>
        <w:t>眼水井一级保护区边界设置规范化</w:t>
      </w:r>
      <w:r>
        <w:rPr>
          <w:rFonts w:hint="eastAsia"/>
          <w:color w:val="auto"/>
          <w:highlight w:val="none"/>
        </w:rPr>
        <w:t>围栏</w:t>
      </w:r>
      <w:r>
        <w:rPr>
          <w:rFonts w:hint="eastAsia"/>
          <w:color w:val="auto"/>
          <w:highlight w:val="none"/>
          <w:lang w:eastAsia="zh-CN"/>
        </w:rPr>
        <w:t>，</w:t>
      </w:r>
      <w:r>
        <w:rPr>
          <w:color w:val="auto"/>
          <w:highlight w:val="none"/>
        </w:rPr>
        <w:t>增设</w:t>
      </w:r>
      <w:r>
        <w:rPr>
          <w:rFonts w:hint="eastAsia"/>
          <w:color w:val="auto"/>
          <w:highlight w:val="none"/>
          <w:lang w:val="en-US" w:eastAsia="zh-CN"/>
        </w:rPr>
        <w:t>6960</w:t>
      </w:r>
      <w:r>
        <w:rPr>
          <w:color w:val="auto"/>
          <w:highlight w:val="none"/>
        </w:rPr>
        <w:t>米</w:t>
      </w:r>
      <w:r>
        <w:rPr>
          <w:rFonts w:hint="eastAsia"/>
          <w:color w:val="auto"/>
          <w:highlight w:val="none"/>
        </w:rPr>
        <w:t>防护围栏</w:t>
      </w:r>
      <w:r>
        <w:rPr>
          <w:color w:val="auto"/>
          <w:highlight w:val="none"/>
        </w:rPr>
        <w:t>，</w:t>
      </w:r>
      <w:r>
        <w:rPr>
          <w:rFonts w:hint="eastAsia"/>
          <w:color w:val="auto"/>
          <w:highlight w:val="none"/>
        </w:rPr>
        <w:t>根据市场价，围栏按120元/米计，</w:t>
      </w:r>
      <w:r>
        <w:rPr>
          <w:color w:val="auto"/>
          <w:highlight w:val="none"/>
        </w:rPr>
        <w:t>规划投资约</w:t>
      </w:r>
      <w:r>
        <w:rPr>
          <w:rFonts w:hint="eastAsia"/>
          <w:color w:val="auto"/>
          <w:highlight w:val="none"/>
          <w:lang w:val="en-US" w:eastAsia="zh-CN"/>
        </w:rPr>
        <w:t>83.52</w:t>
      </w:r>
      <w:r>
        <w:rPr>
          <w:color w:val="auto"/>
          <w:highlight w:val="none"/>
        </w:rPr>
        <w:t>万元。</w:t>
      </w:r>
    </w:p>
    <w:p w14:paraId="15C70201">
      <w:pPr>
        <w:pStyle w:val="4"/>
        <w:rPr>
          <w:color w:val="auto"/>
          <w:highlight w:val="none"/>
        </w:rPr>
      </w:pPr>
      <w:bookmarkStart w:id="134" w:name="_Toc6479"/>
      <w:r>
        <w:rPr>
          <w:color w:val="auto"/>
          <w:highlight w:val="none"/>
        </w:rPr>
        <w:t>5.1.</w:t>
      </w:r>
      <w:r>
        <w:rPr>
          <w:rFonts w:hint="eastAsia"/>
          <w:color w:val="auto"/>
          <w:highlight w:val="none"/>
          <w:lang w:val="en-US" w:eastAsia="zh-CN"/>
        </w:rPr>
        <w:t>2</w:t>
      </w:r>
      <w:r>
        <w:rPr>
          <w:color w:val="auto"/>
          <w:highlight w:val="none"/>
        </w:rPr>
        <w:t>标志设置</w:t>
      </w:r>
      <w:bookmarkEnd w:id="134"/>
    </w:p>
    <w:p w14:paraId="5C8D5AD8">
      <w:pPr>
        <w:spacing w:line="360" w:lineRule="auto"/>
        <w:ind w:firstLine="470"/>
        <w:rPr>
          <w:color w:val="auto"/>
          <w:highlight w:val="none"/>
        </w:rPr>
      </w:pPr>
      <w:r>
        <w:rPr>
          <w:color w:val="auto"/>
          <w:highlight w:val="none"/>
        </w:rPr>
        <w:t>《中华人民共和国水污染防治法》明确规定：</w:t>
      </w:r>
      <w:r>
        <w:rPr>
          <w:rFonts w:hint="eastAsia" w:ascii="宋体" w:hAnsi="宋体" w:cs="宋体"/>
          <w:color w:val="auto"/>
          <w:highlight w:val="none"/>
        </w:rPr>
        <w:t>“</w:t>
      </w:r>
      <w:r>
        <w:rPr>
          <w:color w:val="auto"/>
          <w:highlight w:val="none"/>
        </w:rPr>
        <w:t>地方人民政府应当在饮用水水源保护区的边界设立明确的地理界标和明显的警示标志</w:t>
      </w:r>
      <w:r>
        <w:rPr>
          <w:rFonts w:hint="eastAsia" w:ascii="宋体" w:hAnsi="宋体" w:cs="宋体"/>
          <w:color w:val="auto"/>
          <w:highlight w:val="none"/>
        </w:rPr>
        <w:t>”</w:t>
      </w:r>
      <w:r>
        <w:rPr>
          <w:color w:val="auto"/>
          <w:highlight w:val="none"/>
        </w:rPr>
        <w:t>。饮用水水源保护区标志包括饮用水水源保护区界标、宣传牌等。综合考虑地形等特点，饮用水水源保护区界标</w:t>
      </w:r>
      <w:r>
        <w:rPr>
          <w:rFonts w:hint="eastAsia"/>
          <w:color w:val="auto"/>
          <w:highlight w:val="none"/>
          <w:lang w:eastAsia="zh-CN"/>
        </w:rPr>
        <w:t>设置</w:t>
      </w:r>
      <w:r>
        <w:rPr>
          <w:rFonts w:hint="eastAsia"/>
          <w:color w:val="auto"/>
          <w:highlight w:val="none"/>
          <w:lang w:val="en-US" w:eastAsia="zh-CN"/>
        </w:rPr>
        <w:t>116处，</w:t>
      </w:r>
      <w:r>
        <w:rPr>
          <w:color w:val="auto"/>
          <w:highlight w:val="none"/>
        </w:rPr>
        <w:t>饮用水水源保护区宣传牌</w:t>
      </w:r>
      <w:r>
        <w:rPr>
          <w:rFonts w:hint="eastAsia"/>
          <w:color w:val="auto"/>
          <w:highlight w:val="none"/>
          <w:lang w:eastAsia="zh-CN"/>
        </w:rPr>
        <w:t>设置</w:t>
      </w:r>
      <w:r>
        <w:rPr>
          <w:rFonts w:hint="eastAsia"/>
          <w:color w:val="auto"/>
          <w:highlight w:val="none"/>
          <w:lang w:val="en-US" w:eastAsia="zh-CN"/>
        </w:rPr>
        <w:t>7处，</w:t>
      </w:r>
      <w:r>
        <w:rPr>
          <w:rFonts w:hint="eastAsia"/>
          <w:color w:val="auto"/>
          <w:highlight w:val="none"/>
        </w:rPr>
        <w:t>根据市场</w:t>
      </w:r>
      <w:r>
        <w:rPr>
          <w:rFonts w:hint="eastAsia"/>
          <w:color w:val="auto"/>
          <w:highlight w:val="none"/>
          <w:lang w:eastAsia="zh-CN"/>
        </w:rPr>
        <w:t>价格</w:t>
      </w:r>
      <w:r>
        <w:rPr>
          <w:rFonts w:hint="eastAsia"/>
          <w:color w:val="auto"/>
          <w:highlight w:val="none"/>
        </w:rPr>
        <w:t>，标志牌按500元/处计，</w:t>
      </w:r>
      <w:r>
        <w:rPr>
          <w:rFonts w:hint="eastAsia"/>
          <w:color w:val="auto"/>
          <w:highlight w:val="none"/>
          <w:lang w:val="en-US" w:eastAsia="zh-CN"/>
        </w:rPr>
        <w:t>规划总投资约6.15万元</w:t>
      </w:r>
      <w:r>
        <w:rPr>
          <w:color w:val="auto"/>
          <w:highlight w:val="none"/>
        </w:rPr>
        <w:t>。</w:t>
      </w:r>
    </w:p>
    <w:p w14:paraId="57E930F1">
      <w:pPr>
        <w:pStyle w:val="4"/>
        <w:rPr>
          <w:color w:val="auto"/>
          <w:highlight w:val="none"/>
        </w:rPr>
      </w:pPr>
      <w:bookmarkStart w:id="135" w:name="_Toc13403"/>
      <w:r>
        <w:rPr>
          <w:color w:val="auto"/>
          <w:highlight w:val="none"/>
        </w:rPr>
        <w:t>5.1.</w:t>
      </w:r>
      <w:r>
        <w:rPr>
          <w:rFonts w:hint="eastAsia"/>
          <w:color w:val="auto"/>
          <w:highlight w:val="none"/>
          <w:lang w:val="en-US" w:eastAsia="zh-CN"/>
        </w:rPr>
        <w:t>3</w:t>
      </w:r>
      <w:r>
        <w:rPr>
          <w:color w:val="auto"/>
          <w:highlight w:val="none"/>
        </w:rPr>
        <w:t>应急设置</w:t>
      </w:r>
      <w:bookmarkEnd w:id="135"/>
    </w:p>
    <w:p w14:paraId="17C49CAA">
      <w:pPr>
        <w:ind w:firstLine="470"/>
        <w:rPr>
          <w:color w:val="auto"/>
          <w:highlight w:val="none"/>
        </w:rPr>
      </w:pPr>
      <w:r>
        <w:rPr>
          <w:color w:val="auto"/>
          <w:highlight w:val="none"/>
        </w:rPr>
        <w:t>应建立饮用水水源地风险评估机制，编制应急预案并建立应急专家组，总投资</w:t>
      </w:r>
      <w:r>
        <w:rPr>
          <w:rFonts w:hint="eastAsia"/>
          <w:color w:val="auto"/>
          <w:highlight w:val="none"/>
          <w:lang w:val="en-US" w:eastAsia="zh-CN"/>
        </w:rPr>
        <w:t>40</w:t>
      </w:r>
      <w:r>
        <w:rPr>
          <w:color w:val="auto"/>
          <w:highlight w:val="none"/>
        </w:rPr>
        <w:t>万元。</w:t>
      </w:r>
    </w:p>
    <w:p w14:paraId="46BFC90F">
      <w:pPr>
        <w:ind w:firstLine="470"/>
        <w:rPr>
          <w:color w:val="auto"/>
          <w:highlight w:val="none"/>
        </w:rPr>
      </w:pPr>
      <w:r>
        <w:rPr>
          <w:color w:val="auto"/>
          <w:highlight w:val="none"/>
        </w:rPr>
        <w:t>综上，保护区规范化建设投资共</w:t>
      </w:r>
      <w:r>
        <w:rPr>
          <w:rFonts w:hint="eastAsia"/>
          <w:color w:val="auto"/>
          <w:highlight w:val="none"/>
          <w:lang w:val="en-US" w:eastAsia="zh-CN"/>
        </w:rPr>
        <w:t>129.67</w:t>
      </w:r>
      <w:r>
        <w:rPr>
          <w:color w:val="auto"/>
          <w:highlight w:val="none"/>
        </w:rPr>
        <w:t>万元。保护区规范化建设投资详见表5-</w:t>
      </w:r>
      <w:r>
        <w:rPr>
          <w:rFonts w:hint="eastAsia"/>
          <w:color w:val="auto"/>
          <w:highlight w:val="none"/>
          <w:lang w:val="en-US" w:eastAsia="zh-CN"/>
        </w:rPr>
        <w:t>1</w:t>
      </w:r>
      <w:r>
        <w:rPr>
          <w:color w:val="auto"/>
          <w:highlight w:val="none"/>
        </w:rPr>
        <w:t>。</w:t>
      </w:r>
    </w:p>
    <w:p w14:paraId="16F5C92E">
      <w:pPr>
        <w:pStyle w:val="28"/>
        <w:rPr>
          <w:rFonts w:hint="default"/>
          <w:color w:val="auto"/>
          <w:highlight w:val="none"/>
        </w:rPr>
      </w:pPr>
      <w:r>
        <w:rPr>
          <w:rFonts w:hint="default"/>
          <w:color w:val="auto"/>
          <w:highlight w:val="none"/>
        </w:rPr>
        <w:t>表5-</w:t>
      </w:r>
      <w:r>
        <w:rPr>
          <w:rFonts w:hint="eastAsia"/>
          <w:color w:val="auto"/>
          <w:highlight w:val="none"/>
          <w:lang w:val="en-US" w:eastAsia="zh-CN"/>
        </w:rPr>
        <w:t>1</w:t>
      </w:r>
      <w:r>
        <w:rPr>
          <w:rFonts w:hint="default"/>
          <w:color w:val="auto"/>
          <w:highlight w:val="none"/>
        </w:rPr>
        <w:t xml:space="preserve"> 保护区规范化建设项目投资估算表</w:t>
      </w:r>
      <w:r>
        <w:rPr>
          <w:color w:val="auto"/>
          <w:highlight w:val="none"/>
        </w:rPr>
        <w:t>（</w:t>
      </w:r>
      <w:r>
        <w:rPr>
          <w:rFonts w:hint="default"/>
          <w:color w:val="auto"/>
          <w:highlight w:val="none"/>
        </w:rPr>
        <w:t>单位：万元</w:t>
      </w:r>
      <w:r>
        <w:rPr>
          <w:color w:val="auto"/>
          <w:highlight w:val="none"/>
        </w:rPr>
        <w:t>）</w:t>
      </w:r>
    </w:p>
    <w:tbl>
      <w:tblPr>
        <w:tblStyle w:val="21"/>
        <w:tblW w:w="4996"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27"/>
        <w:gridCol w:w="2662"/>
        <w:gridCol w:w="3783"/>
        <w:gridCol w:w="1894"/>
      </w:tblGrid>
      <w:tr w14:paraId="3F9817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451" w:type="pct"/>
            <w:vAlign w:val="center"/>
          </w:tcPr>
          <w:p w14:paraId="33E44425">
            <w:pPr>
              <w:pStyle w:val="30"/>
              <w:rPr>
                <w:rFonts w:hint="default"/>
                <w:color w:val="auto"/>
                <w:highlight w:val="none"/>
              </w:rPr>
            </w:pPr>
            <w:r>
              <w:rPr>
                <w:color w:val="auto"/>
                <w:highlight w:val="none"/>
              </w:rPr>
              <w:t>序号</w:t>
            </w:r>
          </w:p>
        </w:tc>
        <w:tc>
          <w:tcPr>
            <w:tcW w:w="1452" w:type="pct"/>
            <w:vAlign w:val="center"/>
          </w:tcPr>
          <w:p w14:paraId="7CE961DC">
            <w:pPr>
              <w:pStyle w:val="30"/>
              <w:rPr>
                <w:rFonts w:hint="default"/>
                <w:color w:val="auto"/>
                <w:highlight w:val="none"/>
              </w:rPr>
            </w:pPr>
            <w:r>
              <w:rPr>
                <w:color w:val="auto"/>
                <w:highlight w:val="none"/>
              </w:rPr>
              <w:t>建设内容</w:t>
            </w:r>
          </w:p>
        </w:tc>
        <w:tc>
          <w:tcPr>
            <w:tcW w:w="2063" w:type="pct"/>
            <w:vAlign w:val="center"/>
          </w:tcPr>
          <w:p w14:paraId="693B9180">
            <w:pPr>
              <w:pStyle w:val="30"/>
              <w:rPr>
                <w:rFonts w:hint="default"/>
                <w:color w:val="auto"/>
                <w:highlight w:val="none"/>
              </w:rPr>
            </w:pPr>
            <w:r>
              <w:rPr>
                <w:color w:val="auto"/>
                <w:highlight w:val="none"/>
              </w:rPr>
              <w:t>工程量</w:t>
            </w:r>
          </w:p>
        </w:tc>
        <w:tc>
          <w:tcPr>
            <w:tcW w:w="1033" w:type="pct"/>
            <w:vAlign w:val="center"/>
          </w:tcPr>
          <w:p w14:paraId="6DF460CE">
            <w:pPr>
              <w:pStyle w:val="30"/>
              <w:rPr>
                <w:rFonts w:hint="default"/>
                <w:color w:val="auto"/>
                <w:highlight w:val="none"/>
              </w:rPr>
            </w:pPr>
            <w:r>
              <w:rPr>
                <w:color w:val="auto"/>
                <w:highlight w:val="none"/>
              </w:rPr>
              <w:t>投资（万元）</w:t>
            </w:r>
          </w:p>
        </w:tc>
      </w:tr>
      <w:tr w14:paraId="4AB0E2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51" w:type="pct"/>
            <w:vAlign w:val="center"/>
          </w:tcPr>
          <w:p w14:paraId="4C0B382C">
            <w:pPr>
              <w:pStyle w:val="30"/>
              <w:rPr>
                <w:rFonts w:hint="eastAsia" w:eastAsia="宋体"/>
                <w:color w:val="auto"/>
                <w:highlight w:val="none"/>
                <w:lang w:eastAsia="zh-CN"/>
              </w:rPr>
            </w:pPr>
            <w:r>
              <w:rPr>
                <w:rFonts w:hint="eastAsia"/>
                <w:color w:val="auto"/>
                <w:highlight w:val="none"/>
                <w:lang w:val="en-US" w:eastAsia="zh-CN"/>
              </w:rPr>
              <w:t>1</w:t>
            </w:r>
          </w:p>
        </w:tc>
        <w:tc>
          <w:tcPr>
            <w:tcW w:w="1452" w:type="pct"/>
            <w:vAlign w:val="center"/>
          </w:tcPr>
          <w:p w14:paraId="6818F3F3">
            <w:pPr>
              <w:pStyle w:val="30"/>
              <w:rPr>
                <w:rFonts w:hint="default"/>
                <w:color w:val="auto"/>
                <w:highlight w:val="none"/>
              </w:rPr>
            </w:pPr>
            <w:r>
              <w:rPr>
                <w:color w:val="auto"/>
                <w:highlight w:val="none"/>
              </w:rPr>
              <w:t>物理隔离</w:t>
            </w:r>
          </w:p>
        </w:tc>
        <w:tc>
          <w:tcPr>
            <w:tcW w:w="2063" w:type="pct"/>
            <w:vAlign w:val="center"/>
          </w:tcPr>
          <w:p w14:paraId="14E7F1C1">
            <w:pPr>
              <w:pStyle w:val="30"/>
              <w:rPr>
                <w:rFonts w:hint="default"/>
                <w:color w:val="auto"/>
                <w:highlight w:val="none"/>
              </w:rPr>
            </w:pPr>
            <w:r>
              <w:rPr>
                <w:rFonts w:hint="default"/>
                <w:color w:val="auto"/>
                <w:highlight w:val="none"/>
              </w:rPr>
              <w:t>隔离</w:t>
            </w:r>
            <w:r>
              <w:rPr>
                <w:color w:val="auto"/>
                <w:highlight w:val="none"/>
              </w:rPr>
              <w:t>围栏</w:t>
            </w:r>
            <w:r>
              <w:rPr>
                <w:rFonts w:hint="eastAsia"/>
                <w:color w:val="auto"/>
                <w:highlight w:val="none"/>
                <w:lang w:val="en-US" w:eastAsia="zh-CN"/>
              </w:rPr>
              <w:t>6960</w:t>
            </w:r>
            <w:r>
              <w:rPr>
                <w:rFonts w:hint="default"/>
                <w:color w:val="auto"/>
                <w:highlight w:val="none"/>
              </w:rPr>
              <w:t>米</w:t>
            </w:r>
          </w:p>
        </w:tc>
        <w:tc>
          <w:tcPr>
            <w:tcW w:w="1033" w:type="pct"/>
            <w:vAlign w:val="center"/>
          </w:tcPr>
          <w:p w14:paraId="067A8AD8">
            <w:pPr>
              <w:pStyle w:val="30"/>
              <w:rPr>
                <w:rFonts w:hint="default" w:eastAsia="宋体"/>
                <w:color w:val="auto"/>
                <w:highlight w:val="none"/>
                <w:lang w:val="en-US" w:eastAsia="zh-CN"/>
              </w:rPr>
            </w:pPr>
            <w:r>
              <w:rPr>
                <w:rFonts w:hint="eastAsia"/>
                <w:color w:val="auto"/>
                <w:highlight w:val="none"/>
                <w:lang w:val="en-US" w:eastAsia="zh-CN"/>
              </w:rPr>
              <w:t>83.52</w:t>
            </w:r>
          </w:p>
        </w:tc>
      </w:tr>
      <w:tr w14:paraId="24613E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51" w:type="pct"/>
            <w:vMerge w:val="restart"/>
            <w:vAlign w:val="center"/>
          </w:tcPr>
          <w:p w14:paraId="7F76F36C">
            <w:pPr>
              <w:pStyle w:val="30"/>
              <w:rPr>
                <w:rFonts w:hint="eastAsia" w:eastAsia="宋体"/>
                <w:color w:val="auto"/>
                <w:highlight w:val="none"/>
                <w:lang w:eastAsia="zh-CN"/>
              </w:rPr>
            </w:pPr>
            <w:r>
              <w:rPr>
                <w:rFonts w:hint="eastAsia"/>
                <w:color w:val="auto"/>
                <w:highlight w:val="none"/>
                <w:lang w:val="en-US" w:eastAsia="zh-CN"/>
              </w:rPr>
              <w:t>2</w:t>
            </w:r>
          </w:p>
        </w:tc>
        <w:tc>
          <w:tcPr>
            <w:tcW w:w="1452" w:type="pct"/>
            <w:vMerge w:val="restart"/>
            <w:vAlign w:val="center"/>
          </w:tcPr>
          <w:p w14:paraId="528E3F87">
            <w:pPr>
              <w:pStyle w:val="30"/>
              <w:rPr>
                <w:rFonts w:hint="default"/>
                <w:color w:val="auto"/>
                <w:highlight w:val="none"/>
              </w:rPr>
            </w:pPr>
            <w:r>
              <w:rPr>
                <w:color w:val="auto"/>
                <w:highlight w:val="none"/>
              </w:rPr>
              <w:t>标志设置</w:t>
            </w:r>
          </w:p>
        </w:tc>
        <w:tc>
          <w:tcPr>
            <w:tcW w:w="3783" w:type="dxa"/>
            <w:vAlign w:val="center"/>
          </w:tcPr>
          <w:p w14:paraId="082D9DB8">
            <w:pPr>
              <w:pStyle w:val="30"/>
              <w:ind w:firstLine="0" w:firstLineChars="0"/>
              <w:rPr>
                <w:rFonts w:hint="default"/>
                <w:color w:val="auto"/>
                <w:highlight w:val="none"/>
              </w:rPr>
            </w:pPr>
            <w:r>
              <w:rPr>
                <w:color w:val="auto"/>
                <w:highlight w:val="none"/>
              </w:rPr>
              <w:t>饮用水水源保护区界标</w:t>
            </w:r>
            <w:r>
              <w:rPr>
                <w:rFonts w:hint="eastAsia"/>
                <w:color w:val="auto"/>
                <w:highlight w:val="none"/>
                <w:lang w:val="en-US" w:eastAsia="zh-CN"/>
              </w:rPr>
              <w:t>116处</w:t>
            </w:r>
          </w:p>
        </w:tc>
        <w:tc>
          <w:tcPr>
            <w:tcW w:w="1894" w:type="dxa"/>
            <w:vAlign w:val="center"/>
          </w:tcPr>
          <w:p w14:paraId="29579A6F">
            <w:pPr>
              <w:pStyle w:val="30"/>
              <w:ind w:firstLine="0" w:firstLineChars="0"/>
              <w:rPr>
                <w:rFonts w:hint="default" w:eastAsia="宋体"/>
                <w:color w:val="auto"/>
                <w:highlight w:val="none"/>
                <w:lang w:val="en-US" w:eastAsia="zh-CN"/>
              </w:rPr>
            </w:pPr>
            <w:r>
              <w:rPr>
                <w:rFonts w:hint="eastAsia"/>
                <w:color w:val="auto"/>
                <w:highlight w:val="none"/>
                <w:lang w:val="en-US" w:eastAsia="zh-CN"/>
              </w:rPr>
              <w:t>5.8</w:t>
            </w:r>
          </w:p>
        </w:tc>
      </w:tr>
      <w:tr w14:paraId="39A3F6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51" w:type="pct"/>
            <w:vMerge w:val="continue"/>
            <w:vAlign w:val="center"/>
          </w:tcPr>
          <w:p w14:paraId="07D0B68D">
            <w:pPr>
              <w:pStyle w:val="30"/>
              <w:rPr>
                <w:rFonts w:hint="eastAsia"/>
                <w:color w:val="auto"/>
                <w:highlight w:val="none"/>
                <w:lang w:val="en-US" w:eastAsia="zh-CN"/>
              </w:rPr>
            </w:pPr>
          </w:p>
        </w:tc>
        <w:tc>
          <w:tcPr>
            <w:tcW w:w="1452" w:type="pct"/>
            <w:vMerge w:val="continue"/>
            <w:vAlign w:val="center"/>
          </w:tcPr>
          <w:p w14:paraId="5F060CC2">
            <w:pPr>
              <w:pStyle w:val="30"/>
              <w:rPr>
                <w:color w:val="auto"/>
                <w:highlight w:val="none"/>
              </w:rPr>
            </w:pPr>
          </w:p>
        </w:tc>
        <w:tc>
          <w:tcPr>
            <w:tcW w:w="3783" w:type="dxa"/>
            <w:vAlign w:val="center"/>
          </w:tcPr>
          <w:p w14:paraId="4D228715">
            <w:pPr>
              <w:pStyle w:val="30"/>
              <w:ind w:firstLine="0" w:firstLineChars="0"/>
              <w:rPr>
                <w:rFonts w:hint="eastAsia" w:eastAsia="宋体"/>
                <w:color w:val="auto"/>
                <w:highlight w:val="none"/>
                <w:lang w:val="en-US" w:eastAsia="zh-CN"/>
              </w:rPr>
            </w:pPr>
            <w:r>
              <w:rPr>
                <w:color w:val="auto"/>
                <w:highlight w:val="none"/>
              </w:rPr>
              <w:t>饮用水水源保护区宣传牌</w:t>
            </w:r>
            <w:r>
              <w:rPr>
                <w:rFonts w:hint="eastAsia"/>
                <w:color w:val="auto"/>
                <w:highlight w:val="none"/>
                <w:lang w:val="en-US" w:eastAsia="zh-CN"/>
              </w:rPr>
              <w:t>7处</w:t>
            </w:r>
          </w:p>
        </w:tc>
        <w:tc>
          <w:tcPr>
            <w:tcW w:w="1894" w:type="dxa"/>
            <w:vAlign w:val="center"/>
          </w:tcPr>
          <w:p w14:paraId="5EEFAB8F">
            <w:pPr>
              <w:pStyle w:val="30"/>
              <w:ind w:firstLine="0" w:firstLineChars="0"/>
              <w:rPr>
                <w:rFonts w:hint="eastAsia"/>
                <w:color w:val="auto"/>
                <w:highlight w:val="none"/>
                <w:lang w:val="en-US" w:eastAsia="zh-CN"/>
              </w:rPr>
            </w:pPr>
            <w:r>
              <w:rPr>
                <w:color w:val="auto"/>
                <w:highlight w:val="none"/>
              </w:rPr>
              <w:t>0.</w:t>
            </w:r>
            <w:r>
              <w:rPr>
                <w:rFonts w:hint="eastAsia"/>
                <w:color w:val="auto"/>
                <w:highlight w:val="none"/>
                <w:lang w:val="en-US" w:eastAsia="zh-CN"/>
              </w:rPr>
              <w:t>35</w:t>
            </w:r>
          </w:p>
        </w:tc>
      </w:tr>
      <w:tr w14:paraId="4CF7C4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51" w:type="pct"/>
            <w:vAlign w:val="center"/>
          </w:tcPr>
          <w:p w14:paraId="539EA149">
            <w:pPr>
              <w:pStyle w:val="30"/>
              <w:rPr>
                <w:rFonts w:hint="eastAsia" w:eastAsia="宋体"/>
                <w:color w:val="auto"/>
                <w:highlight w:val="none"/>
                <w:lang w:eastAsia="zh-CN"/>
              </w:rPr>
            </w:pPr>
            <w:r>
              <w:rPr>
                <w:rFonts w:hint="eastAsia"/>
                <w:color w:val="auto"/>
                <w:highlight w:val="none"/>
                <w:lang w:val="en-US" w:eastAsia="zh-CN"/>
              </w:rPr>
              <w:t>3</w:t>
            </w:r>
          </w:p>
        </w:tc>
        <w:tc>
          <w:tcPr>
            <w:tcW w:w="3515" w:type="pct"/>
            <w:gridSpan w:val="2"/>
            <w:vAlign w:val="center"/>
          </w:tcPr>
          <w:p w14:paraId="55D694D4">
            <w:pPr>
              <w:pStyle w:val="30"/>
              <w:rPr>
                <w:rFonts w:hint="default"/>
                <w:color w:val="auto"/>
                <w:highlight w:val="none"/>
              </w:rPr>
            </w:pPr>
            <w:r>
              <w:rPr>
                <w:color w:val="auto"/>
                <w:highlight w:val="none"/>
              </w:rPr>
              <w:t>应急预案编制、应急专家组建设</w:t>
            </w:r>
          </w:p>
        </w:tc>
        <w:tc>
          <w:tcPr>
            <w:tcW w:w="1033" w:type="pct"/>
            <w:vAlign w:val="center"/>
          </w:tcPr>
          <w:p w14:paraId="0BC0DD64">
            <w:pPr>
              <w:pStyle w:val="30"/>
              <w:rPr>
                <w:rFonts w:hint="default" w:eastAsia="宋体"/>
                <w:color w:val="auto"/>
                <w:highlight w:val="none"/>
                <w:lang w:val="en-US" w:eastAsia="zh-CN"/>
              </w:rPr>
            </w:pPr>
            <w:r>
              <w:rPr>
                <w:rFonts w:hint="eastAsia"/>
                <w:color w:val="auto"/>
                <w:highlight w:val="none"/>
                <w:lang w:val="en-US" w:eastAsia="zh-CN"/>
              </w:rPr>
              <w:t>40</w:t>
            </w:r>
          </w:p>
        </w:tc>
      </w:tr>
      <w:tr w14:paraId="78003A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966" w:type="pct"/>
            <w:gridSpan w:val="3"/>
            <w:vAlign w:val="center"/>
          </w:tcPr>
          <w:p w14:paraId="25B6F2FF">
            <w:pPr>
              <w:pStyle w:val="30"/>
              <w:rPr>
                <w:rFonts w:hint="default"/>
                <w:color w:val="auto"/>
                <w:highlight w:val="none"/>
              </w:rPr>
            </w:pPr>
            <w:r>
              <w:rPr>
                <w:color w:val="auto"/>
                <w:highlight w:val="none"/>
              </w:rPr>
              <w:t>合计</w:t>
            </w:r>
          </w:p>
        </w:tc>
        <w:tc>
          <w:tcPr>
            <w:tcW w:w="1033" w:type="pct"/>
            <w:vAlign w:val="center"/>
          </w:tcPr>
          <w:p w14:paraId="1D8E32FE">
            <w:pPr>
              <w:pStyle w:val="30"/>
              <w:rPr>
                <w:rFonts w:hint="default" w:eastAsia="宋体"/>
                <w:color w:val="auto"/>
                <w:highlight w:val="none"/>
                <w:lang w:val="en-US" w:eastAsia="zh-CN"/>
              </w:rPr>
            </w:pPr>
            <w:r>
              <w:rPr>
                <w:rFonts w:hint="eastAsia"/>
                <w:color w:val="auto"/>
                <w:highlight w:val="none"/>
                <w:lang w:val="en-US" w:eastAsia="zh-CN"/>
              </w:rPr>
              <w:t>129.67</w:t>
            </w:r>
          </w:p>
        </w:tc>
      </w:tr>
    </w:tbl>
    <w:p w14:paraId="426EB912">
      <w:pPr>
        <w:pStyle w:val="3"/>
        <w:rPr>
          <w:color w:val="auto"/>
          <w:highlight w:val="none"/>
          <w:lang w:val="en-US"/>
        </w:rPr>
      </w:pPr>
      <w:bookmarkStart w:id="136" w:name="_Toc15714"/>
      <w:bookmarkStart w:id="137" w:name="_Toc8282"/>
      <w:r>
        <w:rPr>
          <w:rFonts w:hint="eastAsia"/>
          <w:color w:val="auto"/>
          <w:highlight w:val="none"/>
          <w:lang w:val="en-US"/>
        </w:rPr>
        <w:t>5.2保护区规范化建设目标达标可行性分析</w:t>
      </w:r>
      <w:bookmarkEnd w:id="136"/>
      <w:bookmarkEnd w:id="137"/>
    </w:p>
    <w:p w14:paraId="73499851">
      <w:pPr>
        <w:ind w:firstLine="470"/>
        <w:rPr>
          <w:color w:val="auto"/>
          <w:highlight w:val="none"/>
        </w:rPr>
      </w:pPr>
      <w:r>
        <w:rPr>
          <w:color w:val="auto"/>
          <w:highlight w:val="none"/>
        </w:rPr>
        <w:t>本次保护区划分工作中，对水源地进行了实地踏查，收集了相关技术资料、水质监测资料，在此基础上，依据《集中式饮用水水源地环境保护状况评估技术规范》《饮用水水源保护区污染防治管理规定》《集中式饮用水水源地规范化建设环境保护技术要求》等文件精神，以及</w:t>
      </w:r>
      <w:r>
        <w:rPr>
          <w:rFonts w:hint="eastAsia"/>
          <w:color w:val="auto"/>
          <w:highlight w:val="none"/>
          <w:lang w:eastAsia="zh-CN"/>
        </w:rPr>
        <w:t>本次调整的各</w:t>
      </w:r>
      <w:r>
        <w:rPr>
          <w:rFonts w:hint="eastAsia"/>
          <w:color w:val="auto"/>
          <w:highlight w:val="none"/>
        </w:rPr>
        <w:t>饮用水水源</w:t>
      </w:r>
      <w:r>
        <w:rPr>
          <w:color w:val="auto"/>
          <w:highlight w:val="none"/>
        </w:rPr>
        <w:t>保护区环境现状情况，制定了水源保护区规范化建设目标，提出了水源地污染防治的保障措施，从以下几方面分析了规范化建设目标达标的可行性。</w:t>
      </w:r>
    </w:p>
    <w:p w14:paraId="460D2E18">
      <w:pPr>
        <w:pStyle w:val="4"/>
        <w:rPr>
          <w:color w:val="auto"/>
          <w:highlight w:val="none"/>
        </w:rPr>
      </w:pPr>
      <w:bookmarkStart w:id="138" w:name="_Toc3320"/>
      <w:r>
        <w:rPr>
          <w:rFonts w:hint="eastAsia"/>
          <w:color w:val="auto"/>
          <w:highlight w:val="none"/>
        </w:rPr>
        <w:t>5.2.1法律法规与政策制度保障分析</w:t>
      </w:r>
      <w:bookmarkEnd w:id="138"/>
    </w:p>
    <w:p w14:paraId="3AB6CFE8">
      <w:pPr>
        <w:ind w:firstLine="470"/>
        <w:rPr>
          <w:color w:val="auto"/>
          <w:highlight w:val="none"/>
        </w:rPr>
      </w:pPr>
      <w:r>
        <w:rPr>
          <w:color w:val="auto"/>
          <w:highlight w:val="none"/>
        </w:rPr>
        <w:t>为保证饮用水源安全，保障人体健康，防止工农业生产、居民生活对水源地造成污染和破坏，</w:t>
      </w:r>
      <w:r>
        <w:rPr>
          <w:rFonts w:hint="eastAsia"/>
          <w:color w:val="auto"/>
          <w:highlight w:val="none"/>
          <w:lang w:eastAsia="zh-CN"/>
        </w:rPr>
        <w:t>保护区管理单位</w:t>
      </w:r>
      <w:r>
        <w:rPr>
          <w:color w:val="auto"/>
          <w:highlight w:val="none"/>
        </w:rPr>
        <w:t>应深入贯彻《中华人民共和国水法》《中华人民共和国水污染防治法》等法律法规，制定水源保护相关制度，</w:t>
      </w:r>
      <w:r>
        <w:rPr>
          <w:rFonts w:hint="eastAsia"/>
          <w:color w:val="auto"/>
          <w:highlight w:val="none"/>
        </w:rPr>
        <w:t>按照</w:t>
      </w:r>
      <w:r>
        <w:rPr>
          <w:color w:val="auto"/>
          <w:highlight w:val="none"/>
        </w:rPr>
        <w:t>法律法规和规章制度来保证水源保护区规范化建设目标的实现。</w:t>
      </w:r>
    </w:p>
    <w:p w14:paraId="52453F0B">
      <w:pPr>
        <w:pStyle w:val="4"/>
        <w:rPr>
          <w:color w:val="auto"/>
          <w:highlight w:val="none"/>
        </w:rPr>
      </w:pPr>
      <w:bookmarkStart w:id="139" w:name="_Toc12965"/>
      <w:r>
        <w:rPr>
          <w:rFonts w:hint="eastAsia"/>
          <w:color w:val="auto"/>
          <w:highlight w:val="none"/>
        </w:rPr>
        <w:t>5.2.2组织分工和管理保障分析</w:t>
      </w:r>
      <w:bookmarkEnd w:id="139"/>
    </w:p>
    <w:p w14:paraId="3A4C3AF8">
      <w:pPr>
        <w:ind w:firstLine="470"/>
        <w:rPr>
          <w:color w:val="auto"/>
          <w:highlight w:val="none"/>
        </w:rPr>
      </w:pPr>
      <w:r>
        <w:rPr>
          <w:rFonts w:hint="eastAsia"/>
          <w:color w:val="auto"/>
          <w:highlight w:val="none"/>
          <w:lang w:eastAsia="zh-CN"/>
        </w:rPr>
        <w:t>（</w:t>
      </w:r>
      <w:r>
        <w:rPr>
          <w:rFonts w:hint="eastAsia"/>
          <w:color w:val="auto"/>
          <w:highlight w:val="none"/>
          <w:lang w:val="en-US" w:eastAsia="zh-CN"/>
        </w:rPr>
        <w:t>1</w:t>
      </w:r>
      <w:r>
        <w:rPr>
          <w:rFonts w:hint="eastAsia"/>
          <w:color w:val="auto"/>
          <w:highlight w:val="none"/>
          <w:lang w:eastAsia="zh-CN"/>
        </w:rPr>
        <w:t>）各乡镇</w:t>
      </w:r>
      <w:r>
        <w:rPr>
          <w:rFonts w:hint="eastAsia"/>
          <w:color w:val="auto"/>
          <w:highlight w:val="none"/>
        </w:rPr>
        <w:t>人民政府</w:t>
      </w:r>
      <w:r>
        <w:rPr>
          <w:color w:val="auto"/>
          <w:highlight w:val="none"/>
        </w:rPr>
        <w:t>应将该饮用水源地的保护纳入</w:t>
      </w:r>
      <w:r>
        <w:rPr>
          <w:rFonts w:hint="eastAsia"/>
          <w:color w:val="auto"/>
          <w:highlight w:val="none"/>
        </w:rPr>
        <w:t>当地</w:t>
      </w:r>
      <w:r>
        <w:rPr>
          <w:color w:val="auto"/>
          <w:highlight w:val="none"/>
        </w:rPr>
        <w:t>政府的相关规划，不进行与水源地保护相冲突的规划和建设活动；同时</w:t>
      </w:r>
      <w:r>
        <w:rPr>
          <w:rFonts w:hint="eastAsia"/>
          <w:color w:val="auto"/>
          <w:highlight w:val="none"/>
        </w:rPr>
        <w:t>主管</w:t>
      </w:r>
      <w:r>
        <w:rPr>
          <w:color w:val="auto"/>
          <w:highlight w:val="none"/>
        </w:rPr>
        <w:t>饮用水源应急预警通报。</w:t>
      </w:r>
    </w:p>
    <w:p w14:paraId="16B80136">
      <w:pPr>
        <w:ind w:firstLine="470"/>
        <w:rPr>
          <w:color w:val="auto"/>
          <w:highlight w:val="none"/>
        </w:rPr>
      </w:pPr>
      <w:r>
        <w:rPr>
          <w:rFonts w:hint="eastAsia"/>
          <w:color w:val="auto"/>
          <w:highlight w:val="none"/>
          <w:lang w:eastAsia="zh-CN"/>
        </w:rPr>
        <w:t>（</w:t>
      </w:r>
      <w:r>
        <w:rPr>
          <w:rFonts w:hint="eastAsia"/>
          <w:color w:val="auto"/>
          <w:highlight w:val="none"/>
          <w:lang w:val="en-US" w:eastAsia="zh-CN"/>
        </w:rPr>
        <w:t>2</w:t>
      </w:r>
      <w:r>
        <w:rPr>
          <w:rFonts w:hint="eastAsia"/>
          <w:color w:val="auto"/>
          <w:highlight w:val="none"/>
          <w:lang w:eastAsia="zh-CN"/>
        </w:rPr>
        <w:t>）</w:t>
      </w:r>
      <w:r>
        <w:rPr>
          <w:color w:val="auto"/>
          <w:highlight w:val="none"/>
        </w:rPr>
        <w:t>环境保护行政主管部门负责对饮用水源地污染防治实施统一监督管理</w:t>
      </w:r>
      <w:r>
        <w:rPr>
          <w:rFonts w:hint="eastAsia"/>
          <w:color w:val="auto"/>
          <w:highlight w:val="none"/>
        </w:rPr>
        <w:t>，</w:t>
      </w:r>
      <w:r>
        <w:rPr>
          <w:color w:val="auto"/>
          <w:highlight w:val="none"/>
        </w:rPr>
        <w:t>并对取水口进行常规监测、分析，确保水源地水质达到《地下水质量标准》（GB/T</w:t>
      </w:r>
      <w:r>
        <w:rPr>
          <w:rFonts w:hint="eastAsia"/>
          <w:color w:val="auto"/>
          <w:highlight w:val="none"/>
        </w:rPr>
        <w:t xml:space="preserve"> </w:t>
      </w:r>
      <w:r>
        <w:rPr>
          <w:color w:val="auto"/>
          <w:highlight w:val="none"/>
        </w:rPr>
        <w:t>14848-2017）Ⅲ类标准。</w:t>
      </w:r>
    </w:p>
    <w:p w14:paraId="1FFBDD5B">
      <w:pPr>
        <w:ind w:firstLine="470"/>
        <w:rPr>
          <w:color w:val="auto"/>
          <w:highlight w:val="none"/>
        </w:rPr>
      </w:pPr>
      <w:r>
        <w:rPr>
          <w:rFonts w:hint="eastAsia"/>
          <w:color w:val="auto"/>
          <w:highlight w:val="none"/>
          <w:lang w:eastAsia="zh-CN"/>
        </w:rPr>
        <w:t>（</w:t>
      </w:r>
      <w:r>
        <w:rPr>
          <w:rFonts w:hint="eastAsia"/>
          <w:color w:val="auto"/>
          <w:highlight w:val="none"/>
          <w:lang w:val="en-US" w:eastAsia="zh-CN"/>
        </w:rPr>
        <w:t>3</w:t>
      </w:r>
      <w:r>
        <w:rPr>
          <w:rFonts w:hint="eastAsia"/>
          <w:color w:val="auto"/>
          <w:highlight w:val="none"/>
          <w:lang w:eastAsia="zh-CN"/>
        </w:rPr>
        <w:t>）</w:t>
      </w:r>
      <w:r>
        <w:rPr>
          <w:color w:val="auto"/>
          <w:highlight w:val="none"/>
        </w:rPr>
        <w:t>卫生行政主管部门负责饮用水水源地保护区内的卫生防疫工作，卫生防疫部门按《饮用水卫生标准》定期对饮用水水源地原水进行常规项目化验，对供水部门所提供的水质进行监管，确保饮用水水质符合饮用水卫生标准。</w:t>
      </w:r>
    </w:p>
    <w:p w14:paraId="6FE15DA0">
      <w:pPr>
        <w:ind w:firstLine="470"/>
        <w:rPr>
          <w:color w:val="auto"/>
          <w:highlight w:val="none"/>
        </w:rPr>
      </w:pPr>
      <w:r>
        <w:rPr>
          <w:rFonts w:hint="eastAsia"/>
          <w:color w:val="auto"/>
          <w:highlight w:val="none"/>
          <w:lang w:eastAsia="zh-CN"/>
        </w:rPr>
        <w:t>（</w:t>
      </w:r>
      <w:r>
        <w:rPr>
          <w:rFonts w:hint="eastAsia"/>
          <w:color w:val="auto"/>
          <w:highlight w:val="none"/>
          <w:lang w:val="en-US" w:eastAsia="zh-CN"/>
        </w:rPr>
        <w:t>4</w:t>
      </w:r>
      <w:r>
        <w:rPr>
          <w:rFonts w:hint="eastAsia"/>
          <w:color w:val="auto"/>
          <w:highlight w:val="none"/>
          <w:lang w:eastAsia="zh-CN"/>
        </w:rPr>
        <w:t>）</w:t>
      </w:r>
      <w:r>
        <w:rPr>
          <w:color w:val="auto"/>
          <w:highlight w:val="none"/>
        </w:rPr>
        <w:t>交通行政主管部门负责饮用水水源地保护区的交通设施管理，充分考虑对饮用水源地的影响并采取相应的保护措施。</w:t>
      </w:r>
    </w:p>
    <w:p w14:paraId="713D1EDD">
      <w:pPr>
        <w:ind w:firstLine="470"/>
        <w:rPr>
          <w:color w:val="auto"/>
          <w:highlight w:val="none"/>
        </w:rPr>
      </w:pPr>
      <w:r>
        <w:rPr>
          <w:rFonts w:hint="eastAsia"/>
          <w:color w:val="auto"/>
          <w:highlight w:val="none"/>
          <w:lang w:eastAsia="zh-CN"/>
        </w:rPr>
        <w:t>（</w:t>
      </w:r>
      <w:r>
        <w:rPr>
          <w:rFonts w:hint="eastAsia"/>
          <w:color w:val="auto"/>
          <w:highlight w:val="none"/>
          <w:lang w:val="en-US" w:eastAsia="zh-CN"/>
        </w:rPr>
        <w:t>5</w:t>
      </w:r>
      <w:r>
        <w:rPr>
          <w:rFonts w:hint="eastAsia"/>
          <w:color w:val="auto"/>
          <w:highlight w:val="none"/>
          <w:lang w:eastAsia="zh-CN"/>
        </w:rPr>
        <w:t>）</w:t>
      </w:r>
      <w:r>
        <w:rPr>
          <w:color w:val="auto"/>
          <w:highlight w:val="none"/>
        </w:rPr>
        <w:t>国土行政主管部门负责饮用水水源地保护区的土地利用工作，严格控制</w:t>
      </w:r>
      <w:r>
        <w:rPr>
          <w:rFonts w:hint="eastAsia"/>
          <w:color w:val="auto"/>
          <w:highlight w:val="none"/>
          <w:lang w:eastAsia="zh-CN"/>
        </w:rPr>
        <w:t>保护区</w:t>
      </w:r>
      <w:r>
        <w:rPr>
          <w:color w:val="auto"/>
          <w:highlight w:val="none"/>
        </w:rPr>
        <w:t>内</w:t>
      </w:r>
      <w:r>
        <w:rPr>
          <w:rFonts w:hint="eastAsia"/>
          <w:color w:val="auto"/>
          <w:highlight w:val="none"/>
        </w:rPr>
        <w:t>工业</w:t>
      </w:r>
      <w:r>
        <w:rPr>
          <w:color w:val="auto"/>
          <w:highlight w:val="none"/>
        </w:rPr>
        <w:t>、农业建设项目的用地审批，对污染项目用地不得审批。</w:t>
      </w:r>
    </w:p>
    <w:p w14:paraId="6735F0B1">
      <w:pPr>
        <w:ind w:firstLine="470"/>
        <w:rPr>
          <w:color w:val="auto"/>
          <w:highlight w:val="none"/>
        </w:rPr>
      </w:pPr>
      <w:r>
        <w:rPr>
          <w:rFonts w:hint="eastAsia"/>
          <w:color w:val="auto"/>
          <w:highlight w:val="none"/>
          <w:lang w:eastAsia="zh-CN"/>
        </w:rPr>
        <w:t>（</w:t>
      </w:r>
      <w:r>
        <w:rPr>
          <w:rFonts w:hint="eastAsia"/>
          <w:color w:val="auto"/>
          <w:highlight w:val="none"/>
          <w:lang w:val="en-US" w:eastAsia="zh-CN"/>
        </w:rPr>
        <w:t>6</w:t>
      </w:r>
      <w:r>
        <w:rPr>
          <w:rFonts w:hint="eastAsia"/>
          <w:color w:val="auto"/>
          <w:highlight w:val="none"/>
          <w:lang w:eastAsia="zh-CN"/>
        </w:rPr>
        <w:t>）</w:t>
      </w:r>
      <w:r>
        <w:rPr>
          <w:color w:val="auto"/>
          <w:highlight w:val="none"/>
        </w:rPr>
        <w:t>农业行政主管部门负责农业生产对水源保护区污染防治工作，指导农民正确使用农药、化肥，禁止使用剧毒的高残留农药，禁止利用含有毒污染物的泥作肥料，避免农业生产对饮用水水源地水质污染。</w:t>
      </w:r>
    </w:p>
    <w:p w14:paraId="78B0DC65">
      <w:pPr>
        <w:pStyle w:val="4"/>
        <w:rPr>
          <w:color w:val="auto"/>
          <w:highlight w:val="none"/>
        </w:rPr>
      </w:pPr>
      <w:bookmarkStart w:id="140" w:name="_Toc18172"/>
      <w:r>
        <w:rPr>
          <w:rFonts w:hint="eastAsia"/>
          <w:color w:val="auto"/>
          <w:highlight w:val="none"/>
        </w:rPr>
        <w:t>5.2.3资金筹措与使用保障措施分析</w:t>
      </w:r>
      <w:bookmarkEnd w:id="140"/>
    </w:p>
    <w:p w14:paraId="2139C723">
      <w:pPr>
        <w:ind w:firstLine="470"/>
        <w:rPr>
          <w:rFonts w:hint="eastAsia"/>
          <w:color w:val="auto"/>
          <w:highlight w:val="none"/>
          <w:lang w:eastAsia="zh-CN"/>
        </w:rPr>
      </w:pPr>
      <w:bookmarkStart w:id="141" w:name="_Toc29136"/>
      <w:r>
        <w:rPr>
          <w:rFonts w:hint="eastAsia"/>
          <w:color w:val="auto"/>
          <w:highlight w:val="none"/>
          <w:lang w:eastAsia="zh-CN"/>
        </w:rPr>
        <w:t>将饮用水水源地保护工作纳入全县国民经济和社会发展规划，加大政府投入力度，以保障饮用水水源地规范化建设的资金投入。积极争取国家的政策资金支持。加强资金整合，发挥项目资金的综合效应。拓展资金渠道，创新融资机制，使经费来源于企业、社会、市场、政府财政等多方面的投入。</w:t>
      </w:r>
    </w:p>
    <w:p w14:paraId="31AF085A">
      <w:pPr>
        <w:pStyle w:val="4"/>
        <w:rPr>
          <w:color w:val="auto"/>
          <w:highlight w:val="none"/>
        </w:rPr>
      </w:pPr>
      <w:r>
        <w:rPr>
          <w:rFonts w:hint="eastAsia"/>
          <w:color w:val="auto"/>
          <w:highlight w:val="none"/>
        </w:rPr>
        <w:t>5.2.4生态宣传与教育保障措施分析</w:t>
      </w:r>
      <w:bookmarkEnd w:id="141"/>
    </w:p>
    <w:p w14:paraId="722DC07D">
      <w:pPr>
        <w:ind w:firstLine="470"/>
        <w:rPr>
          <w:color w:val="auto"/>
          <w:highlight w:val="none"/>
        </w:rPr>
      </w:pPr>
      <w:r>
        <w:rPr>
          <w:color w:val="auto"/>
          <w:highlight w:val="none"/>
        </w:rPr>
        <w:t>组织各部门、各新闻媒体开展宣传活动，对</w:t>
      </w:r>
      <w:r>
        <w:rPr>
          <w:rFonts w:hint="eastAsia"/>
          <w:color w:val="auto"/>
          <w:highlight w:val="none"/>
          <w:lang w:eastAsia="zh-CN"/>
        </w:rPr>
        <w:t>本次乡镇、村屯</w:t>
      </w:r>
      <w:r>
        <w:rPr>
          <w:color w:val="auto"/>
          <w:highlight w:val="none"/>
        </w:rPr>
        <w:t>饮用水水源地保护区划分以及污染治理工作的开展情况进行全方位的宣传报道，公开曝光违法</w:t>
      </w:r>
      <w:r>
        <w:rPr>
          <w:rFonts w:hint="eastAsia"/>
          <w:color w:val="auto"/>
          <w:highlight w:val="none"/>
          <w:lang w:eastAsia="zh-CN"/>
        </w:rPr>
        <w:t>违规</w:t>
      </w:r>
      <w:r>
        <w:rPr>
          <w:color w:val="auto"/>
          <w:highlight w:val="none"/>
        </w:rPr>
        <w:t>行为，努力营造全民保护水资源、防止水污染的浓厚氛围，提高生态文明思想。</w:t>
      </w:r>
    </w:p>
    <w:p w14:paraId="25833FA9">
      <w:pPr>
        <w:ind w:firstLine="470"/>
        <w:rPr>
          <w:color w:val="auto"/>
          <w:highlight w:val="none"/>
        </w:rPr>
      </w:pPr>
      <w:r>
        <w:rPr>
          <w:color w:val="auto"/>
          <w:highlight w:val="none"/>
        </w:rPr>
        <w:t>综上分析，通过采取上述保障措施，</w:t>
      </w:r>
      <w:r>
        <w:rPr>
          <w:rFonts w:hint="eastAsia"/>
          <w:color w:val="auto"/>
          <w:highlight w:val="none"/>
          <w:lang w:eastAsia="zh-CN"/>
        </w:rPr>
        <w:t>本次调整的各</w:t>
      </w:r>
      <w:r>
        <w:rPr>
          <w:color w:val="auto"/>
          <w:highlight w:val="none"/>
        </w:rPr>
        <w:t>饮用水水源保护区规范化建设目标是可以实现的。</w:t>
      </w:r>
    </w:p>
    <w:p w14:paraId="5AECC072">
      <w:pPr>
        <w:ind w:firstLine="470"/>
        <w:rPr>
          <w:color w:val="auto"/>
          <w:highlight w:val="none"/>
        </w:rPr>
      </w:pPr>
    </w:p>
    <w:p w14:paraId="13BE0C73">
      <w:pPr>
        <w:ind w:firstLine="470"/>
        <w:rPr>
          <w:color w:val="auto"/>
          <w:highlight w:val="none"/>
        </w:rPr>
        <w:sectPr>
          <w:pgSz w:w="11905" w:h="16838"/>
          <w:pgMar w:top="1474" w:right="1474" w:bottom="1474" w:left="1474" w:header="964" w:footer="992" w:gutter="0"/>
          <w:pgBorders>
            <w:top w:val="none" w:sz="0" w:space="0"/>
            <w:left w:val="none" w:sz="0" w:space="0"/>
            <w:bottom w:val="none" w:sz="0" w:space="0"/>
            <w:right w:val="none" w:sz="0" w:space="0"/>
          </w:pgBorders>
          <w:pgNumType w:fmt="decimal"/>
          <w:cols w:space="720" w:num="1"/>
          <w:docGrid w:type="linesAndChars" w:linePitch="347" w:charSpace="-1024"/>
        </w:sectPr>
      </w:pPr>
    </w:p>
    <w:p w14:paraId="1BB6B652">
      <w:pPr>
        <w:pStyle w:val="2"/>
        <w:keepNext/>
        <w:wordWrap w:val="0"/>
        <w:overflowPunct w:val="0"/>
        <w:autoSpaceDE w:val="0"/>
        <w:autoSpaceDN w:val="0"/>
        <w:rPr>
          <w:rFonts w:cs="黑体"/>
          <w:color w:val="auto"/>
          <w:kern w:val="0"/>
          <w:highlight w:val="none"/>
        </w:rPr>
      </w:pPr>
      <w:bookmarkStart w:id="142" w:name="_Toc4602"/>
      <w:bookmarkStart w:id="143" w:name="_Toc3872"/>
      <w:r>
        <w:rPr>
          <w:rFonts w:hint="eastAsia" w:cs="黑体"/>
          <w:color w:val="auto"/>
          <w:kern w:val="0"/>
          <w:highlight w:val="none"/>
        </w:rPr>
        <w:t>6 饮用水水源保护区</w:t>
      </w:r>
      <w:r>
        <w:rPr>
          <w:rFonts w:hint="eastAsia" w:cs="黑体"/>
          <w:color w:val="auto"/>
          <w:kern w:val="0"/>
          <w:highlight w:val="none"/>
          <w:lang w:eastAsia="zh-CN"/>
        </w:rPr>
        <w:t>调整</w:t>
      </w:r>
      <w:r>
        <w:rPr>
          <w:rFonts w:hint="eastAsia" w:cs="黑体"/>
          <w:color w:val="auto"/>
          <w:kern w:val="0"/>
          <w:highlight w:val="none"/>
        </w:rPr>
        <w:t>方案、图件及有关说明</w:t>
      </w:r>
      <w:bookmarkEnd w:id="142"/>
      <w:bookmarkEnd w:id="143"/>
    </w:p>
    <w:p w14:paraId="2FCE712D">
      <w:pPr>
        <w:pStyle w:val="3"/>
        <w:rPr>
          <w:color w:val="auto"/>
          <w:highlight w:val="none"/>
          <w:lang w:val="en-US"/>
        </w:rPr>
      </w:pPr>
      <w:bookmarkStart w:id="144" w:name="_Toc1783"/>
      <w:bookmarkStart w:id="145" w:name="_Toc19359"/>
      <w:r>
        <w:rPr>
          <w:rFonts w:hint="eastAsia"/>
          <w:color w:val="auto"/>
          <w:highlight w:val="none"/>
          <w:lang w:val="en-US"/>
        </w:rPr>
        <w:t>6.1保护区</w:t>
      </w:r>
      <w:r>
        <w:rPr>
          <w:rFonts w:hint="eastAsia"/>
          <w:color w:val="auto"/>
          <w:highlight w:val="none"/>
          <w:lang w:val="en-US" w:eastAsia="zh-CN"/>
        </w:rPr>
        <w:t>调整</w:t>
      </w:r>
      <w:r>
        <w:rPr>
          <w:rFonts w:hint="eastAsia"/>
          <w:color w:val="auto"/>
          <w:highlight w:val="none"/>
          <w:lang w:val="en-US"/>
        </w:rPr>
        <w:t>方案说明</w:t>
      </w:r>
      <w:bookmarkEnd w:id="144"/>
      <w:bookmarkEnd w:id="145"/>
    </w:p>
    <w:p w14:paraId="79C95D38">
      <w:pPr>
        <w:spacing w:line="360" w:lineRule="auto"/>
        <w:ind w:right="-52" w:firstLine="480"/>
        <w:jc w:val="both"/>
        <w:rPr>
          <w:rFonts w:hint="default" w:ascii="Times New Roman" w:hAnsi="Times New Roman" w:cs="Times New Roman"/>
          <w:color w:val="auto"/>
          <w:sz w:val="24"/>
          <w:szCs w:val="24"/>
          <w:highlight w:val="none"/>
        </w:rPr>
      </w:pPr>
      <w:r>
        <w:rPr>
          <w:rFonts w:hint="default" w:ascii="Times New Roman" w:hAnsi="Times New Roman" w:cs="Times New Roman"/>
          <w:color w:val="auto"/>
          <w:kern w:val="0"/>
          <w:sz w:val="24"/>
          <w:szCs w:val="24"/>
          <w:highlight w:val="none"/>
          <w:lang w:val="en-US" w:eastAsia="zh-CN"/>
        </w:rPr>
        <w:t>本次保护区</w:t>
      </w:r>
      <w:r>
        <w:rPr>
          <w:rFonts w:hint="eastAsia" w:ascii="Times New Roman" w:hAnsi="Times New Roman" w:cs="Times New Roman"/>
          <w:color w:val="auto"/>
          <w:kern w:val="0"/>
          <w:sz w:val="24"/>
          <w:szCs w:val="24"/>
          <w:highlight w:val="none"/>
          <w:lang w:val="en-US" w:eastAsia="zh-CN"/>
        </w:rPr>
        <w:t>调整</w:t>
      </w:r>
      <w:r>
        <w:rPr>
          <w:rFonts w:hint="default" w:ascii="Times New Roman" w:hAnsi="Times New Roman" w:cs="Times New Roman"/>
          <w:color w:val="auto"/>
          <w:kern w:val="0"/>
          <w:sz w:val="24"/>
          <w:szCs w:val="24"/>
          <w:highlight w:val="none"/>
          <w:lang w:val="en-US" w:eastAsia="zh-CN"/>
        </w:rPr>
        <w:t>工作范围</w:t>
      </w:r>
      <w:r>
        <w:rPr>
          <w:rFonts w:hint="eastAsia"/>
          <w:color w:val="auto"/>
          <w:kern w:val="0"/>
          <w:sz w:val="24"/>
          <w:szCs w:val="24"/>
          <w:highlight w:val="none"/>
        </w:rPr>
        <w:t>涉及</w:t>
      </w:r>
      <w:r>
        <w:rPr>
          <w:rFonts w:hint="eastAsia" w:ascii="Times New Roman" w:hAnsi="Times New Roman" w:eastAsia="宋体" w:cs="Times New Roman"/>
          <w:color w:val="auto"/>
          <w:kern w:val="0"/>
          <w:sz w:val="24"/>
          <w:szCs w:val="24"/>
          <w:highlight w:val="none"/>
          <w:lang w:val="en-US" w:eastAsia="zh-CN"/>
        </w:rPr>
        <w:t>庆安县丰收乡等6个乡镇级和柳河镇新强村1个村屯级</w:t>
      </w:r>
      <w:r>
        <w:rPr>
          <w:rFonts w:hint="eastAsia" w:ascii="Times New Roman" w:hAnsi="Times New Roman" w:eastAsia="宋体" w:cs="Times New Roman"/>
          <w:color w:val="auto"/>
          <w:kern w:val="0"/>
          <w:sz w:val="24"/>
          <w:szCs w:val="24"/>
          <w:highlight w:val="none"/>
          <w:lang w:eastAsia="zh-CN"/>
        </w:rPr>
        <w:t>集中式饮用水水源地（</w:t>
      </w:r>
      <w:r>
        <w:rPr>
          <w:rFonts w:hint="eastAsia"/>
          <w:color w:val="auto"/>
          <w:kern w:val="0"/>
          <w:sz w:val="24"/>
          <w:szCs w:val="24"/>
          <w:highlight w:val="none"/>
          <w:lang w:eastAsia="zh-CN"/>
        </w:rPr>
        <w:t>共</w:t>
      </w:r>
      <w:r>
        <w:rPr>
          <w:rFonts w:hint="eastAsia"/>
          <w:color w:val="auto"/>
          <w:kern w:val="0"/>
          <w:sz w:val="24"/>
          <w:szCs w:val="24"/>
          <w:highlight w:val="none"/>
          <w:lang w:val="en-US" w:eastAsia="zh-CN"/>
        </w:rPr>
        <w:t>29眼水井</w:t>
      </w:r>
      <w:r>
        <w:rPr>
          <w:rFonts w:hint="eastAsia"/>
          <w:color w:val="auto"/>
          <w:kern w:val="0"/>
          <w:sz w:val="24"/>
          <w:szCs w:val="24"/>
          <w:highlight w:val="none"/>
          <w:lang w:eastAsia="zh-CN"/>
        </w:rPr>
        <w:t>）</w:t>
      </w:r>
      <w:r>
        <w:rPr>
          <w:rFonts w:hint="eastAsia" w:ascii="Times New Roman" w:hAnsi="Times New Roman" w:cs="Times New Roman"/>
          <w:color w:val="auto"/>
          <w:kern w:val="0"/>
          <w:sz w:val="24"/>
          <w:szCs w:val="24"/>
          <w:highlight w:val="none"/>
          <w:lang w:val="en-US" w:eastAsia="zh-CN"/>
        </w:rPr>
        <w:t>，</w:t>
      </w:r>
      <w:r>
        <w:rPr>
          <w:rFonts w:hint="default" w:ascii="Times New Roman" w:hAnsi="Times New Roman" w:cs="Times New Roman"/>
          <w:color w:val="auto"/>
          <w:sz w:val="24"/>
          <w:szCs w:val="24"/>
          <w:highlight w:val="none"/>
        </w:rPr>
        <w:t>均属于</w:t>
      </w:r>
      <w:r>
        <w:rPr>
          <w:rFonts w:hint="default" w:ascii="Times New Roman" w:hAnsi="Times New Roman" w:cs="Times New Roman"/>
          <w:color w:val="auto"/>
          <w:sz w:val="24"/>
          <w:szCs w:val="24"/>
          <w:highlight w:val="none"/>
          <w:lang w:val="en-US" w:eastAsia="zh-CN"/>
        </w:rPr>
        <w:t>中</w:t>
      </w:r>
      <w:r>
        <w:rPr>
          <w:rFonts w:hint="default" w:ascii="Times New Roman" w:hAnsi="Times New Roman" w:cs="Times New Roman"/>
          <w:color w:val="auto"/>
          <w:sz w:val="24"/>
          <w:szCs w:val="24"/>
          <w:highlight w:val="none"/>
        </w:rPr>
        <w:t>小型承压水型水源地，</w:t>
      </w:r>
      <w:r>
        <w:rPr>
          <w:color w:val="auto"/>
          <w:highlight w:val="none"/>
        </w:rPr>
        <w:t>依据《饮用水水源保护区划分技术规范》（HJ/T</w:t>
      </w:r>
      <w:r>
        <w:rPr>
          <w:rFonts w:hint="eastAsia"/>
          <w:color w:val="auto"/>
          <w:highlight w:val="none"/>
        </w:rPr>
        <w:t xml:space="preserve"> </w:t>
      </w:r>
      <w:r>
        <w:rPr>
          <w:color w:val="auto"/>
          <w:highlight w:val="none"/>
        </w:rPr>
        <w:t>338-2018）中相关规定，</w:t>
      </w:r>
      <w:r>
        <w:rPr>
          <w:rFonts w:hint="eastAsia"/>
          <w:color w:val="auto"/>
          <w:highlight w:val="none"/>
        </w:rPr>
        <w:t>结合</w:t>
      </w:r>
      <w:r>
        <w:rPr>
          <w:rFonts w:hint="eastAsia"/>
          <w:color w:val="auto"/>
          <w:kern w:val="0"/>
          <w:highlight w:val="none"/>
        </w:rPr>
        <w:t>区域水文地质条件，采用经验值法进行保护区</w:t>
      </w:r>
      <w:r>
        <w:rPr>
          <w:rFonts w:hint="eastAsia"/>
          <w:color w:val="auto"/>
          <w:kern w:val="0"/>
          <w:highlight w:val="none"/>
          <w:lang w:eastAsia="zh-CN"/>
        </w:rPr>
        <w:t>调整</w:t>
      </w:r>
      <w:r>
        <w:rPr>
          <w:rFonts w:hint="eastAsia"/>
          <w:color w:val="auto"/>
          <w:sz w:val="24"/>
          <w:szCs w:val="24"/>
          <w:highlight w:val="none"/>
        </w:rPr>
        <w:t>具体划分结果见表6-1。</w:t>
      </w:r>
    </w:p>
    <w:p w14:paraId="4BE60F5E">
      <w:pPr>
        <w:ind w:firstLine="470"/>
        <w:rPr>
          <w:rFonts w:hint="default" w:ascii="Times New Roman" w:hAnsi="Times New Roman" w:cs="Times New Roman"/>
          <w:color w:val="auto"/>
          <w:sz w:val="24"/>
          <w:szCs w:val="24"/>
          <w:highlight w:val="none"/>
        </w:rPr>
        <w:sectPr>
          <w:pgSz w:w="11905" w:h="16838"/>
          <w:pgMar w:top="1474" w:right="1474" w:bottom="1474" w:left="1474" w:header="964" w:footer="992" w:gutter="0"/>
          <w:pgBorders>
            <w:top w:val="none" w:sz="0" w:space="0"/>
            <w:left w:val="none" w:sz="0" w:space="0"/>
            <w:bottom w:val="none" w:sz="0" w:space="0"/>
            <w:right w:val="none" w:sz="0" w:space="0"/>
          </w:pgBorders>
          <w:pgNumType w:fmt="decimal"/>
          <w:cols w:space="720" w:num="1"/>
          <w:docGrid w:type="linesAndChars" w:linePitch="347" w:charSpace="-1024"/>
        </w:sectPr>
      </w:pPr>
    </w:p>
    <w:p w14:paraId="17EDE7F2">
      <w:pPr>
        <w:spacing w:line="360" w:lineRule="auto"/>
        <w:ind w:firstLine="0" w:firstLineChars="0"/>
        <w:jc w:val="center"/>
        <w:rPr>
          <w:rFonts w:hint="eastAsia" w:ascii="Times New Roman" w:hAnsi="Times New Roman" w:eastAsia="黑体" w:cs="Times New Roman"/>
          <w:color w:val="auto"/>
          <w:kern w:val="0"/>
          <w:sz w:val="24"/>
          <w:szCs w:val="24"/>
          <w:highlight w:val="none"/>
        </w:rPr>
      </w:pPr>
      <w:r>
        <w:rPr>
          <w:rFonts w:ascii="Times New Roman" w:hAnsi="Times New Roman" w:eastAsia="黑体" w:cs="Times New Roman"/>
          <w:color w:val="auto"/>
          <w:kern w:val="0"/>
          <w:sz w:val="24"/>
          <w:szCs w:val="24"/>
          <w:highlight w:val="none"/>
        </w:rPr>
        <w:t>表</w:t>
      </w:r>
      <w:r>
        <w:rPr>
          <w:rFonts w:hint="eastAsia" w:ascii="Times New Roman" w:hAnsi="Times New Roman" w:eastAsia="黑体" w:cs="Times New Roman"/>
          <w:color w:val="auto"/>
          <w:kern w:val="0"/>
          <w:sz w:val="24"/>
          <w:szCs w:val="24"/>
          <w:highlight w:val="none"/>
        </w:rPr>
        <w:t>6</w:t>
      </w:r>
      <w:r>
        <w:rPr>
          <w:rFonts w:ascii="Times New Roman" w:hAnsi="Times New Roman" w:eastAsia="黑体" w:cs="Times New Roman"/>
          <w:color w:val="auto"/>
          <w:kern w:val="0"/>
          <w:sz w:val="24"/>
          <w:szCs w:val="24"/>
          <w:highlight w:val="none"/>
        </w:rPr>
        <w:t xml:space="preserve">-1 </w:t>
      </w:r>
      <w:r>
        <w:rPr>
          <w:rFonts w:hint="eastAsia" w:ascii="Times New Roman" w:hAnsi="Times New Roman" w:eastAsia="黑体" w:cs="Times New Roman"/>
          <w:color w:val="auto"/>
          <w:kern w:val="0"/>
          <w:sz w:val="24"/>
          <w:szCs w:val="24"/>
          <w:highlight w:val="none"/>
          <w:lang w:eastAsia="zh-CN"/>
        </w:rPr>
        <w:t>绥化市庆安县丰收乡等6个乡镇级和柳河镇新强村1个村屯级</w:t>
      </w:r>
      <w:r>
        <w:rPr>
          <w:rFonts w:hint="eastAsia" w:ascii="Times New Roman" w:hAnsi="Times New Roman" w:eastAsia="黑体" w:cs="Times New Roman"/>
          <w:color w:val="auto"/>
          <w:kern w:val="0"/>
          <w:sz w:val="24"/>
          <w:szCs w:val="24"/>
          <w:highlight w:val="none"/>
        </w:rPr>
        <w:t>饮用水水源保护区划分结果</w:t>
      </w:r>
    </w:p>
    <w:tbl>
      <w:tblPr>
        <w:tblStyle w:val="21"/>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00"/>
        <w:gridCol w:w="874"/>
        <w:gridCol w:w="1363"/>
        <w:gridCol w:w="928"/>
        <w:gridCol w:w="845"/>
        <w:gridCol w:w="1146"/>
        <w:gridCol w:w="954"/>
        <w:gridCol w:w="941"/>
        <w:gridCol w:w="1023"/>
        <w:gridCol w:w="2850"/>
        <w:gridCol w:w="722"/>
        <w:gridCol w:w="1052"/>
      </w:tblGrid>
      <w:tr w14:paraId="07DF61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7" w:hRule="atLeast"/>
          <w:tblHeader/>
          <w:jc w:val="center"/>
        </w:trPr>
        <w:tc>
          <w:tcPr>
            <w:tcW w:w="1400" w:type="dxa"/>
            <w:vMerge w:val="restart"/>
            <w:vAlign w:val="center"/>
          </w:tcPr>
          <w:p w14:paraId="66888838">
            <w:pPr>
              <w:widowControl/>
              <w:snapToGrid w:val="0"/>
              <w:spacing w:line="240" w:lineRule="auto"/>
              <w:ind w:firstLine="0" w:firstLineChars="0"/>
              <w:jc w:val="center"/>
              <w:rPr>
                <w:rFonts w:hint="default"/>
                <w:color w:val="auto"/>
                <w:highlight w:val="none"/>
                <w:lang w:val="zh-CN"/>
              </w:rPr>
            </w:pPr>
            <w:r>
              <w:rPr>
                <w:rFonts w:hint="eastAsia" w:ascii="Times New Roman" w:hAnsi="Times New Roman" w:eastAsia="宋体" w:cs="Times New Roman"/>
                <w:color w:val="auto"/>
                <w:kern w:val="0"/>
                <w:sz w:val="21"/>
                <w:szCs w:val="21"/>
                <w:highlight w:val="none"/>
              </w:rPr>
              <w:t>水源地名称</w:t>
            </w:r>
          </w:p>
        </w:tc>
        <w:tc>
          <w:tcPr>
            <w:tcW w:w="874" w:type="dxa"/>
            <w:vMerge w:val="restart"/>
            <w:vAlign w:val="center"/>
          </w:tcPr>
          <w:p w14:paraId="2BE3F4E9">
            <w:pPr>
              <w:widowControl/>
              <w:snapToGrid w:val="0"/>
              <w:spacing w:line="240" w:lineRule="auto"/>
              <w:ind w:firstLine="0" w:firstLineChars="0"/>
              <w:jc w:val="center"/>
              <w:rPr>
                <w:rFonts w:hint="default"/>
                <w:color w:val="auto"/>
                <w:highlight w:val="none"/>
                <w:lang w:val="zh-CN"/>
              </w:rPr>
            </w:pPr>
            <w:r>
              <w:rPr>
                <w:rFonts w:hint="eastAsia" w:ascii="Times New Roman" w:hAnsi="Times New Roman" w:eastAsia="宋体" w:cs="Times New Roman"/>
                <w:color w:val="auto"/>
                <w:kern w:val="0"/>
                <w:sz w:val="21"/>
                <w:szCs w:val="21"/>
                <w:highlight w:val="none"/>
              </w:rPr>
              <w:t>取水井编号</w:t>
            </w:r>
          </w:p>
        </w:tc>
        <w:tc>
          <w:tcPr>
            <w:tcW w:w="1363" w:type="dxa"/>
            <w:vMerge w:val="restart"/>
            <w:vAlign w:val="center"/>
          </w:tcPr>
          <w:p w14:paraId="28C07D73">
            <w:pPr>
              <w:widowControl/>
              <w:snapToGrid w:val="0"/>
              <w:spacing w:line="240" w:lineRule="auto"/>
              <w:ind w:firstLine="0" w:firstLineChars="0"/>
              <w:jc w:val="center"/>
              <w:rPr>
                <w:rFonts w:hint="default"/>
                <w:color w:val="auto"/>
                <w:highlight w:val="none"/>
                <w:lang w:val="zh-CN"/>
              </w:rPr>
            </w:pPr>
            <w:r>
              <w:rPr>
                <w:rFonts w:hint="eastAsia" w:ascii="Times New Roman" w:hAnsi="Times New Roman" w:eastAsia="宋体" w:cs="Times New Roman"/>
                <w:color w:val="auto"/>
                <w:kern w:val="0"/>
                <w:sz w:val="21"/>
                <w:szCs w:val="21"/>
                <w:highlight w:val="none"/>
              </w:rPr>
              <w:t>服务行政区域名称</w:t>
            </w:r>
          </w:p>
        </w:tc>
        <w:tc>
          <w:tcPr>
            <w:tcW w:w="928" w:type="dxa"/>
            <w:vMerge w:val="restart"/>
            <w:vAlign w:val="center"/>
          </w:tcPr>
          <w:p w14:paraId="4D10B494">
            <w:pPr>
              <w:widowControl/>
              <w:snapToGrid w:val="0"/>
              <w:spacing w:line="240" w:lineRule="auto"/>
              <w:ind w:firstLine="0" w:firstLineChars="0"/>
              <w:jc w:val="center"/>
              <w:rPr>
                <w:rFonts w:hint="default"/>
                <w:color w:val="auto"/>
                <w:highlight w:val="none"/>
                <w:lang w:val="zh-CN"/>
              </w:rPr>
            </w:pPr>
            <w:r>
              <w:rPr>
                <w:rFonts w:hint="eastAsia" w:ascii="Times New Roman" w:hAnsi="Times New Roman" w:eastAsia="宋体" w:cs="Times New Roman"/>
                <w:color w:val="auto"/>
                <w:kern w:val="0"/>
                <w:sz w:val="21"/>
                <w:szCs w:val="21"/>
                <w:highlight w:val="none"/>
              </w:rPr>
              <w:t>水源地类型</w:t>
            </w:r>
          </w:p>
        </w:tc>
        <w:tc>
          <w:tcPr>
            <w:tcW w:w="845" w:type="dxa"/>
            <w:vMerge w:val="restart"/>
            <w:vAlign w:val="center"/>
          </w:tcPr>
          <w:p w14:paraId="5FF1D348">
            <w:pPr>
              <w:widowControl/>
              <w:snapToGrid w:val="0"/>
              <w:spacing w:line="240" w:lineRule="auto"/>
              <w:ind w:firstLine="0" w:firstLineChars="0"/>
              <w:jc w:val="center"/>
              <w:rPr>
                <w:rFonts w:hint="default"/>
                <w:color w:val="auto"/>
                <w:highlight w:val="none"/>
                <w:lang w:val="zh-CN"/>
              </w:rPr>
            </w:pPr>
            <w:r>
              <w:rPr>
                <w:rFonts w:hint="eastAsia" w:ascii="Times New Roman" w:hAnsi="Times New Roman" w:eastAsia="宋体" w:cs="Times New Roman"/>
                <w:color w:val="auto"/>
                <w:kern w:val="0"/>
                <w:sz w:val="21"/>
                <w:szCs w:val="21"/>
                <w:highlight w:val="none"/>
              </w:rPr>
              <w:t>建成时间</w:t>
            </w:r>
          </w:p>
        </w:tc>
        <w:tc>
          <w:tcPr>
            <w:tcW w:w="2100" w:type="dxa"/>
            <w:gridSpan w:val="2"/>
            <w:vAlign w:val="center"/>
          </w:tcPr>
          <w:p w14:paraId="428315C9">
            <w:pPr>
              <w:widowControl/>
              <w:snapToGrid w:val="0"/>
              <w:spacing w:line="240" w:lineRule="auto"/>
              <w:ind w:firstLine="0" w:firstLineChars="0"/>
              <w:jc w:val="center"/>
              <w:rPr>
                <w:rFonts w:hint="default"/>
                <w:color w:val="auto"/>
                <w:highlight w:val="none"/>
                <w:lang w:val="zh-CN"/>
              </w:rPr>
            </w:pPr>
            <w:r>
              <w:rPr>
                <w:rFonts w:hint="eastAsia" w:ascii="Times New Roman" w:hAnsi="Times New Roman" w:eastAsia="宋体" w:cs="Times New Roman"/>
                <w:color w:val="auto"/>
                <w:kern w:val="0"/>
                <w:sz w:val="21"/>
                <w:szCs w:val="21"/>
                <w:highlight w:val="none"/>
              </w:rPr>
              <w:t>取水井坐标</w:t>
            </w:r>
          </w:p>
        </w:tc>
        <w:tc>
          <w:tcPr>
            <w:tcW w:w="941" w:type="dxa"/>
            <w:vMerge w:val="restart"/>
            <w:vAlign w:val="center"/>
          </w:tcPr>
          <w:p w14:paraId="4A2FEDBA">
            <w:pPr>
              <w:widowControl/>
              <w:snapToGrid w:val="0"/>
              <w:spacing w:line="240" w:lineRule="auto"/>
              <w:ind w:firstLine="0" w:firstLineChars="0"/>
              <w:jc w:val="center"/>
              <w:rPr>
                <w:rFonts w:hint="default"/>
                <w:color w:val="auto"/>
                <w:highlight w:val="none"/>
                <w:lang w:val="zh-CN"/>
              </w:rPr>
            </w:pPr>
            <w:r>
              <w:rPr>
                <w:rFonts w:hint="eastAsia" w:ascii="Times New Roman" w:hAnsi="Times New Roman" w:eastAsia="宋体" w:cs="Times New Roman"/>
                <w:color w:val="auto"/>
                <w:kern w:val="0"/>
                <w:sz w:val="21"/>
                <w:szCs w:val="21"/>
                <w:highlight w:val="none"/>
              </w:rPr>
              <w:t>服务人口（人）</w:t>
            </w:r>
          </w:p>
        </w:tc>
        <w:tc>
          <w:tcPr>
            <w:tcW w:w="1023" w:type="dxa"/>
            <w:vMerge w:val="restart"/>
            <w:vAlign w:val="center"/>
          </w:tcPr>
          <w:p w14:paraId="57266105">
            <w:pPr>
              <w:widowControl/>
              <w:snapToGrid w:val="0"/>
              <w:spacing w:line="240" w:lineRule="auto"/>
              <w:ind w:firstLine="0" w:firstLineChars="0"/>
              <w:jc w:val="center"/>
              <w:rPr>
                <w:rFonts w:hint="default"/>
                <w:color w:val="auto"/>
                <w:highlight w:val="none"/>
                <w:lang w:val="zh-CN"/>
              </w:rPr>
            </w:pPr>
            <w:r>
              <w:rPr>
                <w:rFonts w:hint="eastAsia" w:ascii="Times New Roman" w:hAnsi="Times New Roman" w:eastAsia="宋体" w:cs="Times New Roman"/>
                <w:color w:val="auto"/>
                <w:kern w:val="0"/>
                <w:sz w:val="21"/>
                <w:szCs w:val="21"/>
                <w:highlight w:val="none"/>
              </w:rPr>
              <w:t>水处理工艺</w:t>
            </w:r>
          </w:p>
        </w:tc>
        <w:tc>
          <w:tcPr>
            <w:tcW w:w="4624" w:type="dxa"/>
            <w:gridSpan w:val="3"/>
            <w:vAlign w:val="center"/>
          </w:tcPr>
          <w:p w14:paraId="2B81B89D">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hint="eastAsia" w:ascii="Times New Roman" w:hAnsi="Times New Roman" w:eastAsia="宋体" w:cs="Times New Roman"/>
                <w:color w:val="auto"/>
                <w:kern w:val="0"/>
                <w:sz w:val="21"/>
                <w:szCs w:val="21"/>
                <w:highlight w:val="none"/>
              </w:rPr>
              <w:t>保护区范围</w:t>
            </w:r>
          </w:p>
        </w:tc>
      </w:tr>
      <w:tr w14:paraId="2DA84D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7" w:hRule="atLeast"/>
          <w:tblHeader/>
          <w:jc w:val="center"/>
        </w:trPr>
        <w:tc>
          <w:tcPr>
            <w:tcW w:w="1400" w:type="dxa"/>
            <w:vMerge w:val="continue"/>
            <w:vAlign w:val="center"/>
          </w:tcPr>
          <w:p w14:paraId="1465B479">
            <w:pPr>
              <w:widowControl/>
              <w:snapToGrid w:val="0"/>
              <w:spacing w:line="240" w:lineRule="auto"/>
              <w:ind w:firstLine="0" w:firstLineChars="0"/>
              <w:jc w:val="center"/>
              <w:rPr>
                <w:color w:val="auto"/>
                <w:highlight w:val="none"/>
              </w:rPr>
            </w:pPr>
          </w:p>
        </w:tc>
        <w:tc>
          <w:tcPr>
            <w:tcW w:w="874" w:type="dxa"/>
            <w:vMerge w:val="continue"/>
            <w:vAlign w:val="center"/>
          </w:tcPr>
          <w:p w14:paraId="74F2D1BD">
            <w:pPr>
              <w:widowControl/>
              <w:snapToGrid w:val="0"/>
              <w:spacing w:line="240" w:lineRule="auto"/>
              <w:ind w:firstLine="0" w:firstLineChars="0"/>
              <w:jc w:val="center"/>
              <w:rPr>
                <w:color w:val="auto"/>
                <w:highlight w:val="none"/>
              </w:rPr>
            </w:pPr>
          </w:p>
        </w:tc>
        <w:tc>
          <w:tcPr>
            <w:tcW w:w="1363" w:type="dxa"/>
            <w:vMerge w:val="continue"/>
            <w:vAlign w:val="center"/>
          </w:tcPr>
          <w:p w14:paraId="2CDBC778">
            <w:pPr>
              <w:widowControl/>
              <w:snapToGrid w:val="0"/>
              <w:spacing w:line="240" w:lineRule="auto"/>
              <w:ind w:firstLine="0" w:firstLineChars="0"/>
              <w:jc w:val="center"/>
              <w:rPr>
                <w:color w:val="auto"/>
                <w:highlight w:val="none"/>
              </w:rPr>
            </w:pPr>
          </w:p>
        </w:tc>
        <w:tc>
          <w:tcPr>
            <w:tcW w:w="928" w:type="dxa"/>
            <w:vMerge w:val="continue"/>
            <w:vAlign w:val="center"/>
          </w:tcPr>
          <w:p w14:paraId="7A498C52">
            <w:pPr>
              <w:widowControl/>
              <w:snapToGrid w:val="0"/>
              <w:spacing w:line="240" w:lineRule="auto"/>
              <w:ind w:firstLine="0" w:firstLineChars="0"/>
              <w:jc w:val="center"/>
              <w:rPr>
                <w:color w:val="auto"/>
                <w:highlight w:val="none"/>
              </w:rPr>
            </w:pPr>
          </w:p>
        </w:tc>
        <w:tc>
          <w:tcPr>
            <w:tcW w:w="845" w:type="dxa"/>
            <w:vMerge w:val="continue"/>
            <w:vAlign w:val="center"/>
          </w:tcPr>
          <w:p w14:paraId="54313681">
            <w:pPr>
              <w:widowControl/>
              <w:snapToGrid w:val="0"/>
              <w:spacing w:line="240" w:lineRule="auto"/>
              <w:ind w:firstLine="0" w:firstLineChars="0"/>
              <w:jc w:val="center"/>
              <w:rPr>
                <w:color w:val="auto"/>
                <w:highlight w:val="none"/>
              </w:rPr>
            </w:pPr>
          </w:p>
        </w:tc>
        <w:tc>
          <w:tcPr>
            <w:tcW w:w="1146" w:type="dxa"/>
            <w:vAlign w:val="center"/>
          </w:tcPr>
          <w:p w14:paraId="4091438A">
            <w:pPr>
              <w:widowControl/>
              <w:snapToGrid w:val="0"/>
              <w:spacing w:line="240" w:lineRule="auto"/>
              <w:ind w:firstLine="0" w:firstLineChars="0"/>
              <w:jc w:val="center"/>
              <w:rPr>
                <w:color w:val="auto"/>
                <w:highlight w:val="none"/>
              </w:rPr>
            </w:pPr>
            <w:r>
              <w:rPr>
                <w:rFonts w:hint="eastAsia" w:ascii="Times New Roman" w:hAnsi="Times New Roman" w:eastAsia="宋体" w:cs="Times New Roman"/>
                <w:color w:val="auto"/>
                <w:kern w:val="0"/>
                <w:sz w:val="21"/>
                <w:szCs w:val="21"/>
                <w:highlight w:val="none"/>
              </w:rPr>
              <w:t>东经</w:t>
            </w:r>
          </w:p>
        </w:tc>
        <w:tc>
          <w:tcPr>
            <w:tcW w:w="954" w:type="dxa"/>
            <w:vAlign w:val="center"/>
          </w:tcPr>
          <w:p w14:paraId="3D8CB708">
            <w:pPr>
              <w:widowControl/>
              <w:snapToGrid w:val="0"/>
              <w:spacing w:line="240" w:lineRule="auto"/>
              <w:ind w:firstLine="0" w:firstLineChars="0"/>
              <w:jc w:val="center"/>
              <w:rPr>
                <w:color w:val="auto"/>
                <w:highlight w:val="none"/>
              </w:rPr>
            </w:pPr>
            <w:r>
              <w:rPr>
                <w:rFonts w:hint="eastAsia" w:ascii="Times New Roman" w:hAnsi="Times New Roman" w:eastAsia="宋体" w:cs="Times New Roman"/>
                <w:color w:val="auto"/>
                <w:kern w:val="0"/>
                <w:sz w:val="21"/>
                <w:szCs w:val="21"/>
                <w:highlight w:val="none"/>
              </w:rPr>
              <w:t>北纬</w:t>
            </w:r>
          </w:p>
        </w:tc>
        <w:tc>
          <w:tcPr>
            <w:tcW w:w="941" w:type="dxa"/>
            <w:vMerge w:val="continue"/>
            <w:vAlign w:val="center"/>
          </w:tcPr>
          <w:p w14:paraId="549DE2ED">
            <w:pPr>
              <w:widowControl/>
              <w:snapToGrid w:val="0"/>
              <w:spacing w:line="240" w:lineRule="auto"/>
              <w:ind w:firstLine="0" w:firstLineChars="0"/>
              <w:jc w:val="center"/>
              <w:rPr>
                <w:color w:val="auto"/>
                <w:highlight w:val="none"/>
              </w:rPr>
            </w:pPr>
          </w:p>
        </w:tc>
        <w:tc>
          <w:tcPr>
            <w:tcW w:w="1023" w:type="dxa"/>
            <w:vMerge w:val="continue"/>
            <w:vAlign w:val="center"/>
          </w:tcPr>
          <w:p w14:paraId="0D77A1BE">
            <w:pPr>
              <w:widowControl/>
              <w:snapToGrid w:val="0"/>
              <w:spacing w:line="240" w:lineRule="auto"/>
              <w:ind w:firstLine="0" w:firstLineChars="0"/>
              <w:jc w:val="center"/>
              <w:rPr>
                <w:color w:val="auto"/>
                <w:highlight w:val="none"/>
              </w:rPr>
            </w:pPr>
          </w:p>
        </w:tc>
        <w:tc>
          <w:tcPr>
            <w:tcW w:w="2850" w:type="dxa"/>
            <w:vAlign w:val="center"/>
          </w:tcPr>
          <w:p w14:paraId="4FB52BC6">
            <w:pPr>
              <w:widowControl/>
              <w:snapToGrid w:val="0"/>
              <w:spacing w:line="240" w:lineRule="auto"/>
              <w:ind w:firstLine="0" w:firstLineChars="0"/>
              <w:jc w:val="center"/>
              <w:rPr>
                <w:color w:val="auto"/>
                <w:highlight w:val="none"/>
              </w:rPr>
            </w:pPr>
            <w:r>
              <w:rPr>
                <w:rFonts w:hint="eastAsia" w:ascii="Times New Roman" w:hAnsi="Times New Roman" w:eastAsia="宋体" w:cs="Times New Roman"/>
                <w:color w:val="auto"/>
                <w:kern w:val="0"/>
                <w:sz w:val="21"/>
                <w:szCs w:val="21"/>
                <w:highlight w:val="none"/>
              </w:rPr>
              <w:t>一级</w:t>
            </w:r>
          </w:p>
        </w:tc>
        <w:tc>
          <w:tcPr>
            <w:tcW w:w="722" w:type="dxa"/>
            <w:vAlign w:val="center"/>
          </w:tcPr>
          <w:p w14:paraId="1A6E8F8C">
            <w:pPr>
              <w:widowControl/>
              <w:snapToGrid w:val="0"/>
              <w:spacing w:line="240" w:lineRule="auto"/>
              <w:ind w:firstLine="0" w:firstLineChars="0"/>
              <w:jc w:val="center"/>
              <w:rPr>
                <w:color w:val="auto"/>
                <w:highlight w:val="none"/>
              </w:rPr>
            </w:pPr>
            <w:r>
              <w:rPr>
                <w:rFonts w:hint="eastAsia" w:ascii="Times New Roman" w:hAnsi="Times New Roman" w:eastAsia="宋体" w:cs="Times New Roman"/>
                <w:color w:val="auto"/>
                <w:kern w:val="0"/>
                <w:sz w:val="21"/>
                <w:szCs w:val="21"/>
                <w:highlight w:val="none"/>
              </w:rPr>
              <w:t>二级</w:t>
            </w:r>
          </w:p>
        </w:tc>
        <w:tc>
          <w:tcPr>
            <w:tcW w:w="1052" w:type="dxa"/>
            <w:vAlign w:val="center"/>
          </w:tcPr>
          <w:p w14:paraId="31A2BAE1">
            <w:pPr>
              <w:widowControl/>
              <w:snapToGrid w:val="0"/>
              <w:spacing w:line="240" w:lineRule="auto"/>
              <w:ind w:firstLine="0" w:firstLineChars="0"/>
              <w:jc w:val="center"/>
              <w:rPr>
                <w:color w:val="auto"/>
                <w:highlight w:val="none"/>
              </w:rPr>
            </w:pPr>
            <w:r>
              <w:rPr>
                <w:rFonts w:hint="eastAsia" w:ascii="Times New Roman" w:hAnsi="Times New Roman" w:eastAsia="宋体" w:cs="Times New Roman"/>
                <w:color w:val="auto"/>
                <w:kern w:val="0"/>
                <w:sz w:val="21"/>
                <w:szCs w:val="21"/>
                <w:highlight w:val="none"/>
              </w:rPr>
              <w:t>准保护区</w:t>
            </w:r>
          </w:p>
        </w:tc>
      </w:tr>
      <w:tr w14:paraId="6A27FD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00" w:type="dxa"/>
            <w:vMerge w:val="restart"/>
            <w:vAlign w:val="center"/>
          </w:tcPr>
          <w:p w14:paraId="533FD281">
            <w:pPr>
              <w:widowControl/>
              <w:spacing w:line="240" w:lineRule="auto"/>
              <w:ind w:firstLine="0" w:firstLineChars="0"/>
              <w:jc w:val="center"/>
              <w:textAlignment w:val="center"/>
              <w:rPr>
                <w:rFonts w:hint="default"/>
                <w:color w:val="auto"/>
                <w:highlight w:val="none"/>
                <w:lang w:val="zh-CN"/>
              </w:rPr>
            </w:pPr>
            <w:r>
              <w:rPr>
                <w:rFonts w:hint="eastAsia" w:ascii="Times New Roman" w:hAnsi="Times New Roman" w:eastAsia="宋体" w:cs="Times New Roman"/>
                <w:color w:val="auto"/>
                <w:kern w:val="0"/>
                <w:sz w:val="21"/>
                <w:szCs w:val="21"/>
                <w:highlight w:val="none"/>
                <w:lang w:val="en-US" w:eastAsia="zh-CN" w:bidi="ar"/>
              </w:rPr>
              <w:t>绥化市庆安县发展乡</w:t>
            </w:r>
            <w:r>
              <w:rPr>
                <w:rFonts w:ascii="Times New Roman" w:hAnsi="Times New Roman" w:eastAsia="宋体" w:cs="Times New Roman"/>
                <w:color w:val="auto"/>
                <w:kern w:val="0"/>
                <w:sz w:val="21"/>
                <w:szCs w:val="21"/>
                <w:highlight w:val="none"/>
                <w:lang w:bidi="ar"/>
              </w:rPr>
              <w:t>饮用水水源地</w:t>
            </w:r>
          </w:p>
        </w:tc>
        <w:tc>
          <w:tcPr>
            <w:tcW w:w="874" w:type="dxa"/>
            <w:vAlign w:val="center"/>
          </w:tcPr>
          <w:p w14:paraId="78B17F09">
            <w:pPr>
              <w:pStyle w:val="30"/>
              <w:keepNext w:val="0"/>
              <w:keepLines w:val="0"/>
              <w:pageBreakBefore w:val="0"/>
              <w:widowControl w:val="0"/>
              <w:kinsoku/>
              <w:wordWrap/>
              <w:overflowPunct/>
              <w:topLinePunct w:val="0"/>
              <w:autoSpaceDE/>
              <w:autoSpaceDN/>
              <w:bidi w:val="0"/>
              <w:adjustRightInd/>
              <w:snapToGrid/>
              <w:spacing w:line="288" w:lineRule="auto"/>
              <w:textAlignment w:val="auto"/>
              <w:rPr>
                <w:rFonts w:hint="default"/>
                <w:color w:val="auto"/>
                <w:highlight w:val="none"/>
                <w:lang w:val="zh-CN"/>
              </w:rPr>
            </w:pPr>
            <w:r>
              <w:rPr>
                <w:color w:val="auto"/>
                <w:highlight w:val="none"/>
              </w:rPr>
              <w:t>1#</w:t>
            </w:r>
          </w:p>
        </w:tc>
        <w:tc>
          <w:tcPr>
            <w:tcW w:w="1363" w:type="dxa"/>
            <w:vMerge w:val="restart"/>
            <w:vAlign w:val="center"/>
          </w:tcPr>
          <w:p w14:paraId="62119BE4">
            <w:pPr>
              <w:widowControl/>
              <w:spacing w:line="240" w:lineRule="auto"/>
              <w:ind w:firstLine="0" w:firstLineChars="0"/>
              <w:jc w:val="center"/>
              <w:textAlignment w:val="center"/>
              <w:rPr>
                <w:rFonts w:hint="default"/>
                <w:color w:val="auto"/>
                <w:highlight w:val="none"/>
                <w:lang w:val="zh-CN"/>
              </w:rPr>
            </w:pPr>
            <w:r>
              <w:rPr>
                <w:rFonts w:hint="eastAsia"/>
                <w:color w:val="auto"/>
                <w:spacing w:val="-3"/>
                <w:sz w:val="21"/>
                <w:szCs w:val="21"/>
                <w:highlight w:val="none"/>
              </w:rPr>
              <w:t>发展乡内发富村、发展村、发祥村、发明村、发源村</w:t>
            </w:r>
            <w:r>
              <w:rPr>
                <w:rFonts w:hint="eastAsia"/>
                <w:color w:val="auto"/>
                <w:spacing w:val="-3"/>
                <w:sz w:val="21"/>
                <w:szCs w:val="21"/>
                <w:highlight w:val="none"/>
                <w:lang w:eastAsia="zh-CN"/>
              </w:rPr>
              <w:t>、</w:t>
            </w:r>
            <w:r>
              <w:rPr>
                <w:rFonts w:hint="eastAsia"/>
                <w:color w:val="auto"/>
                <w:spacing w:val="-3"/>
                <w:sz w:val="21"/>
                <w:szCs w:val="21"/>
                <w:highlight w:val="none"/>
              </w:rPr>
              <w:t>东农业队，共计</w:t>
            </w:r>
            <w:r>
              <w:rPr>
                <w:rFonts w:hint="eastAsia"/>
                <w:color w:val="auto"/>
                <w:spacing w:val="-3"/>
                <w:sz w:val="21"/>
                <w:szCs w:val="21"/>
                <w:highlight w:val="none"/>
                <w:lang w:val="en-US" w:eastAsia="zh-CN"/>
              </w:rPr>
              <w:t>5</w:t>
            </w:r>
            <w:r>
              <w:rPr>
                <w:rFonts w:hint="eastAsia"/>
                <w:color w:val="auto"/>
                <w:spacing w:val="-3"/>
                <w:sz w:val="21"/>
                <w:szCs w:val="21"/>
                <w:highlight w:val="none"/>
              </w:rPr>
              <w:t>个行政村4</w:t>
            </w:r>
            <w:r>
              <w:rPr>
                <w:rFonts w:hint="eastAsia"/>
                <w:color w:val="auto"/>
                <w:spacing w:val="-3"/>
                <w:sz w:val="21"/>
                <w:szCs w:val="21"/>
                <w:highlight w:val="none"/>
                <w:lang w:val="en-US" w:eastAsia="zh-CN"/>
              </w:rPr>
              <w:t>7</w:t>
            </w:r>
            <w:r>
              <w:rPr>
                <w:rFonts w:hint="eastAsia"/>
                <w:color w:val="auto"/>
                <w:spacing w:val="-3"/>
                <w:sz w:val="21"/>
                <w:szCs w:val="21"/>
                <w:highlight w:val="none"/>
              </w:rPr>
              <w:t>个自然屯、1个奶牛场及1个农业队</w:t>
            </w:r>
          </w:p>
        </w:tc>
        <w:tc>
          <w:tcPr>
            <w:tcW w:w="928" w:type="dxa"/>
            <w:vAlign w:val="center"/>
          </w:tcPr>
          <w:p w14:paraId="71783849">
            <w:pPr>
              <w:widowControl/>
              <w:snapToGrid w:val="0"/>
              <w:spacing w:line="240" w:lineRule="auto"/>
              <w:ind w:firstLine="0" w:firstLineChars="0"/>
              <w:jc w:val="center"/>
              <w:rPr>
                <w:rFonts w:hint="default"/>
                <w:color w:val="auto"/>
                <w:highlight w:val="none"/>
              </w:rPr>
            </w:pPr>
            <w:r>
              <w:rPr>
                <w:rFonts w:hint="eastAsia" w:ascii="Times New Roman" w:hAnsi="Times New Roman" w:eastAsia="宋体" w:cs="Times New Roman"/>
                <w:color w:val="auto"/>
                <w:kern w:val="0"/>
                <w:sz w:val="21"/>
                <w:szCs w:val="21"/>
                <w:highlight w:val="none"/>
              </w:rPr>
              <w:t>地下水型</w:t>
            </w:r>
          </w:p>
        </w:tc>
        <w:tc>
          <w:tcPr>
            <w:tcW w:w="845" w:type="dxa"/>
            <w:vMerge w:val="restart"/>
            <w:vAlign w:val="center"/>
          </w:tcPr>
          <w:p w14:paraId="55229D77">
            <w:pPr>
              <w:pStyle w:val="30"/>
              <w:keepNext w:val="0"/>
              <w:keepLines w:val="0"/>
              <w:pageBreakBefore w:val="0"/>
              <w:widowControl w:val="0"/>
              <w:kinsoku/>
              <w:wordWrap/>
              <w:overflowPunct/>
              <w:topLinePunct w:val="0"/>
              <w:autoSpaceDE/>
              <w:autoSpaceDN/>
              <w:bidi w:val="0"/>
              <w:adjustRightInd/>
              <w:snapToGrid/>
              <w:spacing w:line="288" w:lineRule="auto"/>
              <w:textAlignment w:val="auto"/>
              <w:rPr>
                <w:rFonts w:hint="default"/>
                <w:color w:val="auto"/>
                <w:highlight w:val="none"/>
              </w:rPr>
            </w:pPr>
            <w:r>
              <w:rPr>
                <w:rFonts w:hint="eastAsia" w:cs="Times New Roman"/>
                <w:color w:val="auto"/>
                <w:kern w:val="0"/>
                <w:sz w:val="21"/>
                <w:szCs w:val="21"/>
                <w:highlight w:val="none"/>
                <w:lang w:val="en-US" w:eastAsia="zh-CN"/>
              </w:rPr>
              <w:t>2024年</w:t>
            </w:r>
          </w:p>
        </w:tc>
        <w:tc>
          <w:tcPr>
            <w:tcW w:w="1146" w:type="dxa"/>
            <w:vAlign w:val="center"/>
          </w:tcPr>
          <w:p w14:paraId="0571B475">
            <w:pPr>
              <w:widowControl/>
              <w:snapToGrid w:val="0"/>
              <w:spacing w:line="240" w:lineRule="auto"/>
              <w:ind w:firstLine="0" w:firstLineChars="0"/>
              <w:jc w:val="center"/>
              <w:rPr>
                <w:rFonts w:hint="default" w:ascii="Times New Roman" w:hAnsi="Times New Roman" w:cs="Times New Roman"/>
                <w:color w:val="auto"/>
                <w:highlight w:val="none"/>
              </w:rPr>
            </w:pPr>
            <w:r>
              <w:rPr>
                <w:rFonts w:hint="default" w:ascii="Times New Roman" w:hAnsi="Times New Roman" w:eastAsia="宋体" w:cs="Times New Roman"/>
                <w:color w:val="auto"/>
                <w:kern w:val="0"/>
                <w:sz w:val="21"/>
                <w:szCs w:val="21"/>
                <w:highlight w:val="none"/>
                <w:lang w:val="en-US" w:eastAsia="zh-CN"/>
              </w:rPr>
              <w:t>127°40'45.8207"</w:t>
            </w:r>
          </w:p>
        </w:tc>
        <w:tc>
          <w:tcPr>
            <w:tcW w:w="954" w:type="dxa"/>
            <w:vAlign w:val="center"/>
          </w:tcPr>
          <w:p w14:paraId="3C05217A">
            <w:pPr>
              <w:widowControl/>
              <w:snapToGrid w:val="0"/>
              <w:spacing w:line="240" w:lineRule="auto"/>
              <w:ind w:firstLine="0" w:firstLineChars="0"/>
              <w:jc w:val="center"/>
              <w:rPr>
                <w:rFonts w:hint="default" w:ascii="Times New Roman" w:hAnsi="Times New Roman" w:cs="Times New Roman"/>
                <w:color w:val="auto"/>
                <w:highlight w:val="none"/>
              </w:rPr>
            </w:pPr>
            <w:r>
              <w:rPr>
                <w:rFonts w:hint="default" w:ascii="Times New Roman" w:hAnsi="Times New Roman" w:eastAsia="宋体" w:cs="Times New Roman"/>
                <w:color w:val="auto"/>
                <w:kern w:val="0"/>
                <w:sz w:val="21"/>
                <w:szCs w:val="21"/>
                <w:highlight w:val="none"/>
                <w:lang w:val="en-US" w:eastAsia="zh-CN"/>
              </w:rPr>
              <w:t>47°03'03.0287"</w:t>
            </w:r>
          </w:p>
        </w:tc>
        <w:tc>
          <w:tcPr>
            <w:tcW w:w="941" w:type="dxa"/>
            <w:vMerge w:val="restart"/>
            <w:vAlign w:val="center"/>
          </w:tcPr>
          <w:p w14:paraId="3EE1683B">
            <w:pPr>
              <w:widowControl/>
              <w:spacing w:line="240" w:lineRule="auto"/>
              <w:ind w:firstLine="0" w:firstLineChars="0"/>
              <w:jc w:val="center"/>
              <w:textAlignment w:val="center"/>
              <w:rPr>
                <w:rFonts w:hint="default"/>
                <w:color w:val="auto"/>
                <w:highlight w:val="none"/>
              </w:rPr>
            </w:pPr>
            <w:r>
              <w:rPr>
                <w:rFonts w:hint="default" w:ascii="Times New Roman" w:hAnsi="Times New Roman" w:eastAsia="宋体" w:cs="Times New Roman"/>
                <w:color w:val="auto"/>
                <w:kern w:val="0"/>
                <w:sz w:val="21"/>
                <w:szCs w:val="21"/>
                <w:highlight w:val="none"/>
                <w:lang w:val="en-US" w:eastAsia="zh-CN" w:bidi="ar"/>
              </w:rPr>
              <w:t>9865</w:t>
            </w:r>
            <w:r>
              <w:rPr>
                <w:rFonts w:hint="eastAsia" w:ascii="Times New Roman" w:hAnsi="Times New Roman" w:eastAsia="宋体" w:cs="Times New Roman"/>
                <w:color w:val="auto"/>
                <w:kern w:val="0"/>
                <w:sz w:val="21"/>
                <w:szCs w:val="21"/>
                <w:highlight w:val="none"/>
                <w:lang w:val="en-US" w:eastAsia="zh-CN" w:bidi="ar"/>
              </w:rPr>
              <w:t>人</w:t>
            </w:r>
          </w:p>
        </w:tc>
        <w:tc>
          <w:tcPr>
            <w:tcW w:w="1023" w:type="dxa"/>
            <w:vMerge w:val="restart"/>
            <w:vAlign w:val="center"/>
          </w:tcPr>
          <w:p w14:paraId="79B4835A">
            <w:pPr>
              <w:widowControl/>
              <w:snapToGrid w:val="0"/>
              <w:spacing w:line="240" w:lineRule="auto"/>
              <w:ind w:firstLine="0" w:firstLineChars="0"/>
              <w:jc w:val="center"/>
              <w:rPr>
                <w:rFonts w:hint="default"/>
                <w:color w:val="auto"/>
                <w:highlight w:val="none"/>
              </w:rPr>
            </w:pPr>
            <w:r>
              <w:rPr>
                <w:rFonts w:hint="eastAsia"/>
                <w:color w:val="auto"/>
                <w:sz w:val="21"/>
                <w:szCs w:val="21"/>
                <w:highlight w:val="none"/>
              </w:rPr>
              <w:t>机械曝气</w:t>
            </w:r>
            <w:r>
              <w:rPr>
                <w:rFonts w:hint="eastAsia"/>
                <w:color w:val="auto"/>
                <w:sz w:val="21"/>
                <w:szCs w:val="21"/>
                <w:highlight w:val="none"/>
                <w:lang w:eastAsia="zh-CN"/>
              </w:rPr>
              <w:t>、</w:t>
            </w:r>
            <w:r>
              <w:rPr>
                <w:rFonts w:hint="eastAsia"/>
                <w:color w:val="auto"/>
                <w:sz w:val="21"/>
                <w:szCs w:val="21"/>
                <w:highlight w:val="none"/>
              </w:rPr>
              <w:t>锰砂过滤</w:t>
            </w:r>
            <w:r>
              <w:rPr>
                <w:rFonts w:hint="eastAsia"/>
                <w:color w:val="auto"/>
                <w:sz w:val="21"/>
                <w:szCs w:val="21"/>
                <w:highlight w:val="none"/>
                <w:lang w:eastAsia="zh-CN"/>
              </w:rPr>
              <w:t>、</w:t>
            </w:r>
            <w:r>
              <w:rPr>
                <w:rFonts w:hint="eastAsia"/>
                <w:color w:val="auto"/>
                <w:sz w:val="21"/>
                <w:szCs w:val="21"/>
                <w:highlight w:val="none"/>
              </w:rPr>
              <w:t>次氯酸钠消毒</w:t>
            </w:r>
          </w:p>
        </w:tc>
        <w:tc>
          <w:tcPr>
            <w:tcW w:w="2850" w:type="dxa"/>
            <w:vMerge w:val="restart"/>
            <w:vAlign w:val="center"/>
          </w:tcPr>
          <w:p w14:paraId="199417DE">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eastAsia" w:ascii="Times New Roman" w:hAnsi="Times New Roman" w:eastAsia="宋体" w:cs="Times New Roman"/>
                <w:color w:val="auto"/>
                <w:kern w:val="0"/>
                <w:sz w:val="21"/>
                <w:szCs w:val="21"/>
                <w:highlight w:val="none"/>
                <w:lang w:val="en-US" w:eastAsia="zh-CN"/>
              </w:rPr>
              <w:t>8</w:t>
            </w:r>
            <w:r>
              <w:rPr>
                <w:rFonts w:hint="eastAsia" w:ascii="Times New Roman" w:hAnsi="Times New Roman" w:eastAsia="宋体" w:cs="Times New Roman"/>
                <w:color w:val="auto"/>
                <w:kern w:val="0"/>
                <w:sz w:val="21"/>
                <w:szCs w:val="21"/>
                <w:highlight w:val="none"/>
              </w:rPr>
              <w:t>眼井，为裂隙承压水型，</w:t>
            </w:r>
            <w:r>
              <w:rPr>
                <w:rFonts w:hint="eastAsia" w:ascii="Times New Roman" w:hAnsi="Times New Roman" w:eastAsia="宋体" w:cs="Times New Roman"/>
                <w:color w:val="auto"/>
                <w:sz w:val="21"/>
                <w:szCs w:val="21"/>
                <w:highlight w:val="none"/>
                <w:lang w:val="en-US" w:eastAsia="zh-CN"/>
              </w:rPr>
              <w:t>一级保护区范围</w:t>
            </w:r>
            <w:r>
              <w:rPr>
                <w:rFonts w:hint="eastAsia" w:ascii="Times New Roman" w:hAnsi="Times New Roman" w:eastAsia="宋体" w:cs="Times New Roman"/>
                <w:color w:val="auto"/>
                <w:kern w:val="0"/>
                <w:sz w:val="21"/>
                <w:szCs w:val="21"/>
                <w:highlight w:val="none"/>
                <w:lang w:val="en-US" w:eastAsia="zh-CN"/>
              </w:rPr>
              <w:t>分别以8眼取水井为圆心，30米为半径的圆形区域，一级保护区总面积为22608平方米。</w:t>
            </w:r>
          </w:p>
        </w:tc>
        <w:tc>
          <w:tcPr>
            <w:tcW w:w="722" w:type="dxa"/>
            <w:vMerge w:val="restart"/>
            <w:vAlign w:val="center"/>
          </w:tcPr>
          <w:p w14:paraId="6849CEBE">
            <w:pPr>
              <w:widowControl/>
              <w:snapToGrid w:val="0"/>
              <w:spacing w:line="240" w:lineRule="auto"/>
              <w:ind w:firstLine="0" w:firstLineChars="0"/>
              <w:jc w:val="center"/>
              <w:rPr>
                <w:rFonts w:hint="default"/>
                <w:color w:val="auto"/>
                <w:highlight w:val="none"/>
              </w:rPr>
            </w:pPr>
            <w:r>
              <w:rPr>
                <w:rFonts w:hint="eastAsia" w:ascii="Times New Roman" w:hAnsi="Times New Roman" w:eastAsia="宋体" w:cs="Times New Roman"/>
                <w:color w:val="auto"/>
                <w:kern w:val="0"/>
                <w:sz w:val="21"/>
                <w:szCs w:val="21"/>
                <w:highlight w:val="none"/>
              </w:rPr>
              <w:t>无</w:t>
            </w:r>
          </w:p>
        </w:tc>
        <w:tc>
          <w:tcPr>
            <w:tcW w:w="1052" w:type="dxa"/>
            <w:vMerge w:val="restart"/>
            <w:vAlign w:val="center"/>
          </w:tcPr>
          <w:p w14:paraId="4137F2BC">
            <w:pPr>
              <w:widowControl/>
              <w:snapToGrid w:val="0"/>
              <w:spacing w:line="240" w:lineRule="auto"/>
              <w:ind w:firstLine="0" w:firstLineChars="0"/>
              <w:jc w:val="center"/>
              <w:rPr>
                <w:rFonts w:hint="default"/>
                <w:color w:val="auto"/>
                <w:highlight w:val="none"/>
              </w:rPr>
            </w:pPr>
            <w:r>
              <w:rPr>
                <w:rFonts w:hint="eastAsia" w:ascii="Times New Roman" w:hAnsi="Times New Roman" w:eastAsia="宋体" w:cs="Times New Roman"/>
                <w:color w:val="auto"/>
                <w:kern w:val="0"/>
                <w:sz w:val="21"/>
                <w:szCs w:val="21"/>
                <w:highlight w:val="none"/>
              </w:rPr>
              <w:t>无</w:t>
            </w:r>
          </w:p>
        </w:tc>
      </w:tr>
      <w:tr w14:paraId="2ECFBF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00" w:type="dxa"/>
            <w:vMerge w:val="continue"/>
            <w:vAlign w:val="center"/>
          </w:tcPr>
          <w:p w14:paraId="65D68FED">
            <w:pPr>
              <w:pStyle w:val="30"/>
              <w:keepNext w:val="0"/>
              <w:keepLines w:val="0"/>
              <w:pageBreakBefore w:val="0"/>
              <w:widowControl w:val="0"/>
              <w:kinsoku/>
              <w:wordWrap/>
              <w:overflowPunct/>
              <w:topLinePunct w:val="0"/>
              <w:autoSpaceDE/>
              <w:autoSpaceDN/>
              <w:bidi w:val="0"/>
              <w:adjustRightInd/>
              <w:snapToGrid/>
              <w:spacing w:line="288" w:lineRule="auto"/>
              <w:textAlignment w:val="auto"/>
              <w:rPr>
                <w:rFonts w:hint="default"/>
                <w:color w:val="auto"/>
                <w:highlight w:val="none"/>
                <w:lang w:val="zh-CN"/>
              </w:rPr>
            </w:pPr>
          </w:p>
        </w:tc>
        <w:tc>
          <w:tcPr>
            <w:tcW w:w="874" w:type="dxa"/>
            <w:vAlign w:val="center"/>
          </w:tcPr>
          <w:p w14:paraId="3D0C3FE0">
            <w:pPr>
              <w:pStyle w:val="30"/>
              <w:keepNext w:val="0"/>
              <w:keepLines w:val="0"/>
              <w:pageBreakBefore w:val="0"/>
              <w:widowControl w:val="0"/>
              <w:kinsoku/>
              <w:wordWrap/>
              <w:overflowPunct/>
              <w:topLinePunct w:val="0"/>
              <w:autoSpaceDE/>
              <w:autoSpaceDN/>
              <w:bidi w:val="0"/>
              <w:adjustRightInd/>
              <w:snapToGrid/>
              <w:spacing w:line="288" w:lineRule="auto"/>
              <w:textAlignment w:val="auto"/>
              <w:rPr>
                <w:rFonts w:hint="default"/>
                <w:color w:val="auto"/>
                <w:highlight w:val="none"/>
                <w:lang w:val="zh-CN"/>
              </w:rPr>
            </w:pPr>
            <w:r>
              <w:rPr>
                <w:color w:val="auto"/>
                <w:highlight w:val="none"/>
              </w:rPr>
              <w:t>2#</w:t>
            </w:r>
          </w:p>
        </w:tc>
        <w:tc>
          <w:tcPr>
            <w:tcW w:w="1363" w:type="dxa"/>
            <w:vMerge w:val="continue"/>
            <w:vAlign w:val="center"/>
          </w:tcPr>
          <w:p w14:paraId="2F7F11B3">
            <w:pPr>
              <w:widowControl/>
              <w:snapToGrid w:val="0"/>
              <w:spacing w:line="240" w:lineRule="auto"/>
              <w:ind w:firstLine="0" w:firstLineChars="0"/>
              <w:jc w:val="center"/>
              <w:rPr>
                <w:rFonts w:hint="default"/>
                <w:color w:val="auto"/>
                <w:highlight w:val="none"/>
                <w:lang w:val="zh-CN"/>
              </w:rPr>
            </w:pPr>
          </w:p>
        </w:tc>
        <w:tc>
          <w:tcPr>
            <w:tcW w:w="928" w:type="dxa"/>
            <w:vAlign w:val="center"/>
          </w:tcPr>
          <w:p w14:paraId="36BF5125">
            <w:pPr>
              <w:widowControl/>
              <w:snapToGrid w:val="0"/>
              <w:spacing w:line="240" w:lineRule="auto"/>
              <w:ind w:firstLine="0" w:firstLineChars="0"/>
              <w:jc w:val="center"/>
              <w:rPr>
                <w:rFonts w:hint="default"/>
                <w:color w:val="auto"/>
                <w:highlight w:val="none"/>
              </w:rPr>
            </w:pPr>
            <w:r>
              <w:rPr>
                <w:rFonts w:hint="eastAsia" w:ascii="Times New Roman" w:hAnsi="Times New Roman" w:eastAsia="宋体" w:cs="Times New Roman"/>
                <w:color w:val="auto"/>
                <w:kern w:val="0"/>
                <w:sz w:val="21"/>
                <w:szCs w:val="21"/>
                <w:highlight w:val="none"/>
              </w:rPr>
              <w:t>地下水型</w:t>
            </w:r>
          </w:p>
        </w:tc>
        <w:tc>
          <w:tcPr>
            <w:tcW w:w="845" w:type="dxa"/>
            <w:vMerge w:val="continue"/>
            <w:vAlign w:val="center"/>
          </w:tcPr>
          <w:p w14:paraId="3E966109">
            <w:pPr>
              <w:pStyle w:val="30"/>
              <w:keepNext w:val="0"/>
              <w:keepLines w:val="0"/>
              <w:pageBreakBefore w:val="0"/>
              <w:widowControl w:val="0"/>
              <w:kinsoku/>
              <w:wordWrap/>
              <w:overflowPunct/>
              <w:topLinePunct w:val="0"/>
              <w:autoSpaceDE/>
              <w:autoSpaceDN/>
              <w:bidi w:val="0"/>
              <w:adjustRightInd/>
              <w:snapToGrid/>
              <w:spacing w:line="288" w:lineRule="auto"/>
              <w:ind w:firstLine="0" w:firstLineChars="0"/>
              <w:textAlignment w:val="auto"/>
              <w:rPr>
                <w:rFonts w:hint="default"/>
                <w:color w:val="auto"/>
                <w:highlight w:val="none"/>
                <w:lang w:val="zh-CN"/>
              </w:rPr>
            </w:pPr>
          </w:p>
        </w:tc>
        <w:tc>
          <w:tcPr>
            <w:tcW w:w="1146" w:type="dxa"/>
            <w:vAlign w:val="center"/>
          </w:tcPr>
          <w:p w14:paraId="19C673B6">
            <w:pPr>
              <w:widowControl/>
              <w:snapToGrid w:val="0"/>
              <w:spacing w:line="240" w:lineRule="auto"/>
              <w:ind w:firstLine="0" w:firstLineChars="0"/>
              <w:jc w:val="center"/>
              <w:rPr>
                <w:rFonts w:hint="default" w:ascii="Times New Roman" w:hAnsi="Times New Roman" w:cs="Times New Roman"/>
                <w:color w:val="auto"/>
                <w:highlight w:val="none"/>
                <w:lang w:val="zh-CN"/>
              </w:rPr>
            </w:pPr>
            <w:r>
              <w:rPr>
                <w:rFonts w:hint="default" w:ascii="Times New Roman" w:hAnsi="Times New Roman" w:eastAsia="宋体" w:cs="Times New Roman"/>
                <w:color w:val="auto"/>
                <w:kern w:val="0"/>
                <w:sz w:val="21"/>
                <w:szCs w:val="21"/>
                <w:highlight w:val="none"/>
                <w:lang w:val="en-US" w:eastAsia="zh-CN"/>
              </w:rPr>
              <w:t>127°40'54.7042"</w:t>
            </w:r>
          </w:p>
        </w:tc>
        <w:tc>
          <w:tcPr>
            <w:tcW w:w="954" w:type="dxa"/>
            <w:vAlign w:val="center"/>
          </w:tcPr>
          <w:p w14:paraId="3773EF69">
            <w:pPr>
              <w:widowControl/>
              <w:snapToGrid w:val="0"/>
              <w:spacing w:line="240" w:lineRule="auto"/>
              <w:ind w:firstLine="0" w:firstLineChars="0"/>
              <w:jc w:val="center"/>
              <w:rPr>
                <w:rFonts w:hint="default" w:ascii="Times New Roman" w:hAnsi="Times New Roman" w:cs="Times New Roman"/>
                <w:color w:val="auto"/>
                <w:highlight w:val="none"/>
                <w:lang w:val="zh-CN"/>
              </w:rPr>
            </w:pPr>
            <w:r>
              <w:rPr>
                <w:rFonts w:hint="default" w:ascii="Times New Roman" w:hAnsi="Times New Roman" w:eastAsia="宋体" w:cs="Times New Roman"/>
                <w:color w:val="auto"/>
                <w:kern w:val="0"/>
                <w:sz w:val="21"/>
                <w:szCs w:val="21"/>
                <w:highlight w:val="none"/>
                <w:lang w:val="en-US" w:eastAsia="zh-CN"/>
              </w:rPr>
              <w:t>47°03'01.6011"</w:t>
            </w:r>
          </w:p>
        </w:tc>
        <w:tc>
          <w:tcPr>
            <w:tcW w:w="941" w:type="dxa"/>
            <w:vMerge w:val="continue"/>
            <w:vAlign w:val="center"/>
          </w:tcPr>
          <w:p w14:paraId="3165D9DA">
            <w:pPr>
              <w:pStyle w:val="30"/>
              <w:keepNext w:val="0"/>
              <w:keepLines w:val="0"/>
              <w:pageBreakBefore w:val="0"/>
              <w:widowControl w:val="0"/>
              <w:kinsoku/>
              <w:wordWrap/>
              <w:overflowPunct/>
              <w:topLinePunct w:val="0"/>
              <w:autoSpaceDE/>
              <w:autoSpaceDN/>
              <w:bidi w:val="0"/>
              <w:adjustRightInd/>
              <w:snapToGrid/>
              <w:spacing w:line="288" w:lineRule="auto"/>
              <w:ind w:firstLine="0" w:firstLineChars="0"/>
              <w:textAlignment w:val="auto"/>
              <w:rPr>
                <w:rFonts w:hint="default"/>
                <w:color w:val="auto"/>
                <w:highlight w:val="none"/>
                <w:lang w:val="zh-CN"/>
              </w:rPr>
            </w:pPr>
          </w:p>
        </w:tc>
        <w:tc>
          <w:tcPr>
            <w:tcW w:w="1023" w:type="dxa"/>
            <w:vMerge w:val="continue"/>
            <w:vAlign w:val="center"/>
          </w:tcPr>
          <w:p w14:paraId="705BC331">
            <w:pPr>
              <w:pStyle w:val="30"/>
              <w:keepNext w:val="0"/>
              <w:keepLines w:val="0"/>
              <w:pageBreakBefore w:val="0"/>
              <w:widowControl w:val="0"/>
              <w:kinsoku/>
              <w:wordWrap/>
              <w:overflowPunct/>
              <w:topLinePunct w:val="0"/>
              <w:autoSpaceDE/>
              <w:autoSpaceDN/>
              <w:bidi w:val="0"/>
              <w:adjustRightInd/>
              <w:snapToGrid/>
              <w:spacing w:line="288" w:lineRule="auto"/>
              <w:ind w:firstLine="0" w:firstLineChars="0"/>
              <w:textAlignment w:val="auto"/>
              <w:rPr>
                <w:rFonts w:hint="default"/>
                <w:color w:val="auto"/>
                <w:highlight w:val="none"/>
                <w:lang w:val="zh-CN"/>
              </w:rPr>
            </w:pPr>
          </w:p>
        </w:tc>
        <w:tc>
          <w:tcPr>
            <w:tcW w:w="2850" w:type="dxa"/>
            <w:vMerge w:val="continue"/>
            <w:vAlign w:val="center"/>
          </w:tcPr>
          <w:p w14:paraId="0061FB6E">
            <w:pPr>
              <w:widowControl/>
              <w:snapToGrid w:val="0"/>
              <w:spacing w:line="240" w:lineRule="auto"/>
              <w:ind w:left="0" w:leftChars="0" w:firstLine="0" w:firstLineChars="0"/>
              <w:jc w:val="center"/>
              <w:rPr>
                <w:rFonts w:hint="default" w:ascii="Times New Roman" w:hAnsi="Times New Roman" w:eastAsia="宋体" w:cs="Times New Roman"/>
                <w:color w:val="auto"/>
                <w:kern w:val="0"/>
                <w:sz w:val="21"/>
                <w:szCs w:val="21"/>
                <w:highlight w:val="none"/>
                <w:lang w:val="zh-CN"/>
              </w:rPr>
            </w:pPr>
          </w:p>
        </w:tc>
        <w:tc>
          <w:tcPr>
            <w:tcW w:w="722" w:type="dxa"/>
            <w:vMerge w:val="continue"/>
            <w:vAlign w:val="center"/>
          </w:tcPr>
          <w:p w14:paraId="1E1FF901">
            <w:pPr>
              <w:widowControl/>
              <w:snapToGrid w:val="0"/>
              <w:spacing w:line="240" w:lineRule="auto"/>
              <w:ind w:firstLine="0" w:firstLineChars="0"/>
              <w:jc w:val="center"/>
              <w:rPr>
                <w:rFonts w:hint="default"/>
                <w:color w:val="auto"/>
                <w:highlight w:val="none"/>
                <w:lang w:val="zh-CN"/>
              </w:rPr>
            </w:pPr>
          </w:p>
        </w:tc>
        <w:tc>
          <w:tcPr>
            <w:tcW w:w="1052" w:type="dxa"/>
            <w:vMerge w:val="continue"/>
            <w:vAlign w:val="center"/>
          </w:tcPr>
          <w:p w14:paraId="222B5FCC">
            <w:pPr>
              <w:widowControl/>
              <w:snapToGrid w:val="0"/>
              <w:spacing w:line="240" w:lineRule="auto"/>
              <w:ind w:firstLine="0" w:firstLineChars="0"/>
              <w:jc w:val="center"/>
              <w:rPr>
                <w:rFonts w:hint="default"/>
                <w:color w:val="auto"/>
                <w:highlight w:val="none"/>
                <w:lang w:val="zh-CN"/>
              </w:rPr>
            </w:pPr>
          </w:p>
        </w:tc>
      </w:tr>
      <w:tr w14:paraId="5DF56B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00" w:type="dxa"/>
            <w:vMerge w:val="continue"/>
            <w:vAlign w:val="center"/>
          </w:tcPr>
          <w:p w14:paraId="4F1A8573">
            <w:pPr>
              <w:pStyle w:val="30"/>
              <w:keepNext w:val="0"/>
              <w:keepLines w:val="0"/>
              <w:pageBreakBefore w:val="0"/>
              <w:widowControl w:val="0"/>
              <w:kinsoku/>
              <w:wordWrap/>
              <w:overflowPunct/>
              <w:topLinePunct w:val="0"/>
              <w:autoSpaceDE/>
              <w:autoSpaceDN/>
              <w:bidi w:val="0"/>
              <w:adjustRightInd/>
              <w:snapToGrid/>
              <w:spacing w:line="288" w:lineRule="auto"/>
              <w:textAlignment w:val="auto"/>
              <w:rPr>
                <w:rFonts w:hint="default"/>
                <w:color w:val="auto"/>
                <w:highlight w:val="none"/>
                <w:lang w:val="zh-CN"/>
              </w:rPr>
            </w:pPr>
          </w:p>
        </w:tc>
        <w:tc>
          <w:tcPr>
            <w:tcW w:w="874" w:type="dxa"/>
            <w:vAlign w:val="center"/>
          </w:tcPr>
          <w:p w14:paraId="4054374F">
            <w:pPr>
              <w:pStyle w:val="30"/>
              <w:keepNext w:val="0"/>
              <w:keepLines w:val="0"/>
              <w:pageBreakBefore w:val="0"/>
              <w:widowControl w:val="0"/>
              <w:kinsoku/>
              <w:wordWrap/>
              <w:overflowPunct/>
              <w:topLinePunct w:val="0"/>
              <w:autoSpaceDE/>
              <w:autoSpaceDN/>
              <w:bidi w:val="0"/>
              <w:adjustRightInd/>
              <w:snapToGrid/>
              <w:spacing w:line="288" w:lineRule="auto"/>
              <w:textAlignment w:val="auto"/>
              <w:rPr>
                <w:rFonts w:hint="default"/>
                <w:color w:val="auto"/>
                <w:highlight w:val="none"/>
                <w:lang w:val="zh-CN"/>
              </w:rPr>
            </w:pPr>
            <w:r>
              <w:rPr>
                <w:color w:val="auto"/>
                <w:highlight w:val="none"/>
              </w:rPr>
              <w:t>3#</w:t>
            </w:r>
          </w:p>
        </w:tc>
        <w:tc>
          <w:tcPr>
            <w:tcW w:w="1363" w:type="dxa"/>
            <w:vMerge w:val="continue"/>
            <w:vAlign w:val="center"/>
          </w:tcPr>
          <w:p w14:paraId="664B8A33">
            <w:pPr>
              <w:widowControl/>
              <w:snapToGrid w:val="0"/>
              <w:spacing w:line="240" w:lineRule="auto"/>
              <w:ind w:firstLine="0" w:firstLineChars="0"/>
              <w:jc w:val="center"/>
              <w:rPr>
                <w:rFonts w:hint="default"/>
                <w:color w:val="auto"/>
                <w:highlight w:val="none"/>
                <w:lang w:val="zh-CN"/>
              </w:rPr>
            </w:pPr>
          </w:p>
        </w:tc>
        <w:tc>
          <w:tcPr>
            <w:tcW w:w="928" w:type="dxa"/>
            <w:vAlign w:val="center"/>
          </w:tcPr>
          <w:p w14:paraId="448CB98B">
            <w:pPr>
              <w:widowControl/>
              <w:snapToGrid w:val="0"/>
              <w:spacing w:line="240" w:lineRule="auto"/>
              <w:ind w:firstLine="0" w:firstLineChars="0"/>
              <w:jc w:val="center"/>
              <w:rPr>
                <w:rFonts w:hint="default"/>
                <w:color w:val="auto"/>
                <w:highlight w:val="none"/>
              </w:rPr>
            </w:pPr>
            <w:r>
              <w:rPr>
                <w:rFonts w:hint="eastAsia" w:ascii="Times New Roman" w:hAnsi="Times New Roman" w:eastAsia="宋体" w:cs="Times New Roman"/>
                <w:color w:val="auto"/>
                <w:kern w:val="0"/>
                <w:sz w:val="21"/>
                <w:szCs w:val="21"/>
                <w:highlight w:val="none"/>
              </w:rPr>
              <w:t>地下水型</w:t>
            </w:r>
          </w:p>
        </w:tc>
        <w:tc>
          <w:tcPr>
            <w:tcW w:w="845" w:type="dxa"/>
            <w:vMerge w:val="continue"/>
            <w:vAlign w:val="center"/>
          </w:tcPr>
          <w:p w14:paraId="639772F5">
            <w:pPr>
              <w:pStyle w:val="30"/>
              <w:keepNext w:val="0"/>
              <w:keepLines w:val="0"/>
              <w:pageBreakBefore w:val="0"/>
              <w:widowControl w:val="0"/>
              <w:kinsoku/>
              <w:wordWrap/>
              <w:overflowPunct/>
              <w:topLinePunct w:val="0"/>
              <w:autoSpaceDE/>
              <w:autoSpaceDN/>
              <w:bidi w:val="0"/>
              <w:adjustRightInd/>
              <w:snapToGrid/>
              <w:spacing w:line="288" w:lineRule="auto"/>
              <w:ind w:firstLine="0" w:firstLineChars="0"/>
              <w:textAlignment w:val="auto"/>
              <w:rPr>
                <w:rFonts w:hint="default"/>
                <w:color w:val="auto"/>
                <w:highlight w:val="none"/>
              </w:rPr>
            </w:pPr>
          </w:p>
        </w:tc>
        <w:tc>
          <w:tcPr>
            <w:tcW w:w="1146" w:type="dxa"/>
            <w:vAlign w:val="center"/>
          </w:tcPr>
          <w:p w14:paraId="6575F52A">
            <w:pPr>
              <w:widowControl/>
              <w:snapToGrid w:val="0"/>
              <w:spacing w:line="240" w:lineRule="auto"/>
              <w:ind w:firstLine="0" w:firstLineChars="0"/>
              <w:jc w:val="center"/>
              <w:rPr>
                <w:rFonts w:hint="default" w:ascii="Times New Roman" w:hAnsi="Times New Roman" w:cs="Times New Roman"/>
                <w:color w:val="auto"/>
                <w:highlight w:val="none"/>
              </w:rPr>
            </w:pPr>
            <w:r>
              <w:rPr>
                <w:rFonts w:hint="default" w:ascii="Times New Roman" w:hAnsi="Times New Roman" w:eastAsia="宋体" w:cs="Times New Roman"/>
                <w:color w:val="auto"/>
                <w:kern w:val="0"/>
                <w:sz w:val="21"/>
                <w:szCs w:val="21"/>
                <w:highlight w:val="none"/>
                <w:lang w:val="en-US" w:eastAsia="zh-CN"/>
              </w:rPr>
              <w:t>127°41'00.8453"</w:t>
            </w:r>
          </w:p>
        </w:tc>
        <w:tc>
          <w:tcPr>
            <w:tcW w:w="954" w:type="dxa"/>
            <w:vAlign w:val="center"/>
          </w:tcPr>
          <w:p w14:paraId="17D18333">
            <w:pPr>
              <w:widowControl/>
              <w:snapToGrid w:val="0"/>
              <w:spacing w:line="240" w:lineRule="auto"/>
              <w:ind w:firstLine="0" w:firstLineChars="0"/>
              <w:jc w:val="center"/>
              <w:rPr>
                <w:rFonts w:hint="default" w:ascii="Times New Roman" w:hAnsi="Times New Roman" w:cs="Times New Roman"/>
                <w:color w:val="auto"/>
                <w:highlight w:val="none"/>
              </w:rPr>
            </w:pPr>
            <w:r>
              <w:rPr>
                <w:rFonts w:hint="default" w:ascii="Times New Roman" w:hAnsi="Times New Roman" w:eastAsia="宋体" w:cs="Times New Roman"/>
                <w:color w:val="auto"/>
                <w:kern w:val="0"/>
                <w:sz w:val="21"/>
                <w:szCs w:val="21"/>
                <w:highlight w:val="none"/>
                <w:lang w:val="en-US" w:eastAsia="zh-CN"/>
              </w:rPr>
              <w:t>47°02'57.9036"</w:t>
            </w:r>
          </w:p>
        </w:tc>
        <w:tc>
          <w:tcPr>
            <w:tcW w:w="941" w:type="dxa"/>
            <w:vMerge w:val="continue"/>
            <w:vAlign w:val="center"/>
          </w:tcPr>
          <w:p w14:paraId="026258D4">
            <w:pPr>
              <w:pStyle w:val="30"/>
              <w:keepNext w:val="0"/>
              <w:keepLines w:val="0"/>
              <w:pageBreakBefore w:val="0"/>
              <w:widowControl w:val="0"/>
              <w:kinsoku/>
              <w:wordWrap/>
              <w:overflowPunct/>
              <w:topLinePunct w:val="0"/>
              <w:autoSpaceDE/>
              <w:autoSpaceDN/>
              <w:bidi w:val="0"/>
              <w:adjustRightInd/>
              <w:snapToGrid/>
              <w:spacing w:line="288" w:lineRule="auto"/>
              <w:ind w:firstLine="0" w:firstLineChars="0"/>
              <w:textAlignment w:val="auto"/>
              <w:rPr>
                <w:rFonts w:hint="default"/>
                <w:color w:val="auto"/>
                <w:highlight w:val="none"/>
              </w:rPr>
            </w:pPr>
          </w:p>
        </w:tc>
        <w:tc>
          <w:tcPr>
            <w:tcW w:w="1023" w:type="dxa"/>
            <w:vMerge w:val="continue"/>
            <w:vAlign w:val="center"/>
          </w:tcPr>
          <w:p w14:paraId="4FFE8E0C">
            <w:pPr>
              <w:pStyle w:val="30"/>
              <w:keepNext w:val="0"/>
              <w:keepLines w:val="0"/>
              <w:pageBreakBefore w:val="0"/>
              <w:widowControl w:val="0"/>
              <w:kinsoku/>
              <w:wordWrap/>
              <w:overflowPunct/>
              <w:topLinePunct w:val="0"/>
              <w:autoSpaceDE/>
              <w:autoSpaceDN/>
              <w:bidi w:val="0"/>
              <w:adjustRightInd/>
              <w:snapToGrid/>
              <w:spacing w:line="288" w:lineRule="auto"/>
              <w:ind w:firstLine="0" w:firstLineChars="0"/>
              <w:textAlignment w:val="auto"/>
              <w:rPr>
                <w:rFonts w:hint="default"/>
                <w:color w:val="auto"/>
                <w:highlight w:val="none"/>
              </w:rPr>
            </w:pPr>
          </w:p>
        </w:tc>
        <w:tc>
          <w:tcPr>
            <w:tcW w:w="2850" w:type="dxa"/>
            <w:vMerge w:val="continue"/>
            <w:vAlign w:val="center"/>
          </w:tcPr>
          <w:p w14:paraId="0B951A34">
            <w:pPr>
              <w:widowControl/>
              <w:snapToGrid w:val="0"/>
              <w:spacing w:line="240" w:lineRule="auto"/>
              <w:ind w:left="0" w:leftChars="0" w:firstLine="0" w:firstLineChars="0"/>
              <w:jc w:val="center"/>
              <w:rPr>
                <w:rFonts w:hint="default" w:ascii="Times New Roman" w:hAnsi="Times New Roman" w:eastAsia="宋体" w:cs="Times New Roman"/>
                <w:color w:val="auto"/>
                <w:kern w:val="0"/>
                <w:sz w:val="21"/>
                <w:szCs w:val="21"/>
                <w:highlight w:val="none"/>
              </w:rPr>
            </w:pPr>
          </w:p>
        </w:tc>
        <w:tc>
          <w:tcPr>
            <w:tcW w:w="722" w:type="dxa"/>
            <w:vMerge w:val="continue"/>
            <w:vAlign w:val="center"/>
          </w:tcPr>
          <w:p w14:paraId="6E75FE10">
            <w:pPr>
              <w:widowControl/>
              <w:snapToGrid w:val="0"/>
              <w:spacing w:line="240" w:lineRule="auto"/>
              <w:ind w:firstLine="0" w:firstLineChars="0"/>
              <w:jc w:val="center"/>
              <w:rPr>
                <w:rFonts w:hint="default"/>
                <w:color w:val="auto"/>
                <w:highlight w:val="none"/>
              </w:rPr>
            </w:pPr>
          </w:p>
        </w:tc>
        <w:tc>
          <w:tcPr>
            <w:tcW w:w="1052" w:type="dxa"/>
            <w:vMerge w:val="continue"/>
            <w:vAlign w:val="center"/>
          </w:tcPr>
          <w:p w14:paraId="5B5F7690">
            <w:pPr>
              <w:widowControl/>
              <w:snapToGrid w:val="0"/>
              <w:spacing w:line="240" w:lineRule="auto"/>
              <w:ind w:firstLine="0" w:firstLineChars="0"/>
              <w:jc w:val="center"/>
              <w:rPr>
                <w:rFonts w:hint="default"/>
                <w:color w:val="auto"/>
                <w:highlight w:val="none"/>
              </w:rPr>
            </w:pPr>
          </w:p>
        </w:tc>
      </w:tr>
      <w:tr w14:paraId="1F1745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00" w:type="dxa"/>
            <w:vMerge w:val="continue"/>
            <w:vAlign w:val="center"/>
          </w:tcPr>
          <w:p w14:paraId="46D074DA">
            <w:pPr>
              <w:pStyle w:val="30"/>
              <w:keepNext w:val="0"/>
              <w:keepLines w:val="0"/>
              <w:pageBreakBefore w:val="0"/>
              <w:widowControl w:val="0"/>
              <w:kinsoku/>
              <w:wordWrap/>
              <w:overflowPunct/>
              <w:topLinePunct w:val="0"/>
              <w:autoSpaceDE/>
              <w:autoSpaceDN/>
              <w:bidi w:val="0"/>
              <w:adjustRightInd/>
              <w:snapToGrid/>
              <w:spacing w:line="288" w:lineRule="auto"/>
              <w:textAlignment w:val="auto"/>
              <w:rPr>
                <w:rFonts w:hint="default"/>
                <w:color w:val="auto"/>
                <w:highlight w:val="none"/>
                <w:lang w:val="zh-CN"/>
              </w:rPr>
            </w:pPr>
          </w:p>
        </w:tc>
        <w:tc>
          <w:tcPr>
            <w:tcW w:w="874" w:type="dxa"/>
            <w:vAlign w:val="center"/>
          </w:tcPr>
          <w:p w14:paraId="07B6FD01">
            <w:pPr>
              <w:pStyle w:val="30"/>
              <w:keepNext w:val="0"/>
              <w:keepLines w:val="0"/>
              <w:pageBreakBefore w:val="0"/>
              <w:widowControl w:val="0"/>
              <w:kinsoku/>
              <w:wordWrap/>
              <w:overflowPunct/>
              <w:topLinePunct w:val="0"/>
              <w:autoSpaceDE/>
              <w:autoSpaceDN/>
              <w:bidi w:val="0"/>
              <w:adjustRightInd/>
              <w:snapToGrid/>
              <w:spacing w:line="288" w:lineRule="auto"/>
              <w:textAlignment w:val="auto"/>
              <w:rPr>
                <w:rFonts w:hint="default"/>
                <w:color w:val="auto"/>
                <w:highlight w:val="none"/>
                <w:lang w:val="zh-CN"/>
              </w:rPr>
            </w:pPr>
            <w:r>
              <w:rPr>
                <w:color w:val="auto"/>
                <w:highlight w:val="none"/>
              </w:rPr>
              <w:t>4#</w:t>
            </w:r>
          </w:p>
        </w:tc>
        <w:tc>
          <w:tcPr>
            <w:tcW w:w="1363" w:type="dxa"/>
            <w:vMerge w:val="continue"/>
            <w:vAlign w:val="center"/>
          </w:tcPr>
          <w:p w14:paraId="1D45F0AB">
            <w:pPr>
              <w:widowControl/>
              <w:snapToGrid w:val="0"/>
              <w:spacing w:line="240" w:lineRule="auto"/>
              <w:ind w:firstLine="0" w:firstLineChars="0"/>
              <w:jc w:val="center"/>
              <w:rPr>
                <w:rFonts w:hint="default"/>
                <w:color w:val="auto"/>
                <w:highlight w:val="none"/>
                <w:lang w:val="zh-CN"/>
              </w:rPr>
            </w:pPr>
          </w:p>
        </w:tc>
        <w:tc>
          <w:tcPr>
            <w:tcW w:w="928" w:type="dxa"/>
            <w:vAlign w:val="center"/>
          </w:tcPr>
          <w:p w14:paraId="4EA0B1C3">
            <w:pPr>
              <w:widowControl/>
              <w:snapToGrid w:val="0"/>
              <w:spacing w:line="240" w:lineRule="auto"/>
              <w:ind w:firstLine="0" w:firstLineChars="0"/>
              <w:jc w:val="center"/>
              <w:rPr>
                <w:rFonts w:hint="default"/>
                <w:color w:val="auto"/>
                <w:highlight w:val="none"/>
                <w:lang w:val="zh-CN"/>
              </w:rPr>
            </w:pPr>
            <w:r>
              <w:rPr>
                <w:rFonts w:hint="eastAsia" w:ascii="Times New Roman" w:hAnsi="Times New Roman" w:eastAsia="宋体" w:cs="Times New Roman"/>
                <w:color w:val="auto"/>
                <w:kern w:val="0"/>
                <w:sz w:val="21"/>
                <w:szCs w:val="21"/>
                <w:highlight w:val="none"/>
              </w:rPr>
              <w:t>地下水型</w:t>
            </w:r>
          </w:p>
        </w:tc>
        <w:tc>
          <w:tcPr>
            <w:tcW w:w="845" w:type="dxa"/>
            <w:vMerge w:val="continue"/>
            <w:vAlign w:val="center"/>
          </w:tcPr>
          <w:p w14:paraId="3413F355">
            <w:pPr>
              <w:pStyle w:val="30"/>
              <w:keepNext w:val="0"/>
              <w:keepLines w:val="0"/>
              <w:pageBreakBefore w:val="0"/>
              <w:widowControl w:val="0"/>
              <w:kinsoku/>
              <w:wordWrap/>
              <w:overflowPunct/>
              <w:topLinePunct w:val="0"/>
              <w:autoSpaceDE/>
              <w:autoSpaceDN/>
              <w:bidi w:val="0"/>
              <w:adjustRightInd/>
              <w:snapToGrid/>
              <w:spacing w:line="288" w:lineRule="auto"/>
              <w:ind w:firstLine="0" w:firstLineChars="0"/>
              <w:textAlignment w:val="auto"/>
              <w:rPr>
                <w:rFonts w:hint="default"/>
                <w:color w:val="auto"/>
                <w:highlight w:val="none"/>
              </w:rPr>
            </w:pPr>
          </w:p>
        </w:tc>
        <w:tc>
          <w:tcPr>
            <w:tcW w:w="1146" w:type="dxa"/>
            <w:vAlign w:val="center"/>
          </w:tcPr>
          <w:p w14:paraId="0EF427D3">
            <w:pPr>
              <w:widowControl/>
              <w:snapToGrid w:val="0"/>
              <w:spacing w:line="240" w:lineRule="auto"/>
              <w:ind w:firstLine="0" w:firstLineChars="0"/>
              <w:jc w:val="center"/>
              <w:rPr>
                <w:rFonts w:hint="default" w:ascii="Times New Roman" w:hAnsi="Times New Roman" w:cs="Times New Roman"/>
                <w:color w:val="auto"/>
                <w:highlight w:val="none"/>
                <w:lang w:val="zh-CN"/>
              </w:rPr>
            </w:pPr>
            <w:r>
              <w:rPr>
                <w:rFonts w:hint="default" w:ascii="Times New Roman" w:hAnsi="Times New Roman" w:eastAsia="宋体" w:cs="Times New Roman"/>
                <w:color w:val="auto"/>
                <w:kern w:val="0"/>
                <w:sz w:val="21"/>
                <w:szCs w:val="21"/>
                <w:highlight w:val="none"/>
                <w:lang w:val="en-US" w:eastAsia="zh-CN"/>
              </w:rPr>
              <w:t>127°40'56.3505"</w:t>
            </w:r>
          </w:p>
        </w:tc>
        <w:tc>
          <w:tcPr>
            <w:tcW w:w="954" w:type="dxa"/>
            <w:vAlign w:val="center"/>
          </w:tcPr>
          <w:p w14:paraId="4B866F0F">
            <w:pPr>
              <w:widowControl/>
              <w:snapToGrid w:val="0"/>
              <w:spacing w:line="240" w:lineRule="auto"/>
              <w:ind w:firstLine="0" w:firstLineChars="0"/>
              <w:jc w:val="center"/>
              <w:rPr>
                <w:rFonts w:hint="default" w:ascii="Times New Roman" w:hAnsi="Times New Roman" w:cs="Times New Roman"/>
                <w:color w:val="auto"/>
                <w:highlight w:val="none"/>
                <w:lang w:val="zh-CN"/>
              </w:rPr>
            </w:pPr>
            <w:r>
              <w:rPr>
                <w:rFonts w:hint="default" w:ascii="Times New Roman" w:hAnsi="Times New Roman" w:eastAsia="宋体" w:cs="Times New Roman"/>
                <w:color w:val="auto"/>
                <w:kern w:val="0"/>
                <w:sz w:val="21"/>
                <w:szCs w:val="21"/>
                <w:highlight w:val="none"/>
                <w:lang w:val="en-US" w:eastAsia="zh-CN"/>
              </w:rPr>
              <w:t>47°02'49.5148"</w:t>
            </w:r>
          </w:p>
        </w:tc>
        <w:tc>
          <w:tcPr>
            <w:tcW w:w="941" w:type="dxa"/>
            <w:vMerge w:val="continue"/>
            <w:vAlign w:val="center"/>
          </w:tcPr>
          <w:p w14:paraId="4C2C67B2">
            <w:pPr>
              <w:pStyle w:val="30"/>
              <w:keepNext w:val="0"/>
              <w:keepLines w:val="0"/>
              <w:pageBreakBefore w:val="0"/>
              <w:widowControl w:val="0"/>
              <w:kinsoku/>
              <w:wordWrap/>
              <w:overflowPunct/>
              <w:topLinePunct w:val="0"/>
              <w:autoSpaceDE/>
              <w:autoSpaceDN/>
              <w:bidi w:val="0"/>
              <w:adjustRightInd/>
              <w:snapToGrid/>
              <w:spacing w:line="288" w:lineRule="auto"/>
              <w:ind w:firstLine="0" w:firstLineChars="0"/>
              <w:textAlignment w:val="auto"/>
              <w:rPr>
                <w:rFonts w:hint="default"/>
                <w:color w:val="auto"/>
                <w:highlight w:val="none"/>
                <w:lang w:val="zh-CN"/>
              </w:rPr>
            </w:pPr>
          </w:p>
        </w:tc>
        <w:tc>
          <w:tcPr>
            <w:tcW w:w="1023" w:type="dxa"/>
            <w:vMerge w:val="continue"/>
            <w:vAlign w:val="center"/>
          </w:tcPr>
          <w:p w14:paraId="001CA319">
            <w:pPr>
              <w:pStyle w:val="30"/>
              <w:keepNext w:val="0"/>
              <w:keepLines w:val="0"/>
              <w:pageBreakBefore w:val="0"/>
              <w:widowControl w:val="0"/>
              <w:kinsoku/>
              <w:wordWrap/>
              <w:overflowPunct/>
              <w:topLinePunct w:val="0"/>
              <w:autoSpaceDE/>
              <w:autoSpaceDN/>
              <w:bidi w:val="0"/>
              <w:adjustRightInd/>
              <w:snapToGrid/>
              <w:spacing w:line="288" w:lineRule="auto"/>
              <w:ind w:firstLine="0" w:firstLineChars="0"/>
              <w:textAlignment w:val="auto"/>
              <w:rPr>
                <w:rFonts w:hint="default"/>
                <w:color w:val="auto"/>
                <w:highlight w:val="none"/>
                <w:lang w:val="zh-CN"/>
              </w:rPr>
            </w:pPr>
          </w:p>
        </w:tc>
        <w:tc>
          <w:tcPr>
            <w:tcW w:w="2850" w:type="dxa"/>
            <w:vMerge w:val="continue"/>
            <w:vAlign w:val="center"/>
          </w:tcPr>
          <w:p w14:paraId="6CB60733">
            <w:pPr>
              <w:widowControl/>
              <w:snapToGrid w:val="0"/>
              <w:spacing w:line="240" w:lineRule="auto"/>
              <w:ind w:left="0" w:leftChars="0" w:firstLine="0" w:firstLineChars="0"/>
              <w:jc w:val="center"/>
              <w:rPr>
                <w:rFonts w:hint="default" w:ascii="Times New Roman" w:hAnsi="Times New Roman" w:eastAsia="宋体" w:cs="Times New Roman"/>
                <w:color w:val="auto"/>
                <w:kern w:val="0"/>
                <w:sz w:val="21"/>
                <w:szCs w:val="21"/>
                <w:highlight w:val="none"/>
                <w:lang w:val="zh-CN"/>
              </w:rPr>
            </w:pPr>
          </w:p>
        </w:tc>
        <w:tc>
          <w:tcPr>
            <w:tcW w:w="722" w:type="dxa"/>
            <w:vMerge w:val="continue"/>
            <w:vAlign w:val="center"/>
          </w:tcPr>
          <w:p w14:paraId="6C7C88A8">
            <w:pPr>
              <w:widowControl/>
              <w:snapToGrid w:val="0"/>
              <w:spacing w:line="240" w:lineRule="auto"/>
              <w:ind w:firstLine="0" w:firstLineChars="0"/>
              <w:jc w:val="center"/>
              <w:rPr>
                <w:rFonts w:hint="default"/>
                <w:color w:val="auto"/>
                <w:highlight w:val="none"/>
                <w:lang w:val="zh-CN"/>
              </w:rPr>
            </w:pPr>
          </w:p>
        </w:tc>
        <w:tc>
          <w:tcPr>
            <w:tcW w:w="1052" w:type="dxa"/>
            <w:vMerge w:val="continue"/>
            <w:vAlign w:val="center"/>
          </w:tcPr>
          <w:p w14:paraId="1D91042C">
            <w:pPr>
              <w:widowControl/>
              <w:snapToGrid w:val="0"/>
              <w:spacing w:line="240" w:lineRule="auto"/>
              <w:ind w:firstLine="0" w:firstLineChars="0"/>
              <w:jc w:val="center"/>
              <w:rPr>
                <w:rFonts w:hint="default"/>
                <w:color w:val="auto"/>
                <w:highlight w:val="none"/>
                <w:lang w:val="zh-CN"/>
              </w:rPr>
            </w:pPr>
          </w:p>
        </w:tc>
      </w:tr>
      <w:tr w14:paraId="7F4F67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00" w:type="dxa"/>
            <w:vMerge w:val="continue"/>
            <w:vAlign w:val="center"/>
          </w:tcPr>
          <w:p w14:paraId="1122FE56">
            <w:pPr>
              <w:pStyle w:val="30"/>
              <w:keepNext w:val="0"/>
              <w:keepLines w:val="0"/>
              <w:pageBreakBefore w:val="0"/>
              <w:widowControl w:val="0"/>
              <w:kinsoku/>
              <w:wordWrap/>
              <w:overflowPunct/>
              <w:topLinePunct w:val="0"/>
              <w:autoSpaceDE/>
              <w:autoSpaceDN/>
              <w:bidi w:val="0"/>
              <w:adjustRightInd/>
              <w:snapToGrid/>
              <w:spacing w:line="288" w:lineRule="auto"/>
              <w:textAlignment w:val="auto"/>
              <w:rPr>
                <w:rFonts w:hint="default"/>
                <w:color w:val="auto"/>
                <w:highlight w:val="none"/>
                <w:lang w:val="zh-CN"/>
              </w:rPr>
            </w:pPr>
          </w:p>
        </w:tc>
        <w:tc>
          <w:tcPr>
            <w:tcW w:w="874" w:type="dxa"/>
            <w:vAlign w:val="center"/>
          </w:tcPr>
          <w:p w14:paraId="28C420DD">
            <w:pPr>
              <w:pStyle w:val="30"/>
              <w:keepNext w:val="0"/>
              <w:keepLines w:val="0"/>
              <w:pageBreakBefore w:val="0"/>
              <w:widowControl w:val="0"/>
              <w:kinsoku/>
              <w:wordWrap/>
              <w:overflowPunct/>
              <w:topLinePunct w:val="0"/>
              <w:autoSpaceDE/>
              <w:autoSpaceDN/>
              <w:bidi w:val="0"/>
              <w:adjustRightInd/>
              <w:snapToGrid/>
              <w:spacing w:line="288" w:lineRule="auto"/>
              <w:textAlignment w:val="auto"/>
              <w:rPr>
                <w:rFonts w:hint="default"/>
                <w:color w:val="auto"/>
                <w:highlight w:val="none"/>
                <w:lang w:val="zh-CN"/>
              </w:rPr>
            </w:pPr>
            <w:r>
              <w:rPr>
                <w:color w:val="auto"/>
                <w:highlight w:val="none"/>
              </w:rPr>
              <w:t>5#</w:t>
            </w:r>
          </w:p>
        </w:tc>
        <w:tc>
          <w:tcPr>
            <w:tcW w:w="1363" w:type="dxa"/>
            <w:vMerge w:val="continue"/>
            <w:vAlign w:val="center"/>
          </w:tcPr>
          <w:p w14:paraId="42535724">
            <w:pPr>
              <w:widowControl/>
              <w:snapToGrid w:val="0"/>
              <w:spacing w:line="240" w:lineRule="auto"/>
              <w:ind w:firstLine="0" w:firstLineChars="0"/>
              <w:jc w:val="center"/>
              <w:rPr>
                <w:rFonts w:hint="default"/>
                <w:color w:val="auto"/>
                <w:highlight w:val="none"/>
                <w:lang w:val="zh-CN"/>
              </w:rPr>
            </w:pPr>
          </w:p>
        </w:tc>
        <w:tc>
          <w:tcPr>
            <w:tcW w:w="928" w:type="dxa"/>
            <w:vAlign w:val="center"/>
          </w:tcPr>
          <w:p w14:paraId="6E542C40">
            <w:pPr>
              <w:widowControl/>
              <w:snapToGrid w:val="0"/>
              <w:spacing w:line="240" w:lineRule="auto"/>
              <w:ind w:firstLine="0" w:firstLineChars="0"/>
              <w:jc w:val="center"/>
              <w:rPr>
                <w:rFonts w:hint="default"/>
                <w:color w:val="auto"/>
                <w:highlight w:val="none"/>
                <w:lang w:val="zh-CN"/>
              </w:rPr>
            </w:pPr>
            <w:r>
              <w:rPr>
                <w:rFonts w:hint="eastAsia" w:ascii="Times New Roman" w:hAnsi="Times New Roman" w:eastAsia="宋体" w:cs="Times New Roman"/>
                <w:color w:val="auto"/>
                <w:kern w:val="0"/>
                <w:sz w:val="21"/>
                <w:szCs w:val="21"/>
                <w:highlight w:val="none"/>
              </w:rPr>
              <w:t>地下水型</w:t>
            </w:r>
          </w:p>
        </w:tc>
        <w:tc>
          <w:tcPr>
            <w:tcW w:w="845" w:type="dxa"/>
            <w:vMerge w:val="continue"/>
            <w:vAlign w:val="center"/>
          </w:tcPr>
          <w:p w14:paraId="6A33C777">
            <w:pPr>
              <w:pStyle w:val="30"/>
              <w:keepNext w:val="0"/>
              <w:keepLines w:val="0"/>
              <w:pageBreakBefore w:val="0"/>
              <w:widowControl w:val="0"/>
              <w:kinsoku/>
              <w:wordWrap/>
              <w:overflowPunct/>
              <w:topLinePunct w:val="0"/>
              <w:autoSpaceDE/>
              <w:autoSpaceDN/>
              <w:bidi w:val="0"/>
              <w:adjustRightInd/>
              <w:snapToGrid/>
              <w:spacing w:line="288" w:lineRule="auto"/>
              <w:ind w:firstLine="0" w:firstLineChars="0"/>
              <w:textAlignment w:val="auto"/>
              <w:rPr>
                <w:rFonts w:hint="default"/>
                <w:color w:val="auto"/>
                <w:highlight w:val="none"/>
              </w:rPr>
            </w:pPr>
          </w:p>
        </w:tc>
        <w:tc>
          <w:tcPr>
            <w:tcW w:w="1146" w:type="dxa"/>
            <w:vAlign w:val="center"/>
          </w:tcPr>
          <w:p w14:paraId="4FE5D191">
            <w:pPr>
              <w:widowControl/>
              <w:snapToGrid w:val="0"/>
              <w:spacing w:line="240" w:lineRule="auto"/>
              <w:ind w:firstLine="0" w:firstLineChars="0"/>
              <w:jc w:val="center"/>
              <w:rPr>
                <w:rFonts w:hint="default" w:ascii="Times New Roman" w:hAnsi="Times New Roman" w:cs="Times New Roman"/>
                <w:color w:val="auto"/>
                <w:highlight w:val="none"/>
              </w:rPr>
            </w:pPr>
            <w:r>
              <w:rPr>
                <w:rFonts w:hint="default" w:ascii="Times New Roman" w:hAnsi="Times New Roman" w:eastAsia="宋体" w:cs="Times New Roman"/>
                <w:color w:val="auto"/>
                <w:kern w:val="0"/>
                <w:sz w:val="21"/>
                <w:szCs w:val="21"/>
                <w:highlight w:val="none"/>
                <w:lang w:val="en-US" w:eastAsia="zh-CN"/>
              </w:rPr>
              <w:t>127°40'53.4247"</w:t>
            </w:r>
          </w:p>
        </w:tc>
        <w:tc>
          <w:tcPr>
            <w:tcW w:w="954" w:type="dxa"/>
            <w:vAlign w:val="center"/>
          </w:tcPr>
          <w:p w14:paraId="1D329DD4">
            <w:pPr>
              <w:widowControl/>
              <w:snapToGrid w:val="0"/>
              <w:spacing w:line="240" w:lineRule="auto"/>
              <w:ind w:firstLine="0" w:firstLineChars="0"/>
              <w:jc w:val="center"/>
              <w:rPr>
                <w:rFonts w:hint="default" w:ascii="Times New Roman" w:hAnsi="Times New Roman" w:cs="Times New Roman"/>
                <w:color w:val="auto"/>
                <w:highlight w:val="none"/>
              </w:rPr>
            </w:pPr>
            <w:r>
              <w:rPr>
                <w:rFonts w:hint="default" w:ascii="Times New Roman" w:hAnsi="Times New Roman" w:eastAsia="宋体" w:cs="Times New Roman"/>
                <w:color w:val="auto"/>
                <w:kern w:val="0"/>
                <w:sz w:val="21"/>
                <w:szCs w:val="21"/>
                <w:highlight w:val="none"/>
                <w:lang w:val="en-US" w:eastAsia="zh-CN"/>
              </w:rPr>
              <w:t>47°02'47.9588"</w:t>
            </w:r>
          </w:p>
        </w:tc>
        <w:tc>
          <w:tcPr>
            <w:tcW w:w="941" w:type="dxa"/>
            <w:vMerge w:val="continue"/>
            <w:vAlign w:val="center"/>
          </w:tcPr>
          <w:p w14:paraId="2C730D96">
            <w:pPr>
              <w:pStyle w:val="30"/>
              <w:keepNext w:val="0"/>
              <w:keepLines w:val="0"/>
              <w:pageBreakBefore w:val="0"/>
              <w:widowControl w:val="0"/>
              <w:kinsoku/>
              <w:wordWrap/>
              <w:overflowPunct/>
              <w:topLinePunct w:val="0"/>
              <w:autoSpaceDE/>
              <w:autoSpaceDN/>
              <w:bidi w:val="0"/>
              <w:adjustRightInd/>
              <w:snapToGrid/>
              <w:spacing w:line="288" w:lineRule="auto"/>
              <w:ind w:firstLine="0" w:firstLineChars="0"/>
              <w:textAlignment w:val="auto"/>
              <w:rPr>
                <w:rFonts w:hint="default"/>
                <w:color w:val="auto"/>
                <w:highlight w:val="none"/>
              </w:rPr>
            </w:pPr>
          </w:p>
        </w:tc>
        <w:tc>
          <w:tcPr>
            <w:tcW w:w="1023" w:type="dxa"/>
            <w:vMerge w:val="continue"/>
            <w:vAlign w:val="center"/>
          </w:tcPr>
          <w:p w14:paraId="15B9ADCF">
            <w:pPr>
              <w:pStyle w:val="30"/>
              <w:keepNext w:val="0"/>
              <w:keepLines w:val="0"/>
              <w:pageBreakBefore w:val="0"/>
              <w:widowControl w:val="0"/>
              <w:kinsoku/>
              <w:wordWrap/>
              <w:overflowPunct/>
              <w:topLinePunct w:val="0"/>
              <w:autoSpaceDE/>
              <w:autoSpaceDN/>
              <w:bidi w:val="0"/>
              <w:adjustRightInd/>
              <w:snapToGrid/>
              <w:spacing w:line="288" w:lineRule="auto"/>
              <w:ind w:firstLine="0" w:firstLineChars="0"/>
              <w:textAlignment w:val="auto"/>
              <w:rPr>
                <w:rFonts w:hint="default"/>
                <w:color w:val="auto"/>
                <w:highlight w:val="none"/>
              </w:rPr>
            </w:pPr>
          </w:p>
        </w:tc>
        <w:tc>
          <w:tcPr>
            <w:tcW w:w="2850" w:type="dxa"/>
            <w:vMerge w:val="continue"/>
            <w:vAlign w:val="center"/>
          </w:tcPr>
          <w:p w14:paraId="7F45BDCC">
            <w:pPr>
              <w:widowControl/>
              <w:snapToGrid w:val="0"/>
              <w:spacing w:line="240" w:lineRule="auto"/>
              <w:ind w:left="0" w:leftChars="0" w:firstLine="0" w:firstLineChars="0"/>
              <w:jc w:val="center"/>
              <w:rPr>
                <w:rFonts w:hint="default" w:ascii="Times New Roman" w:hAnsi="Times New Roman" w:eastAsia="宋体" w:cs="Times New Roman"/>
                <w:color w:val="auto"/>
                <w:kern w:val="0"/>
                <w:sz w:val="21"/>
                <w:szCs w:val="21"/>
                <w:highlight w:val="none"/>
              </w:rPr>
            </w:pPr>
          </w:p>
        </w:tc>
        <w:tc>
          <w:tcPr>
            <w:tcW w:w="722" w:type="dxa"/>
            <w:vMerge w:val="continue"/>
            <w:vAlign w:val="center"/>
          </w:tcPr>
          <w:p w14:paraId="2715A0CC">
            <w:pPr>
              <w:widowControl/>
              <w:snapToGrid w:val="0"/>
              <w:spacing w:line="240" w:lineRule="auto"/>
              <w:ind w:firstLine="0" w:firstLineChars="0"/>
              <w:jc w:val="center"/>
              <w:rPr>
                <w:rFonts w:hint="default"/>
                <w:color w:val="auto"/>
                <w:highlight w:val="none"/>
              </w:rPr>
            </w:pPr>
          </w:p>
        </w:tc>
        <w:tc>
          <w:tcPr>
            <w:tcW w:w="1052" w:type="dxa"/>
            <w:vMerge w:val="continue"/>
            <w:vAlign w:val="center"/>
          </w:tcPr>
          <w:p w14:paraId="2CFC0CCE">
            <w:pPr>
              <w:widowControl/>
              <w:snapToGrid w:val="0"/>
              <w:spacing w:line="240" w:lineRule="auto"/>
              <w:ind w:firstLine="0" w:firstLineChars="0"/>
              <w:jc w:val="center"/>
              <w:rPr>
                <w:rFonts w:hint="default"/>
                <w:color w:val="auto"/>
                <w:highlight w:val="none"/>
              </w:rPr>
            </w:pPr>
          </w:p>
        </w:tc>
      </w:tr>
      <w:tr w14:paraId="3C2951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00" w:type="dxa"/>
            <w:vMerge w:val="continue"/>
            <w:vAlign w:val="center"/>
          </w:tcPr>
          <w:p w14:paraId="6DF0FA1C">
            <w:pPr>
              <w:pStyle w:val="30"/>
              <w:keepNext w:val="0"/>
              <w:keepLines w:val="0"/>
              <w:pageBreakBefore w:val="0"/>
              <w:widowControl w:val="0"/>
              <w:kinsoku/>
              <w:wordWrap/>
              <w:overflowPunct/>
              <w:topLinePunct w:val="0"/>
              <w:autoSpaceDE/>
              <w:autoSpaceDN/>
              <w:bidi w:val="0"/>
              <w:adjustRightInd/>
              <w:snapToGrid/>
              <w:spacing w:line="288" w:lineRule="auto"/>
              <w:textAlignment w:val="auto"/>
              <w:rPr>
                <w:rFonts w:hint="default"/>
                <w:color w:val="auto"/>
                <w:highlight w:val="none"/>
                <w:lang w:val="zh-CN"/>
              </w:rPr>
            </w:pPr>
          </w:p>
        </w:tc>
        <w:tc>
          <w:tcPr>
            <w:tcW w:w="874" w:type="dxa"/>
            <w:vAlign w:val="center"/>
          </w:tcPr>
          <w:p w14:paraId="7773EBDF">
            <w:pPr>
              <w:pStyle w:val="30"/>
              <w:keepNext w:val="0"/>
              <w:keepLines w:val="0"/>
              <w:pageBreakBefore w:val="0"/>
              <w:widowControl w:val="0"/>
              <w:kinsoku/>
              <w:wordWrap/>
              <w:overflowPunct/>
              <w:topLinePunct w:val="0"/>
              <w:autoSpaceDE/>
              <w:autoSpaceDN/>
              <w:bidi w:val="0"/>
              <w:adjustRightInd/>
              <w:snapToGrid/>
              <w:spacing w:line="288" w:lineRule="auto"/>
              <w:textAlignment w:val="auto"/>
              <w:rPr>
                <w:rFonts w:hint="default"/>
                <w:color w:val="auto"/>
                <w:highlight w:val="none"/>
                <w:lang w:val="zh-CN"/>
              </w:rPr>
            </w:pPr>
            <w:r>
              <w:rPr>
                <w:color w:val="auto"/>
                <w:highlight w:val="none"/>
              </w:rPr>
              <w:t>6#</w:t>
            </w:r>
          </w:p>
        </w:tc>
        <w:tc>
          <w:tcPr>
            <w:tcW w:w="1363" w:type="dxa"/>
            <w:vMerge w:val="continue"/>
            <w:vAlign w:val="center"/>
          </w:tcPr>
          <w:p w14:paraId="6BB0C746">
            <w:pPr>
              <w:widowControl/>
              <w:snapToGrid w:val="0"/>
              <w:spacing w:line="240" w:lineRule="auto"/>
              <w:ind w:firstLine="0" w:firstLineChars="0"/>
              <w:jc w:val="center"/>
              <w:rPr>
                <w:rFonts w:hint="default"/>
                <w:color w:val="auto"/>
                <w:highlight w:val="none"/>
                <w:lang w:val="zh-CN"/>
              </w:rPr>
            </w:pPr>
          </w:p>
        </w:tc>
        <w:tc>
          <w:tcPr>
            <w:tcW w:w="928" w:type="dxa"/>
            <w:vAlign w:val="center"/>
          </w:tcPr>
          <w:p w14:paraId="044912CC">
            <w:pPr>
              <w:widowControl/>
              <w:snapToGrid w:val="0"/>
              <w:spacing w:line="240" w:lineRule="auto"/>
              <w:ind w:firstLine="0" w:firstLineChars="0"/>
              <w:jc w:val="center"/>
              <w:rPr>
                <w:rFonts w:hint="default"/>
                <w:color w:val="auto"/>
                <w:highlight w:val="none"/>
              </w:rPr>
            </w:pPr>
            <w:r>
              <w:rPr>
                <w:rFonts w:hint="eastAsia" w:ascii="Times New Roman" w:hAnsi="Times New Roman" w:eastAsia="宋体" w:cs="Times New Roman"/>
                <w:color w:val="auto"/>
                <w:kern w:val="0"/>
                <w:sz w:val="21"/>
                <w:szCs w:val="21"/>
                <w:highlight w:val="none"/>
              </w:rPr>
              <w:t>地下水型</w:t>
            </w:r>
          </w:p>
        </w:tc>
        <w:tc>
          <w:tcPr>
            <w:tcW w:w="845" w:type="dxa"/>
            <w:vMerge w:val="continue"/>
            <w:vAlign w:val="center"/>
          </w:tcPr>
          <w:p w14:paraId="2FBC443B">
            <w:pPr>
              <w:pStyle w:val="30"/>
              <w:keepNext w:val="0"/>
              <w:keepLines w:val="0"/>
              <w:pageBreakBefore w:val="0"/>
              <w:widowControl w:val="0"/>
              <w:kinsoku/>
              <w:wordWrap/>
              <w:overflowPunct/>
              <w:topLinePunct w:val="0"/>
              <w:autoSpaceDE/>
              <w:autoSpaceDN/>
              <w:bidi w:val="0"/>
              <w:adjustRightInd/>
              <w:snapToGrid/>
              <w:spacing w:line="288" w:lineRule="auto"/>
              <w:ind w:firstLine="0" w:firstLineChars="0"/>
              <w:textAlignment w:val="auto"/>
              <w:rPr>
                <w:rFonts w:hint="default"/>
                <w:color w:val="auto"/>
                <w:highlight w:val="none"/>
                <w:lang w:val="zh-CN"/>
              </w:rPr>
            </w:pPr>
          </w:p>
        </w:tc>
        <w:tc>
          <w:tcPr>
            <w:tcW w:w="1146" w:type="dxa"/>
            <w:vAlign w:val="center"/>
          </w:tcPr>
          <w:p w14:paraId="17E27F89">
            <w:pPr>
              <w:widowControl/>
              <w:snapToGrid w:val="0"/>
              <w:spacing w:line="240" w:lineRule="auto"/>
              <w:ind w:firstLine="0" w:firstLineChars="0"/>
              <w:jc w:val="center"/>
              <w:rPr>
                <w:rFonts w:hint="default" w:ascii="Times New Roman" w:hAnsi="Times New Roman" w:cs="Times New Roman"/>
                <w:color w:val="auto"/>
                <w:highlight w:val="none"/>
                <w:lang w:val="zh-CN"/>
              </w:rPr>
            </w:pPr>
            <w:r>
              <w:rPr>
                <w:rFonts w:hint="default" w:ascii="Times New Roman" w:hAnsi="Times New Roman" w:eastAsia="宋体" w:cs="Times New Roman"/>
                <w:color w:val="auto"/>
                <w:kern w:val="0"/>
                <w:sz w:val="21"/>
                <w:szCs w:val="21"/>
                <w:highlight w:val="none"/>
                <w:lang w:val="en-US" w:eastAsia="zh-CN"/>
              </w:rPr>
              <w:t>127°40'41.8160"</w:t>
            </w:r>
          </w:p>
        </w:tc>
        <w:tc>
          <w:tcPr>
            <w:tcW w:w="954" w:type="dxa"/>
            <w:vAlign w:val="center"/>
          </w:tcPr>
          <w:p w14:paraId="07DAB5F2">
            <w:pPr>
              <w:widowControl/>
              <w:snapToGrid w:val="0"/>
              <w:spacing w:line="240" w:lineRule="auto"/>
              <w:ind w:firstLine="0" w:firstLineChars="0"/>
              <w:jc w:val="center"/>
              <w:rPr>
                <w:rFonts w:hint="default" w:ascii="Times New Roman" w:hAnsi="Times New Roman" w:cs="Times New Roman"/>
                <w:color w:val="auto"/>
                <w:highlight w:val="none"/>
                <w:lang w:val="zh-CN"/>
              </w:rPr>
            </w:pPr>
            <w:r>
              <w:rPr>
                <w:rFonts w:hint="default" w:ascii="Times New Roman" w:hAnsi="Times New Roman" w:eastAsia="宋体" w:cs="Times New Roman"/>
                <w:color w:val="auto"/>
                <w:kern w:val="0"/>
                <w:sz w:val="21"/>
                <w:szCs w:val="21"/>
                <w:highlight w:val="none"/>
                <w:lang w:val="en-US" w:eastAsia="zh-CN"/>
              </w:rPr>
              <w:t>47°02'49.5560"</w:t>
            </w:r>
          </w:p>
        </w:tc>
        <w:tc>
          <w:tcPr>
            <w:tcW w:w="941" w:type="dxa"/>
            <w:vMerge w:val="continue"/>
            <w:vAlign w:val="center"/>
          </w:tcPr>
          <w:p w14:paraId="69A4DD3A">
            <w:pPr>
              <w:pStyle w:val="30"/>
              <w:keepNext w:val="0"/>
              <w:keepLines w:val="0"/>
              <w:pageBreakBefore w:val="0"/>
              <w:widowControl w:val="0"/>
              <w:kinsoku/>
              <w:wordWrap/>
              <w:overflowPunct/>
              <w:topLinePunct w:val="0"/>
              <w:autoSpaceDE/>
              <w:autoSpaceDN/>
              <w:bidi w:val="0"/>
              <w:adjustRightInd/>
              <w:snapToGrid/>
              <w:spacing w:line="288" w:lineRule="auto"/>
              <w:ind w:firstLine="0" w:firstLineChars="0"/>
              <w:textAlignment w:val="auto"/>
              <w:rPr>
                <w:rFonts w:hint="default"/>
                <w:color w:val="auto"/>
                <w:highlight w:val="none"/>
                <w:lang w:val="zh-CN"/>
              </w:rPr>
            </w:pPr>
          </w:p>
        </w:tc>
        <w:tc>
          <w:tcPr>
            <w:tcW w:w="1023" w:type="dxa"/>
            <w:vMerge w:val="continue"/>
            <w:vAlign w:val="center"/>
          </w:tcPr>
          <w:p w14:paraId="7A184000">
            <w:pPr>
              <w:pStyle w:val="30"/>
              <w:keepNext w:val="0"/>
              <w:keepLines w:val="0"/>
              <w:pageBreakBefore w:val="0"/>
              <w:widowControl w:val="0"/>
              <w:kinsoku/>
              <w:wordWrap/>
              <w:overflowPunct/>
              <w:topLinePunct w:val="0"/>
              <w:autoSpaceDE/>
              <w:autoSpaceDN/>
              <w:bidi w:val="0"/>
              <w:adjustRightInd/>
              <w:snapToGrid/>
              <w:spacing w:line="288" w:lineRule="auto"/>
              <w:ind w:firstLine="0" w:firstLineChars="0"/>
              <w:textAlignment w:val="auto"/>
              <w:rPr>
                <w:rFonts w:hint="default"/>
                <w:color w:val="auto"/>
                <w:highlight w:val="none"/>
                <w:lang w:val="zh-CN"/>
              </w:rPr>
            </w:pPr>
          </w:p>
        </w:tc>
        <w:tc>
          <w:tcPr>
            <w:tcW w:w="2850" w:type="dxa"/>
            <w:vMerge w:val="continue"/>
            <w:vAlign w:val="center"/>
          </w:tcPr>
          <w:p w14:paraId="73640611">
            <w:pPr>
              <w:widowControl/>
              <w:snapToGrid w:val="0"/>
              <w:spacing w:line="240" w:lineRule="auto"/>
              <w:ind w:left="0" w:leftChars="0" w:firstLine="0" w:firstLineChars="0"/>
              <w:jc w:val="center"/>
              <w:rPr>
                <w:rFonts w:hint="default" w:ascii="Times New Roman" w:hAnsi="Times New Roman" w:eastAsia="宋体" w:cs="Times New Roman"/>
                <w:color w:val="auto"/>
                <w:kern w:val="0"/>
                <w:sz w:val="21"/>
                <w:szCs w:val="21"/>
                <w:highlight w:val="none"/>
                <w:lang w:val="zh-CN"/>
              </w:rPr>
            </w:pPr>
          </w:p>
        </w:tc>
        <w:tc>
          <w:tcPr>
            <w:tcW w:w="722" w:type="dxa"/>
            <w:vMerge w:val="continue"/>
            <w:vAlign w:val="center"/>
          </w:tcPr>
          <w:p w14:paraId="4FA8DF9E">
            <w:pPr>
              <w:widowControl/>
              <w:snapToGrid w:val="0"/>
              <w:spacing w:line="240" w:lineRule="auto"/>
              <w:ind w:firstLine="0" w:firstLineChars="0"/>
              <w:jc w:val="center"/>
              <w:rPr>
                <w:rFonts w:hint="default"/>
                <w:color w:val="auto"/>
                <w:highlight w:val="none"/>
                <w:lang w:val="zh-CN"/>
              </w:rPr>
            </w:pPr>
          </w:p>
        </w:tc>
        <w:tc>
          <w:tcPr>
            <w:tcW w:w="1052" w:type="dxa"/>
            <w:vMerge w:val="continue"/>
            <w:vAlign w:val="center"/>
          </w:tcPr>
          <w:p w14:paraId="34FB45A4">
            <w:pPr>
              <w:widowControl/>
              <w:snapToGrid w:val="0"/>
              <w:spacing w:line="240" w:lineRule="auto"/>
              <w:ind w:firstLine="0" w:firstLineChars="0"/>
              <w:jc w:val="center"/>
              <w:rPr>
                <w:rFonts w:hint="default"/>
                <w:color w:val="auto"/>
                <w:highlight w:val="none"/>
                <w:lang w:val="zh-CN"/>
              </w:rPr>
            </w:pPr>
          </w:p>
        </w:tc>
      </w:tr>
      <w:tr w14:paraId="2B286B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00" w:type="dxa"/>
            <w:vMerge w:val="continue"/>
            <w:vAlign w:val="center"/>
          </w:tcPr>
          <w:p w14:paraId="1CDFD071">
            <w:pPr>
              <w:pStyle w:val="30"/>
              <w:keepNext w:val="0"/>
              <w:keepLines w:val="0"/>
              <w:pageBreakBefore w:val="0"/>
              <w:widowControl w:val="0"/>
              <w:kinsoku/>
              <w:wordWrap/>
              <w:overflowPunct/>
              <w:topLinePunct w:val="0"/>
              <w:autoSpaceDE/>
              <w:autoSpaceDN/>
              <w:bidi w:val="0"/>
              <w:adjustRightInd/>
              <w:snapToGrid/>
              <w:spacing w:line="288" w:lineRule="auto"/>
              <w:textAlignment w:val="auto"/>
              <w:rPr>
                <w:rFonts w:hint="default"/>
                <w:color w:val="auto"/>
                <w:highlight w:val="none"/>
                <w:lang w:val="zh-CN"/>
              </w:rPr>
            </w:pPr>
          </w:p>
        </w:tc>
        <w:tc>
          <w:tcPr>
            <w:tcW w:w="874" w:type="dxa"/>
            <w:vAlign w:val="center"/>
          </w:tcPr>
          <w:p w14:paraId="679EAF79">
            <w:pPr>
              <w:pStyle w:val="30"/>
              <w:keepNext w:val="0"/>
              <w:keepLines w:val="0"/>
              <w:pageBreakBefore w:val="0"/>
              <w:widowControl w:val="0"/>
              <w:kinsoku/>
              <w:wordWrap/>
              <w:overflowPunct/>
              <w:topLinePunct w:val="0"/>
              <w:autoSpaceDE/>
              <w:autoSpaceDN/>
              <w:bidi w:val="0"/>
              <w:adjustRightInd/>
              <w:snapToGrid/>
              <w:spacing w:line="288" w:lineRule="auto"/>
              <w:textAlignment w:val="auto"/>
              <w:rPr>
                <w:rFonts w:hint="default"/>
                <w:color w:val="auto"/>
                <w:highlight w:val="none"/>
                <w:lang w:val="zh-CN"/>
              </w:rPr>
            </w:pPr>
            <w:r>
              <w:rPr>
                <w:color w:val="auto"/>
                <w:highlight w:val="none"/>
              </w:rPr>
              <w:t>7#</w:t>
            </w:r>
          </w:p>
        </w:tc>
        <w:tc>
          <w:tcPr>
            <w:tcW w:w="1363" w:type="dxa"/>
            <w:vMerge w:val="continue"/>
            <w:vAlign w:val="center"/>
          </w:tcPr>
          <w:p w14:paraId="02744C42">
            <w:pPr>
              <w:widowControl/>
              <w:snapToGrid w:val="0"/>
              <w:spacing w:line="240" w:lineRule="auto"/>
              <w:ind w:firstLine="0" w:firstLineChars="0"/>
              <w:jc w:val="center"/>
              <w:rPr>
                <w:rFonts w:hint="default"/>
                <w:color w:val="auto"/>
                <w:highlight w:val="none"/>
                <w:lang w:val="zh-CN"/>
              </w:rPr>
            </w:pPr>
          </w:p>
        </w:tc>
        <w:tc>
          <w:tcPr>
            <w:tcW w:w="928" w:type="dxa"/>
            <w:vAlign w:val="center"/>
          </w:tcPr>
          <w:p w14:paraId="1108744F">
            <w:pPr>
              <w:widowControl/>
              <w:snapToGrid w:val="0"/>
              <w:spacing w:line="240" w:lineRule="auto"/>
              <w:ind w:firstLine="0" w:firstLineChars="0"/>
              <w:jc w:val="center"/>
              <w:rPr>
                <w:rFonts w:hint="default"/>
                <w:color w:val="auto"/>
                <w:highlight w:val="none"/>
                <w:lang w:val="zh-CN"/>
              </w:rPr>
            </w:pPr>
            <w:r>
              <w:rPr>
                <w:rFonts w:hint="eastAsia" w:ascii="Times New Roman" w:hAnsi="Times New Roman" w:eastAsia="宋体" w:cs="Times New Roman"/>
                <w:color w:val="auto"/>
                <w:kern w:val="0"/>
                <w:sz w:val="21"/>
                <w:szCs w:val="21"/>
                <w:highlight w:val="none"/>
              </w:rPr>
              <w:t>地下水型</w:t>
            </w:r>
          </w:p>
        </w:tc>
        <w:tc>
          <w:tcPr>
            <w:tcW w:w="845" w:type="dxa"/>
            <w:vMerge w:val="continue"/>
            <w:vAlign w:val="center"/>
          </w:tcPr>
          <w:p w14:paraId="219F7ED6">
            <w:pPr>
              <w:pStyle w:val="30"/>
              <w:keepNext w:val="0"/>
              <w:keepLines w:val="0"/>
              <w:pageBreakBefore w:val="0"/>
              <w:widowControl w:val="0"/>
              <w:kinsoku/>
              <w:wordWrap/>
              <w:overflowPunct/>
              <w:topLinePunct w:val="0"/>
              <w:autoSpaceDE/>
              <w:autoSpaceDN/>
              <w:bidi w:val="0"/>
              <w:adjustRightInd/>
              <w:snapToGrid/>
              <w:spacing w:line="288" w:lineRule="auto"/>
              <w:ind w:firstLine="0" w:firstLineChars="0"/>
              <w:textAlignment w:val="auto"/>
              <w:rPr>
                <w:rFonts w:hint="default"/>
                <w:color w:val="auto"/>
                <w:highlight w:val="none"/>
                <w:lang w:val="zh-CN"/>
              </w:rPr>
            </w:pPr>
          </w:p>
        </w:tc>
        <w:tc>
          <w:tcPr>
            <w:tcW w:w="1146" w:type="dxa"/>
            <w:vAlign w:val="center"/>
          </w:tcPr>
          <w:p w14:paraId="1B286E3E">
            <w:pPr>
              <w:widowControl/>
              <w:snapToGrid w:val="0"/>
              <w:spacing w:line="240" w:lineRule="auto"/>
              <w:ind w:firstLine="0" w:firstLineChars="0"/>
              <w:jc w:val="center"/>
              <w:rPr>
                <w:rFonts w:hint="default" w:ascii="Times New Roman" w:hAnsi="Times New Roman" w:cs="Times New Roman"/>
                <w:color w:val="auto"/>
                <w:highlight w:val="none"/>
                <w:lang w:val="zh-CN"/>
              </w:rPr>
            </w:pPr>
            <w:r>
              <w:rPr>
                <w:rFonts w:hint="default" w:ascii="Times New Roman" w:hAnsi="Times New Roman" w:eastAsia="宋体" w:cs="Times New Roman"/>
                <w:color w:val="auto"/>
                <w:kern w:val="0"/>
                <w:sz w:val="21"/>
                <w:szCs w:val="21"/>
                <w:highlight w:val="none"/>
                <w:lang w:val="en-US" w:eastAsia="zh-CN"/>
              </w:rPr>
              <w:t>127°40'37.7290"</w:t>
            </w:r>
          </w:p>
        </w:tc>
        <w:tc>
          <w:tcPr>
            <w:tcW w:w="954" w:type="dxa"/>
            <w:vAlign w:val="center"/>
          </w:tcPr>
          <w:p w14:paraId="59FC9E8E">
            <w:pPr>
              <w:widowControl/>
              <w:snapToGrid w:val="0"/>
              <w:spacing w:line="240" w:lineRule="auto"/>
              <w:ind w:firstLine="0" w:firstLineChars="0"/>
              <w:jc w:val="center"/>
              <w:rPr>
                <w:rFonts w:hint="default" w:ascii="Times New Roman" w:hAnsi="Times New Roman" w:cs="Times New Roman"/>
                <w:color w:val="auto"/>
                <w:highlight w:val="none"/>
                <w:lang w:val="zh-CN"/>
              </w:rPr>
            </w:pPr>
            <w:r>
              <w:rPr>
                <w:rFonts w:hint="default" w:ascii="Times New Roman" w:hAnsi="Times New Roman" w:eastAsia="宋体" w:cs="Times New Roman"/>
                <w:color w:val="auto"/>
                <w:kern w:val="0"/>
                <w:sz w:val="21"/>
                <w:szCs w:val="21"/>
                <w:highlight w:val="none"/>
                <w:lang w:val="en-US" w:eastAsia="zh-CN"/>
              </w:rPr>
              <w:t>47°02'57.9003"</w:t>
            </w:r>
          </w:p>
        </w:tc>
        <w:tc>
          <w:tcPr>
            <w:tcW w:w="941" w:type="dxa"/>
            <w:vMerge w:val="continue"/>
            <w:vAlign w:val="center"/>
          </w:tcPr>
          <w:p w14:paraId="748C1B62">
            <w:pPr>
              <w:pStyle w:val="30"/>
              <w:keepNext w:val="0"/>
              <w:keepLines w:val="0"/>
              <w:pageBreakBefore w:val="0"/>
              <w:widowControl w:val="0"/>
              <w:kinsoku/>
              <w:wordWrap/>
              <w:overflowPunct/>
              <w:topLinePunct w:val="0"/>
              <w:autoSpaceDE/>
              <w:autoSpaceDN/>
              <w:bidi w:val="0"/>
              <w:adjustRightInd/>
              <w:snapToGrid/>
              <w:spacing w:line="288" w:lineRule="auto"/>
              <w:ind w:firstLine="0" w:firstLineChars="0"/>
              <w:textAlignment w:val="auto"/>
              <w:rPr>
                <w:rFonts w:hint="default"/>
                <w:color w:val="auto"/>
                <w:highlight w:val="none"/>
                <w:lang w:val="zh-CN"/>
              </w:rPr>
            </w:pPr>
          </w:p>
        </w:tc>
        <w:tc>
          <w:tcPr>
            <w:tcW w:w="1023" w:type="dxa"/>
            <w:vMerge w:val="continue"/>
            <w:vAlign w:val="center"/>
          </w:tcPr>
          <w:p w14:paraId="7C2D6DB8">
            <w:pPr>
              <w:pStyle w:val="30"/>
              <w:keepNext w:val="0"/>
              <w:keepLines w:val="0"/>
              <w:pageBreakBefore w:val="0"/>
              <w:widowControl w:val="0"/>
              <w:kinsoku/>
              <w:wordWrap/>
              <w:overflowPunct/>
              <w:topLinePunct w:val="0"/>
              <w:autoSpaceDE/>
              <w:autoSpaceDN/>
              <w:bidi w:val="0"/>
              <w:adjustRightInd/>
              <w:snapToGrid/>
              <w:spacing w:line="288" w:lineRule="auto"/>
              <w:ind w:firstLine="0" w:firstLineChars="0"/>
              <w:textAlignment w:val="auto"/>
              <w:rPr>
                <w:rFonts w:hint="default"/>
                <w:color w:val="auto"/>
                <w:highlight w:val="none"/>
                <w:lang w:val="zh-CN"/>
              </w:rPr>
            </w:pPr>
          </w:p>
        </w:tc>
        <w:tc>
          <w:tcPr>
            <w:tcW w:w="2850" w:type="dxa"/>
            <w:vMerge w:val="continue"/>
            <w:vAlign w:val="center"/>
          </w:tcPr>
          <w:p w14:paraId="242493CD">
            <w:pPr>
              <w:widowControl/>
              <w:snapToGrid w:val="0"/>
              <w:spacing w:line="240" w:lineRule="auto"/>
              <w:ind w:left="0" w:leftChars="0" w:firstLine="0" w:firstLineChars="0"/>
              <w:jc w:val="center"/>
              <w:rPr>
                <w:rFonts w:hint="default" w:ascii="Times New Roman" w:hAnsi="Times New Roman" w:eastAsia="宋体" w:cs="Times New Roman"/>
                <w:color w:val="auto"/>
                <w:kern w:val="0"/>
                <w:sz w:val="21"/>
                <w:szCs w:val="21"/>
                <w:highlight w:val="none"/>
                <w:lang w:val="zh-CN"/>
              </w:rPr>
            </w:pPr>
          </w:p>
        </w:tc>
        <w:tc>
          <w:tcPr>
            <w:tcW w:w="722" w:type="dxa"/>
            <w:vMerge w:val="continue"/>
            <w:vAlign w:val="center"/>
          </w:tcPr>
          <w:p w14:paraId="5517A7CA">
            <w:pPr>
              <w:widowControl/>
              <w:snapToGrid w:val="0"/>
              <w:spacing w:line="240" w:lineRule="auto"/>
              <w:ind w:firstLine="0" w:firstLineChars="0"/>
              <w:jc w:val="center"/>
              <w:rPr>
                <w:rFonts w:hint="default"/>
                <w:color w:val="auto"/>
                <w:highlight w:val="none"/>
                <w:lang w:val="zh-CN"/>
              </w:rPr>
            </w:pPr>
          </w:p>
        </w:tc>
        <w:tc>
          <w:tcPr>
            <w:tcW w:w="1052" w:type="dxa"/>
            <w:vMerge w:val="continue"/>
            <w:vAlign w:val="center"/>
          </w:tcPr>
          <w:p w14:paraId="3B4AF2BB">
            <w:pPr>
              <w:widowControl/>
              <w:snapToGrid w:val="0"/>
              <w:spacing w:line="240" w:lineRule="auto"/>
              <w:ind w:firstLine="0" w:firstLineChars="0"/>
              <w:jc w:val="center"/>
              <w:rPr>
                <w:rFonts w:hint="default"/>
                <w:color w:val="auto"/>
                <w:highlight w:val="none"/>
                <w:lang w:val="zh-CN"/>
              </w:rPr>
            </w:pPr>
          </w:p>
        </w:tc>
      </w:tr>
      <w:tr w14:paraId="7C1763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00" w:type="dxa"/>
            <w:vMerge w:val="continue"/>
            <w:vAlign w:val="center"/>
          </w:tcPr>
          <w:p w14:paraId="5D88C79E">
            <w:pPr>
              <w:pStyle w:val="30"/>
              <w:keepNext w:val="0"/>
              <w:keepLines w:val="0"/>
              <w:pageBreakBefore w:val="0"/>
              <w:widowControl w:val="0"/>
              <w:kinsoku/>
              <w:wordWrap/>
              <w:overflowPunct/>
              <w:topLinePunct w:val="0"/>
              <w:autoSpaceDE/>
              <w:autoSpaceDN/>
              <w:bidi w:val="0"/>
              <w:adjustRightInd/>
              <w:snapToGrid/>
              <w:spacing w:line="288" w:lineRule="auto"/>
              <w:textAlignment w:val="auto"/>
              <w:rPr>
                <w:rFonts w:hint="default"/>
                <w:color w:val="auto"/>
                <w:highlight w:val="none"/>
                <w:lang w:val="zh-CN"/>
              </w:rPr>
            </w:pPr>
          </w:p>
        </w:tc>
        <w:tc>
          <w:tcPr>
            <w:tcW w:w="874" w:type="dxa"/>
            <w:vAlign w:val="center"/>
          </w:tcPr>
          <w:p w14:paraId="3EA0DD0C">
            <w:pPr>
              <w:pStyle w:val="30"/>
              <w:keepNext w:val="0"/>
              <w:keepLines w:val="0"/>
              <w:pageBreakBefore w:val="0"/>
              <w:widowControl w:val="0"/>
              <w:kinsoku/>
              <w:wordWrap/>
              <w:overflowPunct/>
              <w:topLinePunct w:val="0"/>
              <w:autoSpaceDE/>
              <w:autoSpaceDN/>
              <w:bidi w:val="0"/>
              <w:adjustRightInd/>
              <w:snapToGrid/>
              <w:spacing w:line="288" w:lineRule="auto"/>
              <w:textAlignment w:val="auto"/>
              <w:rPr>
                <w:rFonts w:hint="default"/>
                <w:color w:val="auto"/>
                <w:highlight w:val="none"/>
                <w:lang w:val="zh-CN"/>
              </w:rPr>
            </w:pPr>
            <w:r>
              <w:rPr>
                <w:color w:val="auto"/>
                <w:highlight w:val="none"/>
              </w:rPr>
              <w:t>8#</w:t>
            </w:r>
          </w:p>
        </w:tc>
        <w:tc>
          <w:tcPr>
            <w:tcW w:w="1363" w:type="dxa"/>
            <w:vMerge w:val="continue"/>
            <w:vAlign w:val="center"/>
          </w:tcPr>
          <w:p w14:paraId="79B37E54">
            <w:pPr>
              <w:widowControl/>
              <w:snapToGrid w:val="0"/>
              <w:spacing w:line="240" w:lineRule="auto"/>
              <w:ind w:firstLine="0" w:firstLineChars="0"/>
              <w:jc w:val="center"/>
              <w:rPr>
                <w:rFonts w:hint="default"/>
                <w:color w:val="auto"/>
                <w:highlight w:val="none"/>
                <w:lang w:val="zh-CN"/>
              </w:rPr>
            </w:pPr>
          </w:p>
        </w:tc>
        <w:tc>
          <w:tcPr>
            <w:tcW w:w="928" w:type="dxa"/>
            <w:vAlign w:val="center"/>
          </w:tcPr>
          <w:p w14:paraId="51BDD8AA">
            <w:pPr>
              <w:widowControl/>
              <w:snapToGrid w:val="0"/>
              <w:spacing w:line="240" w:lineRule="auto"/>
              <w:ind w:firstLine="0" w:firstLineChars="0"/>
              <w:jc w:val="center"/>
              <w:rPr>
                <w:rFonts w:hint="default"/>
                <w:color w:val="auto"/>
                <w:highlight w:val="none"/>
                <w:lang w:val="zh-CN"/>
              </w:rPr>
            </w:pPr>
            <w:r>
              <w:rPr>
                <w:rFonts w:hint="eastAsia" w:ascii="Times New Roman" w:hAnsi="Times New Roman" w:eastAsia="宋体" w:cs="Times New Roman"/>
                <w:color w:val="auto"/>
                <w:kern w:val="0"/>
                <w:sz w:val="21"/>
                <w:szCs w:val="21"/>
                <w:highlight w:val="none"/>
              </w:rPr>
              <w:t>地下水型</w:t>
            </w:r>
          </w:p>
        </w:tc>
        <w:tc>
          <w:tcPr>
            <w:tcW w:w="845" w:type="dxa"/>
            <w:vMerge w:val="continue"/>
            <w:vAlign w:val="center"/>
          </w:tcPr>
          <w:p w14:paraId="49194862">
            <w:pPr>
              <w:pStyle w:val="30"/>
              <w:keepNext w:val="0"/>
              <w:keepLines w:val="0"/>
              <w:pageBreakBefore w:val="0"/>
              <w:widowControl w:val="0"/>
              <w:kinsoku/>
              <w:wordWrap/>
              <w:overflowPunct/>
              <w:topLinePunct w:val="0"/>
              <w:autoSpaceDE/>
              <w:autoSpaceDN/>
              <w:bidi w:val="0"/>
              <w:adjustRightInd/>
              <w:snapToGrid/>
              <w:spacing w:line="288" w:lineRule="auto"/>
              <w:ind w:firstLine="0" w:firstLineChars="0"/>
              <w:textAlignment w:val="auto"/>
              <w:rPr>
                <w:rFonts w:hint="default"/>
                <w:color w:val="auto"/>
                <w:highlight w:val="none"/>
                <w:lang w:val="zh-CN"/>
              </w:rPr>
            </w:pPr>
          </w:p>
        </w:tc>
        <w:tc>
          <w:tcPr>
            <w:tcW w:w="1146" w:type="dxa"/>
            <w:vAlign w:val="center"/>
          </w:tcPr>
          <w:p w14:paraId="52EE9EB9">
            <w:pPr>
              <w:widowControl/>
              <w:snapToGrid w:val="0"/>
              <w:spacing w:line="240" w:lineRule="auto"/>
              <w:ind w:firstLine="0" w:firstLineChars="0"/>
              <w:jc w:val="center"/>
              <w:rPr>
                <w:rFonts w:hint="default" w:ascii="Times New Roman" w:hAnsi="Times New Roman" w:cs="Times New Roman"/>
                <w:color w:val="auto"/>
                <w:highlight w:val="none"/>
                <w:lang w:val="zh-CN"/>
              </w:rPr>
            </w:pPr>
            <w:r>
              <w:rPr>
                <w:rFonts w:hint="default" w:ascii="Times New Roman" w:hAnsi="Times New Roman" w:eastAsia="宋体" w:cs="Times New Roman"/>
                <w:color w:val="auto"/>
                <w:kern w:val="0"/>
                <w:sz w:val="21"/>
                <w:szCs w:val="21"/>
                <w:highlight w:val="none"/>
                <w:lang w:val="en-US" w:eastAsia="zh-CN"/>
              </w:rPr>
              <w:t>127°40'31.9402"</w:t>
            </w:r>
          </w:p>
        </w:tc>
        <w:tc>
          <w:tcPr>
            <w:tcW w:w="954" w:type="dxa"/>
            <w:vAlign w:val="center"/>
          </w:tcPr>
          <w:p w14:paraId="43451475">
            <w:pPr>
              <w:widowControl/>
              <w:snapToGrid w:val="0"/>
              <w:spacing w:line="240" w:lineRule="auto"/>
              <w:ind w:firstLine="0" w:firstLineChars="0"/>
              <w:jc w:val="center"/>
              <w:rPr>
                <w:rFonts w:hint="default" w:ascii="Times New Roman" w:hAnsi="Times New Roman" w:cs="Times New Roman"/>
                <w:color w:val="auto"/>
                <w:highlight w:val="none"/>
                <w:lang w:val="zh-CN"/>
              </w:rPr>
            </w:pPr>
            <w:r>
              <w:rPr>
                <w:rFonts w:hint="default" w:ascii="Times New Roman" w:hAnsi="Times New Roman" w:eastAsia="宋体" w:cs="Times New Roman"/>
                <w:color w:val="auto"/>
                <w:kern w:val="0"/>
                <w:sz w:val="21"/>
                <w:szCs w:val="21"/>
                <w:highlight w:val="none"/>
                <w:lang w:val="en-US" w:eastAsia="zh-CN"/>
              </w:rPr>
              <w:t>47°03'01.5682"</w:t>
            </w:r>
          </w:p>
        </w:tc>
        <w:tc>
          <w:tcPr>
            <w:tcW w:w="941" w:type="dxa"/>
            <w:vMerge w:val="continue"/>
            <w:vAlign w:val="center"/>
          </w:tcPr>
          <w:p w14:paraId="6BEFCA16">
            <w:pPr>
              <w:pStyle w:val="30"/>
              <w:keepNext w:val="0"/>
              <w:keepLines w:val="0"/>
              <w:pageBreakBefore w:val="0"/>
              <w:widowControl w:val="0"/>
              <w:kinsoku/>
              <w:wordWrap/>
              <w:overflowPunct/>
              <w:topLinePunct w:val="0"/>
              <w:autoSpaceDE/>
              <w:autoSpaceDN/>
              <w:bidi w:val="0"/>
              <w:adjustRightInd/>
              <w:snapToGrid/>
              <w:spacing w:line="288" w:lineRule="auto"/>
              <w:ind w:firstLine="0" w:firstLineChars="0"/>
              <w:textAlignment w:val="auto"/>
              <w:rPr>
                <w:rFonts w:hint="default"/>
                <w:color w:val="auto"/>
                <w:highlight w:val="none"/>
                <w:lang w:val="zh-CN"/>
              </w:rPr>
            </w:pPr>
          </w:p>
        </w:tc>
        <w:tc>
          <w:tcPr>
            <w:tcW w:w="1023" w:type="dxa"/>
            <w:vMerge w:val="continue"/>
            <w:vAlign w:val="center"/>
          </w:tcPr>
          <w:p w14:paraId="2ED1F269">
            <w:pPr>
              <w:pStyle w:val="30"/>
              <w:keepNext w:val="0"/>
              <w:keepLines w:val="0"/>
              <w:pageBreakBefore w:val="0"/>
              <w:widowControl w:val="0"/>
              <w:kinsoku/>
              <w:wordWrap/>
              <w:overflowPunct/>
              <w:topLinePunct w:val="0"/>
              <w:autoSpaceDE/>
              <w:autoSpaceDN/>
              <w:bidi w:val="0"/>
              <w:adjustRightInd/>
              <w:snapToGrid/>
              <w:spacing w:line="288" w:lineRule="auto"/>
              <w:ind w:firstLine="0" w:firstLineChars="0"/>
              <w:textAlignment w:val="auto"/>
              <w:rPr>
                <w:rFonts w:hint="default"/>
                <w:color w:val="auto"/>
                <w:highlight w:val="none"/>
                <w:lang w:val="zh-CN"/>
              </w:rPr>
            </w:pPr>
          </w:p>
        </w:tc>
        <w:tc>
          <w:tcPr>
            <w:tcW w:w="2850" w:type="dxa"/>
            <w:vMerge w:val="continue"/>
            <w:vAlign w:val="center"/>
          </w:tcPr>
          <w:p w14:paraId="3BF49066">
            <w:pPr>
              <w:widowControl/>
              <w:snapToGrid w:val="0"/>
              <w:spacing w:line="240" w:lineRule="auto"/>
              <w:ind w:left="0" w:leftChars="0" w:firstLine="0" w:firstLineChars="0"/>
              <w:jc w:val="center"/>
              <w:rPr>
                <w:rFonts w:hint="default" w:ascii="Times New Roman" w:hAnsi="Times New Roman" w:eastAsia="宋体" w:cs="Times New Roman"/>
                <w:color w:val="auto"/>
                <w:kern w:val="0"/>
                <w:sz w:val="21"/>
                <w:szCs w:val="21"/>
                <w:highlight w:val="none"/>
                <w:lang w:val="zh-CN"/>
              </w:rPr>
            </w:pPr>
          </w:p>
        </w:tc>
        <w:tc>
          <w:tcPr>
            <w:tcW w:w="722" w:type="dxa"/>
            <w:vMerge w:val="continue"/>
            <w:vAlign w:val="center"/>
          </w:tcPr>
          <w:p w14:paraId="04074CCC">
            <w:pPr>
              <w:widowControl/>
              <w:snapToGrid w:val="0"/>
              <w:spacing w:line="240" w:lineRule="auto"/>
              <w:ind w:firstLine="0" w:firstLineChars="0"/>
              <w:jc w:val="center"/>
              <w:rPr>
                <w:rFonts w:hint="default"/>
                <w:color w:val="auto"/>
                <w:highlight w:val="none"/>
                <w:lang w:val="zh-CN"/>
              </w:rPr>
            </w:pPr>
          </w:p>
        </w:tc>
        <w:tc>
          <w:tcPr>
            <w:tcW w:w="1052" w:type="dxa"/>
            <w:vMerge w:val="continue"/>
            <w:vAlign w:val="center"/>
          </w:tcPr>
          <w:p w14:paraId="415A751E">
            <w:pPr>
              <w:widowControl/>
              <w:snapToGrid w:val="0"/>
              <w:spacing w:line="240" w:lineRule="auto"/>
              <w:ind w:firstLine="0" w:firstLineChars="0"/>
              <w:jc w:val="center"/>
              <w:rPr>
                <w:rFonts w:hint="default"/>
                <w:color w:val="auto"/>
                <w:highlight w:val="none"/>
                <w:lang w:val="zh-CN"/>
              </w:rPr>
            </w:pPr>
          </w:p>
        </w:tc>
      </w:tr>
      <w:tr w14:paraId="7C4D7F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00" w:type="dxa"/>
            <w:vMerge w:val="restart"/>
            <w:vAlign w:val="center"/>
          </w:tcPr>
          <w:p w14:paraId="5C302036">
            <w:pPr>
              <w:widowControl/>
              <w:spacing w:line="240" w:lineRule="auto"/>
              <w:ind w:firstLine="0" w:firstLineChars="0"/>
              <w:jc w:val="center"/>
              <w:textAlignment w:val="center"/>
              <w:rPr>
                <w:rFonts w:hint="default"/>
                <w:color w:val="auto"/>
                <w:highlight w:val="none"/>
                <w:lang w:val="zh-CN"/>
              </w:rPr>
            </w:pPr>
            <w:r>
              <w:rPr>
                <w:rFonts w:hint="eastAsia" w:ascii="Times New Roman" w:hAnsi="Times New Roman" w:eastAsia="宋体" w:cs="Times New Roman"/>
                <w:color w:val="auto"/>
                <w:kern w:val="0"/>
                <w:sz w:val="21"/>
                <w:szCs w:val="21"/>
                <w:highlight w:val="none"/>
                <w:lang w:val="en-US" w:eastAsia="zh-CN" w:bidi="ar"/>
              </w:rPr>
              <w:t>绥化市庆安县建民乡</w:t>
            </w:r>
            <w:r>
              <w:rPr>
                <w:rFonts w:ascii="Times New Roman" w:hAnsi="Times New Roman" w:eastAsia="宋体" w:cs="Times New Roman"/>
                <w:color w:val="auto"/>
                <w:kern w:val="0"/>
                <w:sz w:val="21"/>
                <w:szCs w:val="21"/>
                <w:highlight w:val="none"/>
                <w:lang w:bidi="ar"/>
              </w:rPr>
              <w:t>饮用水水源地</w:t>
            </w:r>
          </w:p>
        </w:tc>
        <w:tc>
          <w:tcPr>
            <w:tcW w:w="874" w:type="dxa"/>
            <w:vAlign w:val="center"/>
          </w:tcPr>
          <w:p w14:paraId="4A338DC4">
            <w:pPr>
              <w:pStyle w:val="30"/>
              <w:keepNext w:val="0"/>
              <w:keepLines w:val="0"/>
              <w:pageBreakBefore w:val="0"/>
              <w:widowControl w:val="0"/>
              <w:kinsoku/>
              <w:wordWrap/>
              <w:overflowPunct/>
              <w:topLinePunct w:val="0"/>
              <w:autoSpaceDE/>
              <w:autoSpaceDN/>
              <w:bidi w:val="0"/>
              <w:adjustRightInd/>
              <w:snapToGrid/>
              <w:spacing w:line="288" w:lineRule="auto"/>
              <w:ind w:firstLine="0" w:firstLineChars="0"/>
              <w:textAlignment w:val="auto"/>
              <w:rPr>
                <w:rFonts w:hint="default"/>
                <w:color w:val="auto"/>
                <w:highlight w:val="none"/>
                <w:lang w:val="zh-CN"/>
              </w:rPr>
            </w:pPr>
            <w:r>
              <w:rPr>
                <w:color w:val="auto"/>
                <w:highlight w:val="none"/>
              </w:rPr>
              <w:t>1#</w:t>
            </w:r>
          </w:p>
        </w:tc>
        <w:tc>
          <w:tcPr>
            <w:tcW w:w="1363" w:type="dxa"/>
            <w:vMerge w:val="restart"/>
            <w:vAlign w:val="center"/>
          </w:tcPr>
          <w:p w14:paraId="0DB9261A">
            <w:pPr>
              <w:keepNext w:val="0"/>
              <w:keepLines w:val="0"/>
              <w:widowControl/>
              <w:suppressLineNumbers w:val="0"/>
              <w:spacing w:line="240" w:lineRule="auto"/>
              <w:ind w:left="0" w:leftChars="0" w:firstLine="0" w:firstLineChars="0"/>
              <w:jc w:val="left"/>
              <w:rPr>
                <w:rFonts w:hint="default"/>
                <w:color w:val="auto"/>
                <w:highlight w:val="none"/>
                <w:lang w:val="zh-CN"/>
              </w:rPr>
            </w:pPr>
            <w:r>
              <w:rPr>
                <w:rFonts w:hint="eastAsia"/>
                <w:color w:val="auto"/>
                <w:spacing w:val="-2"/>
                <w:sz w:val="21"/>
                <w:szCs w:val="21"/>
                <w:highlight w:val="none"/>
              </w:rPr>
              <w:t>建民乡内建兴村、建安村、建民村、建业村、建发村、建功村，共计6个行政村61个自然屯</w:t>
            </w:r>
          </w:p>
        </w:tc>
        <w:tc>
          <w:tcPr>
            <w:tcW w:w="928" w:type="dxa"/>
            <w:vAlign w:val="center"/>
          </w:tcPr>
          <w:p w14:paraId="0F32BCCC">
            <w:pPr>
              <w:widowControl/>
              <w:snapToGrid w:val="0"/>
              <w:spacing w:line="240" w:lineRule="auto"/>
              <w:ind w:firstLine="0" w:firstLineChars="0"/>
              <w:jc w:val="center"/>
              <w:rPr>
                <w:rFonts w:hint="default"/>
                <w:color w:val="auto"/>
                <w:highlight w:val="none"/>
                <w:lang w:val="zh-CN"/>
              </w:rPr>
            </w:pPr>
            <w:r>
              <w:rPr>
                <w:rFonts w:hint="eastAsia" w:ascii="Times New Roman" w:hAnsi="Times New Roman" w:eastAsia="宋体" w:cs="Times New Roman"/>
                <w:color w:val="auto"/>
                <w:kern w:val="0"/>
                <w:sz w:val="21"/>
                <w:szCs w:val="21"/>
                <w:highlight w:val="none"/>
              </w:rPr>
              <w:t>地下水型</w:t>
            </w:r>
          </w:p>
        </w:tc>
        <w:tc>
          <w:tcPr>
            <w:tcW w:w="845" w:type="dxa"/>
            <w:vMerge w:val="restart"/>
            <w:vAlign w:val="center"/>
          </w:tcPr>
          <w:p w14:paraId="7B73E33B">
            <w:pPr>
              <w:pStyle w:val="30"/>
              <w:keepNext w:val="0"/>
              <w:keepLines w:val="0"/>
              <w:pageBreakBefore w:val="0"/>
              <w:widowControl w:val="0"/>
              <w:kinsoku/>
              <w:wordWrap/>
              <w:overflowPunct/>
              <w:topLinePunct w:val="0"/>
              <w:autoSpaceDE/>
              <w:autoSpaceDN/>
              <w:bidi w:val="0"/>
              <w:adjustRightInd/>
              <w:snapToGrid/>
              <w:spacing w:line="288" w:lineRule="auto"/>
              <w:ind w:firstLine="0" w:firstLineChars="0"/>
              <w:textAlignment w:val="auto"/>
              <w:rPr>
                <w:rFonts w:hint="default"/>
                <w:color w:val="auto"/>
                <w:highlight w:val="none"/>
                <w:lang w:val="zh-CN"/>
              </w:rPr>
            </w:pPr>
            <w:r>
              <w:rPr>
                <w:rFonts w:hint="eastAsia" w:cs="Times New Roman"/>
                <w:color w:val="auto"/>
                <w:kern w:val="0"/>
                <w:sz w:val="21"/>
                <w:szCs w:val="21"/>
                <w:highlight w:val="none"/>
                <w:lang w:val="en-US" w:eastAsia="zh-CN"/>
              </w:rPr>
              <w:t>2024年</w:t>
            </w:r>
          </w:p>
        </w:tc>
        <w:tc>
          <w:tcPr>
            <w:tcW w:w="1146" w:type="dxa"/>
            <w:vAlign w:val="center"/>
          </w:tcPr>
          <w:p w14:paraId="0E64E923">
            <w:pPr>
              <w:widowControl/>
              <w:snapToGrid w:val="0"/>
              <w:spacing w:line="240" w:lineRule="auto"/>
              <w:ind w:firstLine="0" w:firstLineChars="0"/>
              <w:jc w:val="center"/>
              <w:rPr>
                <w:rFonts w:hint="default" w:ascii="Times New Roman" w:hAnsi="Times New Roman" w:cs="Times New Roman"/>
                <w:color w:val="auto"/>
                <w:highlight w:val="none"/>
                <w:lang w:val="zh-CN"/>
              </w:rPr>
            </w:pPr>
            <w:r>
              <w:rPr>
                <w:rFonts w:hint="default" w:ascii="Times New Roman" w:hAnsi="Times New Roman" w:eastAsia="宋体" w:cs="Times New Roman"/>
                <w:color w:val="auto"/>
                <w:kern w:val="0"/>
                <w:sz w:val="21"/>
                <w:szCs w:val="21"/>
                <w:highlight w:val="none"/>
                <w:lang w:val="en-US" w:eastAsia="zh-CN"/>
              </w:rPr>
              <w:t>127°30'49.0249"</w:t>
            </w:r>
          </w:p>
        </w:tc>
        <w:tc>
          <w:tcPr>
            <w:tcW w:w="954" w:type="dxa"/>
            <w:vAlign w:val="center"/>
          </w:tcPr>
          <w:p w14:paraId="7A173682">
            <w:pPr>
              <w:widowControl/>
              <w:snapToGrid w:val="0"/>
              <w:spacing w:line="240" w:lineRule="auto"/>
              <w:ind w:firstLine="0" w:firstLineChars="0"/>
              <w:jc w:val="center"/>
              <w:rPr>
                <w:rFonts w:hint="default" w:ascii="Times New Roman" w:hAnsi="Times New Roman" w:cs="Times New Roman"/>
                <w:color w:val="auto"/>
                <w:highlight w:val="none"/>
                <w:lang w:val="zh-CN"/>
              </w:rPr>
            </w:pPr>
            <w:r>
              <w:rPr>
                <w:rFonts w:hint="default" w:ascii="Times New Roman" w:hAnsi="Times New Roman" w:eastAsia="宋体" w:cs="Times New Roman"/>
                <w:color w:val="auto"/>
                <w:kern w:val="0"/>
                <w:sz w:val="21"/>
                <w:szCs w:val="21"/>
                <w:highlight w:val="none"/>
                <w:lang w:val="en-US" w:eastAsia="zh-CN"/>
              </w:rPr>
              <w:t>46°42'42.9945"</w:t>
            </w:r>
          </w:p>
        </w:tc>
        <w:tc>
          <w:tcPr>
            <w:tcW w:w="941" w:type="dxa"/>
            <w:vMerge w:val="restart"/>
            <w:vAlign w:val="center"/>
          </w:tcPr>
          <w:p w14:paraId="67B13CDD">
            <w:pPr>
              <w:widowControl/>
              <w:spacing w:line="240" w:lineRule="auto"/>
              <w:ind w:firstLine="0" w:firstLineChars="0"/>
              <w:jc w:val="center"/>
              <w:textAlignment w:val="center"/>
              <w:rPr>
                <w:rFonts w:hint="default"/>
                <w:color w:val="auto"/>
                <w:highlight w:val="none"/>
                <w:lang w:val="zh-CN"/>
              </w:rPr>
            </w:pPr>
            <w:r>
              <w:rPr>
                <w:rFonts w:hint="default" w:ascii="Times New Roman" w:hAnsi="Times New Roman" w:eastAsia="宋体" w:cs="Times New Roman"/>
                <w:color w:val="auto"/>
                <w:kern w:val="0"/>
                <w:sz w:val="21"/>
                <w:szCs w:val="21"/>
                <w:highlight w:val="none"/>
                <w:lang w:val="en-US" w:eastAsia="zh-CN" w:bidi="ar"/>
              </w:rPr>
              <w:t>8655</w:t>
            </w:r>
            <w:r>
              <w:rPr>
                <w:rFonts w:hint="eastAsia" w:ascii="Times New Roman" w:hAnsi="Times New Roman" w:eastAsia="宋体" w:cs="Times New Roman"/>
                <w:color w:val="auto"/>
                <w:kern w:val="0"/>
                <w:sz w:val="21"/>
                <w:szCs w:val="21"/>
                <w:highlight w:val="none"/>
                <w:lang w:val="en-US" w:eastAsia="zh-CN" w:bidi="ar"/>
              </w:rPr>
              <w:t>人</w:t>
            </w:r>
          </w:p>
        </w:tc>
        <w:tc>
          <w:tcPr>
            <w:tcW w:w="1023" w:type="dxa"/>
            <w:vMerge w:val="restart"/>
            <w:vAlign w:val="center"/>
          </w:tcPr>
          <w:p w14:paraId="6CF06AD4">
            <w:pPr>
              <w:widowControl/>
              <w:snapToGrid w:val="0"/>
              <w:spacing w:line="240" w:lineRule="auto"/>
              <w:ind w:firstLine="0" w:firstLineChars="0"/>
              <w:jc w:val="center"/>
              <w:rPr>
                <w:rFonts w:hint="default"/>
                <w:color w:val="auto"/>
                <w:highlight w:val="none"/>
                <w:lang w:val="zh-CN"/>
              </w:rPr>
            </w:pPr>
            <w:r>
              <w:rPr>
                <w:rFonts w:hint="eastAsia"/>
                <w:color w:val="auto"/>
                <w:sz w:val="21"/>
                <w:szCs w:val="21"/>
                <w:highlight w:val="none"/>
              </w:rPr>
              <w:t>机械曝气</w:t>
            </w:r>
            <w:r>
              <w:rPr>
                <w:rFonts w:hint="eastAsia"/>
                <w:color w:val="auto"/>
                <w:sz w:val="21"/>
                <w:szCs w:val="21"/>
                <w:highlight w:val="none"/>
                <w:lang w:eastAsia="zh-CN"/>
              </w:rPr>
              <w:t>、</w:t>
            </w:r>
            <w:r>
              <w:rPr>
                <w:rFonts w:hint="eastAsia"/>
                <w:color w:val="auto"/>
                <w:sz w:val="21"/>
                <w:szCs w:val="21"/>
                <w:highlight w:val="none"/>
              </w:rPr>
              <w:t>锰砂过滤</w:t>
            </w:r>
            <w:r>
              <w:rPr>
                <w:rFonts w:hint="eastAsia"/>
                <w:color w:val="auto"/>
                <w:sz w:val="21"/>
                <w:szCs w:val="21"/>
                <w:highlight w:val="none"/>
                <w:lang w:eastAsia="zh-CN"/>
              </w:rPr>
              <w:t>、</w:t>
            </w:r>
            <w:r>
              <w:rPr>
                <w:rFonts w:hint="eastAsia"/>
                <w:color w:val="auto"/>
                <w:sz w:val="21"/>
                <w:szCs w:val="21"/>
                <w:highlight w:val="none"/>
              </w:rPr>
              <w:t>次氯酸钠消毒</w:t>
            </w:r>
          </w:p>
        </w:tc>
        <w:tc>
          <w:tcPr>
            <w:tcW w:w="2850" w:type="dxa"/>
            <w:vMerge w:val="restart"/>
            <w:vAlign w:val="center"/>
          </w:tcPr>
          <w:p w14:paraId="0466C05B">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zh-CN"/>
              </w:rPr>
            </w:pPr>
            <w:r>
              <w:rPr>
                <w:rFonts w:hint="eastAsia" w:cs="Times New Roman"/>
                <w:color w:val="auto"/>
                <w:kern w:val="0"/>
                <w:sz w:val="21"/>
                <w:szCs w:val="21"/>
                <w:highlight w:val="none"/>
                <w:lang w:val="en-US" w:eastAsia="zh-CN"/>
              </w:rPr>
              <w:t>3</w:t>
            </w:r>
            <w:r>
              <w:rPr>
                <w:rFonts w:hint="eastAsia" w:ascii="Times New Roman" w:hAnsi="Times New Roman" w:eastAsia="宋体" w:cs="Times New Roman"/>
                <w:color w:val="auto"/>
                <w:kern w:val="0"/>
                <w:sz w:val="21"/>
                <w:szCs w:val="21"/>
                <w:highlight w:val="none"/>
              </w:rPr>
              <w:t>眼井，为</w:t>
            </w:r>
            <w:r>
              <w:rPr>
                <w:rFonts w:hint="eastAsia" w:ascii="Times New Roman" w:hAnsi="Times New Roman" w:cs="Times New Roman"/>
                <w:color w:val="auto"/>
                <w:sz w:val="21"/>
                <w:szCs w:val="21"/>
                <w:highlight w:val="none"/>
                <w:lang w:eastAsia="zh-CN"/>
              </w:rPr>
              <w:t>孔隙—裂隙</w:t>
            </w:r>
            <w:r>
              <w:rPr>
                <w:rFonts w:hint="eastAsia" w:ascii="Times New Roman" w:hAnsi="Times New Roman" w:eastAsia="宋体" w:cs="Times New Roman"/>
                <w:color w:val="auto"/>
                <w:kern w:val="0"/>
                <w:sz w:val="21"/>
                <w:szCs w:val="21"/>
                <w:highlight w:val="none"/>
              </w:rPr>
              <w:t>承压水型，</w:t>
            </w:r>
            <w:r>
              <w:rPr>
                <w:rFonts w:hint="eastAsia" w:ascii="Times New Roman" w:hAnsi="Times New Roman" w:eastAsia="宋体" w:cs="Times New Roman"/>
                <w:color w:val="auto"/>
                <w:sz w:val="21"/>
                <w:szCs w:val="21"/>
                <w:highlight w:val="none"/>
                <w:lang w:val="en-US" w:eastAsia="zh-CN"/>
              </w:rPr>
              <w:t>一级保护区范围分别以3眼取水井为圆心，30米为半径的圆形区域，一级保护区总面积为</w:t>
            </w:r>
            <w:r>
              <w:rPr>
                <w:rFonts w:hint="eastAsia"/>
                <w:color w:val="auto"/>
                <w:sz w:val="21"/>
                <w:szCs w:val="21"/>
                <w:highlight w:val="none"/>
                <w:lang w:val="en-US" w:eastAsia="zh-CN"/>
              </w:rPr>
              <w:t>8478</w:t>
            </w:r>
            <w:r>
              <w:rPr>
                <w:rFonts w:hint="eastAsia"/>
                <w:color w:val="auto"/>
                <w:sz w:val="21"/>
                <w:szCs w:val="21"/>
                <w:highlight w:val="none"/>
              </w:rPr>
              <w:t>平方米</w:t>
            </w:r>
            <w:r>
              <w:rPr>
                <w:rFonts w:hint="eastAsia" w:ascii="Times New Roman" w:hAnsi="Times New Roman" w:eastAsia="宋体" w:cs="Times New Roman"/>
                <w:color w:val="auto"/>
                <w:kern w:val="0"/>
                <w:sz w:val="21"/>
                <w:szCs w:val="21"/>
                <w:highlight w:val="none"/>
              </w:rPr>
              <w:t>。</w:t>
            </w:r>
          </w:p>
        </w:tc>
        <w:tc>
          <w:tcPr>
            <w:tcW w:w="722" w:type="dxa"/>
            <w:vMerge w:val="restart"/>
            <w:vAlign w:val="center"/>
          </w:tcPr>
          <w:p w14:paraId="4AB40C4C">
            <w:pPr>
              <w:widowControl/>
              <w:snapToGrid w:val="0"/>
              <w:spacing w:line="240" w:lineRule="auto"/>
              <w:ind w:firstLine="0" w:firstLineChars="0"/>
              <w:jc w:val="center"/>
              <w:rPr>
                <w:rFonts w:hint="default"/>
                <w:color w:val="auto"/>
                <w:highlight w:val="none"/>
                <w:lang w:val="zh-CN"/>
              </w:rPr>
            </w:pPr>
            <w:r>
              <w:rPr>
                <w:rFonts w:hint="eastAsia" w:ascii="Times New Roman" w:hAnsi="Times New Roman" w:eastAsia="宋体" w:cs="Times New Roman"/>
                <w:color w:val="auto"/>
                <w:kern w:val="0"/>
                <w:sz w:val="21"/>
                <w:szCs w:val="21"/>
                <w:highlight w:val="none"/>
              </w:rPr>
              <w:t>无</w:t>
            </w:r>
          </w:p>
        </w:tc>
        <w:tc>
          <w:tcPr>
            <w:tcW w:w="1052" w:type="dxa"/>
            <w:vMerge w:val="restart"/>
            <w:vAlign w:val="center"/>
          </w:tcPr>
          <w:p w14:paraId="36D4BF40">
            <w:pPr>
              <w:widowControl/>
              <w:snapToGrid w:val="0"/>
              <w:spacing w:line="240" w:lineRule="auto"/>
              <w:ind w:firstLine="0" w:firstLineChars="0"/>
              <w:jc w:val="center"/>
              <w:rPr>
                <w:rFonts w:hint="default"/>
                <w:color w:val="auto"/>
                <w:highlight w:val="none"/>
                <w:lang w:val="zh-CN"/>
              </w:rPr>
            </w:pPr>
            <w:r>
              <w:rPr>
                <w:rFonts w:hint="eastAsia" w:ascii="Times New Roman" w:hAnsi="Times New Roman" w:eastAsia="宋体" w:cs="Times New Roman"/>
                <w:color w:val="auto"/>
                <w:kern w:val="0"/>
                <w:sz w:val="21"/>
                <w:szCs w:val="21"/>
                <w:highlight w:val="none"/>
              </w:rPr>
              <w:t>无</w:t>
            </w:r>
          </w:p>
        </w:tc>
      </w:tr>
      <w:tr w14:paraId="17C6B2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00" w:type="dxa"/>
            <w:vMerge w:val="continue"/>
            <w:vAlign w:val="center"/>
          </w:tcPr>
          <w:p w14:paraId="6663079F">
            <w:pPr>
              <w:pStyle w:val="30"/>
              <w:keepNext w:val="0"/>
              <w:keepLines w:val="0"/>
              <w:pageBreakBefore w:val="0"/>
              <w:widowControl w:val="0"/>
              <w:kinsoku/>
              <w:wordWrap/>
              <w:overflowPunct/>
              <w:topLinePunct w:val="0"/>
              <w:autoSpaceDE/>
              <w:autoSpaceDN/>
              <w:bidi w:val="0"/>
              <w:adjustRightInd/>
              <w:snapToGrid/>
              <w:spacing w:line="288" w:lineRule="auto"/>
              <w:textAlignment w:val="auto"/>
              <w:rPr>
                <w:rFonts w:hint="default"/>
                <w:color w:val="auto"/>
                <w:highlight w:val="none"/>
                <w:lang w:val="zh-CN"/>
              </w:rPr>
            </w:pPr>
          </w:p>
        </w:tc>
        <w:tc>
          <w:tcPr>
            <w:tcW w:w="874" w:type="dxa"/>
            <w:vAlign w:val="center"/>
          </w:tcPr>
          <w:p w14:paraId="547E4AE2">
            <w:pPr>
              <w:pStyle w:val="30"/>
              <w:keepNext w:val="0"/>
              <w:keepLines w:val="0"/>
              <w:pageBreakBefore w:val="0"/>
              <w:widowControl w:val="0"/>
              <w:kinsoku/>
              <w:wordWrap/>
              <w:overflowPunct/>
              <w:topLinePunct w:val="0"/>
              <w:autoSpaceDE/>
              <w:autoSpaceDN/>
              <w:bidi w:val="0"/>
              <w:adjustRightInd/>
              <w:snapToGrid/>
              <w:spacing w:line="288" w:lineRule="auto"/>
              <w:ind w:firstLine="0" w:firstLineChars="0"/>
              <w:textAlignment w:val="auto"/>
              <w:rPr>
                <w:rFonts w:hint="default"/>
                <w:color w:val="auto"/>
                <w:highlight w:val="none"/>
                <w:lang w:val="zh-CN"/>
              </w:rPr>
            </w:pPr>
            <w:r>
              <w:rPr>
                <w:color w:val="auto"/>
                <w:highlight w:val="none"/>
              </w:rPr>
              <w:t>2#</w:t>
            </w:r>
          </w:p>
        </w:tc>
        <w:tc>
          <w:tcPr>
            <w:tcW w:w="1363" w:type="dxa"/>
            <w:vMerge w:val="continue"/>
            <w:vAlign w:val="center"/>
          </w:tcPr>
          <w:p w14:paraId="645839BF">
            <w:pPr>
              <w:widowControl/>
              <w:snapToGrid w:val="0"/>
              <w:spacing w:line="240" w:lineRule="auto"/>
              <w:ind w:firstLine="0" w:firstLineChars="0"/>
              <w:jc w:val="center"/>
              <w:rPr>
                <w:rFonts w:hint="default"/>
                <w:color w:val="auto"/>
                <w:highlight w:val="none"/>
                <w:lang w:val="zh-CN"/>
              </w:rPr>
            </w:pPr>
          </w:p>
        </w:tc>
        <w:tc>
          <w:tcPr>
            <w:tcW w:w="928" w:type="dxa"/>
            <w:vAlign w:val="center"/>
          </w:tcPr>
          <w:p w14:paraId="1C4A4F1F">
            <w:pPr>
              <w:widowControl/>
              <w:snapToGrid w:val="0"/>
              <w:spacing w:line="240" w:lineRule="auto"/>
              <w:ind w:firstLine="0" w:firstLineChars="0"/>
              <w:jc w:val="center"/>
              <w:rPr>
                <w:rFonts w:hint="default"/>
                <w:color w:val="auto"/>
                <w:highlight w:val="none"/>
                <w:lang w:val="zh-CN"/>
              </w:rPr>
            </w:pPr>
            <w:r>
              <w:rPr>
                <w:rFonts w:hint="eastAsia" w:ascii="Times New Roman" w:hAnsi="Times New Roman" w:eastAsia="宋体" w:cs="Times New Roman"/>
                <w:color w:val="auto"/>
                <w:kern w:val="0"/>
                <w:sz w:val="21"/>
                <w:szCs w:val="21"/>
                <w:highlight w:val="none"/>
              </w:rPr>
              <w:t>地下水型</w:t>
            </w:r>
          </w:p>
        </w:tc>
        <w:tc>
          <w:tcPr>
            <w:tcW w:w="845" w:type="dxa"/>
            <w:vMerge w:val="continue"/>
            <w:vAlign w:val="center"/>
          </w:tcPr>
          <w:p w14:paraId="38D868D4">
            <w:pPr>
              <w:pStyle w:val="30"/>
              <w:keepNext w:val="0"/>
              <w:keepLines w:val="0"/>
              <w:pageBreakBefore w:val="0"/>
              <w:widowControl w:val="0"/>
              <w:kinsoku/>
              <w:wordWrap/>
              <w:overflowPunct/>
              <w:topLinePunct w:val="0"/>
              <w:autoSpaceDE/>
              <w:autoSpaceDN/>
              <w:bidi w:val="0"/>
              <w:adjustRightInd/>
              <w:snapToGrid/>
              <w:spacing w:line="288" w:lineRule="auto"/>
              <w:ind w:firstLine="0" w:firstLineChars="0"/>
              <w:textAlignment w:val="auto"/>
              <w:rPr>
                <w:rFonts w:hint="default"/>
                <w:color w:val="auto"/>
                <w:highlight w:val="none"/>
                <w:lang w:val="zh-CN"/>
              </w:rPr>
            </w:pPr>
          </w:p>
        </w:tc>
        <w:tc>
          <w:tcPr>
            <w:tcW w:w="1146" w:type="dxa"/>
            <w:vAlign w:val="center"/>
          </w:tcPr>
          <w:p w14:paraId="79C69C5D">
            <w:pPr>
              <w:widowControl/>
              <w:snapToGrid w:val="0"/>
              <w:spacing w:line="240" w:lineRule="auto"/>
              <w:ind w:firstLine="0" w:firstLineChars="0"/>
              <w:jc w:val="center"/>
              <w:rPr>
                <w:rFonts w:hint="default" w:ascii="Times New Roman" w:hAnsi="Times New Roman" w:cs="Times New Roman"/>
                <w:color w:val="auto"/>
                <w:highlight w:val="none"/>
                <w:lang w:val="zh-CN"/>
              </w:rPr>
            </w:pPr>
            <w:r>
              <w:rPr>
                <w:rFonts w:hint="default" w:ascii="Times New Roman" w:hAnsi="Times New Roman" w:eastAsia="宋体" w:cs="Times New Roman"/>
                <w:color w:val="auto"/>
                <w:kern w:val="0"/>
                <w:sz w:val="21"/>
                <w:szCs w:val="21"/>
                <w:highlight w:val="none"/>
                <w:lang w:val="en-US" w:eastAsia="zh-CN"/>
              </w:rPr>
              <w:t>127°30'22.7076"</w:t>
            </w:r>
          </w:p>
        </w:tc>
        <w:tc>
          <w:tcPr>
            <w:tcW w:w="954" w:type="dxa"/>
            <w:vAlign w:val="center"/>
          </w:tcPr>
          <w:p w14:paraId="6A825D3D">
            <w:pPr>
              <w:widowControl/>
              <w:snapToGrid w:val="0"/>
              <w:spacing w:line="240" w:lineRule="auto"/>
              <w:ind w:firstLine="0" w:firstLineChars="0"/>
              <w:jc w:val="center"/>
              <w:rPr>
                <w:rFonts w:hint="default" w:ascii="Times New Roman" w:hAnsi="Times New Roman" w:cs="Times New Roman"/>
                <w:color w:val="auto"/>
                <w:highlight w:val="none"/>
                <w:lang w:val="zh-CN"/>
              </w:rPr>
            </w:pPr>
            <w:r>
              <w:rPr>
                <w:rFonts w:hint="default" w:ascii="Times New Roman" w:hAnsi="Times New Roman" w:eastAsia="宋体" w:cs="Times New Roman"/>
                <w:color w:val="auto"/>
                <w:kern w:val="0"/>
                <w:sz w:val="21"/>
                <w:szCs w:val="21"/>
                <w:highlight w:val="none"/>
                <w:lang w:val="en-US" w:eastAsia="zh-CN"/>
              </w:rPr>
              <w:t>46°42'28.2925"</w:t>
            </w:r>
          </w:p>
        </w:tc>
        <w:tc>
          <w:tcPr>
            <w:tcW w:w="941" w:type="dxa"/>
            <w:vMerge w:val="continue"/>
            <w:vAlign w:val="center"/>
          </w:tcPr>
          <w:p w14:paraId="62CA9626">
            <w:pPr>
              <w:pStyle w:val="30"/>
              <w:keepNext w:val="0"/>
              <w:keepLines w:val="0"/>
              <w:pageBreakBefore w:val="0"/>
              <w:widowControl w:val="0"/>
              <w:kinsoku/>
              <w:wordWrap/>
              <w:overflowPunct/>
              <w:topLinePunct w:val="0"/>
              <w:autoSpaceDE/>
              <w:autoSpaceDN/>
              <w:bidi w:val="0"/>
              <w:adjustRightInd/>
              <w:snapToGrid/>
              <w:spacing w:line="288" w:lineRule="auto"/>
              <w:ind w:firstLine="0" w:firstLineChars="0"/>
              <w:textAlignment w:val="auto"/>
              <w:rPr>
                <w:rFonts w:hint="default"/>
                <w:color w:val="auto"/>
                <w:highlight w:val="none"/>
                <w:lang w:val="zh-CN"/>
              </w:rPr>
            </w:pPr>
          </w:p>
        </w:tc>
        <w:tc>
          <w:tcPr>
            <w:tcW w:w="1023" w:type="dxa"/>
            <w:vMerge w:val="continue"/>
            <w:vAlign w:val="center"/>
          </w:tcPr>
          <w:p w14:paraId="3808AA37">
            <w:pPr>
              <w:pStyle w:val="30"/>
              <w:keepNext w:val="0"/>
              <w:keepLines w:val="0"/>
              <w:pageBreakBefore w:val="0"/>
              <w:widowControl w:val="0"/>
              <w:kinsoku/>
              <w:wordWrap/>
              <w:overflowPunct/>
              <w:topLinePunct w:val="0"/>
              <w:autoSpaceDE/>
              <w:autoSpaceDN/>
              <w:bidi w:val="0"/>
              <w:adjustRightInd/>
              <w:snapToGrid/>
              <w:spacing w:line="288" w:lineRule="auto"/>
              <w:ind w:firstLine="0" w:firstLineChars="0"/>
              <w:textAlignment w:val="auto"/>
              <w:rPr>
                <w:rFonts w:hint="default"/>
                <w:color w:val="auto"/>
                <w:highlight w:val="none"/>
                <w:lang w:val="zh-CN"/>
              </w:rPr>
            </w:pPr>
          </w:p>
        </w:tc>
        <w:tc>
          <w:tcPr>
            <w:tcW w:w="2850" w:type="dxa"/>
            <w:vMerge w:val="continue"/>
            <w:vAlign w:val="center"/>
          </w:tcPr>
          <w:p w14:paraId="553E915A">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zh-CN"/>
              </w:rPr>
            </w:pPr>
          </w:p>
        </w:tc>
        <w:tc>
          <w:tcPr>
            <w:tcW w:w="722" w:type="dxa"/>
            <w:vMerge w:val="continue"/>
            <w:vAlign w:val="center"/>
          </w:tcPr>
          <w:p w14:paraId="7E55573D">
            <w:pPr>
              <w:widowControl/>
              <w:snapToGrid w:val="0"/>
              <w:spacing w:line="240" w:lineRule="auto"/>
              <w:ind w:firstLine="0" w:firstLineChars="0"/>
              <w:jc w:val="center"/>
              <w:rPr>
                <w:rFonts w:hint="default"/>
                <w:color w:val="auto"/>
                <w:highlight w:val="none"/>
                <w:lang w:val="zh-CN"/>
              </w:rPr>
            </w:pPr>
          </w:p>
        </w:tc>
        <w:tc>
          <w:tcPr>
            <w:tcW w:w="1052" w:type="dxa"/>
            <w:vMerge w:val="continue"/>
            <w:vAlign w:val="center"/>
          </w:tcPr>
          <w:p w14:paraId="79DF1303">
            <w:pPr>
              <w:widowControl/>
              <w:snapToGrid w:val="0"/>
              <w:spacing w:line="240" w:lineRule="auto"/>
              <w:ind w:firstLine="0" w:firstLineChars="0"/>
              <w:jc w:val="center"/>
              <w:rPr>
                <w:rFonts w:hint="default"/>
                <w:color w:val="auto"/>
                <w:highlight w:val="none"/>
                <w:lang w:val="zh-CN"/>
              </w:rPr>
            </w:pPr>
          </w:p>
        </w:tc>
      </w:tr>
      <w:tr w14:paraId="4ED4B3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00" w:type="dxa"/>
            <w:vMerge w:val="continue"/>
            <w:vAlign w:val="center"/>
          </w:tcPr>
          <w:p w14:paraId="00E48844">
            <w:pPr>
              <w:pStyle w:val="30"/>
              <w:keepNext w:val="0"/>
              <w:keepLines w:val="0"/>
              <w:pageBreakBefore w:val="0"/>
              <w:widowControl w:val="0"/>
              <w:kinsoku/>
              <w:wordWrap/>
              <w:overflowPunct/>
              <w:topLinePunct w:val="0"/>
              <w:autoSpaceDE/>
              <w:autoSpaceDN/>
              <w:bidi w:val="0"/>
              <w:adjustRightInd/>
              <w:snapToGrid/>
              <w:spacing w:line="288" w:lineRule="auto"/>
              <w:textAlignment w:val="auto"/>
              <w:rPr>
                <w:rFonts w:hint="default"/>
                <w:color w:val="auto"/>
                <w:highlight w:val="none"/>
                <w:lang w:val="zh-CN"/>
              </w:rPr>
            </w:pPr>
          </w:p>
        </w:tc>
        <w:tc>
          <w:tcPr>
            <w:tcW w:w="874" w:type="dxa"/>
            <w:vAlign w:val="center"/>
          </w:tcPr>
          <w:p w14:paraId="25EE35CC">
            <w:pPr>
              <w:pStyle w:val="30"/>
              <w:keepNext w:val="0"/>
              <w:keepLines w:val="0"/>
              <w:pageBreakBefore w:val="0"/>
              <w:widowControl w:val="0"/>
              <w:kinsoku/>
              <w:wordWrap/>
              <w:overflowPunct/>
              <w:topLinePunct w:val="0"/>
              <w:autoSpaceDE/>
              <w:autoSpaceDN/>
              <w:bidi w:val="0"/>
              <w:adjustRightInd/>
              <w:snapToGrid/>
              <w:spacing w:line="288" w:lineRule="auto"/>
              <w:ind w:firstLine="0" w:firstLineChars="0"/>
              <w:textAlignment w:val="auto"/>
              <w:rPr>
                <w:rFonts w:hint="default"/>
                <w:color w:val="auto"/>
                <w:highlight w:val="none"/>
                <w:lang w:val="zh-CN"/>
              </w:rPr>
            </w:pPr>
            <w:r>
              <w:rPr>
                <w:color w:val="auto"/>
                <w:highlight w:val="none"/>
              </w:rPr>
              <w:t>3#</w:t>
            </w:r>
          </w:p>
        </w:tc>
        <w:tc>
          <w:tcPr>
            <w:tcW w:w="1363" w:type="dxa"/>
            <w:vMerge w:val="continue"/>
            <w:vAlign w:val="center"/>
          </w:tcPr>
          <w:p w14:paraId="1F75C38E">
            <w:pPr>
              <w:widowControl/>
              <w:snapToGrid w:val="0"/>
              <w:spacing w:line="240" w:lineRule="auto"/>
              <w:ind w:firstLine="0" w:firstLineChars="0"/>
              <w:jc w:val="center"/>
              <w:rPr>
                <w:rFonts w:hint="default"/>
                <w:color w:val="auto"/>
                <w:highlight w:val="none"/>
                <w:lang w:val="zh-CN"/>
              </w:rPr>
            </w:pPr>
          </w:p>
        </w:tc>
        <w:tc>
          <w:tcPr>
            <w:tcW w:w="928" w:type="dxa"/>
            <w:vAlign w:val="center"/>
          </w:tcPr>
          <w:p w14:paraId="40A2E252">
            <w:pPr>
              <w:widowControl/>
              <w:snapToGrid w:val="0"/>
              <w:spacing w:line="240" w:lineRule="auto"/>
              <w:ind w:firstLine="0" w:firstLineChars="0"/>
              <w:jc w:val="center"/>
              <w:rPr>
                <w:rFonts w:hint="default"/>
                <w:color w:val="auto"/>
                <w:highlight w:val="none"/>
                <w:lang w:val="zh-CN"/>
              </w:rPr>
            </w:pPr>
            <w:r>
              <w:rPr>
                <w:rFonts w:hint="eastAsia" w:ascii="Times New Roman" w:hAnsi="Times New Roman" w:eastAsia="宋体" w:cs="Times New Roman"/>
                <w:color w:val="auto"/>
                <w:kern w:val="0"/>
                <w:sz w:val="21"/>
                <w:szCs w:val="21"/>
                <w:highlight w:val="none"/>
              </w:rPr>
              <w:t>地下水型</w:t>
            </w:r>
          </w:p>
        </w:tc>
        <w:tc>
          <w:tcPr>
            <w:tcW w:w="845" w:type="dxa"/>
            <w:vMerge w:val="continue"/>
            <w:vAlign w:val="center"/>
          </w:tcPr>
          <w:p w14:paraId="404062CA">
            <w:pPr>
              <w:pStyle w:val="30"/>
              <w:keepNext w:val="0"/>
              <w:keepLines w:val="0"/>
              <w:pageBreakBefore w:val="0"/>
              <w:widowControl w:val="0"/>
              <w:kinsoku/>
              <w:wordWrap/>
              <w:overflowPunct/>
              <w:topLinePunct w:val="0"/>
              <w:autoSpaceDE/>
              <w:autoSpaceDN/>
              <w:bidi w:val="0"/>
              <w:adjustRightInd/>
              <w:snapToGrid/>
              <w:spacing w:line="288" w:lineRule="auto"/>
              <w:ind w:firstLine="0" w:firstLineChars="0"/>
              <w:textAlignment w:val="auto"/>
              <w:rPr>
                <w:rFonts w:hint="default"/>
                <w:color w:val="auto"/>
                <w:highlight w:val="none"/>
                <w:lang w:val="zh-CN"/>
              </w:rPr>
            </w:pPr>
          </w:p>
        </w:tc>
        <w:tc>
          <w:tcPr>
            <w:tcW w:w="1146" w:type="dxa"/>
            <w:vAlign w:val="center"/>
          </w:tcPr>
          <w:p w14:paraId="1DA6079E">
            <w:pPr>
              <w:widowControl/>
              <w:snapToGrid w:val="0"/>
              <w:spacing w:line="240" w:lineRule="auto"/>
              <w:ind w:firstLine="0" w:firstLineChars="0"/>
              <w:jc w:val="center"/>
              <w:rPr>
                <w:rFonts w:hint="default" w:ascii="Times New Roman" w:hAnsi="Times New Roman" w:cs="Times New Roman"/>
                <w:color w:val="auto"/>
                <w:highlight w:val="none"/>
                <w:lang w:val="zh-CN"/>
              </w:rPr>
            </w:pPr>
            <w:r>
              <w:rPr>
                <w:rFonts w:hint="default" w:ascii="Times New Roman" w:hAnsi="Times New Roman" w:eastAsia="宋体" w:cs="Times New Roman"/>
                <w:color w:val="auto"/>
                <w:kern w:val="0"/>
                <w:sz w:val="21"/>
                <w:szCs w:val="21"/>
                <w:highlight w:val="none"/>
                <w:lang w:val="en-US" w:eastAsia="zh-CN"/>
              </w:rPr>
              <w:t>127°30'32.5660"</w:t>
            </w:r>
          </w:p>
        </w:tc>
        <w:tc>
          <w:tcPr>
            <w:tcW w:w="954" w:type="dxa"/>
            <w:vAlign w:val="center"/>
          </w:tcPr>
          <w:p w14:paraId="072FFC64">
            <w:pPr>
              <w:widowControl/>
              <w:snapToGrid w:val="0"/>
              <w:spacing w:line="240" w:lineRule="auto"/>
              <w:ind w:firstLine="0" w:firstLineChars="0"/>
              <w:jc w:val="center"/>
              <w:rPr>
                <w:rFonts w:hint="default" w:ascii="Times New Roman" w:hAnsi="Times New Roman" w:cs="Times New Roman"/>
                <w:color w:val="auto"/>
                <w:highlight w:val="none"/>
                <w:lang w:val="zh-CN"/>
              </w:rPr>
            </w:pPr>
            <w:r>
              <w:rPr>
                <w:rFonts w:hint="default" w:ascii="Times New Roman" w:hAnsi="Times New Roman" w:eastAsia="宋体" w:cs="Times New Roman"/>
                <w:color w:val="auto"/>
                <w:kern w:val="0"/>
                <w:sz w:val="21"/>
                <w:szCs w:val="21"/>
                <w:highlight w:val="none"/>
                <w:lang w:val="en-US" w:eastAsia="zh-CN"/>
              </w:rPr>
              <w:t>46°42'12.3110"</w:t>
            </w:r>
          </w:p>
        </w:tc>
        <w:tc>
          <w:tcPr>
            <w:tcW w:w="941" w:type="dxa"/>
            <w:vMerge w:val="continue"/>
            <w:vAlign w:val="center"/>
          </w:tcPr>
          <w:p w14:paraId="41C00CCC">
            <w:pPr>
              <w:pStyle w:val="30"/>
              <w:keepNext w:val="0"/>
              <w:keepLines w:val="0"/>
              <w:pageBreakBefore w:val="0"/>
              <w:widowControl w:val="0"/>
              <w:kinsoku/>
              <w:wordWrap/>
              <w:overflowPunct/>
              <w:topLinePunct w:val="0"/>
              <w:autoSpaceDE/>
              <w:autoSpaceDN/>
              <w:bidi w:val="0"/>
              <w:adjustRightInd/>
              <w:snapToGrid/>
              <w:spacing w:line="288" w:lineRule="auto"/>
              <w:ind w:firstLine="0" w:firstLineChars="0"/>
              <w:textAlignment w:val="auto"/>
              <w:rPr>
                <w:rFonts w:hint="default"/>
                <w:color w:val="auto"/>
                <w:highlight w:val="none"/>
                <w:lang w:val="zh-CN"/>
              </w:rPr>
            </w:pPr>
          </w:p>
        </w:tc>
        <w:tc>
          <w:tcPr>
            <w:tcW w:w="1023" w:type="dxa"/>
            <w:vMerge w:val="continue"/>
            <w:vAlign w:val="center"/>
          </w:tcPr>
          <w:p w14:paraId="6E796465">
            <w:pPr>
              <w:pStyle w:val="30"/>
              <w:keepNext w:val="0"/>
              <w:keepLines w:val="0"/>
              <w:pageBreakBefore w:val="0"/>
              <w:widowControl w:val="0"/>
              <w:kinsoku/>
              <w:wordWrap/>
              <w:overflowPunct/>
              <w:topLinePunct w:val="0"/>
              <w:autoSpaceDE/>
              <w:autoSpaceDN/>
              <w:bidi w:val="0"/>
              <w:adjustRightInd/>
              <w:snapToGrid/>
              <w:spacing w:line="288" w:lineRule="auto"/>
              <w:ind w:firstLine="0" w:firstLineChars="0"/>
              <w:textAlignment w:val="auto"/>
              <w:rPr>
                <w:rFonts w:hint="default"/>
                <w:color w:val="auto"/>
                <w:highlight w:val="none"/>
                <w:lang w:val="zh-CN"/>
              </w:rPr>
            </w:pPr>
          </w:p>
        </w:tc>
        <w:tc>
          <w:tcPr>
            <w:tcW w:w="2850" w:type="dxa"/>
            <w:vMerge w:val="continue"/>
            <w:vAlign w:val="center"/>
          </w:tcPr>
          <w:p w14:paraId="6DB16246">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zh-CN"/>
              </w:rPr>
            </w:pPr>
          </w:p>
        </w:tc>
        <w:tc>
          <w:tcPr>
            <w:tcW w:w="722" w:type="dxa"/>
            <w:vMerge w:val="continue"/>
            <w:vAlign w:val="center"/>
          </w:tcPr>
          <w:p w14:paraId="4B9B3813">
            <w:pPr>
              <w:widowControl/>
              <w:snapToGrid w:val="0"/>
              <w:spacing w:line="240" w:lineRule="auto"/>
              <w:ind w:firstLine="0" w:firstLineChars="0"/>
              <w:jc w:val="center"/>
              <w:rPr>
                <w:rFonts w:hint="default"/>
                <w:color w:val="auto"/>
                <w:highlight w:val="none"/>
                <w:lang w:val="zh-CN"/>
              </w:rPr>
            </w:pPr>
          </w:p>
        </w:tc>
        <w:tc>
          <w:tcPr>
            <w:tcW w:w="1052" w:type="dxa"/>
            <w:vMerge w:val="continue"/>
            <w:vAlign w:val="center"/>
          </w:tcPr>
          <w:p w14:paraId="444F2CB9">
            <w:pPr>
              <w:widowControl/>
              <w:snapToGrid w:val="0"/>
              <w:spacing w:line="240" w:lineRule="auto"/>
              <w:ind w:firstLine="0" w:firstLineChars="0"/>
              <w:jc w:val="center"/>
              <w:rPr>
                <w:rFonts w:hint="default"/>
                <w:color w:val="auto"/>
                <w:highlight w:val="none"/>
                <w:lang w:val="zh-CN"/>
              </w:rPr>
            </w:pPr>
          </w:p>
        </w:tc>
      </w:tr>
      <w:tr w14:paraId="1B26774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00" w:type="dxa"/>
            <w:vMerge w:val="restart"/>
            <w:vAlign w:val="center"/>
          </w:tcPr>
          <w:p w14:paraId="6B72EA3D">
            <w:pPr>
              <w:widowControl/>
              <w:spacing w:line="240" w:lineRule="auto"/>
              <w:ind w:firstLine="0" w:firstLineChars="0"/>
              <w:jc w:val="center"/>
              <w:textAlignment w:val="center"/>
              <w:rPr>
                <w:rFonts w:hint="default"/>
                <w:color w:val="auto"/>
                <w:highlight w:val="none"/>
                <w:lang w:val="zh-CN"/>
              </w:rPr>
            </w:pPr>
            <w:r>
              <w:rPr>
                <w:rFonts w:hint="eastAsia" w:ascii="Times New Roman" w:hAnsi="Times New Roman" w:eastAsia="宋体" w:cs="Times New Roman"/>
                <w:color w:val="auto"/>
                <w:kern w:val="0"/>
                <w:sz w:val="21"/>
                <w:szCs w:val="21"/>
                <w:highlight w:val="none"/>
                <w:lang w:val="en-US" w:eastAsia="zh-CN" w:bidi="ar"/>
              </w:rPr>
              <w:t>绥化市庆安县同乐镇</w:t>
            </w:r>
            <w:r>
              <w:rPr>
                <w:rFonts w:ascii="Times New Roman" w:hAnsi="Times New Roman" w:eastAsia="宋体" w:cs="Times New Roman"/>
                <w:color w:val="auto"/>
                <w:kern w:val="0"/>
                <w:sz w:val="21"/>
                <w:szCs w:val="21"/>
                <w:highlight w:val="none"/>
                <w:lang w:bidi="ar"/>
              </w:rPr>
              <w:t>饮用水水源地</w:t>
            </w:r>
          </w:p>
        </w:tc>
        <w:tc>
          <w:tcPr>
            <w:tcW w:w="874" w:type="dxa"/>
            <w:vAlign w:val="center"/>
          </w:tcPr>
          <w:p w14:paraId="3BB9189C">
            <w:pPr>
              <w:pStyle w:val="30"/>
              <w:keepNext w:val="0"/>
              <w:keepLines w:val="0"/>
              <w:pageBreakBefore w:val="0"/>
              <w:widowControl w:val="0"/>
              <w:kinsoku/>
              <w:wordWrap/>
              <w:overflowPunct/>
              <w:topLinePunct w:val="0"/>
              <w:autoSpaceDE/>
              <w:autoSpaceDN/>
              <w:bidi w:val="0"/>
              <w:adjustRightInd/>
              <w:snapToGrid/>
              <w:spacing w:line="288" w:lineRule="auto"/>
              <w:ind w:firstLine="0" w:firstLineChars="0"/>
              <w:textAlignment w:val="auto"/>
              <w:rPr>
                <w:rFonts w:hint="default"/>
                <w:color w:val="auto"/>
                <w:highlight w:val="none"/>
                <w:lang w:val="zh-CN"/>
              </w:rPr>
            </w:pPr>
            <w:r>
              <w:rPr>
                <w:color w:val="auto"/>
                <w:highlight w:val="none"/>
              </w:rPr>
              <w:t>1#</w:t>
            </w:r>
          </w:p>
        </w:tc>
        <w:tc>
          <w:tcPr>
            <w:tcW w:w="1363" w:type="dxa"/>
            <w:vMerge w:val="restart"/>
            <w:vAlign w:val="center"/>
          </w:tcPr>
          <w:p w14:paraId="3B7FCF10">
            <w:pPr>
              <w:widowControl/>
              <w:spacing w:line="240" w:lineRule="auto"/>
              <w:ind w:firstLine="0" w:firstLineChars="0"/>
              <w:jc w:val="center"/>
              <w:textAlignment w:val="center"/>
              <w:rPr>
                <w:rFonts w:hint="default"/>
                <w:color w:val="auto"/>
                <w:highlight w:val="none"/>
                <w:lang w:val="zh-CN"/>
              </w:rPr>
            </w:pPr>
            <w:r>
              <w:rPr>
                <w:rFonts w:hint="eastAsia"/>
                <w:color w:val="auto"/>
                <w:spacing w:val="-2"/>
                <w:sz w:val="21"/>
                <w:szCs w:val="21"/>
                <w:highlight w:val="none"/>
              </w:rPr>
              <w:t>同乐镇内同乐村、同富村、同发村、同庆村、同兴村，共计5个行政村41个自然屯</w:t>
            </w:r>
          </w:p>
        </w:tc>
        <w:tc>
          <w:tcPr>
            <w:tcW w:w="928" w:type="dxa"/>
            <w:vAlign w:val="center"/>
          </w:tcPr>
          <w:p w14:paraId="40653856">
            <w:pPr>
              <w:widowControl/>
              <w:snapToGrid w:val="0"/>
              <w:spacing w:line="240" w:lineRule="auto"/>
              <w:ind w:firstLine="0" w:firstLineChars="0"/>
              <w:jc w:val="center"/>
              <w:rPr>
                <w:rFonts w:hint="default"/>
                <w:color w:val="auto"/>
                <w:highlight w:val="none"/>
                <w:lang w:val="zh-CN"/>
              </w:rPr>
            </w:pPr>
            <w:r>
              <w:rPr>
                <w:rFonts w:hint="eastAsia" w:ascii="Times New Roman" w:hAnsi="Times New Roman" w:eastAsia="宋体" w:cs="Times New Roman"/>
                <w:color w:val="auto"/>
                <w:kern w:val="0"/>
                <w:sz w:val="21"/>
                <w:szCs w:val="21"/>
                <w:highlight w:val="none"/>
              </w:rPr>
              <w:t>地下水型</w:t>
            </w:r>
          </w:p>
        </w:tc>
        <w:tc>
          <w:tcPr>
            <w:tcW w:w="845" w:type="dxa"/>
            <w:vMerge w:val="restart"/>
            <w:vAlign w:val="center"/>
          </w:tcPr>
          <w:p w14:paraId="252D52F4">
            <w:pPr>
              <w:pStyle w:val="30"/>
              <w:keepNext w:val="0"/>
              <w:keepLines w:val="0"/>
              <w:pageBreakBefore w:val="0"/>
              <w:widowControl w:val="0"/>
              <w:kinsoku/>
              <w:wordWrap/>
              <w:overflowPunct/>
              <w:topLinePunct w:val="0"/>
              <w:autoSpaceDE/>
              <w:autoSpaceDN/>
              <w:bidi w:val="0"/>
              <w:adjustRightInd/>
              <w:snapToGrid/>
              <w:spacing w:line="288" w:lineRule="auto"/>
              <w:ind w:firstLine="0" w:firstLineChars="0"/>
              <w:textAlignment w:val="auto"/>
              <w:rPr>
                <w:rFonts w:hint="default"/>
                <w:color w:val="auto"/>
                <w:highlight w:val="none"/>
                <w:lang w:val="zh-CN"/>
              </w:rPr>
            </w:pPr>
            <w:r>
              <w:rPr>
                <w:rFonts w:hint="eastAsia" w:cs="Times New Roman"/>
                <w:color w:val="auto"/>
                <w:kern w:val="0"/>
                <w:sz w:val="21"/>
                <w:szCs w:val="21"/>
                <w:highlight w:val="none"/>
                <w:lang w:val="en-US" w:eastAsia="zh-CN"/>
              </w:rPr>
              <w:t>2024年</w:t>
            </w:r>
          </w:p>
        </w:tc>
        <w:tc>
          <w:tcPr>
            <w:tcW w:w="1146" w:type="dxa"/>
            <w:vAlign w:val="center"/>
          </w:tcPr>
          <w:p w14:paraId="4BC9B84D">
            <w:pPr>
              <w:widowControl/>
              <w:snapToGrid w:val="0"/>
              <w:spacing w:line="240" w:lineRule="auto"/>
              <w:ind w:firstLine="0" w:firstLineChars="0"/>
              <w:jc w:val="center"/>
              <w:rPr>
                <w:rFonts w:hint="default" w:ascii="Times New Roman" w:hAnsi="Times New Roman" w:cs="Times New Roman"/>
                <w:color w:val="auto"/>
                <w:highlight w:val="none"/>
                <w:lang w:val="zh-CN"/>
              </w:rPr>
            </w:pPr>
            <w:r>
              <w:rPr>
                <w:rFonts w:hint="default" w:ascii="Times New Roman" w:hAnsi="Times New Roman" w:eastAsia="宋体" w:cs="Times New Roman"/>
                <w:color w:val="auto"/>
                <w:kern w:val="0"/>
                <w:sz w:val="21"/>
                <w:szCs w:val="21"/>
                <w:highlight w:val="none"/>
                <w:lang w:val="en-US" w:eastAsia="zh-CN"/>
              </w:rPr>
              <w:t>127°29'37.1508"</w:t>
            </w:r>
          </w:p>
        </w:tc>
        <w:tc>
          <w:tcPr>
            <w:tcW w:w="954" w:type="dxa"/>
            <w:vAlign w:val="center"/>
          </w:tcPr>
          <w:p w14:paraId="3BB48B36">
            <w:pPr>
              <w:widowControl/>
              <w:snapToGrid w:val="0"/>
              <w:spacing w:line="240" w:lineRule="auto"/>
              <w:ind w:firstLine="0" w:firstLineChars="0"/>
              <w:jc w:val="center"/>
              <w:rPr>
                <w:rFonts w:hint="default" w:ascii="Times New Roman" w:hAnsi="Times New Roman" w:cs="Times New Roman"/>
                <w:color w:val="auto"/>
                <w:highlight w:val="none"/>
                <w:lang w:val="zh-CN"/>
              </w:rPr>
            </w:pPr>
            <w:r>
              <w:rPr>
                <w:rFonts w:hint="default" w:ascii="Times New Roman" w:hAnsi="Times New Roman" w:eastAsia="宋体" w:cs="Times New Roman"/>
                <w:color w:val="auto"/>
                <w:kern w:val="0"/>
                <w:sz w:val="21"/>
                <w:szCs w:val="21"/>
                <w:highlight w:val="none"/>
                <w:lang w:val="en-US" w:eastAsia="zh-CN"/>
              </w:rPr>
              <w:t>47°07'45.9570"</w:t>
            </w:r>
          </w:p>
        </w:tc>
        <w:tc>
          <w:tcPr>
            <w:tcW w:w="941" w:type="dxa"/>
            <w:vMerge w:val="restart"/>
            <w:vAlign w:val="center"/>
          </w:tcPr>
          <w:p w14:paraId="5CE84F53">
            <w:pPr>
              <w:widowControl/>
              <w:spacing w:line="240" w:lineRule="auto"/>
              <w:ind w:firstLine="0" w:firstLineChars="0"/>
              <w:jc w:val="center"/>
              <w:textAlignment w:val="center"/>
              <w:rPr>
                <w:rFonts w:hint="default"/>
                <w:color w:val="auto"/>
                <w:highlight w:val="none"/>
                <w:lang w:val="zh-CN"/>
              </w:rPr>
            </w:pPr>
            <w:r>
              <w:rPr>
                <w:rFonts w:hint="eastAsia" w:cs="Times New Roman"/>
                <w:color w:val="auto"/>
                <w:kern w:val="0"/>
                <w:sz w:val="21"/>
                <w:szCs w:val="21"/>
                <w:highlight w:val="none"/>
                <w:lang w:val="en-US" w:eastAsia="zh-CN" w:bidi="ar"/>
              </w:rPr>
              <w:t>9891</w:t>
            </w:r>
            <w:r>
              <w:rPr>
                <w:rFonts w:hint="eastAsia" w:ascii="Times New Roman" w:hAnsi="Times New Roman" w:eastAsia="宋体" w:cs="Times New Roman"/>
                <w:color w:val="auto"/>
                <w:kern w:val="0"/>
                <w:sz w:val="21"/>
                <w:szCs w:val="21"/>
                <w:highlight w:val="none"/>
                <w:lang w:val="en-US" w:eastAsia="zh-CN" w:bidi="ar"/>
              </w:rPr>
              <w:t>人</w:t>
            </w:r>
          </w:p>
        </w:tc>
        <w:tc>
          <w:tcPr>
            <w:tcW w:w="1023" w:type="dxa"/>
            <w:vMerge w:val="restart"/>
            <w:vAlign w:val="center"/>
          </w:tcPr>
          <w:p w14:paraId="79DF4841">
            <w:pPr>
              <w:widowControl/>
              <w:snapToGrid w:val="0"/>
              <w:spacing w:line="240" w:lineRule="auto"/>
              <w:ind w:firstLine="0" w:firstLineChars="0"/>
              <w:jc w:val="center"/>
              <w:rPr>
                <w:rFonts w:hint="default"/>
                <w:color w:val="auto"/>
                <w:highlight w:val="none"/>
                <w:lang w:val="zh-CN"/>
              </w:rPr>
            </w:pPr>
            <w:r>
              <w:rPr>
                <w:rFonts w:hint="eastAsia"/>
                <w:color w:val="auto"/>
                <w:sz w:val="21"/>
                <w:szCs w:val="21"/>
                <w:highlight w:val="none"/>
              </w:rPr>
              <w:t>机械曝气</w:t>
            </w:r>
            <w:r>
              <w:rPr>
                <w:rFonts w:hint="eastAsia"/>
                <w:color w:val="auto"/>
                <w:sz w:val="21"/>
                <w:szCs w:val="21"/>
                <w:highlight w:val="none"/>
                <w:lang w:eastAsia="zh-CN"/>
              </w:rPr>
              <w:t>、</w:t>
            </w:r>
            <w:r>
              <w:rPr>
                <w:rFonts w:hint="eastAsia"/>
                <w:color w:val="auto"/>
                <w:sz w:val="21"/>
                <w:szCs w:val="21"/>
                <w:highlight w:val="none"/>
              </w:rPr>
              <w:t>锰砂过滤</w:t>
            </w:r>
            <w:r>
              <w:rPr>
                <w:rFonts w:hint="eastAsia"/>
                <w:color w:val="auto"/>
                <w:sz w:val="21"/>
                <w:szCs w:val="21"/>
                <w:highlight w:val="none"/>
                <w:lang w:eastAsia="zh-CN"/>
              </w:rPr>
              <w:t>、</w:t>
            </w:r>
            <w:r>
              <w:rPr>
                <w:rFonts w:hint="eastAsia"/>
                <w:color w:val="auto"/>
                <w:sz w:val="21"/>
                <w:szCs w:val="21"/>
                <w:highlight w:val="none"/>
              </w:rPr>
              <w:t>次氯酸钠消毒</w:t>
            </w:r>
          </w:p>
        </w:tc>
        <w:tc>
          <w:tcPr>
            <w:tcW w:w="2850" w:type="dxa"/>
            <w:vMerge w:val="restart"/>
            <w:vAlign w:val="center"/>
          </w:tcPr>
          <w:p w14:paraId="10EECBF8">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zh-CN"/>
              </w:rPr>
            </w:pPr>
            <w:r>
              <w:rPr>
                <w:rFonts w:hint="eastAsia" w:cs="Times New Roman"/>
                <w:color w:val="auto"/>
                <w:kern w:val="0"/>
                <w:sz w:val="21"/>
                <w:szCs w:val="21"/>
                <w:highlight w:val="none"/>
                <w:lang w:val="en-US" w:eastAsia="zh-CN"/>
              </w:rPr>
              <w:t>3</w:t>
            </w:r>
            <w:r>
              <w:rPr>
                <w:rFonts w:hint="eastAsia" w:ascii="Times New Roman" w:hAnsi="Times New Roman" w:eastAsia="宋体" w:cs="Times New Roman"/>
                <w:color w:val="auto"/>
                <w:kern w:val="0"/>
                <w:sz w:val="21"/>
                <w:szCs w:val="21"/>
                <w:highlight w:val="none"/>
              </w:rPr>
              <w:t>眼井，为</w:t>
            </w:r>
            <w:r>
              <w:rPr>
                <w:rFonts w:hint="eastAsia" w:ascii="Times New Roman" w:hAnsi="Times New Roman" w:cs="Times New Roman"/>
                <w:color w:val="auto"/>
                <w:sz w:val="21"/>
                <w:szCs w:val="21"/>
                <w:highlight w:val="none"/>
                <w:lang w:eastAsia="zh-CN"/>
              </w:rPr>
              <w:t>孔隙—裂隙</w:t>
            </w:r>
            <w:r>
              <w:rPr>
                <w:rFonts w:hint="eastAsia" w:ascii="Times New Roman" w:hAnsi="Times New Roman" w:eastAsia="宋体" w:cs="Times New Roman"/>
                <w:color w:val="auto"/>
                <w:kern w:val="0"/>
                <w:sz w:val="21"/>
                <w:szCs w:val="21"/>
                <w:highlight w:val="none"/>
              </w:rPr>
              <w:t>承压水型，</w:t>
            </w:r>
            <w:r>
              <w:rPr>
                <w:rFonts w:hint="eastAsia" w:ascii="Times New Roman" w:hAnsi="Times New Roman" w:eastAsia="宋体" w:cs="Times New Roman"/>
                <w:color w:val="auto"/>
                <w:sz w:val="21"/>
                <w:szCs w:val="21"/>
                <w:highlight w:val="none"/>
                <w:lang w:val="en-US" w:eastAsia="zh-CN"/>
              </w:rPr>
              <w:t>一级保护区范围分别以3眼取水井为圆心，30米为半径的圆形区域，一级保护区总面积为</w:t>
            </w:r>
            <w:r>
              <w:rPr>
                <w:rFonts w:hint="eastAsia"/>
                <w:color w:val="auto"/>
                <w:sz w:val="21"/>
                <w:szCs w:val="21"/>
                <w:highlight w:val="none"/>
                <w:lang w:val="en-US" w:eastAsia="zh-CN"/>
              </w:rPr>
              <w:t>8478</w:t>
            </w:r>
            <w:r>
              <w:rPr>
                <w:rFonts w:hint="eastAsia"/>
                <w:color w:val="auto"/>
                <w:sz w:val="21"/>
                <w:szCs w:val="21"/>
                <w:highlight w:val="none"/>
              </w:rPr>
              <w:t>平方米</w:t>
            </w:r>
            <w:r>
              <w:rPr>
                <w:rFonts w:hint="eastAsia" w:ascii="Times New Roman" w:hAnsi="Times New Roman" w:eastAsia="宋体" w:cs="Times New Roman"/>
                <w:color w:val="auto"/>
                <w:kern w:val="0"/>
                <w:sz w:val="21"/>
                <w:szCs w:val="21"/>
                <w:highlight w:val="none"/>
              </w:rPr>
              <w:t>。</w:t>
            </w:r>
          </w:p>
        </w:tc>
        <w:tc>
          <w:tcPr>
            <w:tcW w:w="722" w:type="dxa"/>
            <w:vMerge w:val="restart"/>
            <w:vAlign w:val="center"/>
          </w:tcPr>
          <w:p w14:paraId="21F93AEF">
            <w:pPr>
              <w:widowControl/>
              <w:snapToGrid w:val="0"/>
              <w:spacing w:line="240" w:lineRule="auto"/>
              <w:ind w:firstLine="0" w:firstLineChars="0"/>
              <w:jc w:val="center"/>
              <w:rPr>
                <w:rFonts w:hint="default"/>
                <w:color w:val="auto"/>
                <w:highlight w:val="none"/>
                <w:lang w:val="zh-CN"/>
              </w:rPr>
            </w:pPr>
            <w:r>
              <w:rPr>
                <w:rFonts w:hint="eastAsia" w:ascii="Times New Roman" w:hAnsi="Times New Roman" w:eastAsia="宋体" w:cs="Times New Roman"/>
                <w:color w:val="auto"/>
                <w:kern w:val="0"/>
                <w:sz w:val="21"/>
                <w:szCs w:val="21"/>
                <w:highlight w:val="none"/>
              </w:rPr>
              <w:t>无</w:t>
            </w:r>
          </w:p>
        </w:tc>
        <w:tc>
          <w:tcPr>
            <w:tcW w:w="1052" w:type="dxa"/>
            <w:vMerge w:val="restart"/>
            <w:vAlign w:val="center"/>
          </w:tcPr>
          <w:p w14:paraId="1B832492">
            <w:pPr>
              <w:widowControl/>
              <w:snapToGrid w:val="0"/>
              <w:spacing w:line="240" w:lineRule="auto"/>
              <w:ind w:firstLine="0" w:firstLineChars="0"/>
              <w:jc w:val="center"/>
              <w:rPr>
                <w:rFonts w:hint="default"/>
                <w:color w:val="auto"/>
                <w:highlight w:val="none"/>
                <w:lang w:val="zh-CN"/>
              </w:rPr>
            </w:pPr>
            <w:r>
              <w:rPr>
                <w:rFonts w:hint="eastAsia" w:ascii="Times New Roman" w:hAnsi="Times New Roman" w:eastAsia="宋体" w:cs="Times New Roman"/>
                <w:color w:val="auto"/>
                <w:kern w:val="0"/>
                <w:sz w:val="21"/>
                <w:szCs w:val="21"/>
                <w:highlight w:val="none"/>
              </w:rPr>
              <w:t>无</w:t>
            </w:r>
          </w:p>
        </w:tc>
      </w:tr>
      <w:tr w14:paraId="4D8540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00" w:type="dxa"/>
            <w:vMerge w:val="continue"/>
            <w:vAlign w:val="center"/>
          </w:tcPr>
          <w:p w14:paraId="2F298E6E">
            <w:pPr>
              <w:pStyle w:val="30"/>
              <w:keepNext w:val="0"/>
              <w:keepLines w:val="0"/>
              <w:pageBreakBefore w:val="0"/>
              <w:widowControl w:val="0"/>
              <w:kinsoku/>
              <w:wordWrap/>
              <w:overflowPunct/>
              <w:topLinePunct w:val="0"/>
              <w:autoSpaceDE/>
              <w:autoSpaceDN/>
              <w:bidi w:val="0"/>
              <w:adjustRightInd/>
              <w:snapToGrid/>
              <w:spacing w:line="288" w:lineRule="auto"/>
              <w:textAlignment w:val="auto"/>
              <w:rPr>
                <w:rFonts w:hint="default"/>
                <w:color w:val="auto"/>
                <w:highlight w:val="none"/>
                <w:lang w:val="zh-CN"/>
              </w:rPr>
            </w:pPr>
          </w:p>
        </w:tc>
        <w:tc>
          <w:tcPr>
            <w:tcW w:w="874" w:type="dxa"/>
            <w:vAlign w:val="center"/>
          </w:tcPr>
          <w:p w14:paraId="528CD96F">
            <w:pPr>
              <w:pStyle w:val="30"/>
              <w:keepNext w:val="0"/>
              <w:keepLines w:val="0"/>
              <w:pageBreakBefore w:val="0"/>
              <w:widowControl w:val="0"/>
              <w:kinsoku/>
              <w:wordWrap/>
              <w:overflowPunct/>
              <w:topLinePunct w:val="0"/>
              <w:autoSpaceDE/>
              <w:autoSpaceDN/>
              <w:bidi w:val="0"/>
              <w:adjustRightInd/>
              <w:snapToGrid/>
              <w:spacing w:line="288" w:lineRule="auto"/>
              <w:ind w:firstLine="0" w:firstLineChars="0"/>
              <w:textAlignment w:val="auto"/>
              <w:rPr>
                <w:rFonts w:hint="default"/>
                <w:color w:val="auto"/>
                <w:highlight w:val="none"/>
                <w:lang w:val="zh-CN"/>
              </w:rPr>
            </w:pPr>
            <w:r>
              <w:rPr>
                <w:color w:val="auto"/>
                <w:highlight w:val="none"/>
              </w:rPr>
              <w:t>2#</w:t>
            </w:r>
          </w:p>
        </w:tc>
        <w:tc>
          <w:tcPr>
            <w:tcW w:w="1363" w:type="dxa"/>
            <w:vMerge w:val="continue"/>
            <w:vAlign w:val="center"/>
          </w:tcPr>
          <w:p w14:paraId="1830B802">
            <w:pPr>
              <w:widowControl/>
              <w:snapToGrid w:val="0"/>
              <w:spacing w:line="240" w:lineRule="auto"/>
              <w:ind w:firstLine="0" w:firstLineChars="0"/>
              <w:jc w:val="center"/>
              <w:rPr>
                <w:rFonts w:hint="default"/>
                <w:color w:val="auto"/>
                <w:highlight w:val="none"/>
                <w:lang w:val="zh-CN"/>
              </w:rPr>
            </w:pPr>
          </w:p>
        </w:tc>
        <w:tc>
          <w:tcPr>
            <w:tcW w:w="928" w:type="dxa"/>
            <w:vAlign w:val="center"/>
          </w:tcPr>
          <w:p w14:paraId="4A02A961">
            <w:pPr>
              <w:widowControl/>
              <w:snapToGrid w:val="0"/>
              <w:spacing w:line="240" w:lineRule="auto"/>
              <w:ind w:firstLine="0" w:firstLineChars="0"/>
              <w:jc w:val="center"/>
              <w:rPr>
                <w:rFonts w:hint="default"/>
                <w:color w:val="auto"/>
                <w:highlight w:val="none"/>
                <w:lang w:val="zh-CN"/>
              </w:rPr>
            </w:pPr>
            <w:r>
              <w:rPr>
                <w:rFonts w:hint="eastAsia" w:ascii="Times New Roman" w:hAnsi="Times New Roman" w:eastAsia="宋体" w:cs="Times New Roman"/>
                <w:color w:val="auto"/>
                <w:kern w:val="0"/>
                <w:sz w:val="21"/>
                <w:szCs w:val="21"/>
                <w:highlight w:val="none"/>
              </w:rPr>
              <w:t>地下水型</w:t>
            </w:r>
          </w:p>
        </w:tc>
        <w:tc>
          <w:tcPr>
            <w:tcW w:w="845" w:type="dxa"/>
            <w:vMerge w:val="continue"/>
            <w:vAlign w:val="center"/>
          </w:tcPr>
          <w:p w14:paraId="2D26FE5E">
            <w:pPr>
              <w:pStyle w:val="30"/>
              <w:keepNext w:val="0"/>
              <w:keepLines w:val="0"/>
              <w:pageBreakBefore w:val="0"/>
              <w:widowControl w:val="0"/>
              <w:kinsoku/>
              <w:wordWrap/>
              <w:overflowPunct/>
              <w:topLinePunct w:val="0"/>
              <w:autoSpaceDE/>
              <w:autoSpaceDN/>
              <w:bidi w:val="0"/>
              <w:adjustRightInd/>
              <w:snapToGrid/>
              <w:spacing w:line="288" w:lineRule="auto"/>
              <w:ind w:firstLine="0" w:firstLineChars="0"/>
              <w:textAlignment w:val="auto"/>
              <w:rPr>
                <w:rFonts w:hint="default"/>
                <w:color w:val="auto"/>
                <w:highlight w:val="none"/>
                <w:lang w:val="zh-CN"/>
              </w:rPr>
            </w:pPr>
          </w:p>
        </w:tc>
        <w:tc>
          <w:tcPr>
            <w:tcW w:w="1146" w:type="dxa"/>
            <w:vAlign w:val="center"/>
          </w:tcPr>
          <w:p w14:paraId="68BFD4BC">
            <w:pPr>
              <w:widowControl/>
              <w:snapToGrid w:val="0"/>
              <w:spacing w:line="240" w:lineRule="auto"/>
              <w:ind w:firstLine="0" w:firstLineChars="0"/>
              <w:jc w:val="center"/>
              <w:rPr>
                <w:rFonts w:hint="default" w:ascii="Times New Roman" w:hAnsi="Times New Roman" w:cs="Times New Roman"/>
                <w:color w:val="auto"/>
                <w:highlight w:val="none"/>
                <w:lang w:val="zh-CN"/>
              </w:rPr>
            </w:pPr>
            <w:r>
              <w:rPr>
                <w:rFonts w:hint="default" w:ascii="Times New Roman" w:hAnsi="Times New Roman" w:eastAsia="宋体" w:cs="Times New Roman"/>
                <w:color w:val="auto"/>
                <w:kern w:val="0"/>
                <w:sz w:val="21"/>
                <w:szCs w:val="21"/>
                <w:highlight w:val="none"/>
                <w:lang w:val="en-US" w:eastAsia="zh-CN"/>
              </w:rPr>
              <w:t>127°29'40.0476"</w:t>
            </w:r>
          </w:p>
        </w:tc>
        <w:tc>
          <w:tcPr>
            <w:tcW w:w="954" w:type="dxa"/>
            <w:vAlign w:val="center"/>
          </w:tcPr>
          <w:p w14:paraId="6744C569">
            <w:pPr>
              <w:widowControl/>
              <w:snapToGrid w:val="0"/>
              <w:spacing w:line="240" w:lineRule="auto"/>
              <w:ind w:firstLine="0" w:firstLineChars="0"/>
              <w:jc w:val="center"/>
              <w:rPr>
                <w:rFonts w:hint="default" w:ascii="Times New Roman" w:hAnsi="Times New Roman" w:cs="Times New Roman"/>
                <w:color w:val="auto"/>
                <w:highlight w:val="none"/>
                <w:lang w:val="zh-CN"/>
              </w:rPr>
            </w:pPr>
            <w:r>
              <w:rPr>
                <w:rFonts w:hint="default" w:ascii="Times New Roman" w:hAnsi="Times New Roman" w:eastAsia="宋体" w:cs="Times New Roman"/>
                <w:color w:val="auto"/>
                <w:kern w:val="0"/>
                <w:sz w:val="21"/>
                <w:szCs w:val="21"/>
                <w:highlight w:val="none"/>
                <w:lang w:val="en-US" w:eastAsia="zh-CN"/>
              </w:rPr>
              <w:t>47°07'44.4231"</w:t>
            </w:r>
          </w:p>
        </w:tc>
        <w:tc>
          <w:tcPr>
            <w:tcW w:w="941" w:type="dxa"/>
            <w:vMerge w:val="continue"/>
            <w:vAlign w:val="center"/>
          </w:tcPr>
          <w:p w14:paraId="71B0C561">
            <w:pPr>
              <w:pStyle w:val="30"/>
              <w:keepNext w:val="0"/>
              <w:keepLines w:val="0"/>
              <w:pageBreakBefore w:val="0"/>
              <w:widowControl w:val="0"/>
              <w:kinsoku/>
              <w:wordWrap/>
              <w:overflowPunct/>
              <w:topLinePunct w:val="0"/>
              <w:autoSpaceDE/>
              <w:autoSpaceDN/>
              <w:bidi w:val="0"/>
              <w:adjustRightInd/>
              <w:snapToGrid/>
              <w:spacing w:line="288" w:lineRule="auto"/>
              <w:ind w:firstLine="0" w:firstLineChars="0"/>
              <w:textAlignment w:val="auto"/>
              <w:rPr>
                <w:rFonts w:hint="default"/>
                <w:color w:val="auto"/>
                <w:highlight w:val="none"/>
                <w:lang w:val="zh-CN"/>
              </w:rPr>
            </w:pPr>
          </w:p>
        </w:tc>
        <w:tc>
          <w:tcPr>
            <w:tcW w:w="1023" w:type="dxa"/>
            <w:vMerge w:val="continue"/>
            <w:vAlign w:val="center"/>
          </w:tcPr>
          <w:p w14:paraId="63A92257">
            <w:pPr>
              <w:pStyle w:val="30"/>
              <w:keepNext w:val="0"/>
              <w:keepLines w:val="0"/>
              <w:pageBreakBefore w:val="0"/>
              <w:widowControl w:val="0"/>
              <w:kinsoku/>
              <w:wordWrap/>
              <w:overflowPunct/>
              <w:topLinePunct w:val="0"/>
              <w:autoSpaceDE/>
              <w:autoSpaceDN/>
              <w:bidi w:val="0"/>
              <w:adjustRightInd/>
              <w:snapToGrid/>
              <w:spacing w:line="288" w:lineRule="auto"/>
              <w:ind w:firstLine="0" w:firstLineChars="0"/>
              <w:textAlignment w:val="auto"/>
              <w:rPr>
                <w:rFonts w:hint="default"/>
                <w:color w:val="auto"/>
                <w:highlight w:val="none"/>
                <w:lang w:val="zh-CN"/>
              </w:rPr>
            </w:pPr>
          </w:p>
        </w:tc>
        <w:tc>
          <w:tcPr>
            <w:tcW w:w="2850" w:type="dxa"/>
            <w:vMerge w:val="continue"/>
            <w:vAlign w:val="center"/>
          </w:tcPr>
          <w:p w14:paraId="4E01C2FA">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zh-CN"/>
              </w:rPr>
            </w:pPr>
          </w:p>
        </w:tc>
        <w:tc>
          <w:tcPr>
            <w:tcW w:w="722" w:type="dxa"/>
            <w:vMerge w:val="continue"/>
            <w:vAlign w:val="center"/>
          </w:tcPr>
          <w:p w14:paraId="2D6A1F29">
            <w:pPr>
              <w:widowControl/>
              <w:snapToGrid w:val="0"/>
              <w:spacing w:line="240" w:lineRule="auto"/>
              <w:ind w:firstLine="0" w:firstLineChars="0"/>
              <w:jc w:val="center"/>
              <w:rPr>
                <w:rFonts w:hint="default"/>
                <w:color w:val="auto"/>
                <w:highlight w:val="none"/>
                <w:lang w:val="zh-CN"/>
              </w:rPr>
            </w:pPr>
          </w:p>
        </w:tc>
        <w:tc>
          <w:tcPr>
            <w:tcW w:w="1052" w:type="dxa"/>
            <w:vMerge w:val="continue"/>
            <w:vAlign w:val="center"/>
          </w:tcPr>
          <w:p w14:paraId="3C49F1FC">
            <w:pPr>
              <w:widowControl/>
              <w:snapToGrid w:val="0"/>
              <w:spacing w:line="240" w:lineRule="auto"/>
              <w:ind w:firstLine="0" w:firstLineChars="0"/>
              <w:jc w:val="center"/>
              <w:rPr>
                <w:rFonts w:hint="default"/>
                <w:color w:val="auto"/>
                <w:highlight w:val="none"/>
                <w:lang w:val="zh-CN"/>
              </w:rPr>
            </w:pPr>
          </w:p>
        </w:tc>
      </w:tr>
      <w:tr w14:paraId="744405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99" w:hRule="atLeast"/>
          <w:jc w:val="center"/>
        </w:trPr>
        <w:tc>
          <w:tcPr>
            <w:tcW w:w="1400" w:type="dxa"/>
            <w:vMerge w:val="continue"/>
            <w:vAlign w:val="center"/>
          </w:tcPr>
          <w:p w14:paraId="7E99B4C9">
            <w:pPr>
              <w:pStyle w:val="30"/>
              <w:keepNext w:val="0"/>
              <w:keepLines w:val="0"/>
              <w:pageBreakBefore w:val="0"/>
              <w:widowControl w:val="0"/>
              <w:kinsoku/>
              <w:wordWrap/>
              <w:overflowPunct/>
              <w:topLinePunct w:val="0"/>
              <w:autoSpaceDE/>
              <w:autoSpaceDN/>
              <w:bidi w:val="0"/>
              <w:adjustRightInd/>
              <w:snapToGrid/>
              <w:spacing w:line="288" w:lineRule="auto"/>
              <w:textAlignment w:val="auto"/>
              <w:rPr>
                <w:rFonts w:hint="default"/>
                <w:color w:val="auto"/>
                <w:highlight w:val="none"/>
                <w:lang w:val="zh-CN"/>
              </w:rPr>
            </w:pPr>
          </w:p>
        </w:tc>
        <w:tc>
          <w:tcPr>
            <w:tcW w:w="874" w:type="dxa"/>
            <w:vAlign w:val="center"/>
          </w:tcPr>
          <w:p w14:paraId="5200B154">
            <w:pPr>
              <w:pStyle w:val="30"/>
              <w:keepNext w:val="0"/>
              <w:keepLines w:val="0"/>
              <w:pageBreakBefore w:val="0"/>
              <w:widowControl w:val="0"/>
              <w:kinsoku/>
              <w:wordWrap/>
              <w:overflowPunct/>
              <w:topLinePunct w:val="0"/>
              <w:autoSpaceDE/>
              <w:autoSpaceDN/>
              <w:bidi w:val="0"/>
              <w:adjustRightInd/>
              <w:snapToGrid/>
              <w:spacing w:line="288" w:lineRule="auto"/>
              <w:ind w:firstLine="0" w:firstLineChars="0"/>
              <w:textAlignment w:val="auto"/>
              <w:rPr>
                <w:rFonts w:hint="default"/>
                <w:color w:val="auto"/>
                <w:highlight w:val="none"/>
                <w:lang w:val="zh-CN"/>
              </w:rPr>
            </w:pPr>
            <w:r>
              <w:rPr>
                <w:color w:val="auto"/>
                <w:highlight w:val="none"/>
              </w:rPr>
              <w:t>3#</w:t>
            </w:r>
          </w:p>
        </w:tc>
        <w:tc>
          <w:tcPr>
            <w:tcW w:w="1363" w:type="dxa"/>
            <w:vMerge w:val="continue"/>
            <w:vAlign w:val="center"/>
          </w:tcPr>
          <w:p w14:paraId="0D7ECB49">
            <w:pPr>
              <w:widowControl/>
              <w:snapToGrid w:val="0"/>
              <w:spacing w:line="240" w:lineRule="auto"/>
              <w:ind w:firstLine="0" w:firstLineChars="0"/>
              <w:jc w:val="center"/>
              <w:rPr>
                <w:rFonts w:hint="default"/>
                <w:color w:val="auto"/>
                <w:highlight w:val="none"/>
                <w:lang w:val="zh-CN"/>
              </w:rPr>
            </w:pPr>
          </w:p>
        </w:tc>
        <w:tc>
          <w:tcPr>
            <w:tcW w:w="928" w:type="dxa"/>
            <w:vAlign w:val="center"/>
          </w:tcPr>
          <w:p w14:paraId="45C33536">
            <w:pPr>
              <w:widowControl/>
              <w:snapToGrid w:val="0"/>
              <w:spacing w:line="240" w:lineRule="auto"/>
              <w:ind w:firstLine="0" w:firstLineChars="0"/>
              <w:jc w:val="center"/>
              <w:rPr>
                <w:rFonts w:hint="default"/>
                <w:color w:val="auto"/>
                <w:highlight w:val="none"/>
                <w:lang w:val="zh-CN"/>
              </w:rPr>
            </w:pPr>
            <w:r>
              <w:rPr>
                <w:rFonts w:hint="eastAsia" w:ascii="Times New Roman" w:hAnsi="Times New Roman" w:eastAsia="宋体" w:cs="Times New Roman"/>
                <w:color w:val="auto"/>
                <w:kern w:val="0"/>
                <w:sz w:val="21"/>
                <w:szCs w:val="21"/>
                <w:highlight w:val="none"/>
              </w:rPr>
              <w:t>地下水型</w:t>
            </w:r>
          </w:p>
        </w:tc>
        <w:tc>
          <w:tcPr>
            <w:tcW w:w="845" w:type="dxa"/>
            <w:vMerge w:val="continue"/>
            <w:vAlign w:val="center"/>
          </w:tcPr>
          <w:p w14:paraId="5933576A">
            <w:pPr>
              <w:pStyle w:val="30"/>
              <w:keepNext w:val="0"/>
              <w:keepLines w:val="0"/>
              <w:pageBreakBefore w:val="0"/>
              <w:widowControl w:val="0"/>
              <w:kinsoku/>
              <w:wordWrap/>
              <w:overflowPunct/>
              <w:topLinePunct w:val="0"/>
              <w:autoSpaceDE/>
              <w:autoSpaceDN/>
              <w:bidi w:val="0"/>
              <w:adjustRightInd/>
              <w:snapToGrid/>
              <w:spacing w:line="288" w:lineRule="auto"/>
              <w:ind w:firstLine="0" w:firstLineChars="0"/>
              <w:textAlignment w:val="auto"/>
              <w:rPr>
                <w:rFonts w:hint="default"/>
                <w:color w:val="auto"/>
                <w:highlight w:val="none"/>
                <w:lang w:val="zh-CN"/>
              </w:rPr>
            </w:pPr>
          </w:p>
        </w:tc>
        <w:tc>
          <w:tcPr>
            <w:tcW w:w="1146" w:type="dxa"/>
            <w:vAlign w:val="center"/>
          </w:tcPr>
          <w:p w14:paraId="249FF579">
            <w:pPr>
              <w:widowControl/>
              <w:snapToGrid w:val="0"/>
              <w:spacing w:line="240" w:lineRule="auto"/>
              <w:ind w:firstLine="0" w:firstLineChars="0"/>
              <w:jc w:val="center"/>
              <w:rPr>
                <w:rFonts w:hint="default" w:ascii="Times New Roman" w:hAnsi="Times New Roman" w:cs="Times New Roman"/>
                <w:color w:val="auto"/>
                <w:highlight w:val="none"/>
                <w:lang w:val="zh-CN"/>
              </w:rPr>
            </w:pPr>
            <w:r>
              <w:rPr>
                <w:rFonts w:hint="default" w:ascii="Times New Roman" w:hAnsi="Times New Roman" w:eastAsia="宋体" w:cs="Times New Roman"/>
                <w:color w:val="auto"/>
                <w:kern w:val="0"/>
                <w:sz w:val="21"/>
                <w:szCs w:val="21"/>
                <w:highlight w:val="none"/>
                <w:lang w:val="en-US" w:eastAsia="zh-CN"/>
              </w:rPr>
              <w:t>127°29'42.7271"</w:t>
            </w:r>
          </w:p>
        </w:tc>
        <w:tc>
          <w:tcPr>
            <w:tcW w:w="954" w:type="dxa"/>
            <w:vAlign w:val="center"/>
          </w:tcPr>
          <w:p w14:paraId="09BDB9BE">
            <w:pPr>
              <w:widowControl/>
              <w:snapToGrid w:val="0"/>
              <w:spacing w:line="240" w:lineRule="auto"/>
              <w:ind w:firstLine="0" w:firstLineChars="0"/>
              <w:jc w:val="center"/>
              <w:rPr>
                <w:rFonts w:hint="default" w:ascii="Times New Roman" w:hAnsi="Times New Roman" w:cs="Times New Roman"/>
                <w:color w:val="auto"/>
                <w:highlight w:val="none"/>
                <w:lang w:val="zh-CN"/>
              </w:rPr>
            </w:pPr>
            <w:r>
              <w:rPr>
                <w:rFonts w:hint="default" w:ascii="Times New Roman" w:hAnsi="Times New Roman" w:eastAsia="宋体" w:cs="Times New Roman"/>
                <w:color w:val="auto"/>
                <w:kern w:val="0"/>
                <w:sz w:val="21"/>
                <w:szCs w:val="21"/>
                <w:highlight w:val="none"/>
                <w:lang w:val="en-US" w:eastAsia="zh-CN"/>
              </w:rPr>
              <w:t>47°07'33.9708"</w:t>
            </w:r>
          </w:p>
        </w:tc>
        <w:tc>
          <w:tcPr>
            <w:tcW w:w="941" w:type="dxa"/>
            <w:vMerge w:val="continue"/>
            <w:vAlign w:val="center"/>
          </w:tcPr>
          <w:p w14:paraId="49E448C6">
            <w:pPr>
              <w:pStyle w:val="30"/>
              <w:keepNext w:val="0"/>
              <w:keepLines w:val="0"/>
              <w:pageBreakBefore w:val="0"/>
              <w:widowControl w:val="0"/>
              <w:kinsoku/>
              <w:wordWrap/>
              <w:overflowPunct/>
              <w:topLinePunct w:val="0"/>
              <w:autoSpaceDE/>
              <w:autoSpaceDN/>
              <w:bidi w:val="0"/>
              <w:adjustRightInd/>
              <w:snapToGrid/>
              <w:spacing w:line="288" w:lineRule="auto"/>
              <w:ind w:firstLine="0" w:firstLineChars="0"/>
              <w:textAlignment w:val="auto"/>
              <w:rPr>
                <w:rFonts w:hint="default"/>
                <w:color w:val="auto"/>
                <w:highlight w:val="none"/>
                <w:lang w:val="zh-CN"/>
              </w:rPr>
            </w:pPr>
          </w:p>
        </w:tc>
        <w:tc>
          <w:tcPr>
            <w:tcW w:w="1023" w:type="dxa"/>
            <w:vMerge w:val="continue"/>
            <w:vAlign w:val="center"/>
          </w:tcPr>
          <w:p w14:paraId="1D95D121">
            <w:pPr>
              <w:pStyle w:val="30"/>
              <w:keepNext w:val="0"/>
              <w:keepLines w:val="0"/>
              <w:pageBreakBefore w:val="0"/>
              <w:widowControl w:val="0"/>
              <w:kinsoku/>
              <w:wordWrap/>
              <w:overflowPunct/>
              <w:topLinePunct w:val="0"/>
              <w:autoSpaceDE/>
              <w:autoSpaceDN/>
              <w:bidi w:val="0"/>
              <w:adjustRightInd/>
              <w:snapToGrid/>
              <w:spacing w:line="288" w:lineRule="auto"/>
              <w:ind w:firstLine="0" w:firstLineChars="0"/>
              <w:textAlignment w:val="auto"/>
              <w:rPr>
                <w:rFonts w:hint="default"/>
                <w:color w:val="auto"/>
                <w:highlight w:val="none"/>
                <w:lang w:val="zh-CN"/>
              </w:rPr>
            </w:pPr>
          </w:p>
        </w:tc>
        <w:tc>
          <w:tcPr>
            <w:tcW w:w="2850" w:type="dxa"/>
            <w:vMerge w:val="continue"/>
            <w:vAlign w:val="center"/>
          </w:tcPr>
          <w:p w14:paraId="6BF28FB6">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zh-CN"/>
              </w:rPr>
            </w:pPr>
          </w:p>
        </w:tc>
        <w:tc>
          <w:tcPr>
            <w:tcW w:w="722" w:type="dxa"/>
            <w:vMerge w:val="continue"/>
            <w:vAlign w:val="center"/>
          </w:tcPr>
          <w:p w14:paraId="23B4C5B3">
            <w:pPr>
              <w:widowControl/>
              <w:snapToGrid w:val="0"/>
              <w:spacing w:line="240" w:lineRule="auto"/>
              <w:ind w:firstLine="0" w:firstLineChars="0"/>
              <w:jc w:val="center"/>
              <w:rPr>
                <w:rFonts w:hint="default"/>
                <w:color w:val="auto"/>
                <w:highlight w:val="none"/>
                <w:lang w:val="zh-CN"/>
              </w:rPr>
            </w:pPr>
          </w:p>
        </w:tc>
        <w:tc>
          <w:tcPr>
            <w:tcW w:w="1052" w:type="dxa"/>
            <w:vMerge w:val="continue"/>
            <w:vAlign w:val="center"/>
          </w:tcPr>
          <w:p w14:paraId="73DA4738">
            <w:pPr>
              <w:widowControl/>
              <w:snapToGrid w:val="0"/>
              <w:spacing w:line="240" w:lineRule="auto"/>
              <w:ind w:firstLine="0" w:firstLineChars="0"/>
              <w:jc w:val="center"/>
              <w:rPr>
                <w:rFonts w:hint="default"/>
                <w:color w:val="auto"/>
                <w:highlight w:val="none"/>
                <w:lang w:val="zh-CN"/>
              </w:rPr>
            </w:pPr>
          </w:p>
        </w:tc>
      </w:tr>
      <w:tr w14:paraId="4B3658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00" w:type="dxa"/>
            <w:vMerge w:val="restart"/>
            <w:vAlign w:val="center"/>
          </w:tcPr>
          <w:p w14:paraId="05A8BA72">
            <w:pPr>
              <w:widowControl/>
              <w:spacing w:line="240" w:lineRule="auto"/>
              <w:ind w:firstLine="0" w:firstLineChars="0"/>
              <w:jc w:val="center"/>
              <w:textAlignment w:val="center"/>
              <w:rPr>
                <w:rFonts w:hint="default"/>
                <w:color w:val="auto"/>
                <w:highlight w:val="none"/>
                <w:lang w:val="zh-CN"/>
              </w:rPr>
            </w:pPr>
            <w:r>
              <w:rPr>
                <w:rFonts w:hint="eastAsia" w:ascii="Times New Roman" w:hAnsi="Times New Roman" w:eastAsia="宋体" w:cs="Times New Roman"/>
                <w:color w:val="auto"/>
                <w:kern w:val="0"/>
                <w:sz w:val="21"/>
                <w:szCs w:val="21"/>
                <w:highlight w:val="none"/>
                <w:lang w:val="en-US" w:eastAsia="zh-CN" w:bidi="ar"/>
              </w:rPr>
              <w:t>绥化市庆安县柳河镇饮用水水源地</w:t>
            </w:r>
          </w:p>
        </w:tc>
        <w:tc>
          <w:tcPr>
            <w:tcW w:w="874" w:type="dxa"/>
            <w:vAlign w:val="center"/>
          </w:tcPr>
          <w:p w14:paraId="703F4D41">
            <w:pPr>
              <w:pStyle w:val="30"/>
              <w:keepNext w:val="0"/>
              <w:keepLines w:val="0"/>
              <w:pageBreakBefore w:val="0"/>
              <w:widowControl w:val="0"/>
              <w:kinsoku/>
              <w:wordWrap/>
              <w:overflowPunct/>
              <w:topLinePunct w:val="0"/>
              <w:autoSpaceDE/>
              <w:autoSpaceDN/>
              <w:bidi w:val="0"/>
              <w:adjustRightInd/>
              <w:snapToGrid/>
              <w:spacing w:line="288" w:lineRule="auto"/>
              <w:ind w:firstLine="0" w:firstLineChars="0"/>
              <w:textAlignment w:val="auto"/>
              <w:rPr>
                <w:rFonts w:hint="default"/>
                <w:color w:val="auto"/>
                <w:highlight w:val="none"/>
                <w:lang w:val="zh-CN"/>
              </w:rPr>
            </w:pPr>
            <w:r>
              <w:rPr>
                <w:color w:val="auto"/>
                <w:highlight w:val="none"/>
              </w:rPr>
              <w:t>1#</w:t>
            </w:r>
          </w:p>
        </w:tc>
        <w:tc>
          <w:tcPr>
            <w:tcW w:w="1363" w:type="dxa"/>
            <w:vMerge w:val="restart"/>
            <w:vAlign w:val="center"/>
          </w:tcPr>
          <w:p w14:paraId="03032B7F">
            <w:pPr>
              <w:widowControl/>
              <w:spacing w:line="240" w:lineRule="auto"/>
              <w:ind w:firstLine="0" w:firstLineChars="0"/>
              <w:jc w:val="center"/>
              <w:textAlignment w:val="center"/>
              <w:rPr>
                <w:rFonts w:hint="default"/>
                <w:color w:val="auto"/>
                <w:highlight w:val="none"/>
                <w:lang w:val="zh-CN"/>
              </w:rPr>
            </w:pPr>
            <w:r>
              <w:rPr>
                <w:rFonts w:hint="eastAsia"/>
                <w:color w:val="auto"/>
                <w:spacing w:val="-2"/>
                <w:sz w:val="21"/>
                <w:szCs w:val="21"/>
                <w:highlight w:val="none"/>
              </w:rPr>
              <w:t>柳河镇内新柳村、新胜村、新泉村、新岗村、新宏村，共计5个行政村39个自然屯</w:t>
            </w:r>
          </w:p>
        </w:tc>
        <w:tc>
          <w:tcPr>
            <w:tcW w:w="928" w:type="dxa"/>
            <w:vAlign w:val="center"/>
          </w:tcPr>
          <w:p w14:paraId="6DBD38B0">
            <w:pPr>
              <w:widowControl/>
              <w:snapToGrid w:val="0"/>
              <w:spacing w:line="240" w:lineRule="auto"/>
              <w:ind w:firstLine="0" w:firstLineChars="0"/>
              <w:jc w:val="center"/>
              <w:rPr>
                <w:rFonts w:hint="default"/>
                <w:color w:val="auto"/>
                <w:highlight w:val="none"/>
                <w:lang w:val="zh-CN"/>
              </w:rPr>
            </w:pPr>
            <w:r>
              <w:rPr>
                <w:rFonts w:hint="eastAsia" w:ascii="Times New Roman" w:hAnsi="Times New Roman" w:eastAsia="宋体" w:cs="Times New Roman"/>
                <w:color w:val="auto"/>
                <w:kern w:val="0"/>
                <w:sz w:val="21"/>
                <w:szCs w:val="21"/>
                <w:highlight w:val="none"/>
              </w:rPr>
              <w:t>地下水型</w:t>
            </w:r>
          </w:p>
        </w:tc>
        <w:tc>
          <w:tcPr>
            <w:tcW w:w="845" w:type="dxa"/>
            <w:vMerge w:val="restart"/>
            <w:vAlign w:val="center"/>
          </w:tcPr>
          <w:p w14:paraId="11D0CD88">
            <w:pPr>
              <w:pStyle w:val="30"/>
              <w:keepNext w:val="0"/>
              <w:keepLines w:val="0"/>
              <w:pageBreakBefore w:val="0"/>
              <w:widowControl w:val="0"/>
              <w:kinsoku/>
              <w:wordWrap/>
              <w:overflowPunct/>
              <w:topLinePunct w:val="0"/>
              <w:autoSpaceDE/>
              <w:autoSpaceDN/>
              <w:bidi w:val="0"/>
              <w:adjustRightInd/>
              <w:snapToGrid/>
              <w:spacing w:line="288" w:lineRule="auto"/>
              <w:ind w:firstLine="0" w:firstLineChars="0"/>
              <w:textAlignment w:val="auto"/>
              <w:rPr>
                <w:rFonts w:hint="default"/>
                <w:color w:val="auto"/>
                <w:highlight w:val="none"/>
                <w:lang w:val="zh-CN"/>
              </w:rPr>
            </w:pPr>
            <w:r>
              <w:rPr>
                <w:rFonts w:hint="eastAsia" w:cs="Times New Roman"/>
                <w:color w:val="auto"/>
                <w:kern w:val="0"/>
                <w:sz w:val="21"/>
                <w:szCs w:val="21"/>
                <w:highlight w:val="none"/>
                <w:lang w:val="en-US" w:eastAsia="zh-CN"/>
              </w:rPr>
              <w:t>2024年</w:t>
            </w:r>
          </w:p>
        </w:tc>
        <w:tc>
          <w:tcPr>
            <w:tcW w:w="1146" w:type="dxa"/>
            <w:vAlign w:val="center"/>
          </w:tcPr>
          <w:p w14:paraId="45F7D1BC">
            <w:pPr>
              <w:widowControl/>
              <w:snapToGrid w:val="0"/>
              <w:spacing w:line="240" w:lineRule="auto"/>
              <w:ind w:firstLine="0" w:firstLineChars="0"/>
              <w:jc w:val="center"/>
              <w:rPr>
                <w:rFonts w:hint="default" w:ascii="Times New Roman" w:hAnsi="Times New Roman" w:cs="Times New Roman"/>
                <w:color w:val="auto"/>
                <w:highlight w:val="none"/>
                <w:lang w:val="zh-CN"/>
              </w:rPr>
            </w:pPr>
            <w:r>
              <w:rPr>
                <w:rFonts w:hint="default" w:ascii="Times New Roman" w:hAnsi="Times New Roman" w:eastAsia="宋体" w:cs="Times New Roman"/>
                <w:color w:val="auto"/>
                <w:kern w:val="0"/>
                <w:sz w:val="21"/>
                <w:szCs w:val="21"/>
                <w:highlight w:val="none"/>
                <w:lang w:val="en-US" w:eastAsia="zh-CN"/>
              </w:rPr>
              <w:t>127°41'56.9899"</w:t>
            </w:r>
          </w:p>
        </w:tc>
        <w:tc>
          <w:tcPr>
            <w:tcW w:w="954" w:type="dxa"/>
            <w:vAlign w:val="center"/>
          </w:tcPr>
          <w:p w14:paraId="1C2808C8">
            <w:pPr>
              <w:widowControl/>
              <w:snapToGrid w:val="0"/>
              <w:spacing w:line="240" w:lineRule="auto"/>
              <w:ind w:firstLine="0" w:firstLineChars="0"/>
              <w:jc w:val="center"/>
              <w:rPr>
                <w:rFonts w:hint="default" w:ascii="Times New Roman" w:hAnsi="Times New Roman" w:cs="Times New Roman"/>
                <w:color w:val="auto"/>
                <w:highlight w:val="none"/>
                <w:lang w:val="zh-CN"/>
              </w:rPr>
            </w:pPr>
            <w:r>
              <w:rPr>
                <w:rFonts w:hint="default" w:ascii="Times New Roman" w:hAnsi="Times New Roman" w:eastAsia="宋体" w:cs="Times New Roman"/>
                <w:color w:val="auto"/>
                <w:kern w:val="0"/>
                <w:sz w:val="21"/>
                <w:szCs w:val="21"/>
                <w:highlight w:val="none"/>
                <w:lang w:val="en-US" w:eastAsia="zh-CN"/>
              </w:rPr>
              <w:t>46°43'13.5899"</w:t>
            </w:r>
          </w:p>
        </w:tc>
        <w:tc>
          <w:tcPr>
            <w:tcW w:w="941" w:type="dxa"/>
            <w:vMerge w:val="restart"/>
            <w:vAlign w:val="center"/>
          </w:tcPr>
          <w:p w14:paraId="2C6E5569">
            <w:pPr>
              <w:widowControl/>
              <w:spacing w:line="240" w:lineRule="auto"/>
              <w:ind w:firstLine="0" w:firstLineChars="0"/>
              <w:jc w:val="center"/>
              <w:textAlignment w:val="center"/>
              <w:rPr>
                <w:rFonts w:hint="default"/>
                <w:color w:val="auto"/>
                <w:highlight w:val="none"/>
                <w:lang w:val="zh-CN"/>
              </w:rPr>
            </w:pPr>
            <w:r>
              <w:rPr>
                <w:rFonts w:hint="eastAsia" w:cs="Times New Roman"/>
                <w:color w:val="auto"/>
                <w:kern w:val="0"/>
                <w:sz w:val="21"/>
                <w:szCs w:val="21"/>
                <w:highlight w:val="none"/>
                <w:lang w:val="en-US" w:eastAsia="zh-CN" w:bidi="ar"/>
              </w:rPr>
              <w:t>8631</w:t>
            </w:r>
            <w:r>
              <w:rPr>
                <w:rFonts w:hint="eastAsia" w:ascii="Times New Roman" w:hAnsi="Times New Roman" w:eastAsia="宋体" w:cs="Times New Roman"/>
                <w:color w:val="auto"/>
                <w:kern w:val="0"/>
                <w:sz w:val="21"/>
                <w:szCs w:val="21"/>
                <w:highlight w:val="none"/>
                <w:lang w:val="en-US" w:eastAsia="zh-CN" w:bidi="ar"/>
              </w:rPr>
              <w:t>人</w:t>
            </w:r>
          </w:p>
        </w:tc>
        <w:tc>
          <w:tcPr>
            <w:tcW w:w="1023" w:type="dxa"/>
            <w:vMerge w:val="restart"/>
            <w:vAlign w:val="center"/>
          </w:tcPr>
          <w:p w14:paraId="4AD2D1F9">
            <w:pPr>
              <w:widowControl/>
              <w:snapToGrid w:val="0"/>
              <w:spacing w:line="240" w:lineRule="auto"/>
              <w:ind w:firstLine="0" w:firstLineChars="0"/>
              <w:jc w:val="center"/>
              <w:rPr>
                <w:rFonts w:hint="default"/>
                <w:color w:val="auto"/>
                <w:highlight w:val="none"/>
                <w:lang w:val="zh-CN"/>
              </w:rPr>
            </w:pPr>
            <w:r>
              <w:rPr>
                <w:rFonts w:hint="eastAsia"/>
                <w:color w:val="auto"/>
                <w:sz w:val="21"/>
                <w:szCs w:val="21"/>
                <w:highlight w:val="none"/>
              </w:rPr>
              <w:t>机械曝气</w:t>
            </w:r>
            <w:r>
              <w:rPr>
                <w:rFonts w:hint="eastAsia"/>
                <w:color w:val="auto"/>
                <w:sz w:val="21"/>
                <w:szCs w:val="21"/>
                <w:highlight w:val="none"/>
                <w:lang w:eastAsia="zh-CN"/>
              </w:rPr>
              <w:t>、</w:t>
            </w:r>
            <w:r>
              <w:rPr>
                <w:rFonts w:hint="eastAsia"/>
                <w:color w:val="auto"/>
                <w:sz w:val="21"/>
                <w:szCs w:val="21"/>
                <w:highlight w:val="none"/>
              </w:rPr>
              <w:t>锰砂过滤</w:t>
            </w:r>
            <w:r>
              <w:rPr>
                <w:rFonts w:hint="eastAsia"/>
                <w:color w:val="auto"/>
                <w:sz w:val="21"/>
                <w:szCs w:val="21"/>
                <w:highlight w:val="none"/>
                <w:lang w:eastAsia="zh-CN"/>
              </w:rPr>
              <w:t>、</w:t>
            </w:r>
            <w:r>
              <w:rPr>
                <w:rFonts w:hint="eastAsia"/>
                <w:color w:val="auto"/>
                <w:sz w:val="21"/>
                <w:szCs w:val="21"/>
                <w:highlight w:val="none"/>
              </w:rPr>
              <w:t>次氯酸钠消毒</w:t>
            </w:r>
          </w:p>
        </w:tc>
        <w:tc>
          <w:tcPr>
            <w:tcW w:w="2850" w:type="dxa"/>
            <w:vMerge w:val="restart"/>
            <w:vAlign w:val="center"/>
          </w:tcPr>
          <w:p w14:paraId="270F9B78">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zh-CN"/>
              </w:rPr>
            </w:pPr>
            <w:r>
              <w:rPr>
                <w:rFonts w:hint="eastAsia" w:cs="Times New Roman"/>
                <w:color w:val="auto"/>
                <w:kern w:val="0"/>
                <w:sz w:val="21"/>
                <w:szCs w:val="21"/>
                <w:highlight w:val="none"/>
                <w:lang w:val="en-US" w:eastAsia="zh-CN"/>
              </w:rPr>
              <w:t>5</w:t>
            </w:r>
            <w:r>
              <w:rPr>
                <w:rFonts w:hint="eastAsia" w:ascii="Times New Roman" w:hAnsi="Times New Roman" w:eastAsia="宋体" w:cs="Times New Roman"/>
                <w:color w:val="auto"/>
                <w:kern w:val="0"/>
                <w:sz w:val="21"/>
                <w:szCs w:val="21"/>
                <w:highlight w:val="none"/>
              </w:rPr>
              <w:t>眼井，为</w:t>
            </w:r>
            <w:r>
              <w:rPr>
                <w:rFonts w:hint="eastAsia" w:ascii="Times New Roman" w:hAnsi="Times New Roman" w:cs="Times New Roman"/>
                <w:color w:val="auto"/>
                <w:sz w:val="21"/>
                <w:szCs w:val="21"/>
                <w:highlight w:val="none"/>
                <w:lang w:eastAsia="zh-CN"/>
              </w:rPr>
              <w:t>孔隙—裂隙</w:t>
            </w:r>
            <w:r>
              <w:rPr>
                <w:rFonts w:hint="eastAsia" w:ascii="Times New Roman" w:hAnsi="Times New Roman" w:eastAsia="宋体" w:cs="Times New Roman"/>
                <w:color w:val="auto"/>
                <w:kern w:val="0"/>
                <w:sz w:val="21"/>
                <w:szCs w:val="21"/>
                <w:highlight w:val="none"/>
              </w:rPr>
              <w:t>承压水型，</w:t>
            </w:r>
            <w:r>
              <w:rPr>
                <w:rFonts w:hint="eastAsia" w:cs="Times New Roman"/>
                <w:color w:val="auto"/>
                <w:kern w:val="0"/>
                <w:sz w:val="21"/>
                <w:szCs w:val="21"/>
                <w:highlight w:val="none"/>
                <w:lang w:eastAsia="zh-CN"/>
              </w:rPr>
              <w:t>一级保护区范围</w:t>
            </w:r>
            <w:r>
              <w:rPr>
                <w:rFonts w:hint="eastAsia" w:ascii="Times New Roman" w:hAnsi="Times New Roman" w:eastAsia="宋体" w:cs="Times New Roman"/>
                <w:color w:val="auto"/>
                <w:sz w:val="21"/>
                <w:szCs w:val="21"/>
                <w:highlight w:val="none"/>
                <w:lang w:val="en-US" w:eastAsia="zh-CN"/>
              </w:rPr>
              <w:t>分别以5眼取水井为圆心，30米为半径的圆形区域，一级保护区总面积为</w:t>
            </w:r>
            <w:r>
              <w:rPr>
                <w:rFonts w:hint="eastAsia"/>
                <w:color w:val="auto"/>
                <w:sz w:val="21"/>
                <w:szCs w:val="21"/>
                <w:highlight w:val="none"/>
                <w:lang w:val="en-US" w:eastAsia="zh-CN"/>
              </w:rPr>
              <w:t>14130</w:t>
            </w:r>
            <w:r>
              <w:rPr>
                <w:rFonts w:hint="eastAsia"/>
                <w:color w:val="auto"/>
                <w:sz w:val="21"/>
                <w:szCs w:val="21"/>
                <w:highlight w:val="none"/>
              </w:rPr>
              <w:t>平方米</w:t>
            </w:r>
            <w:r>
              <w:rPr>
                <w:rFonts w:hint="eastAsia" w:ascii="Times New Roman" w:hAnsi="Times New Roman" w:eastAsia="宋体" w:cs="Times New Roman"/>
                <w:color w:val="auto"/>
                <w:kern w:val="0"/>
                <w:sz w:val="21"/>
                <w:szCs w:val="21"/>
                <w:highlight w:val="none"/>
              </w:rPr>
              <w:t>。</w:t>
            </w:r>
          </w:p>
        </w:tc>
        <w:tc>
          <w:tcPr>
            <w:tcW w:w="722" w:type="dxa"/>
            <w:vMerge w:val="restart"/>
            <w:vAlign w:val="center"/>
          </w:tcPr>
          <w:p w14:paraId="515CDE52">
            <w:pPr>
              <w:widowControl/>
              <w:snapToGrid w:val="0"/>
              <w:spacing w:line="240" w:lineRule="auto"/>
              <w:ind w:firstLine="0" w:firstLineChars="0"/>
              <w:jc w:val="center"/>
              <w:rPr>
                <w:rFonts w:hint="default"/>
                <w:color w:val="auto"/>
                <w:highlight w:val="none"/>
                <w:lang w:val="zh-CN"/>
              </w:rPr>
            </w:pPr>
            <w:r>
              <w:rPr>
                <w:rFonts w:hint="eastAsia" w:ascii="Times New Roman" w:hAnsi="Times New Roman" w:eastAsia="宋体" w:cs="Times New Roman"/>
                <w:color w:val="auto"/>
                <w:kern w:val="0"/>
                <w:sz w:val="21"/>
                <w:szCs w:val="21"/>
                <w:highlight w:val="none"/>
              </w:rPr>
              <w:t>无</w:t>
            </w:r>
          </w:p>
        </w:tc>
        <w:tc>
          <w:tcPr>
            <w:tcW w:w="1052" w:type="dxa"/>
            <w:vMerge w:val="restart"/>
            <w:vAlign w:val="center"/>
          </w:tcPr>
          <w:p w14:paraId="65E0A3E7">
            <w:pPr>
              <w:widowControl/>
              <w:snapToGrid w:val="0"/>
              <w:spacing w:line="240" w:lineRule="auto"/>
              <w:ind w:firstLine="0" w:firstLineChars="0"/>
              <w:jc w:val="center"/>
              <w:rPr>
                <w:rFonts w:hint="default"/>
                <w:color w:val="auto"/>
                <w:highlight w:val="none"/>
                <w:lang w:val="zh-CN"/>
              </w:rPr>
            </w:pPr>
            <w:r>
              <w:rPr>
                <w:rFonts w:hint="eastAsia" w:ascii="Times New Roman" w:hAnsi="Times New Roman" w:eastAsia="宋体" w:cs="Times New Roman"/>
                <w:color w:val="auto"/>
                <w:kern w:val="0"/>
                <w:sz w:val="21"/>
                <w:szCs w:val="21"/>
                <w:highlight w:val="none"/>
              </w:rPr>
              <w:t>无</w:t>
            </w:r>
          </w:p>
        </w:tc>
      </w:tr>
      <w:tr w14:paraId="6D664C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00" w:type="dxa"/>
            <w:vMerge w:val="continue"/>
            <w:vAlign w:val="center"/>
          </w:tcPr>
          <w:p w14:paraId="7C4A1B59">
            <w:pPr>
              <w:pStyle w:val="30"/>
              <w:keepNext w:val="0"/>
              <w:keepLines w:val="0"/>
              <w:pageBreakBefore w:val="0"/>
              <w:widowControl w:val="0"/>
              <w:kinsoku/>
              <w:wordWrap/>
              <w:overflowPunct/>
              <w:topLinePunct w:val="0"/>
              <w:autoSpaceDE/>
              <w:autoSpaceDN/>
              <w:bidi w:val="0"/>
              <w:adjustRightInd/>
              <w:snapToGrid/>
              <w:spacing w:line="288" w:lineRule="auto"/>
              <w:textAlignment w:val="auto"/>
              <w:rPr>
                <w:rFonts w:hint="default"/>
                <w:color w:val="auto"/>
                <w:highlight w:val="none"/>
                <w:lang w:val="zh-CN"/>
              </w:rPr>
            </w:pPr>
          </w:p>
        </w:tc>
        <w:tc>
          <w:tcPr>
            <w:tcW w:w="874" w:type="dxa"/>
            <w:vAlign w:val="center"/>
          </w:tcPr>
          <w:p w14:paraId="045485F6">
            <w:pPr>
              <w:pStyle w:val="30"/>
              <w:keepNext w:val="0"/>
              <w:keepLines w:val="0"/>
              <w:pageBreakBefore w:val="0"/>
              <w:widowControl w:val="0"/>
              <w:kinsoku/>
              <w:wordWrap/>
              <w:overflowPunct/>
              <w:topLinePunct w:val="0"/>
              <w:autoSpaceDE/>
              <w:autoSpaceDN/>
              <w:bidi w:val="0"/>
              <w:adjustRightInd/>
              <w:snapToGrid/>
              <w:spacing w:line="288" w:lineRule="auto"/>
              <w:ind w:firstLine="0" w:firstLineChars="0"/>
              <w:textAlignment w:val="auto"/>
              <w:rPr>
                <w:rFonts w:hint="default"/>
                <w:color w:val="auto"/>
                <w:highlight w:val="none"/>
                <w:lang w:val="zh-CN"/>
              </w:rPr>
            </w:pPr>
            <w:r>
              <w:rPr>
                <w:color w:val="auto"/>
                <w:highlight w:val="none"/>
              </w:rPr>
              <w:t>2#</w:t>
            </w:r>
          </w:p>
        </w:tc>
        <w:tc>
          <w:tcPr>
            <w:tcW w:w="1363" w:type="dxa"/>
            <w:vMerge w:val="continue"/>
            <w:vAlign w:val="center"/>
          </w:tcPr>
          <w:p w14:paraId="53C519F6">
            <w:pPr>
              <w:widowControl/>
              <w:snapToGrid w:val="0"/>
              <w:spacing w:line="240" w:lineRule="auto"/>
              <w:ind w:firstLine="0" w:firstLineChars="0"/>
              <w:jc w:val="center"/>
              <w:rPr>
                <w:rFonts w:hint="default"/>
                <w:color w:val="auto"/>
                <w:highlight w:val="none"/>
                <w:lang w:val="zh-CN"/>
              </w:rPr>
            </w:pPr>
          </w:p>
        </w:tc>
        <w:tc>
          <w:tcPr>
            <w:tcW w:w="928" w:type="dxa"/>
            <w:vAlign w:val="center"/>
          </w:tcPr>
          <w:p w14:paraId="31444B1F">
            <w:pPr>
              <w:widowControl/>
              <w:snapToGrid w:val="0"/>
              <w:spacing w:line="240" w:lineRule="auto"/>
              <w:ind w:firstLine="0" w:firstLineChars="0"/>
              <w:jc w:val="center"/>
              <w:rPr>
                <w:rFonts w:hint="default"/>
                <w:color w:val="auto"/>
                <w:highlight w:val="none"/>
                <w:lang w:val="zh-CN"/>
              </w:rPr>
            </w:pPr>
            <w:r>
              <w:rPr>
                <w:rFonts w:hint="eastAsia" w:ascii="Times New Roman" w:hAnsi="Times New Roman" w:eastAsia="宋体" w:cs="Times New Roman"/>
                <w:color w:val="auto"/>
                <w:kern w:val="0"/>
                <w:sz w:val="21"/>
                <w:szCs w:val="21"/>
                <w:highlight w:val="none"/>
              </w:rPr>
              <w:t>地下水型</w:t>
            </w:r>
          </w:p>
        </w:tc>
        <w:tc>
          <w:tcPr>
            <w:tcW w:w="845" w:type="dxa"/>
            <w:vMerge w:val="continue"/>
            <w:vAlign w:val="center"/>
          </w:tcPr>
          <w:p w14:paraId="47EAC07C">
            <w:pPr>
              <w:pStyle w:val="30"/>
              <w:keepNext w:val="0"/>
              <w:keepLines w:val="0"/>
              <w:pageBreakBefore w:val="0"/>
              <w:widowControl w:val="0"/>
              <w:kinsoku/>
              <w:wordWrap/>
              <w:overflowPunct/>
              <w:topLinePunct w:val="0"/>
              <w:autoSpaceDE/>
              <w:autoSpaceDN/>
              <w:bidi w:val="0"/>
              <w:adjustRightInd/>
              <w:snapToGrid/>
              <w:spacing w:line="288" w:lineRule="auto"/>
              <w:ind w:firstLine="0" w:firstLineChars="0"/>
              <w:textAlignment w:val="auto"/>
              <w:rPr>
                <w:rFonts w:hint="default"/>
                <w:color w:val="auto"/>
                <w:highlight w:val="none"/>
                <w:lang w:val="zh-CN"/>
              </w:rPr>
            </w:pPr>
          </w:p>
        </w:tc>
        <w:tc>
          <w:tcPr>
            <w:tcW w:w="1146" w:type="dxa"/>
            <w:vAlign w:val="center"/>
          </w:tcPr>
          <w:p w14:paraId="20B45554">
            <w:pPr>
              <w:widowControl/>
              <w:snapToGrid w:val="0"/>
              <w:spacing w:line="240" w:lineRule="auto"/>
              <w:ind w:firstLine="0" w:firstLineChars="0"/>
              <w:jc w:val="center"/>
              <w:rPr>
                <w:rFonts w:hint="default" w:ascii="Times New Roman" w:hAnsi="Times New Roman" w:cs="Times New Roman"/>
                <w:color w:val="auto"/>
                <w:highlight w:val="none"/>
                <w:lang w:val="zh-CN"/>
              </w:rPr>
            </w:pPr>
            <w:r>
              <w:rPr>
                <w:rFonts w:hint="default" w:ascii="Times New Roman" w:hAnsi="Times New Roman" w:eastAsia="宋体" w:cs="Times New Roman"/>
                <w:color w:val="auto"/>
                <w:kern w:val="0"/>
                <w:sz w:val="21"/>
                <w:szCs w:val="21"/>
                <w:highlight w:val="none"/>
                <w:lang w:val="en-US" w:eastAsia="zh-CN"/>
              </w:rPr>
              <w:t>127°41'52.4150"</w:t>
            </w:r>
          </w:p>
        </w:tc>
        <w:tc>
          <w:tcPr>
            <w:tcW w:w="954" w:type="dxa"/>
            <w:vAlign w:val="center"/>
          </w:tcPr>
          <w:p w14:paraId="44D6BC21">
            <w:pPr>
              <w:widowControl/>
              <w:snapToGrid w:val="0"/>
              <w:spacing w:line="240" w:lineRule="auto"/>
              <w:ind w:firstLine="0" w:firstLineChars="0"/>
              <w:jc w:val="center"/>
              <w:rPr>
                <w:rFonts w:hint="default" w:ascii="Times New Roman" w:hAnsi="Times New Roman" w:cs="Times New Roman"/>
                <w:color w:val="auto"/>
                <w:highlight w:val="none"/>
                <w:lang w:val="zh-CN"/>
              </w:rPr>
            </w:pPr>
            <w:r>
              <w:rPr>
                <w:rFonts w:hint="default" w:ascii="Times New Roman" w:hAnsi="Times New Roman" w:eastAsia="宋体" w:cs="Times New Roman"/>
                <w:color w:val="auto"/>
                <w:kern w:val="0"/>
                <w:sz w:val="21"/>
                <w:szCs w:val="21"/>
                <w:highlight w:val="none"/>
                <w:lang w:val="en-US" w:eastAsia="zh-CN"/>
              </w:rPr>
              <w:t>46°43'19.7130"</w:t>
            </w:r>
          </w:p>
        </w:tc>
        <w:tc>
          <w:tcPr>
            <w:tcW w:w="941" w:type="dxa"/>
            <w:vMerge w:val="continue"/>
            <w:vAlign w:val="center"/>
          </w:tcPr>
          <w:p w14:paraId="7D9B1D6E">
            <w:pPr>
              <w:pStyle w:val="30"/>
              <w:keepNext w:val="0"/>
              <w:keepLines w:val="0"/>
              <w:pageBreakBefore w:val="0"/>
              <w:widowControl w:val="0"/>
              <w:kinsoku/>
              <w:wordWrap/>
              <w:overflowPunct/>
              <w:topLinePunct w:val="0"/>
              <w:autoSpaceDE/>
              <w:autoSpaceDN/>
              <w:bidi w:val="0"/>
              <w:adjustRightInd/>
              <w:snapToGrid/>
              <w:spacing w:line="288" w:lineRule="auto"/>
              <w:ind w:firstLine="0" w:firstLineChars="0"/>
              <w:textAlignment w:val="auto"/>
              <w:rPr>
                <w:rFonts w:hint="default"/>
                <w:color w:val="auto"/>
                <w:highlight w:val="none"/>
                <w:lang w:val="zh-CN"/>
              </w:rPr>
            </w:pPr>
          </w:p>
        </w:tc>
        <w:tc>
          <w:tcPr>
            <w:tcW w:w="1023" w:type="dxa"/>
            <w:vMerge w:val="continue"/>
            <w:vAlign w:val="center"/>
          </w:tcPr>
          <w:p w14:paraId="25BBF9FE">
            <w:pPr>
              <w:pStyle w:val="30"/>
              <w:keepNext w:val="0"/>
              <w:keepLines w:val="0"/>
              <w:pageBreakBefore w:val="0"/>
              <w:widowControl w:val="0"/>
              <w:kinsoku/>
              <w:wordWrap/>
              <w:overflowPunct/>
              <w:topLinePunct w:val="0"/>
              <w:autoSpaceDE/>
              <w:autoSpaceDN/>
              <w:bidi w:val="0"/>
              <w:adjustRightInd/>
              <w:snapToGrid/>
              <w:spacing w:line="288" w:lineRule="auto"/>
              <w:ind w:firstLine="0" w:firstLineChars="0"/>
              <w:textAlignment w:val="auto"/>
              <w:rPr>
                <w:rFonts w:hint="default"/>
                <w:color w:val="auto"/>
                <w:highlight w:val="none"/>
                <w:lang w:val="zh-CN"/>
              </w:rPr>
            </w:pPr>
          </w:p>
        </w:tc>
        <w:tc>
          <w:tcPr>
            <w:tcW w:w="2850" w:type="dxa"/>
            <w:vMerge w:val="continue"/>
            <w:vAlign w:val="center"/>
          </w:tcPr>
          <w:p w14:paraId="41088C28">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zh-CN"/>
              </w:rPr>
            </w:pPr>
          </w:p>
        </w:tc>
        <w:tc>
          <w:tcPr>
            <w:tcW w:w="722" w:type="dxa"/>
            <w:vMerge w:val="continue"/>
            <w:vAlign w:val="center"/>
          </w:tcPr>
          <w:p w14:paraId="014D5507">
            <w:pPr>
              <w:widowControl/>
              <w:snapToGrid w:val="0"/>
              <w:spacing w:line="240" w:lineRule="auto"/>
              <w:ind w:firstLine="0" w:firstLineChars="0"/>
              <w:jc w:val="center"/>
              <w:rPr>
                <w:rFonts w:hint="default"/>
                <w:color w:val="auto"/>
                <w:highlight w:val="none"/>
                <w:lang w:val="zh-CN"/>
              </w:rPr>
            </w:pPr>
          </w:p>
        </w:tc>
        <w:tc>
          <w:tcPr>
            <w:tcW w:w="1052" w:type="dxa"/>
            <w:vMerge w:val="continue"/>
            <w:vAlign w:val="center"/>
          </w:tcPr>
          <w:p w14:paraId="154028EF">
            <w:pPr>
              <w:widowControl/>
              <w:snapToGrid w:val="0"/>
              <w:spacing w:line="240" w:lineRule="auto"/>
              <w:ind w:firstLine="0" w:firstLineChars="0"/>
              <w:jc w:val="center"/>
              <w:rPr>
                <w:rFonts w:hint="default"/>
                <w:color w:val="auto"/>
                <w:highlight w:val="none"/>
                <w:lang w:val="zh-CN"/>
              </w:rPr>
            </w:pPr>
          </w:p>
        </w:tc>
      </w:tr>
      <w:tr w14:paraId="44E109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00" w:type="dxa"/>
            <w:vMerge w:val="continue"/>
            <w:vAlign w:val="center"/>
          </w:tcPr>
          <w:p w14:paraId="12BE5C4F">
            <w:pPr>
              <w:pStyle w:val="30"/>
              <w:keepNext w:val="0"/>
              <w:keepLines w:val="0"/>
              <w:pageBreakBefore w:val="0"/>
              <w:widowControl w:val="0"/>
              <w:kinsoku/>
              <w:wordWrap/>
              <w:overflowPunct/>
              <w:topLinePunct w:val="0"/>
              <w:autoSpaceDE/>
              <w:autoSpaceDN/>
              <w:bidi w:val="0"/>
              <w:adjustRightInd/>
              <w:snapToGrid/>
              <w:spacing w:line="288" w:lineRule="auto"/>
              <w:textAlignment w:val="auto"/>
              <w:rPr>
                <w:rFonts w:hint="default"/>
                <w:color w:val="auto"/>
                <w:highlight w:val="none"/>
                <w:lang w:val="zh-CN"/>
              </w:rPr>
            </w:pPr>
          </w:p>
        </w:tc>
        <w:tc>
          <w:tcPr>
            <w:tcW w:w="874" w:type="dxa"/>
            <w:vAlign w:val="center"/>
          </w:tcPr>
          <w:p w14:paraId="3629A529">
            <w:pPr>
              <w:pStyle w:val="30"/>
              <w:keepNext w:val="0"/>
              <w:keepLines w:val="0"/>
              <w:pageBreakBefore w:val="0"/>
              <w:widowControl w:val="0"/>
              <w:kinsoku/>
              <w:wordWrap/>
              <w:overflowPunct/>
              <w:topLinePunct w:val="0"/>
              <w:autoSpaceDE/>
              <w:autoSpaceDN/>
              <w:bidi w:val="0"/>
              <w:adjustRightInd/>
              <w:snapToGrid/>
              <w:spacing w:line="288" w:lineRule="auto"/>
              <w:ind w:firstLine="0" w:firstLineChars="0"/>
              <w:textAlignment w:val="auto"/>
              <w:rPr>
                <w:rFonts w:hint="default"/>
                <w:color w:val="auto"/>
                <w:highlight w:val="none"/>
                <w:lang w:val="zh-CN"/>
              </w:rPr>
            </w:pPr>
            <w:r>
              <w:rPr>
                <w:color w:val="auto"/>
                <w:highlight w:val="none"/>
              </w:rPr>
              <w:t>3#</w:t>
            </w:r>
          </w:p>
        </w:tc>
        <w:tc>
          <w:tcPr>
            <w:tcW w:w="1363" w:type="dxa"/>
            <w:vMerge w:val="continue"/>
            <w:vAlign w:val="center"/>
          </w:tcPr>
          <w:p w14:paraId="7C5FFEFF">
            <w:pPr>
              <w:widowControl/>
              <w:snapToGrid w:val="0"/>
              <w:spacing w:line="240" w:lineRule="auto"/>
              <w:ind w:firstLine="0" w:firstLineChars="0"/>
              <w:jc w:val="center"/>
              <w:rPr>
                <w:rFonts w:hint="default"/>
                <w:color w:val="auto"/>
                <w:highlight w:val="none"/>
                <w:lang w:val="zh-CN"/>
              </w:rPr>
            </w:pPr>
          </w:p>
        </w:tc>
        <w:tc>
          <w:tcPr>
            <w:tcW w:w="928" w:type="dxa"/>
            <w:vAlign w:val="center"/>
          </w:tcPr>
          <w:p w14:paraId="6EF1CE43">
            <w:pPr>
              <w:widowControl/>
              <w:snapToGrid w:val="0"/>
              <w:spacing w:line="240" w:lineRule="auto"/>
              <w:ind w:firstLine="0" w:firstLineChars="0"/>
              <w:jc w:val="center"/>
              <w:rPr>
                <w:rFonts w:hint="default"/>
                <w:color w:val="auto"/>
                <w:highlight w:val="none"/>
                <w:lang w:val="zh-CN"/>
              </w:rPr>
            </w:pPr>
            <w:r>
              <w:rPr>
                <w:rFonts w:hint="eastAsia" w:ascii="Times New Roman" w:hAnsi="Times New Roman" w:eastAsia="宋体" w:cs="Times New Roman"/>
                <w:color w:val="auto"/>
                <w:kern w:val="0"/>
                <w:sz w:val="21"/>
                <w:szCs w:val="21"/>
                <w:highlight w:val="none"/>
              </w:rPr>
              <w:t>地下水型</w:t>
            </w:r>
          </w:p>
        </w:tc>
        <w:tc>
          <w:tcPr>
            <w:tcW w:w="845" w:type="dxa"/>
            <w:vMerge w:val="continue"/>
            <w:vAlign w:val="center"/>
          </w:tcPr>
          <w:p w14:paraId="6F5A0A1E">
            <w:pPr>
              <w:pStyle w:val="30"/>
              <w:keepNext w:val="0"/>
              <w:keepLines w:val="0"/>
              <w:pageBreakBefore w:val="0"/>
              <w:widowControl w:val="0"/>
              <w:kinsoku/>
              <w:wordWrap/>
              <w:overflowPunct/>
              <w:topLinePunct w:val="0"/>
              <w:autoSpaceDE/>
              <w:autoSpaceDN/>
              <w:bidi w:val="0"/>
              <w:adjustRightInd/>
              <w:snapToGrid/>
              <w:spacing w:line="288" w:lineRule="auto"/>
              <w:ind w:firstLine="0" w:firstLineChars="0"/>
              <w:textAlignment w:val="auto"/>
              <w:rPr>
                <w:rFonts w:hint="default"/>
                <w:color w:val="auto"/>
                <w:highlight w:val="none"/>
                <w:lang w:val="zh-CN"/>
              </w:rPr>
            </w:pPr>
          </w:p>
        </w:tc>
        <w:tc>
          <w:tcPr>
            <w:tcW w:w="1146" w:type="dxa"/>
            <w:vAlign w:val="center"/>
          </w:tcPr>
          <w:p w14:paraId="0300F193">
            <w:pPr>
              <w:widowControl/>
              <w:snapToGrid w:val="0"/>
              <w:spacing w:line="240" w:lineRule="auto"/>
              <w:ind w:firstLine="0" w:firstLineChars="0"/>
              <w:jc w:val="center"/>
              <w:rPr>
                <w:rFonts w:hint="default" w:ascii="Times New Roman" w:hAnsi="Times New Roman" w:cs="Times New Roman"/>
                <w:color w:val="auto"/>
                <w:highlight w:val="none"/>
                <w:lang w:val="zh-CN"/>
              </w:rPr>
            </w:pPr>
            <w:r>
              <w:rPr>
                <w:rFonts w:hint="default" w:ascii="Times New Roman" w:hAnsi="Times New Roman" w:eastAsia="宋体" w:cs="Times New Roman"/>
                <w:color w:val="auto"/>
                <w:kern w:val="0"/>
                <w:sz w:val="21"/>
                <w:szCs w:val="21"/>
                <w:highlight w:val="none"/>
                <w:lang w:val="en-US" w:eastAsia="zh-CN"/>
              </w:rPr>
              <w:t>127°42'08.7991"</w:t>
            </w:r>
          </w:p>
        </w:tc>
        <w:tc>
          <w:tcPr>
            <w:tcW w:w="954" w:type="dxa"/>
            <w:vAlign w:val="center"/>
          </w:tcPr>
          <w:p w14:paraId="446B6E0A">
            <w:pPr>
              <w:widowControl/>
              <w:snapToGrid w:val="0"/>
              <w:spacing w:line="240" w:lineRule="auto"/>
              <w:ind w:firstLine="0" w:firstLineChars="0"/>
              <w:jc w:val="center"/>
              <w:rPr>
                <w:rFonts w:hint="default" w:ascii="Times New Roman" w:hAnsi="Times New Roman" w:cs="Times New Roman"/>
                <w:color w:val="auto"/>
                <w:highlight w:val="none"/>
                <w:lang w:val="zh-CN"/>
              </w:rPr>
            </w:pPr>
            <w:r>
              <w:rPr>
                <w:rFonts w:hint="default" w:ascii="Times New Roman" w:hAnsi="Times New Roman" w:eastAsia="宋体" w:cs="Times New Roman"/>
                <w:color w:val="auto"/>
                <w:kern w:val="0"/>
                <w:sz w:val="21"/>
                <w:szCs w:val="21"/>
                <w:highlight w:val="none"/>
                <w:lang w:val="en-US" w:eastAsia="zh-CN"/>
              </w:rPr>
              <w:t>46°43'19.9481"</w:t>
            </w:r>
          </w:p>
        </w:tc>
        <w:tc>
          <w:tcPr>
            <w:tcW w:w="941" w:type="dxa"/>
            <w:vMerge w:val="continue"/>
            <w:vAlign w:val="center"/>
          </w:tcPr>
          <w:p w14:paraId="02A78BE6">
            <w:pPr>
              <w:pStyle w:val="30"/>
              <w:keepNext w:val="0"/>
              <w:keepLines w:val="0"/>
              <w:pageBreakBefore w:val="0"/>
              <w:widowControl w:val="0"/>
              <w:kinsoku/>
              <w:wordWrap/>
              <w:overflowPunct/>
              <w:topLinePunct w:val="0"/>
              <w:autoSpaceDE/>
              <w:autoSpaceDN/>
              <w:bidi w:val="0"/>
              <w:adjustRightInd/>
              <w:snapToGrid/>
              <w:spacing w:line="288" w:lineRule="auto"/>
              <w:ind w:firstLine="0" w:firstLineChars="0"/>
              <w:textAlignment w:val="auto"/>
              <w:rPr>
                <w:rFonts w:hint="default"/>
                <w:color w:val="auto"/>
                <w:highlight w:val="none"/>
                <w:lang w:val="zh-CN"/>
              </w:rPr>
            </w:pPr>
          </w:p>
        </w:tc>
        <w:tc>
          <w:tcPr>
            <w:tcW w:w="1023" w:type="dxa"/>
            <w:vMerge w:val="continue"/>
            <w:vAlign w:val="center"/>
          </w:tcPr>
          <w:p w14:paraId="5FFBBA0D">
            <w:pPr>
              <w:pStyle w:val="30"/>
              <w:keepNext w:val="0"/>
              <w:keepLines w:val="0"/>
              <w:pageBreakBefore w:val="0"/>
              <w:widowControl w:val="0"/>
              <w:kinsoku/>
              <w:wordWrap/>
              <w:overflowPunct/>
              <w:topLinePunct w:val="0"/>
              <w:autoSpaceDE/>
              <w:autoSpaceDN/>
              <w:bidi w:val="0"/>
              <w:adjustRightInd/>
              <w:snapToGrid/>
              <w:spacing w:line="288" w:lineRule="auto"/>
              <w:ind w:firstLine="0" w:firstLineChars="0"/>
              <w:textAlignment w:val="auto"/>
              <w:rPr>
                <w:rFonts w:hint="default"/>
                <w:color w:val="auto"/>
                <w:highlight w:val="none"/>
                <w:lang w:val="zh-CN"/>
              </w:rPr>
            </w:pPr>
          </w:p>
        </w:tc>
        <w:tc>
          <w:tcPr>
            <w:tcW w:w="2850" w:type="dxa"/>
            <w:vMerge w:val="continue"/>
            <w:vAlign w:val="center"/>
          </w:tcPr>
          <w:p w14:paraId="1CD7BEE9">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zh-CN"/>
              </w:rPr>
            </w:pPr>
          </w:p>
        </w:tc>
        <w:tc>
          <w:tcPr>
            <w:tcW w:w="722" w:type="dxa"/>
            <w:vMerge w:val="continue"/>
            <w:vAlign w:val="center"/>
          </w:tcPr>
          <w:p w14:paraId="77DD21C2">
            <w:pPr>
              <w:widowControl/>
              <w:snapToGrid w:val="0"/>
              <w:spacing w:line="240" w:lineRule="auto"/>
              <w:ind w:firstLine="0" w:firstLineChars="0"/>
              <w:jc w:val="center"/>
              <w:rPr>
                <w:rFonts w:hint="default"/>
                <w:color w:val="auto"/>
                <w:highlight w:val="none"/>
                <w:lang w:val="zh-CN"/>
              </w:rPr>
            </w:pPr>
          </w:p>
        </w:tc>
        <w:tc>
          <w:tcPr>
            <w:tcW w:w="1052" w:type="dxa"/>
            <w:vMerge w:val="continue"/>
            <w:vAlign w:val="center"/>
          </w:tcPr>
          <w:p w14:paraId="34880674">
            <w:pPr>
              <w:widowControl/>
              <w:snapToGrid w:val="0"/>
              <w:spacing w:line="240" w:lineRule="auto"/>
              <w:ind w:firstLine="0" w:firstLineChars="0"/>
              <w:jc w:val="center"/>
              <w:rPr>
                <w:rFonts w:hint="default"/>
                <w:color w:val="auto"/>
                <w:highlight w:val="none"/>
                <w:lang w:val="zh-CN"/>
              </w:rPr>
            </w:pPr>
          </w:p>
        </w:tc>
      </w:tr>
      <w:tr w14:paraId="4BAD58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00" w:type="dxa"/>
            <w:vMerge w:val="continue"/>
            <w:vAlign w:val="center"/>
          </w:tcPr>
          <w:p w14:paraId="3CC4FBDF">
            <w:pPr>
              <w:pStyle w:val="30"/>
              <w:keepNext w:val="0"/>
              <w:keepLines w:val="0"/>
              <w:pageBreakBefore w:val="0"/>
              <w:widowControl w:val="0"/>
              <w:kinsoku/>
              <w:wordWrap/>
              <w:overflowPunct/>
              <w:topLinePunct w:val="0"/>
              <w:autoSpaceDE/>
              <w:autoSpaceDN/>
              <w:bidi w:val="0"/>
              <w:adjustRightInd/>
              <w:snapToGrid/>
              <w:spacing w:line="288" w:lineRule="auto"/>
              <w:textAlignment w:val="auto"/>
              <w:rPr>
                <w:rFonts w:hint="default"/>
                <w:color w:val="auto"/>
                <w:highlight w:val="none"/>
                <w:lang w:val="zh-CN"/>
              </w:rPr>
            </w:pPr>
          </w:p>
        </w:tc>
        <w:tc>
          <w:tcPr>
            <w:tcW w:w="874" w:type="dxa"/>
            <w:vAlign w:val="center"/>
          </w:tcPr>
          <w:p w14:paraId="5F318EAC">
            <w:pPr>
              <w:pStyle w:val="30"/>
              <w:keepNext w:val="0"/>
              <w:keepLines w:val="0"/>
              <w:pageBreakBefore w:val="0"/>
              <w:widowControl w:val="0"/>
              <w:kinsoku/>
              <w:wordWrap/>
              <w:overflowPunct/>
              <w:topLinePunct w:val="0"/>
              <w:autoSpaceDE/>
              <w:autoSpaceDN/>
              <w:bidi w:val="0"/>
              <w:adjustRightInd/>
              <w:snapToGrid/>
              <w:spacing w:line="288" w:lineRule="auto"/>
              <w:ind w:firstLine="0" w:firstLineChars="0"/>
              <w:textAlignment w:val="auto"/>
              <w:rPr>
                <w:color w:val="auto"/>
                <w:highlight w:val="none"/>
              </w:rPr>
            </w:pPr>
            <w:r>
              <w:rPr>
                <w:color w:val="auto"/>
                <w:highlight w:val="none"/>
              </w:rPr>
              <w:t>4#</w:t>
            </w:r>
          </w:p>
        </w:tc>
        <w:tc>
          <w:tcPr>
            <w:tcW w:w="1363" w:type="dxa"/>
            <w:vMerge w:val="continue"/>
            <w:shd w:val="clear" w:color="auto" w:fill="auto"/>
            <w:vAlign w:val="center"/>
          </w:tcPr>
          <w:p w14:paraId="5ACCFA94">
            <w:pPr>
              <w:widowControl/>
              <w:snapToGrid w:val="0"/>
              <w:spacing w:line="240" w:lineRule="auto"/>
              <w:ind w:firstLine="0" w:firstLineChars="0"/>
              <w:jc w:val="center"/>
              <w:rPr>
                <w:rFonts w:hint="default" w:ascii="Times New Roman" w:hAnsi="Times New Roman" w:eastAsia="宋体" w:cs="Times New Roman"/>
                <w:color w:val="auto"/>
                <w:kern w:val="2"/>
                <w:sz w:val="21"/>
                <w:szCs w:val="21"/>
                <w:highlight w:val="none"/>
                <w:lang w:val="zh-CN" w:eastAsia="zh-CN" w:bidi="ar-SA"/>
              </w:rPr>
            </w:pPr>
          </w:p>
        </w:tc>
        <w:tc>
          <w:tcPr>
            <w:tcW w:w="928" w:type="dxa"/>
            <w:vAlign w:val="center"/>
          </w:tcPr>
          <w:p w14:paraId="613AA740">
            <w:pPr>
              <w:widowControl/>
              <w:snapToGrid w:val="0"/>
              <w:spacing w:line="240" w:lineRule="auto"/>
              <w:ind w:firstLine="0" w:firstLineChars="0"/>
              <w:jc w:val="center"/>
              <w:rPr>
                <w:rFonts w:hint="eastAsia"/>
                <w:color w:val="auto"/>
                <w:highlight w:val="none"/>
                <w:lang w:val="zh-CN"/>
              </w:rPr>
            </w:pPr>
            <w:r>
              <w:rPr>
                <w:rFonts w:hint="eastAsia" w:ascii="Times New Roman" w:hAnsi="Times New Roman" w:eastAsia="宋体" w:cs="Times New Roman"/>
                <w:color w:val="auto"/>
                <w:kern w:val="0"/>
                <w:sz w:val="21"/>
                <w:szCs w:val="21"/>
                <w:highlight w:val="none"/>
              </w:rPr>
              <w:t>地下水型</w:t>
            </w:r>
          </w:p>
        </w:tc>
        <w:tc>
          <w:tcPr>
            <w:tcW w:w="845" w:type="dxa"/>
            <w:vMerge w:val="continue"/>
            <w:vAlign w:val="center"/>
          </w:tcPr>
          <w:p w14:paraId="13E1FCA5">
            <w:pPr>
              <w:pStyle w:val="30"/>
              <w:keepNext w:val="0"/>
              <w:keepLines w:val="0"/>
              <w:pageBreakBefore w:val="0"/>
              <w:widowControl w:val="0"/>
              <w:kinsoku/>
              <w:wordWrap/>
              <w:overflowPunct/>
              <w:topLinePunct w:val="0"/>
              <w:autoSpaceDE/>
              <w:autoSpaceDN/>
              <w:bidi w:val="0"/>
              <w:adjustRightInd/>
              <w:snapToGrid/>
              <w:spacing w:line="288" w:lineRule="auto"/>
              <w:ind w:firstLine="0" w:firstLineChars="0"/>
              <w:textAlignment w:val="auto"/>
              <w:rPr>
                <w:rFonts w:hint="eastAsia"/>
                <w:color w:val="auto"/>
                <w:highlight w:val="none"/>
                <w:lang w:val="zh-CN"/>
              </w:rPr>
            </w:pPr>
          </w:p>
        </w:tc>
        <w:tc>
          <w:tcPr>
            <w:tcW w:w="1146" w:type="dxa"/>
            <w:vAlign w:val="center"/>
          </w:tcPr>
          <w:p w14:paraId="4F512A0E">
            <w:pPr>
              <w:widowControl/>
              <w:snapToGrid w:val="0"/>
              <w:spacing w:line="240" w:lineRule="auto"/>
              <w:ind w:firstLine="0" w:firstLineChars="0"/>
              <w:jc w:val="center"/>
              <w:rPr>
                <w:rFonts w:hint="default" w:ascii="Times New Roman" w:hAnsi="Times New Roman" w:cs="Times New Roman"/>
                <w:color w:val="auto"/>
                <w:highlight w:val="none"/>
                <w:lang w:val="zh-CN"/>
              </w:rPr>
            </w:pPr>
            <w:r>
              <w:rPr>
                <w:rFonts w:hint="default" w:ascii="Times New Roman" w:hAnsi="Times New Roman" w:eastAsia="宋体" w:cs="Times New Roman"/>
                <w:color w:val="auto"/>
                <w:kern w:val="0"/>
                <w:sz w:val="21"/>
                <w:szCs w:val="21"/>
                <w:highlight w:val="none"/>
                <w:lang w:val="en-US" w:eastAsia="zh-CN"/>
              </w:rPr>
              <w:t>127°42'09.6923"</w:t>
            </w:r>
          </w:p>
        </w:tc>
        <w:tc>
          <w:tcPr>
            <w:tcW w:w="954" w:type="dxa"/>
            <w:vAlign w:val="center"/>
          </w:tcPr>
          <w:p w14:paraId="16010E25">
            <w:pPr>
              <w:widowControl/>
              <w:snapToGrid w:val="0"/>
              <w:spacing w:line="240" w:lineRule="auto"/>
              <w:ind w:firstLine="0" w:firstLineChars="0"/>
              <w:jc w:val="center"/>
              <w:rPr>
                <w:rFonts w:hint="default" w:ascii="Times New Roman" w:hAnsi="Times New Roman" w:cs="Times New Roman"/>
                <w:color w:val="auto"/>
                <w:highlight w:val="none"/>
                <w:lang w:val="zh-CN"/>
              </w:rPr>
            </w:pPr>
            <w:r>
              <w:rPr>
                <w:rFonts w:hint="default" w:ascii="Times New Roman" w:hAnsi="Times New Roman" w:eastAsia="宋体" w:cs="Times New Roman"/>
                <w:color w:val="auto"/>
                <w:kern w:val="0"/>
                <w:sz w:val="21"/>
                <w:szCs w:val="21"/>
                <w:highlight w:val="none"/>
                <w:lang w:val="en-US" w:eastAsia="zh-CN"/>
              </w:rPr>
              <w:t>46°43'17.5452"</w:t>
            </w:r>
          </w:p>
        </w:tc>
        <w:tc>
          <w:tcPr>
            <w:tcW w:w="941" w:type="dxa"/>
            <w:vMerge w:val="continue"/>
            <w:vAlign w:val="center"/>
          </w:tcPr>
          <w:p w14:paraId="1DF69B5D">
            <w:pPr>
              <w:pStyle w:val="30"/>
              <w:keepNext w:val="0"/>
              <w:keepLines w:val="0"/>
              <w:pageBreakBefore w:val="0"/>
              <w:widowControl w:val="0"/>
              <w:kinsoku/>
              <w:wordWrap/>
              <w:overflowPunct/>
              <w:topLinePunct w:val="0"/>
              <w:autoSpaceDE/>
              <w:autoSpaceDN/>
              <w:bidi w:val="0"/>
              <w:adjustRightInd/>
              <w:snapToGrid/>
              <w:spacing w:line="288" w:lineRule="auto"/>
              <w:ind w:firstLine="0" w:firstLineChars="0"/>
              <w:textAlignment w:val="auto"/>
              <w:rPr>
                <w:rFonts w:hint="eastAsia"/>
                <w:color w:val="auto"/>
                <w:highlight w:val="none"/>
                <w:lang w:val="zh-CN"/>
              </w:rPr>
            </w:pPr>
          </w:p>
        </w:tc>
        <w:tc>
          <w:tcPr>
            <w:tcW w:w="1023" w:type="dxa"/>
            <w:vMerge w:val="continue"/>
            <w:vAlign w:val="center"/>
          </w:tcPr>
          <w:p w14:paraId="556E2D73">
            <w:pPr>
              <w:pStyle w:val="30"/>
              <w:keepNext w:val="0"/>
              <w:keepLines w:val="0"/>
              <w:pageBreakBefore w:val="0"/>
              <w:widowControl w:val="0"/>
              <w:kinsoku/>
              <w:wordWrap/>
              <w:overflowPunct/>
              <w:topLinePunct w:val="0"/>
              <w:autoSpaceDE/>
              <w:autoSpaceDN/>
              <w:bidi w:val="0"/>
              <w:adjustRightInd/>
              <w:snapToGrid/>
              <w:spacing w:line="288" w:lineRule="auto"/>
              <w:ind w:firstLine="0" w:firstLineChars="0"/>
              <w:textAlignment w:val="auto"/>
              <w:rPr>
                <w:rFonts w:hint="eastAsia"/>
                <w:color w:val="auto"/>
                <w:highlight w:val="none"/>
                <w:lang w:val="zh-CN"/>
              </w:rPr>
            </w:pPr>
          </w:p>
        </w:tc>
        <w:tc>
          <w:tcPr>
            <w:tcW w:w="2850" w:type="dxa"/>
            <w:vMerge w:val="continue"/>
            <w:vAlign w:val="center"/>
          </w:tcPr>
          <w:p w14:paraId="50CF99F3">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zh-CN"/>
              </w:rPr>
            </w:pPr>
          </w:p>
        </w:tc>
        <w:tc>
          <w:tcPr>
            <w:tcW w:w="722" w:type="dxa"/>
            <w:vMerge w:val="continue"/>
            <w:vAlign w:val="center"/>
          </w:tcPr>
          <w:p w14:paraId="51975F1A">
            <w:pPr>
              <w:widowControl/>
              <w:snapToGrid w:val="0"/>
              <w:spacing w:line="240" w:lineRule="auto"/>
              <w:ind w:firstLine="0" w:firstLineChars="0"/>
              <w:jc w:val="center"/>
              <w:rPr>
                <w:rFonts w:hint="eastAsia"/>
                <w:color w:val="auto"/>
                <w:highlight w:val="none"/>
                <w:lang w:val="zh-CN"/>
              </w:rPr>
            </w:pPr>
          </w:p>
        </w:tc>
        <w:tc>
          <w:tcPr>
            <w:tcW w:w="1052" w:type="dxa"/>
            <w:vMerge w:val="continue"/>
            <w:vAlign w:val="center"/>
          </w:tcPr>
          <w:p w14:paraId="2AB201BD">
            <w:pPr>
              <w:widowControl/>
              <w:snapToGrid w:val="0"/>
              <w:spacing w:line="240" w:lineRule="auto"/>
              <w:ind w:firstLine="0" w:firstLineChars="0"/>
              <w:jc w:val="center"/>
              <w:rPr>
                <w:rFonts w:hint="eastAsia"/>
                <w:color w:val="auto"/>
                <w:highlight w:val="none"/>
                <w:lang w:val="zh-CN"/>
              </w:rPr>
            </w:pPr>
          </w:p>
        </w:tc>
      </w:tr>
      <w:tr w14:paraId="6AB661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00" w:type="dxa"/>
            <w:vMerge w:val="continue"/>
            <w:vAlign w:val="center"/>
          </w:tcPr>
          <w:p w14:paraId="00C876BC">
            <w:pPr>
              <w:pStyle w:val="30"/>
              <w:keepNext w:val="0"/>
              <w:keepLines w:val="0"/>
              <w:pageBreakBefore w:val="0"/>
              <w:widowControl w:val="0"/>
              <w:kinsoku/>
              <w:wordWrap/>
              <w:overflowPunct/>
              <w:topLinePunct w:val="0"/>
              <w:autoSpaceDE/>
              <w:autoSpaceDN/>
              <w:bidi w:val="0"/>
              <w:adjustRightInd/>
              <w:snapToGrid/>
              <w:spacing w:line="288" w:lineRule="auto"/>
              <w:textAlignment w:val="auto"/>
              <w:rPr>
                <w:rFonts w:hint="default"/>
                <w:color w:val="auto"/>
                <w:highlight w:val="none"/>
                <w:lang w:val="zh-CN"/>
              </w:rPr>
            </w:pPr>
          </w:p>
        </w:tc>
        <w:tc>
          <w:tcPr>
            <w:tcW w:w="874" w:type="dxa"/>
            <w:vAlign w:val="center"/>
          </w:tcPr>
          <w:p w14:paraId="7B9A60E3">
            <w:pPr>
              <w:pStyle w:val="30"/>
              <w:keepNext w:val="0"/>
              <w:keepLines w:val="0"/>
              <w:pageBreakBefore w:val="0"/>
              <w:widowControl w:val="0"/>
              <w:kinsoku/>
              <w:wordWrap/>
              <w:overflowPunct/>
              <w:topLinePunct w:val="0"/>
              <w:autoSpaceDE/>
              <w:autoSpaceDN/>
              <w:bidi w:val="0"/>
              <w:adjustRightInd/>
              <w:snapToGrid/>
              <w:spacing w:line="288" w:lineRule="auto"/>
              <w:ind w:firstLine="0" w:firstLineChars="0"/>
              <w:textAlignment w:val="auto"/>
              <w:rPr>
                <w:rFonts w:hint="default"/>
                <w:color w:val="auto"/>
                <w:highlight w:val="none"/>
                <w:lang w:val="zh-CN"/>
              </w:rPr>
            </w:pPr>
            <w:r>
              <w:rPr>
                <w:color w:val="auto"/>
                <w:highlight w:val="none"/>
              </w:rPr>
              <w:t>5#</w:t>
            </w:r>
          </w:p>
        </w:tc>
        <w:tc>
          <w:tcPr>
            <w:tcW w:w="1363" w:type="dxa"/>
            <w:vMerge w:val="continue"/>
            <w:shd w:val="clear" w:color="auto" w:fill="auto"/>
            <w:vAlign w:val="center"/>
          </w:tcPr>
          <w:p w14:paraId="15828DB0">
            <w:pPr>
              <w:widowControl/>
              <w:snapToGrid w:val="0"/>
              <w:spacing w:line="240" w:lineRule="auto"/>
              <w:ind w:firstLine="0" w:firstLineChars="0"/>
              <w:jc w:val="center"/>
              <w:rPr>
                <w:rFonts w:hint="default" w:ascii="Times New Roman" w:hAnsi="Times New Roman" w:eastAsia="宋体" w:cs="Times New Roman"/>
                <w:color w:val="auto"/>
                <w:kern w:val="2"/>
                <w:sz w:val="21"/>
                <w:szCs w:val="21"/>
                <w:highlight w:val="none"/>
                <w:lang w:val="zh-CN" w:eastAsia="zh-CN" w:bidi="ar-SA"/>
              </w:rPr>
            </w:pPr>
          </w:p>
        </w:tc>
        <w:tc>
          <w:tcPr>
            <w:tcW w:w="928" w:type="dxa"/>
            <w:vAlign w:val="center"/>
          </w:tcPr>
          <w:p w14:paraId="1684688F">
            <w:pPr>
              <w:widowControl/>
              <w:snapToGrid w:val="0"/>
              <w:spacing w:line="240" w:lineRule="auto"/>
              <w:ind w:firstLine="0" w:firstLineChars="0"/>
              <w:jc w:val="center"/>
              <w:rPr>
                <w:rFonts w:hint="default"/>
                <w:color w:val="auto"/>
                <w:highlight w:val="none"/>
                <w:lang w:val="zh-CN"/>
              </w:rPr>
            </w:pPr>
            <w:r>
              <w:rPr>
                <w:rFonts w:hint="eastAsia" w:ascii="Times New Roman" w:hAnsi="Times New Roman" w:eastAsia="宋体" w:cs="Times New Roman"/>
                <w:color w:val="auto"/>
                <w:kern w:val="0"/>
                <w:sz w:val="21"/>
                <w:szCs w:val="21"/>
                <w:highlight w:val="none"/>
              </w:rPr>
              <w:t>地下水型</w:t>
            </w:r>
          </w:p>
        </w:tc>
        <w:tc>
          <w:tcPr>
            <w:tcW w:w="845" w:type="dxa"/>
            <w:vMerge w:val="continue"/>
            <w:vAlign w:val="center"/>
          </w:tcPr>
          <w:p w14:paraId="68B1C1CB">
            <w:pPr>
              <w:pStyle w:val="30"/>
              <w:keepNext w:val="0"/>
              <w:keepLines w:val="0"/>
              <w:pageBreakBefore w:val="0"/>
              <w:widowControl w:val="0"/>
              <w:kinsoku/>
              <w:wordWrap/>
              <w:overflowPunct/>
              <w:topLinePunct w:val="0"/>
              <w:autoSpaceDE/>
              <w:autoSpaceDN/>
              <w:bidi w:val="0"/>
              <w:adjustRightInd/>
              <w:snapToGrid/>
              <w:spacing w:line="288" w:lineRule="auto"/>
              <w:ind w:firstLine="0" w:firstLineChars="0"/>
              <w:textAlignment w:val="auto"/>
              <w:rPr>
                <w:rFonts w:hint="default"/>
                <w:color w:val="auto"/>
                <w:highlight w:val="none"/>
                <w:lang w:val="zh-CN"/>
              </w:rPr>
            </w:pPr>
          </w:p>
        </w:tc>
        <w:tc>
          <w:tcPr>
            <w:tcW w:w="1146" w:type="dxa"/>
            <w:vAlign w:val="center"/>
          </w:tcPr>
          <w:p w14:paraId="3ED61A05">
            <w:pPr>
              <w:widowControl/>
              <w:snapToGrid w:val="0"/>
              <w:spacing w:line="240" w:lineRule="auto"/>
              <w:ind w:firstLine="0" w:firstLineChars="0"/>
              <w:jc w:val="center"/>
              <w:rPr>
                <w:rFonts w:hint="default" w:ascii="Times New Roman" w:hAnsi="Times New Roman" w:cs="Times New Roman"/>
                <w:color w:val="auto"/>
                <w:highlight w:val="none"/>
                <w:lang w:val="zh-CN"/>
              </w:rPr>
            </w:pPr>
            <w:r>
              <w:rPr>
                <w:rFonts w:hint="default" w:ascii="Times New Roman" w:hAnsi="Times New Roman" w:eastAsia="宋体" w:cs="Times New Roman"/>
                <w:color w:val="auto"/>
                <w:kern w:val="0"/>
                <w:sz w:val="21"/>
                <w:szCs w:val="21"/>
                <w:highlight w:val="none"/>
                <w:lang w:val="en-US" w:eastAsia="zh-CN"/>
              </w:rPr>
              <w:t>127°41'45.1806"</w:t>
            </w:r>
          </w:p>
        </w:tc>
        <w:tc>
          <w:tcPr>
            <w:tcW w:w="954" w:type="dxa"/>
            <w:vAlign w:val="center"/>
          </w:tcPr>
          <w:p w14:paraId="5E93D1AA">
            <w:pPr>
              <w:widowControl/>
              <w:snapToGrid w:val="0"/>
              <w:spacing w:line="240" w:lineRule="auto"/>
              <w:ind w:firstLine="0" w:firstLineChars="0"/>
              <w:jc w:val="center"/>
              <w:rPr>
                <w:rFonts w:hint="default" w:ascii="Times New Roman" w:hAnsi="Times New Roman" w:cs="Times New Roman"/>
                <w:color w:val="auto"/>
                <w:highlight w:val="none"/>
                <w:lang w:val="zh-CN"/>
              </w:rPr>
            </w:pPr>
            <w:r>
              <w:rPr>
                <w:rFonts w:hint="default" w:ascii="Times New Roman" w:hAnsi="Times New Roman" w:eastAsia="宋体" w:cs="Times New Roman"/>
                <w:color w:val="auto"/>
                <w:kern w:val="0"/>
                <w:sz w:val="21"/>
                <w:szCs w:val="21"/>
                <w:highlight w:val="none"/>
                <w:lang w:val="en-US" w:eastAsia="zh-CN"/>
              </w:rPr>
              <w:t>46°43'03.4383"</w:t>
            </w:r>
          </w:p>
        </w:tc>
        <w:tc>
          <w:tcPr>
            <w:tcW w:w="941" w:type="dxa"/>
            <w:vMerge w:val="continue"/>
            <w:vAlign w:val="center"/>
          </w:tcPr>
          <w:p w14:paraId="3B39AFAF">
            <w:pPr>
              <w:pStyle w:val="30"/>
              <w:keepNext w:val="0"/>
              <w:keepLines w:val="0"/>
              <w:pageBreakBefore w:val="0"/>
              <w:widowControl w:val="0"/>
              <w:kinsoku/>
              <w:wordWrap/>
              <w:overflowPunct/>
              <w:topLinePunct w:val="0"/>
              <w:autoSpaceDE/>
              <w:autoSpaceDN/>
              <w:bidi w:val="0"/>
              <w:adjustRightInd/>
              <w:snapToGrid/>
              <w:spacing w:line="288" w:lineRule="auto"/>
              <w:ind w:firstLine="0" w:firstLineChars="0"/>
              <w:textAlignment w:val="auto"/>
              <w:rPr>
                <w:rFonts w:hint="default"/>
                <w:color w:val="auto"/>
                <w:highlight w:val="none"/>
                <w:lang w:val="zh-CN"/>
              </w:rPr>
            </w:pPr>
          </w:p>
        </w:tc>
        <w:tc>
          <w:tcPr>
            <w:tcW w:w="1023" w:type="dxa"/>
            <w:vMerge w:val="continue"/>
            <w:vAlign w:val="center"/>
          </w:tcPr>
          <w:p w14:paraId="3A660BEA">
            <w:pPr>
              <w:pStyle w:val="30"/>
              <w:keepNext w:val="0"/>
              <w:keepLines w:val="0"/>
              <w:pageBreakBefore w:val="0"/>
              <w:widowControl w:val="0"/>
              <w:kinsoku/>
              <w:wordWrap/>
              <w:overflowPunct/>
              <w:topLinePunct w:val="0"/>
              <w:autoSpaceDE/>
              <w:autoSpaceDN/>
              <w:bidi w:val="0"/>
              <w:adjustRightInd/>
              <w:snapToGrid/>
              <w:spacing w:line="288" w:lineRule="auto"/>
              <w:ind w:firstLine="0" w:firstLineChars="0"/>
              <w:textAlignment w:val="auto"/>
              <w:rPr>
                <w:rFonts w:hint="default"/>
                <w:color w:val="auto"/>
                <w:highlight w:val="none"/>
                <w:lang w:val="zh-CN"/>
              </w:rPr>
            </w:pPr>
          </w:p>
        </w:tc>
        <w:tc>
          <w:tcPr>
            <w:tcW w:w="2850" w:type="dxa"/>
            <w:vMerge w:val="continue"/>
            <w:vAlign w:val="center"/>
          </w:tcPr>
          <w:p w14:paraId="5ABD36D4">
            <w:pPr>
              <w:widowControl/>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zh-CN"/>
              </w:rPr>
            </w:pPr>
          </w:p>
        </w:tc>
        <w:tc>
          <w:tcPr>
            <w:tcW w:w="722" w:type="dxa"/>
            <w:vMerge w:val="continue"/>
            <w:vAlign w:val="center"/>
          </w:tcPr>
          <w:p w14:paraId="700243B6">
            <w:pPr>
              <w:widowControl/>
              <w:snapToGrid w:val="0"/>
              <w:spacing w:line="240" w:lineRule="auto"/>
              <w:ind w:firstLine="0" w:firstLineChars="0"/>
              <w:jc w:val="center"/>
              <w:rPr>
                <w:rFonts w:hint="default"/>
                <w:color w:val="auto"/>
                <w:highlight w:val="none"/>
                <w:lang w:val="zh-CN"/>
              </w:rPr>
            </w:pPr>
          </w:p>
        </w:tc>
        <w:tc>
          <w:tcPr>
            <w:tcW w:w="1052" w:type="dxa"/>
            <w:vMerge w:val="continue"/>
            <w:vAlign w:val="center"/>
          </w:tcPr>
          <w:p w14:paraId="7328F785">
            <w:pPr>
              <w:widowControl/>
              <w:snapToGrid w:val="0"/>
              <w:spacing w:line="240" w:lineRule="auto"/>
              <w:ind w:firstLine="0" w:firstLineChars="0"/>
              <w:jc w:val="center"/>
              <w:rPr>
                <w:rFonts w:hint="default"/>
                <w:color w:val="auto"/>
                <w:highlight w:val="none"/>
                <w:lang w:val="zh-CN"/>
              </w:rPr>
            </w:pPr>
          </w:p>
        </w:tc>
      </w:tr>
      <w:tr w14:paraId="2CC342A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00" w:type="dxa"/>
            <w:vMerge w:val="restart"/>
            <w:vAlign w:val="center"/>
          </w:tcPr>
          <w:p w14:paraId="41F2B724">
            <w:pPr>
              <w:widowControl/>
              <w:spacing w:line="240" w:lineRule="auto"/>
              <w:ind w:firstLine="0" w:firstLineChars="0"/>
              <w:jc w:val="center"/>
              <w:textAlignment w:val="center"/>
              <w:rPr>
                <w:rFonts w:hint="default"/>
                <w:color w:val="auto"/>
                <w:highlight w:val="none"/>
                <w:lang w:val="zh-CN"/>
              </w:rPr>
            </w:pPr>
            <w:r>
              <w:rPr>
                <w:rFonts w:hint="eastAsia" w:ascii="Times New Roman" w:hAnsi="Times New Roman" w:eastAsia="宋体" w:cs="Times New Roman"/>
                <w:color w:val="auto"/>
                <w:kern w:val="0"/>
                <w:sz w:val="21"/>
                <w:szCs w:val="21"/>
                <w:highlight w:val="none"/>
                <w:lang w:val="en-US" w:eastAsia="zh-CN" w:bidi="ar"/>
              </w:rPr>
              <w:t>绥化市庆安县柳河镇新强村饮用水水源地</w:t>
            </w:r>
          </w:p>
        </w:tc>
        <w:tc>
          <w:tcPr>
            <w:tcW w:w="874" w:type="dxa"/>
            <w:shd w:val="clear" w:color="auto" w:fill="auto"/>
            <w:vAlign w:val="center"/>
          </w:tcPr>
          <w:p w14:paraId="760E5531">
            <w:pPr>
              <w:pStyle w:val="30"/>
              <w:keepNext w:val="0"/>
              <w:keepLines w:val="0"/>
              <w:pageBreakBefore w:val="0"/>
              <w:widowControl w:val="0"/>
              <w:kinsoku/>
              <w:wordWrap/>
              <w:overflowPunct/>
              <w:topLinePunct w:val="0"/>
              <w:autoSpaceDE/>
              <w:autoSpaceDN/>
              <w:bidi w:val="0"/>
              <w:adjustRightInd/>
              <w:snapToGrid/>
              <w:spacing w:line="288" w:lineRule="auto"/>
              <w:ind w:firstLine="0" w:firstLineChars="0"/>
              <w:textAlignment w:val="auto"/>
              <w:rPr>
                <w:rFonts w:hint="default" w:ascii="Times New Roman" w:hAnsi="Times New Roman" w:eastAsia="宋体" w:cs="Times New Roman"/>
                <w:color w:val="auto"/>
                <w:kern w:val="2"/>
                <w:sz w:val="21"/>
                <w:szCs w:val="21"/>
                <w:highlight w:val="none"/>
                <w:lang w:val="zh-CN" w:eastAsia="zh-CN" w:bidi="ar-SA"/>
              </w:rPr>
            </w:pPr>
            <w:r>
              <w:rPr>
                <w:color w:val="auto"/>
                <w:highlight w:val="none"/>
              </w:rPr>
              <w:t>1#</w:t>
            </w:r>
          </w:p>
        </w:tc>
        <w:tc>
          <w:tcPr>
            <w:tcW w:w="1363" w:type="dxa"/>
            <w:vMerge w:val="restart"/>
            <w:shd w:val="clear" w:color="auto" w:fill="auto"/>
            <w:vAlign w:val="center"/>
          </w:tcPr>
          <w:p w14:paraId="7E4796D2">
            <w:pPr>
              <w:widowControl/>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zh-CN" w:eastAsia="zh-CN" w:bidi="ar-SA"/>
              </w:rPr>
            </w:pPr>
            <w:r>
              <w:rPr>
                <w:rFonts w:hint="eastAsia"/>
                <w:color w:val="auto"/>
                <w:spacing w:val="-2"/>
                <w:sz w:val="21"/>
                <w:szCs w:val="21"/>
                <w:highlight w:val="none"/>
              </w:rPr>
              <w:t>柳河镇内新强村、新光村、新明村、新清村、新升村，共计5个行政村47个自然屯</w:t>
            </w:r>
          </w:p>
        </w:tc>
        <w:tc>
          <w:tcPr>
            <w:tcW w:w="928" w:type="dxa"/>
            <w:vAlign w:val="center"/>
          </w:tcPr>
          <w:p w14:paraId="4C8C46AD">
            <w:pPr>
              <w:widowControl/>
              <w:snapToGrid w:val="0"/>
              <w:spacing w:line="240" w:lineRule="auto"/>
              <w:ind w:firstLine="0" w:firstLineChars="0"/>
              <w:jc w:val="center"/>
              <w:rPr>
                <w:rFonts w:hint="eastAsia"/>
                <w:color w:val="auto"/>
                <w:highlight w:val="none"/>
                <w:lang w:val="zh-CN"/>
              </w:rPr>
            </w:pPr>
            <w:r>
              <w:rPr>
                <w:rFonts w:hint="eastAsia" w:ascii="Times New Roman" w:hAnsi="Times New Roman" w:eastAsia="宋体" w:cs="Times New Roman"/>
                <w:color w:val="auto"/>
                <w:kern w:val="0"/>
                <w:sz w:val="21"/>
                <w:szCs w:val="21"/>
                <w:highlight w:val="none"/>
              </w:rPr>
              <w:t>地下水型</w:t>
            </w:r>
          </w:p>
        </w:tc>
        <w:tc>
          <w:tcPr>
            <w:tcW w:w="845" w:type="dxa"/>
            <w:vMerge w:val="restart"/>
            <w:vAlign w:val="center"/>
          </w:tcPr>
          <w:p w14:paraId="348AAB83">
            <w:pPr>
              <w:pStyle w:val="30"/>
              <w:keepNext w:val="0"/>
              <w:keepLines w:val="0"/>
              <w:pageBreakBefore w:val="0"/>
              <w:widowControl w:val="0"/>
              <w:kinsoku/>
              <w:wordWrap/>
              <w:overflowPunct/>
              <w:topLinePunct w:val="0"/>
              <w:autoSpaceDE/>
              <w:autoSpaceDN/>
              <w:bidi w:val="0"/>
              <w:adjustRightInd/>
              <w:snapToGrid/>
              <w:spacing w:line="288" w:lineRule="auto"/>
              <w:ind w:firstLine="0" w:firstLineChars="0"/>
              <w:textAlignment w:val="auto"/>
              <w:rPr>
                <w:rFonts w:hint="eastAsia"/>
                <w:color w:val="auto"/>
                <w:highlight w:val="none"/>
                <w:lang w:val="zh-CN"/>
              </w:rPr>
            </w:pPr>
            <w:r>
              <w:rPr>
                <w:rFonts w:hint="eastAsia" w:cs="Times New Roman"/>
                <w:color w:val="auto"/>
                <w:kern w:val="0"/>
                <w:sz w:val="21"/>
                <w:szCs w:val="21"/>
                <w:highlight w:val="none"/>
                <w:lang w:val="en-US" w:eastAsia="zh-CN"/>
              </w:rPr>
              <w:t>2024年</w:t>
            </w:r>
          </w:p>
        </w:tc>
        <w:tc>
          <w:tcPr>
            <w:tcW w:w="1146" w:type="dxa"/>
            <w:vAlign w:val="center"/>
          </w:tcPr>
          <w:p w14:paraId="0B12A558">
            <w:pPr>
              <w:widowControl/>
              <w:snapToGrid w:val="0"/>
              <w:spacing w:line="240" w:lineRule="auto"/>
              <w:ind w:firstLine="0" w:firstLineChars="0"/>
              <w:jc w:val="center"/>
              <w:rPr>
                <w:rFonts w:hint="default" w:ascii="Times New Roman" w:hAnsi="Times New Roman" w:cs="Times New Roman"/>
                <w:color w:val="auto"/>
                <w:highlight w:val="none"/>
                <w:lang w:val="zh-CN"/>
              </w:rPr>
            </w:pPr>
            <w:r>
              <w:rPr>
                <w:rFonts w:hint="default" w:ascii="Times New Roman" w:hAnsi="Times New Roman" w:eastAsia="宋体" w:cs="Times New Roman"/>
                <w:color w:val="auto"/>
                <w:kern w:val="0"/>
                <w:sz w:val="21"/>
                <w:szCs w:val="21"/>
                <w:highlight w:val="none"/>
                <w:lang w:val="en-US" w:eastAsia="zh-CN"/>
              </w:rPr>
              <w:t>127°36'20.0261"</w:t>
            </w:r>
          </w:p>
        </w:tc>
        <w:tc>
          <w:tcPr>
            <w:tcW w:w="954" w:type="dxa"/>
            <w:vAlign w:val="center"/>
          </w:tcPr>
          <w:p w14:paraId="2FB5A716">
            <w:pPr>
              <w:widowControl/>
              <w:snapToGrid w:val="0"/>
              <w:spacing w:line="240" w:lineRule="auto"/>
              <w:ind w:firstLine="0" w:firstLineChars="0"/>
              <w:jc w:val="center"/>
              <w:rPr>
                <w:rFonts w:hint="default" w:ascii="Times New Roman" w:hAnsi="Times New Roman" w:cs="Times New Roman"/>
                <w:color w:val="auto"/>
                <w:highlight w:val="none"/>
                <w:lang w:val="zh-CN"/>
              </w:rPr>
            </w:pPr>
            <w:r>
              <w:rPr>
                <w:rFonts w:hint="default" w:ascii="Times New Roman" w:hAnsi="Times New Roman" w:eastAsia="宋体" w:cs="Times New Roman"/>
                <w:color w:val="auto"/>
                <w:kern w:val="0"/>
                <w:sz w:val="21"/>
                <w:szCs w:val="21"/>
                <w:highlight w:val="none"/>
                <w:lang w:val="en-US" w:eastAsia="zh-CN"/>
              </w:rPr>
              <w:t>46°43'59.4195"</w:t>
            </w:r>
          </w:p>
        </w:tc>
        <w:tc>
          <w:tcPr>
            <w:tcW w:w="941" w:type="dxa"/>
            <w:vMerge w:val="restart"/>
            <w:vAlign w:val="center"/>
          </w:tcPr>
          <w:p w14:paraId="1ED5E91A">
            <w:pPr>
              <w:widowControl/>
              <w:spacing w:line="240" w:lineRule="auto"/>
              <w:ind w:firstLine="0" w:firstLineChars="0"/>
              <w:jc w:val="center"/>
              <w:textAlignment w:val="center"/>
              <w:rPr>
                <w:rFonts w:hint="eastAsia"/>
                <w:color w:val="auto"/>
                <w:highlight w:val="none"/>
                <w:lang w:val="zh-CN"/>
              </w:rPr>
            </w:pPr>
            <w:r>
              <w:rPr>
                <w:rFonts w:hint="eastAsia" w:cs="Times New Roman"/>
                <w:color w:val="auto"/>
                <w:kern w:val="0"/>
                <w:sz w:val="21"/>
                <w:szCs w:val="21"/>
                <w:highlight w:val="none"/>
                <w:lang w:val="en-US" w:eastAsia="zh-CN" w:bidi="ar"/>
              </w:rPr>
              <w:t>6097</w:t>
            </w:r>
            <w:r>
              <w:rPr>
                <w:rFonts w:hint="eastAsia" w:ascii="Times New Roman" w:hAnsi="Times New Roman" w:eastAsia="宋体" w:cs="Times New Roman"/>
                <w:color w:val="auto"/>
                <w:kern w:val="0"/>
                <w:sz w:val="21"/>
                <w:szCs w:val="21"/>
                <w:highlight w:val="none"/>
                <w:lang w:val="en-US" w:eastAsia="zh-CN" w:bidi="ar"/>
              </w:rPr>
              <w:t>人</w:t>
            </w:r>
          </w:p>
        </w:tc>
        <w:tc>
          <w:tcPr>
            <w:tcW w:w="1023" w:type="dxa"/>
            <w:vMerge w:val="restart"/>
            <w:vAlign w:val="center"/>
          </w:tcPr>
          <w:p w14:paraId="211A925E">
            <w:pPr>
              <w:widowControl/>
              <w:snapToGrid w:val="0"/>
              <w:spacing w:line="240" w:lineRule="auto"/>
              <w:ind w:firstLine="0" w:firstLineChars="0"/>
              <w:jc w:val="center"/>
              <w:rPr>
                <w:rFonts w:hint="eastAsia"/>
                <w:color w:val="auto"/>
                <w:highlight w:val="none"/>
                <w:lang w:val="zh-CN"/>
              </w:rPr>
            </w:pPr>
            <w:r>
              <w:rPr>
                <w:rFonts w:hint="eastAsia"/>
                <w:color w:val="auto"/>
                <w:sz w:val="21"/>
                <w:szCs w:val="21"/>
                <w:highlight w:val="none"/>
              </w:rPr>
              <w:t>机械曝气</w:t>
            </w:r>
            <w:r>
              <w:rPr>
                <w:rFonts w:hint="eastAsia"/>
                <w:color w:val="auto"/>
                <w:sz w:val="21"/>
                <w:szCs w:val="21"/>
                <w:highlight w:val="none"/>
                <w:lang w:eastAsia="zh-CN"/>
              </w:rPr>
              <w:t>、</w:t>
            </w:r>
            <w:r>
              <w:rPr>
                <w:rFonts w:hint="eastAsia"/>
                <w:color w:val="auto"/>
                <w:sz w:val="21"/>
                <w:szCs w:val="21"/>
                <w:highlight w:val="none"/>
              </w:rPr>
              <w:t>锰砂过滤</w:t>
            </w:r>
            <w:r>
              <w:rPr>
                <w:rFonts w:hint="eastAsia"/>
                <w:color w:val="auto"/>
                <w:sz w:val="21"/>
                <w:szCs w:val="21"/>
                <w:highlight w:val="none"/>
                <w:lang w:eastAsia="zh-CN"/>
              </w:rPr>
              <w:t>、</w:t>
            </w:r>
            <w:r>
              <w:rPr>
                <w:rFonts w:hint="eastAsia"/>
                <w:color w:val="auto"/>
                <w:sz w:val="21"/>
                <w:szCs w:val="21"/>
                <w:highlight w:val="none"/>
              </w:rPr>
              <w:t>次氯酸钠消毒</w:t>
            </w:r>
          </w:p>
        </w:tc>
        <w:tc>
          <w:tcPr>
            <w:tcW w:w="2850" w:type="dxa"/>
            <w:vMerge w:val="restart"/>
            <w:vAlign w:val="center"/>
          </w:tcPr>
          <w:p w14:paraId="120F7BAD">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zh-CN"/>
              </w:rPr>
            </w:pPr>
            <w:r>
              <w:rPr>
                <w:rFonts w:hint="eastAsia" w:cs="Times New Roman"/>
                <w:color w:val="auto"/>
                <w:kern w:val="0"/>
                <w:sz w:val="21"/>
                <w:szCs w:val="21"/>
                <w:highlight w:val="none"/>
                <w:lang w:val="en-US" w:eastAsia="zh-CN"/>
              </w:rPr>
              <w:t>5</w:t>
            </w:r>
            <w:r>
              <w:rPr>
                <w:rFonts w:hint="eastAsia" w:ascii="Times New Roman" w:hAnsi="Times New Roman" w:eastAsia="宋体" w:cs="Times New Roman"/>
                <w:color w:val="auto"/>
                <w:kern w:val="0"/>
                <w:sz w:val="21"/>
                <w:szCs w:val="21"/>
                <w:highlight w:val="none"/>
              </w:rPr>
              <w:t>眼井，为</w:t>
            </w:r>
            <w:r>
              <w:rPr>
                <w:rFonts w:hint="eastAsia" w:ascii="Times New Roman" w:hAnsi="Times New Roman" w:cs="Times New Roman"/>
                <w:color w:val="auto"/>
                <w:sz w:val="21"/>
                <w:szCs w:val="21"/>
                <w:highlight w:val="none"/>
                <w:lang w:eastAsia="zh-CN"/>
              </w:rPr>
              <w:t>孔孔隙</w:t>
            </w:r>
            <w:r>
              <w:rPr>
                <w:rFonts w:hint="eastAsia" w:ascii="Times New Roman" w:hAnsi="Times New Roman" w:eastAsia="宋体" w:cs="Times New Roman"/>
                <w:color w:val="auto"/>
                <w:kern w:val="0"/>
                <w:sz w:val="21"/>
                <w:szCs w:val="21"/>
                <w:highlight w:val="none"/>
              </w:rPr>
              <w:t>承压</w:t>
            </w:r>
            <w:r>
              <w:rPr>
                <w:rFonts w:hint="eastAsia" w:ascii="Times New Roman" w:hAnsi="Times New Roman" w:cs="Times New Roman"/>
                <w:color w:val="auto"/>
                <w:sz w:val="21"/>
                <w:szCs w:val="21"/>
                <w:highlight w:val="none"/>
                <w:lang w:eastAsia="zh-CN"/>
              </w:rPr>
              <w:t>水、孔隙—裂隙</w:t>
            </w:r>
            <w:r>
              <w:rPr>
                <w:rFonts w:hint="eastAsia" w:ascii="Times New Roman" w:hAnsi="Times New Roman" w:eastAsia="宋体" w:cs="Times New Roman"/>
                <w:color w:val="auto"/>
                <w:kern w:val="0"/>
                <w:sz w:val="21"/>
                <w:szCs w:val="21"/>
                <w:highlight w:val="none"/>
              </w:rPr>
              <w:t>水承压水型，</w:t>
            </w:r>
            <w:r>
              <w:rPr>
                <w:rFonts w:hint="eastAsia" w:ascii="Times New Roman" w:hAnsi="Times New Roman" w:eastAsia="宋体" w:cs="Times New Roman"/>
                <w:color w:val="auto"/>
                <w:sz w:val="21"/>
                <w:szCs w:val="21"/>
                <w:highlight w:val="none"/>
                <w:lang w:val="en-US" w:eastAsia="zh-CN"/>
              </w:rPr>
              <w:t>一级保护区范围分别以5眼取水井为圆心，30米为半径的圆形区域，一级保护区总面积为</w:t>
            </w:r>
            <w:r>
              <w:rPr>
                <w:rFonts w:hint="eastAsia"/>
                <w:color w:val="auto"/>
                <w:sz w:val="21"/>
                <w:szCs w:val="21"/>
                <w:highlight w:val="none"/>
                <w:lang w:val="en-US" w:eastAsia="zh-CN"/>
              </w:rPr>
              <w:t>14130</w:t>
            </w:r>
            <w:r>
              <w:rPr>
                <w:rFonts w:hint="eastAsia"/>
                <w:color w:val="auto"/>
                <w:sz w:val="21"/>
                <w:szCs w:val="21"/>
                <w:highlight w:val="none"/>
              </w:rPr>
              <w:t>平方米</w:t>
            </w:r>
            <w:r>
              <w:rPr>
                <w:rFonts w:hint="eastAsia" w:ascii="Times New Roman" w:hAnsi="Times New Roman" w:eastAsia="宋体" w:cs="Times New Roman"/>
                <w:color w:val="auto"/>
                <w:kern w:val="0"/>
                <w:sz w:val="21"/>
                <w:szCs w:val="21"/>
                <w:highlight w:val="none"/>
              </w:rPr>
              <w:t>。</w:t>
            </w:r>
          </w:p>
        </w:tc>
        <w:tc>
          <w:tcPr>
            <w:tcW w:w="722" w:type="dxa"/>
            <w:vMerge w:val="restart"/>
            <w:vAlign w:val="center"/>
          </w:tcPr>
          <w:p w14:paraId="0DA90D23">
            <w:pPr>
              <w:widowControl/>
              <w:snapToGrid w:val="0"/>
              <w:spacing w:line="240" w:lineRule="auto"/>
              <w:ind w:firstLine="0" w:firstLineChars="0"/>
              <w:jc w:val="center"/>
              <w:rPr>
                <w:rFonts w:hint="eastAsia"/>
                <w:color w:val="auto"/>
                <w:highlight w:val="none"/>
                <w:lang w:val="zh-CN"/>
              </w:rPr>
            </w:pPr>
            <w:r>
              <w:rPr>
                <w:rFonts w:hint="eastAsia" w:ascii="Times New Roman" w:hAnsi="Times New Roman" w:eastAsia="宋体" w:cs="Times New Roman"/>
                <w:color w:val="auto"/>
                <w:kern w:val="0"/>
                <w:sz w:val="21"/>
                <w:szCs w:val="21"/>
                <w:highlight w:val="none"/>
              </w:rPr>
              <w:t>无</w:t>
            </w:r>
          </w:p>
        </w:tc>
        <w:tc>
          <w:tcPr>
            <w:tcW w:w="1052" w:type="dxa"/>
            <w:vMerge w:val="restart"/>
            <w:vAlign w:val="center"/>
          </w:tcPr>
          <w:p w14:paraId="698F6F85">
            <w:pPr>
              <w:widowControl/>
              <w:snapToGrid w:val="0"/>
              <w:spacing w:line="240" w:lineRule="auto"/>
              <w:ind w:firstLine="0" w:firstLineChars="0"/>
              <w:jc w:val="center"/>
              <w:rPr>
                <w:rFonts w:hint="eastAsia"/>
                <w:color w:val="auto"/>
                <w:highlight w:val="none"/>
                <w:lang w:val="zh-CN"/>
              </w:rPr>
            </w:pPr>
            <w:r>
              <w:rPr>
                <w:rFonts w:hint="eastAsia" w:ascii="Times New Roman" w:hAnsi="Times New Roman" w:eastAsia="宋体" w:cs="Times New Roman"/>
                <w:color w:val="auto"/>
                <w:kern w:val="0"/>
                <w:sz w:val="21"/>
                <w:szCs w:val="21"/>
                <w:highlight w:val="none"/>
              </w:rPr>
              <w:t>无</w:t>
            </w:r>
          </w:p>
        </w:tc>
      </w:tr>
      <w:tr w14:paraId="052841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00" w:type="dxa"/>
            <w:vMerge w:val="continue"/>
            <w:vAlign w:val="center"/>
          </w:tcPr>
          <w:p w14:paraId="6CB8E4B4">
            <w:pPr>
              <w:pStyle w:val="30"/>
              <w:keepNext w:val="0"/>
              <w:keepLines w:val="0"/>
              <w:pageBreakBefore w:val="0"/>
              <w:widowControl w:val="0"/>
              <w:kinsoku/>
              <w:wordWrap/>
              <w:overflowPunct/>
              <w:topLinePunct w:val="0"/>
              <w:autoSpaceDE/>
              <w:autoSpaceDN/>
              <w:bidi w:val="0"/>
              <w:adjustRightInd/>
              <w:snapToGrid/>
              <w:spacing w:line="288" w:lineRule="auto"/>
              <w:textAlignment w:val="auto"/>
              <w:rPr>
                <w:rFonts w:hint="default"/>
                <w:color w:val="auto"/>
                <w:highlight w:val="none"/>
                <w:lang w:val="zh-CN"/>
              </w:rPr>
            </w:pPr>
          </w:p>
        </w:tc>
        <w:tc>
          <w:tcPr>
            <w:tcW w:w="874" w:type="dxa"/>
            <w:shd w:val="clear" w:color="auto" w:fill="auto"/>
            <w:vAlign w:val="center"/>
          </w:tcPr>
          <w:p w14:paraId="36FF13A9">
            <w:pPr>
              <w:pStyle w:val="30"/>
              <w:keepNext w:val="0"/>
              <w:keepLines w:val="0"/>
              <w:pageBreakBefore w:val="0"/>
              <w:widowControl w:val="0"/>
              <w:kinsoku/>
              <w:wordWrap/>
              <w:overflowPunct/>
              <w:topLinePunct w:val="0"/>
              <w:autoSpaceDE/>
              <w:autoSpaceDN/>
              <w:bidi w:val="0"/>
              <w:adjustRightInd/>
              <w:snapToGrid/>
              <w:spacing w:line="288" w:lineRule="auto"/>
              <w:ind w:firstLine="0" w:firstLineChars="0"/>
              <w:textAlignment w:val="auto"/>
              <w:rPr>
                <w:rFonts w:hint="default" w:ascii="Times New Roman" w:hAnsi="Times New Roman" w:eastAsia="宋体" w:cs="Times New Roman"/>
                <w:color w:val="auto"/>
                <w:kern w:val="2"/>
                <w:sz w:val="21"/>
                <w:szCs w:val="21"/>
                <w:highlight w:val="none"/>
                <w:lang w:val="zh-CN" w:eastAsia="zh-CN" w:bidi="ar-SA"/>
              </w:rPr>
            </w:pPr>
            <w:r>
              <w:rPr>
                <w:color w:val="auto"/>
                <w:highlight w:val="none"/>
              </w:rPr>
              <w:t>2#</w:t>
            </w:r>
          </w:p>
        </w:tc>
        <w:tc>
          <w:tcPr>
            <w:tcW w:w="1363" w:type="dxa"/>
            <w:vMerge w:val="continue"/>
            <w:shd w:val="clear" w:color="auto" w:fill="auto"/>
            <w:vAlign w:val="center"/>
          </w:tcPr>
          <w:p w14:paraId="38CA64D3">
            <w:pPr>
              <w:widowControl/>
              <w:snapToGrid w:val="0"/>
              <w:spacing w:line="240" w:lineRule="auto"/>
              <w:ind w:firstLine="0" w:firstLineChars="0"/>
              <w:jc w:val="center"/>
              <w:rPr>
                <w:rFonts w:hint="default" w:ascii="Times New Roman" w:hAnsi="Times New Roman" w:eastAsia="宋体" w:cs="Times New Roman"/>
                <w:color w:val="auto"/>
                <w:kern w:val="2"/>
                <w:sz w:val="21"/>
                <w:szCs w:val="21"/>
                <w:highlight w:val="none"/>
                <w:lang w:val="zh-CN" w:eastAsia="zh-CN" w:bidi="ar-SA"/>
              </w:rPr>
            </w:pPr>
          </w:p>
        </w:tc>
        <w:tc>
          <w:tcPr>
            <w:tcW w:w="928" w:type="dxa"/>
            <w:vAlign w:val="center"/>
          </w:tcPr>
          <w:p w14:paraId="4AB1E392">
            <w:pPr>
              <w:widowControl/>
              <w:snapToGrid w:val="0"/>
              <w:spacing w:line="240" w:lineRule="auto"/>
              <w:ind w:firstLine="0" w:firstLineChars="0"/>
              <w:jc w:val="center"/>
              <w:rPr>
                <w:rFonts w:hint="eastAsia"/>
                <w:color w:val="auto"/>
                <w:highlight w:val="none"/>
                <w:lang w:val="zh-CN"/>
              </w:rPr>
            </w:pPr>
            <w:r>
              <w:rPr>
                <w:rFonts w:hint="eastAsia" w:ascii="Times New Roman" w:hAnsi="Times New Roman" w:eastAsia="宋体" w:cs="Times New Roman"/>
                <w:color w:val="auto"/>
                <w:kern w:val="0"/>
                <w:sz w:val="21"/>
                <w:szCs w:val="21"/>
                <w:highlight w:val="none"/>
              </w:rPr>
              <w:t>地下水型</w:t>
            </w:r>
          </w:p>
        </w:tc>
        <w:tc>
          <w:tcPr>
            <w:tcW w:w="845" w:type="dxa"/>
            <w:vMerge w:val="continue"/>
            <w:vAlign w:val="center"/>
          </w:tcPr>
          <w:p w14:paraId="41A67241">
            <w:pPr>
              <w:pStyle w:val="30"/>
              <w:keepNext w:val="0"/>
              <w:keepLines w:val="0"/>
              <w:pageBreakBefore w:val="0"/>
              <w:widowControl w:val="0"/>
              <w:kinsoku/>
              <w:wordWrap/>
              <w:overflowPunct/>
              <w:topLinePunct w:val="0"/>
              <w:autoSpaceDE/>
              <w:autoSpaceDN/>
              <w:bidi w:val="0"/>
              <w:adjustRightInd/>
              <w:snapToGrid/>
              <w:spacing w:line="288" w:lineRule="auto"/>
              <w:ind w:firstLine="0" w:firstLineChars="0"/>
              <w:textAlignment w:val="auto"/>
              <w:rPr>
                <w:rFonts w:hint="eastAsia"/>
                <w:color w:val="auto"/>
                <w:highlight w:val="none"/>
                <w:lang w:val="zh-CN"/>
              </w:rPr>
            </w:pPr>
          </w:p>
        </w:tc>
        <w:tc>
          <w:tcPr>
            <w:tcW w:w="1146" w:type="dxa"/>
            <w:vAlign w:val="center"/>
          </w:tcPr>
          <w:p w14:paraId="6CE1DB5E">
            <w:pPr>
              <w:widowControl/>
              <w:snapToGrid w:val="0"/>
              <w:spacing w:line="240" w:lineRule="auto"/>
              <w:ind w:firstLine="0" w:firstLineChars="0"/>
              <w:jc w:val="center"/>
              <w:rPr>
                <w:rFonts w:hint="default" w:ascii="Times New Roman" w:hAnsi="Times New Roman" w:cs="Times New Roman"/>
                <w:color w:val="auto"/>
                <w:highlight w:val="none"/>
                <w:lang w:val="zh-CN"/>
              </w:rPr>
            </w:pPr>
            <w:r>
              <w:rPr>
                <w:rFonts w:hint="default" w:ascii="Times New Roman" w:hAnsi="Times New Roman" w:eastAsia="宋体" w:cs="Times New Roman"/>
                <w:color w:val="auto"/>
                <w:kern w:val="0"/>
                <w:sz w:val="21"/>
                <w:szCs w:val="21"/>
                <w:highlight w:val="none"/>
                <w:lang w:val="en-US" w:eastAsia="zh-CN"/>
              </w:rPr>
              <w:t>127°35'41.6485"</w:t>
            </w:r>
          </w:p>
        </w:tc>
        <w:tc>
          <w:tcPr>
            <w:tcW w:w="954" w:type="dxa"/>
            <w:vAlign w:val="center"/>
          </w:tcPr>
          <w:p w14:paraId="00909CD9">
            <w:pPr>
              <w:widowControl/>
              <w:snapToGrid w:val="0"/>
              <w:spacing w:line="240" w:lineRule="auto"/>
              <w:ind w:firstLine="0" w:firstLineChars="0"/>
              <w:jc w:val="center"/>
              <w:rPr>
                <w:rFonts w:hint="default" w:ascii="Times New Roman" w:hAnsi="Times New Roman" w:cs="Times New Roman"/>
                <w:color w:val="auto"/>
                <w:highlight w:val="none"/>
                <w:lang w:val="zh-CN"/>
              </w:rPr>
            </w:pPr>
            <w:r>
              <w:rPr>
                <w:rFonts w:hint="default" w:ascii="Times New Roman" w:hAnsi="Times New Roman" w:eastAsia="宋体" w:cs="Times New Roman"/>
                <w:color w:val="auto"/>
                <w:kern w:val="0"/>
                <w:sz w:val="21"/>
                <w:szCs w:val="21"/>
                <w:highlight w:val="none"/>
                <w:lang w:val="en-US" w:eastAsia="zh-CN"/>
              </w:rPr>
              <w:t>46°43'51.7092"</w:t>
            </w:r>
          </w:p>
        </w:tc>
        <w:tc>
          <w:tcPr>
            <w:tcW w:w="941" w:type="dxa"/>
            <w:vMerge w:val="continue"/>
            <w:vAlign w:val="center"/>
          </w:tcPr>
          <w:p w14:paraId="31BEDAD4">
            <w:pPr>
              <w:pStyle w:val="30"/>
              <w:keepNext w:val="0"/>
              <w:keepLines w:val="0"/>
              <w:pageBreakBefore w:val="0"/>
              <w:widowControl w:val="0"/>
              <w:kinsoku/>
              <w:wordWrap/>
              <w:overflowPunct/>
              <w:topLinePunct w:val="0"/>
              <w:autoSpaceDE/>
              <w:autoSpaceDN/>
              <w:bidi w:val="0"/>
              <w:adjustRightInd/>
              <w:snapToGrid/>
              <w:spacing w:line="288" w:lineRule="auto"/>
              <w:ind w:firstLine="0" w:firstLineChars="0"/>
              <w:textAlignment w:val="auto"/>
              <w:rPr>
                <w:rFonts w:hint="eastAsia"/>
                <w:color w:val="auto"/>
                <w:highlight w:val="none"/>
                <w:lang w:val="zh-CN"/>
              </w:rPr>
            </w:pPr>
          </w:p>
        </w:tc>
        <w:tc>
          <w:tcPr>
            <w:tcW w:w="1023" w:type="dxa"/>
            <w:vMerge w:val="continue"/>
            <w:vAlign w:val="center"/>
          </w:tcPr>
          <w:p w14:paraId="3205A9CD">
            <w:pPr>
              <w:pStyle w:val="30"/>
              <w:keepNext w:val="0"/>
              <w:keepLines w:val="0"/>
              <w:pageBreakBefore w:val="0"/>
              <w:widowControl w:val="0"/>
              <w:kinsoku/>
              <w:wordWrap/>
              <w:overflowPunct/>
              <w:topLinePunct w:val="0"/>
              <w:autoSpaceDE/>
              <w:autoSpaceDN/>
              <w:bidi w:val="0"/>
              <w:adjustRightInd/>
              <w:snapToGrid/>
              <w:spacing w:line="288" w:lineRule="auto"/>
              <w:ind w:firstLine="0" w:firstLineChars="0"/>
              <w:textAlignment w:val="auto"/>
              <w:rPr>
                <w:rFonts w:hint="eastAsia"/>
                <w:color w:val="auto"/>
                <w:highlight w:val="none"/>
                <w:lang w:val="zh-CN"/>
              </w:rPr>
            </w:pPr>
          </w:p>
        </w:tc>
        <w:tc>
          <w:tcPr>
            <w:tcW w:w="2850" w:type="dxa"/>
            <w:vMerge w:val="continue"/>
            <w:vAlign w:val="center"/>
          </w:tcPr>
          <w:p w14:paraId="4A615E85">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zh-CN"/>
              </w:rPr>
            </w:pPr>
          </w:p>
        </w:tc>
        <w:tc>
          <w:tcPr>
            <w:tcW w:w="722" w:type="dxa"/>
            <w:vMerge w:val="continue"/>
            <w:vAlign w:val="center"/>
          </w:tcPr>
          <w:p w14:paraId="42571C46">
            <w:pPr>
              <w:widowControl/>
              <w:snapToGrid w:val="0"/>
              <w:spacing w:line="240" w:lineRule="auto"/>
              <w:ind w:firstLine="0" w:firstLineChars="0"/>
              <w:jc w:val="center"/>
              <w:rPr>
                <w:rFonts w:hint="eastAsia"/>
                <w:color w:val="auto"/>
                <w:highlight w:val="none"/>
                <w:lang w:val="zh-CN"/>
              </w:rPr>
            </w:pPr>
          </w:p>
        </w:tc>
        <w:tc>
          <w:tcPr>
            <w:tcW w:w="1052" w:type="dxa"/>
            <w:vMerge w:val="continue"/>
            <w:vAlign w:val="center"/>
          </w:tcPr>
          <w:p w14:paraId="2761F86D">
            <w:pPr>
              <w:widowControl/>
              <w:snapToGrid w:val="0"/>
              <w:spacing w:line="240" w:lineRule="auto"/>
              <w:ind w:firstLine="0" w:firstLineChars="0"/>
              <w:jc w:val="center"/>
              <w:rPr>
                <w:rFonts w:hint="eastAsia"/>
                <w:color w:val="auto"/>
                <w:highlight w:val="none"/>
                <w:lang w:val="zh-CN"/>
              </w:rPr>
            </w:pPr>
          </w:p>
        </w:tc>
      </w:tr>
      <w:tr w14:paraId="652D81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00" w:type="dxa"/>
            <w:vMerge w:val="continue"/>
            <w:vAlign w:val="center"/>
          </w:tcPr>
          <w:p w14:paraId="082C479E">
            <w:pPr>
              <w:pStyle w:val="30"/>
              <w:keepNext w:val="0"/>
              <w:keepLines w:val="0"/>
              <w:pageBreakBefore w:val="0"/>
              <w:widowControl w:val="0"/>
              <w:kinsoku/>
              <w:wordWrap/>
              <w:overflowPunct/>
              <w:topLinePunct w:val="0"/>
              <w:autoSpaceDE/>
              <w:autoSpaceDN/>
              <w:bidi w:val="0"/>
              <w:adjustRightInd/>
              <w:snapToGrid/>
              <w:spacing w:line="288" w:lineRule="auto"/>
              <w:textAlignment w:val="auto"/>
              <w:rPr>
                <w:rFonts w:hint="default"/>
                <w:color w:val="auto"/>
                <w:highlight w:val="none"/>
                <w:lang w:val="zh-CN"/>
              </w:rPr>
            </w:pPr>
          </w:p>
        </w:tc>
        <w:tc>
          <w:tcPr>
            <w:tcW w:w="874" w:type="dxa"/>
            <w:shd w:val="clear" w:color="auto" w:fill="auto"/>
            <w:vAlign w:val="center"/>
          </w:tcPr>
          <w:p w14:paraId="162309CA">
            <w:pPr>
              <w:pStyle w:val="30"/>
              <w:keepNext w:val="0"/>
              <w:keepLines w:val="0"/>
              <w:pageBreakBefore w:val="0"/>
              <w:widowControl w:val="0"/>
              <w:kinsoku/>
              <w:wordWrap/>
              <w:overflowPunct/>
              <w:topLinePunct w:val="0"/>
              <w:autoSpaceDE/>
              <w:autoSpaceDN/>
              <w:bidi w:val="0"/>
              <w:adjustRightInd/>
              <w:snapToGrid/>
              <w:spacing w:line="288" w:lineRule="auto"/>
              <w:ind w:firstLine="0" w:firstLineChars="0"/>
              <w:textAlignment w:val="auto"/>
              <w:rPr>
                <w:rFonts w:hint="default" w:ascii="Times New Roman" w:hAnsi="Times New Roman" w:eastAsia="宋体" w:cs="Times New Roman"/>
                <w:color w:val="auto"/>
                <w:kern w:val="2"/>
                <w:sz w:val="21"/>
                <w:szCs w:val="21"/>
                <w:highlight w:val="none"/>
                <w:lang w:val="zh-CN" w:eastAsia="zh-CN" w:bidi="ar-SA"/>
              </w:rPr>
            </w:pPr>
            <w:r>
              <w:rPr>
                <w:color w:val="auto"/>
                <w:highlight w:val="none"/>
              </w:rPr>
              <w:t>3#</w:t>
            </w:r>
          </w:p>
        </w:tc>
        <w:tc>
          <w:tcPr>
            <w:tcW w:w="1363" w:type="dxa"/>
            <w:vMerge w:val="continue"/>
            <w:shd w:val="clear" w:color="auto" w:fill="auto"/>
            <w:vAlign w:val="center"/>
          </w:tcPr>
          <w:p w14:paraId="71B15F5D">
            <w:pPr>
              <w:widowControl/>
              <w:snapToGrid w:val="0"/>
              <w:spacing w:line="240" w:lineRule="auto"/>
              <w:ind w:firstLine="0" w:firstLineChars="0"/>
              <w:jc w:val="center"/>
              <w:rPr>
                <w:rFonts w:hint="default" w:ascii="Times New Roman" w:hAnsi="Times New Roman" w:eastAsia="宋体" w:cs="Times New Roman"/>
                <w:color w:val="auto"/>
                <w:kern w:val="2"/>
                <w:sz w:val="21"/>
                <w:szCs w:val="21"/>
                <w:highlight w:val="none"/>
                <w:lang w:val="zh-CN" w:eastAsia="zh-CN" w:bidi="ar-SA"/>
              </w:rPr>
            </w:pPr>
          </w:p>
        </w:tc>
        <w:tc>
          <w:tcPr>
            <w:tcW w:w="928" w:type="dxa"/>
            <w:vAlign w:val="center"/>
          </w:tcPr>
          <w:p w14:paraId="54658DDA">
            <w:pPr>
              <w:widowControl/>
              <w:snapToGrid w:val="0"/>
              <w:spacing w:line="240" w:lineRule="auto"/>
              <w:ind w:firstLine="0" w:firstLineChars="0"/>
              <w:jc w:val="center"/>
              <w:rPr>
                <w:rFonts w:hint="eastAsia"/>
                <w:color w:val="auto"/>
                <w:highlight w:val="none"/>
                <w:lang w:val="zh-CN"/>
              </w:rPr>
            </w:pPr>
            <w:r>
              <w:rPr>
                <w:rFonts w:hint="eastAsia" w:ascii="Times New Roman" w:hAnsi="Times New Roman" w:eastAsia="宋体" w:cs="Times New Roman"/>
                <w:color w:val="auto"/>
                <w:kern w:val="0"/>
                <w:sz w:val="21"/>
                <w:szCs w:val="21"/>
                <w:highlight w:val="none"/>
              </w:rPr>
              <w:t>地下水型</w:t>
            </w:r>
          </w:p>
        </w:tc>
        <w:tc>
          <w:tcPr>
            <w:tcW w:w="845" w:type="dxa"/>
            <w:vMerge w:val="continue"/>
            <w:vAlign w:val="center"/>
          </w:tcPr>
          <w:p w14:paraId="17DC8AE9">
            <w:pPr>
              <w:pStyle w:val="30"/>
              <w:keepNext w:val="0"/>
              <w:keepLines w:val="0"/>
              <w:pageBreakBefore w:val="0"/>
              <w:widowControl w:val="0"/>
              <w:kinsoku/>
              <w:wordWrap/>
              <w:overflowPunct/>
              <w:topLinePunct w:val="0"/>
              <w:autoSpaceDE/>
              <w:autoSpaceDN/>
              <w:bidi w:val="0"/>
              <w:adjustRightInd/>
              <w:snapToGrid/>
              <w:spacing w:line="288" w:lineRule="auto"/>
              <w:ind w:firstLine="0" w:firstLineChars="0"/>
              <w:textAlignment w:val="auto"/>
              <w:rPr>
                <w:rFonts w:hint="eastAsia"/>
                <w:color w:val="auto"/>
                <w:highlight w:val="none"/>
                <w:lang w:val="zh-CN"/>
              </w:rPr>
            </w:pPr>
          </w:p>
        </w:tc>
        <w:tc>
          <w:tcPr>
            <w:tcW w:w="1146" w:type="dxa"/>
            <w:vAlign w:val="center"/>
          </w:tcPr>
          <w:p w14:paraId="2BCD0AF7">
            <w:pPr>
              <w:widowControl/>
              <w:snapToGrid w:val="0"/>
              <w:spacing w:line="240" w:lineRule="auto"/>
              <w:ind w:firstLine="0" w:firstLineChars="0"/>
              <w:jc w:val="center"/>
              <w:rPr>
                <w:rFonts w:hint="default" w:ascii="Times New Roman" w:hAnsi="Times New Roman" w:cs="Times New Roman"/>
                <w:color w:val="auto"/>
                <w:highlight w:val="none"/>
                <w:lang w:val="zh-CN"/>
              </w:rPr>
            </w:pPr>
            <w:r>
              <w:rPr>
                <w:rFonts w:hint="default" w:ascii="Times New Roman" w:hAnsi="Times New Roman" w:eastAsia="宋体" w:cs="Times New Roman"/>
                <w:color w:val="auto"/>
                <w:kern w:val="0"/>
                <w:sz w:val="21"/>
                <w:szCs w:val="21"/>
                <w:highlight w:val="none"/>
                <w:lang w:val="en-US" w:eastAsia="zh-CN"/>
              </w:rPr>
              <w:t>127°35'41.0981"</w:t>
            </w:r>
          </w:p>
        </w:tc>
        <w:tc>
          <w:tcPr>
            <w:tcW w:w="954" w:type="dxa"/>
            <w:vAlign w:val="center"/>
          </w:tcPr>
          <w:p w14:paraId="09195C24">
            <w:pPr>
              <w:widowControl/>
              <w:snapToGrid w:val="0"/>
              <w:spacing w:line="240" w:lineRule="auto"/>
              <w:ind w:firstLine="0" w:firstLineChars="0"/>
              <w:jc w:val="center"/>
              <w:rPr>
                <w:rFonts w:hint="default" w:ascii="Times New Roman" w:hAnsi="Times New Roman" w:cs="Times New Roman"/>
                <w:color w:val="auto"/>
                <w:highlight w:val="none"/>
                <w:lang w:val="zh-CN"/>
              </w:rPr>
            </w:pPr>
            <w:r>
              <w:rPr>
                <w:rFonts w:hint="default" w:ascii="Times New Roman" w:hAnsi="Times New Roman" w:eastAsia="宋体" w:cs="Times New Roman"/>
                <w:color w:val="auto"/>
                <w:kern w:val="0"/>
                <w:sz w:val="21"/>
                <w:szCs w:val="21"/>
                <w:highlight w:val="none"/>
                <w:lang w:val="en-US" w:eastAsia="zh-CN"/>
              </w:rPr>
              <w:t>46°43'48.0723"</w:t>
            </w:r>
          </w:p>
        </w:tc>
        <w:tc>
          <w:tcPr>
            <w:tcW w:w="941" w:type="dxa"/>
            <w:vMerge w:val="continue"/>
            <w:vAlign w:val="center"/>
          </w:tcPr>
          <w:p w14:paraId="39B5E357">
            <w:pPr>
              <w:pStyle w:val="30"/>
              <w:keepNext w:val="0"/>
              <w:keepLines w:val="0"/>
              <w:pageBreakBefore w:val="0"/>
              <w:widowControl w:val="0"/>
              <w:kinsoku/>
              <w:wordWrap/>
              <w:overflowPunct/>
              <w:topLinePunct w:val="0"/>
              <w:autoSpaceDE/>
              <w:autoSpaceDN/>
              <w:bidi w:val="0"/>
              <w:adjustRightInd/>
              <w:snapToGrid/>
              <w:spacing w:line="288" w:lineRule="auto"/>
              <w:ind w:firstLine="0" w:firstLineChars="0"/>
              <w:textAlignment w:val="auto"/>
              <w:rPr>
                <w:rFonts w:hint="eastAsia"/>
                <w:color w:val="auto"/>
                <w:highlight w:val="none"/>
                <w:lang w:val="zh-CN"/>
              </w:rPr>
            </w:pPr>
          </w:p>
        </w:tc>
        <w:tc>
          <w:tcPr>
            <w:tcW w:w="1023" w:type="dxa"/>
            <w:vMerge w:val="continue"/>
            <w:vAlign w:val="center"/>
          </w:tcPr>
          <w:p w14:paraId="658437E3">
            <w:pPr>
              <w:pStyle w:val="30"/>
              <w:keepNext w:val="0"/>
              <w:keepLines w:val="0"/>
              <w:pageBreakBefore w:val="0"/>
              <w:widowControl w:val="0"/>
              <w:kinsoku/>
              <w:wordWrap/>
              <w:overflowPunct/>
              <w:topLinePunct w:val="0"/>
              <w:autoSpaceDE/>
              <w:autoSpaceDN/>
              <w:bidi w:val="0"/>
              <w:adjustRightInd/>
              <w:snapToGrid/>
              <w:spacing w:line="288" w:lineRule="auto"/>
              <w:ind w:firstLine="0" w:firstLineChars="0"/>
              <w:textAlignment w:val="auto"/>
              <w:rPr>
                <w:rFonts w:hint="eastAsia"/>
                <w:color w:val="auto"/>
                <w:highlight w:val="none"/>
                <w:lang w:val="zh-CN"/>
              </w:rPr>
            </w:pPr>
          </w:p>
        </w:tc>
        <w:tc>
          <w:tcPr>
            <w:tcW w:w="2850" w:type="dxa"/>
            <w:vMerge w:val="continue"/>
            <w:vAlign w:val="center"/>
          </w:tcPr>
          <w:p w14:paraId="77660532">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zh-CN"/>
              </w:rPr>
            </w:pPr>
          </w:p>
        </w:tc>
        <w:tc>
          <w:tcPr>
            <w:tcW w:w="722" w:type="dxa"/>
            <w:vMerge w:val="continue"/>
            <w:vAlign w:val="center"/>
          </w:tcPr>
          <w:p w14:paraId="57400A6D">
            <w:pPr>
              <w:widowControl/>
              <w:snapToGrid w:val="0"/>
              <w:spacing w:line="240" w:lineRule="auto"/>
              <w:ind w:firstLine="0" w:firstLineChars="0"/>
              <w:jc w:val="center"/>
              <w:rPr>
                <w:rFonts w:hint="eastAsia"/>
                <w:color w:val="auto"/>
                <w:highlight w:val="none"/>
                <w:lang w:val="zh-CN"/>
              </w:rPr>
            </w:pPr>
          </w:p>
        </w:tc>
        <w:tc>
          <w:tcPr>
            <w:tcW w:w="1052" w:type="dxa"/>
            <w:vMerge w:val="continue"/>
            <w:vAlign w:val="center"/>
          </w:tcPr>
          <w:p w14:paraId="4EE2914E">
            <w:pPr>
              <w:widowControl/>
              <w:snapToGrid w:val="0"/>
              <w:spacing w:line="240" w:lineRule="auto"/>
              <w:ind w:firstLine="0" w:firstLineChars="0"/>
              <w:jc w:val="center"/>
              <w:rPr>
                <w:rFonts w:hint="eastAsia"/>
                <w:color w:val="auto"/>
                <w:highlight w:val="none"/>
                <w:lang w:val="zh-CN"/>
              </w:rPr>
            </w:pPr>
          </w:p>
        </w:tc>
      </w:tr>
      <w:tr w14:paraId="6C751B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00" w:type="dxa"/>
            <w:vMerge w:val="continue"/>
            <w:vAlign w:val="center"/>
          </w:tcPr>
          <w:p w14:paraId="3CE52506">
            <w:pPr>
              <w:pStyle w:val="30"/>
              <w:keepNext w:val="0"/>
              <w:keepLines w:val="0"/>
              <w:pageBreakBefore w:val="0"/>
              <w:widowControl w:val="0"/>
              <w:kinsoku/>
              <w:wordWrap/>
              <w:overflowPunct/>
              <w:topLinePunct w:val="0"/>
              <w:autoSpaceDE/>
              <w:autoSpaceDN/>
              <w:bidi w:val="0"/>
              <w:adjustRightInd/>
              <w:snapToGrid/>
              <w:spacing w:line="288" w:lineRule="auto"/>
              <w:textAlignment w:val="auto"/>
              <w:rPr>
                <w:rFonts w:hint="default"/>
                <w:color w:val="auto"/>
                <w:highlight w:val="none"/>
                <w:lang w:val="zh-CN"/>
              </w:rPr>
            </w:pPr>
          </w:p>
        </w:tc>
        <w:tc>
          <w:tcPr>
            <w:tcW w:w="874" w:type="dxa"/>
            <w:shd w:val="clear" w:color="auto" w:fill="auto"/>
            <w:vAlign w:val="center"/>
          </w:tcPr>
          <w:p w14:paraId="0C3889CF">
            <w:pPr>
              <w:pStyle w:val="30"/>
              <w:keepNext w:val="0"/>
              <w:keepLines w:val="0"/>
              <w:pageBreakBefore w:val="0"/>
              <w:widowControl w:val="0"/>
              <w:kinsoku/>
              <w:wordWrap/>
              <w:overflowPunct/>
              <w:topLinePunct w:val="0"/>
              <w:autoSpaceDE/>
              <w:autoSpaceDN/>
              <w:bidi w:val="0"/>
              <w:adjustRightInd/>
              <w:snapToGrid/>
              <w:spacing w:line="288" w:lineRule="auto"/>
              <w:ind w:firstLine="0" w:firstLineChars="0"/>
              <w:textAlignment w:val="auto"/>
              <w:rPr>
                <w:rFonts w:hint="eastAsia" w:ascii="Times New Roman" w:hAnsi="Times New Roman" w:eastAsia="宋体" w:cs="Times New Roman"/>
                <w:color w:val="auto"/>
                <w:kern w:val="2"/>
                <w:sz w:val="21"/>
                <w:szCs w:val="21"/>
                <w:highlight w:val="none"/>
                <w:lang w:val="en-US" w:eastAsia="zh-CN" w:bidi="ar-SA"/>
              </w:rPr>
            </w:pPr>
            <w:r>
              <w:rPr>
                <w:color w:val="auto"/>
                <w:highlight w:val="none"/>
              </w:rPr>
              <w:t>4#</w:t>
            </w:r>
          </w:p>
        </w:tc>
        <w:tc>
          <w:tcPr>
            <w:tcW w:w="1363" w:type="dxa"/>
            <w:vMerge w:val="continue"/>
            <w:vAlign w:val="center"/>
          </w:tcPr>
          <w:p w14:paraId="7CA437D8">
            <w:pPr>
              <w:widowControl/>
              <w:snapToGrid w:val="0"/>
              <w:spacing w:line="240" w:lineRule="auto"/>
              <w:ind w:firstLine="0" w:firstLineChars="0"/>
              <w:jc w:val="center"/>
              <w:rPr>
                <w:color w:val="auto"/>
                <w:highlight w:val="none"/>
                <w:lang w:val="zh-CN"/>
              </w:rPr>
            </w:pPr>
          </w:p>
        </w:tc>
        <w:tc>
          <w:tcPr>
            <w:tcW w:w="928" w:type="dxa"/>
            <w:vAlign w:val="center"/>
          </w:tcPr>
          <w:p w14:paraId="4333342F">
            <w:pPr>
              <w:widowControl/>
              <w:snapToGrid w:val="0"/>
              <w:spacing w:line="240" w:lineRule="auto"/>
              <w:ind w:firstLine="0" w:firstLineChars="0"/>
              <w:jc w:val="center"/>
              <w:rPr>
                <w:rFonts w:hint="eastAsia"/>
                <w:color w:val="auto"/>
                <w:highlight w:val="none"/>
                <w:lang w:val="zh-CN"/>
              </w:rPr>
            </w:pPr>
            <w:r>
              <w:rPr>
                <w:rFonts w:hint="eastAsia" w:ascii="Times New Roman" w:hAnsi="Times New Roman" w:eastAsia="宋体" w:cs="Times New Roman"/>
                <w:color w:val="auto"/>
                <w:kern w:val="0"/>
                <w:sz w:val="21"/>
                <w:szCs w:val="21"/>
                <w:highlight w:val="none"/>
              </w:rPr>
              <w:t>地下水型</w:t>
            </w:r>
          </w:p>
        </w:tc>
        <w:tc>
          <w:tcPr>
            <w:tcW w:w="845" w:type="dxa"/>
            <w:vMerge w:val="continue"/>
            <w:vAlign w:val="center"/>
          </w:tcPr>
          <w:p w14:paraId="41486FE9">
            <w:pPr>
              <w:pStyle w:val="30"/>
              <w:keepNext w:val="0"/>
              <w:keepLines w:val="0"/>
              <w:pageBreakBefore w:val="0"/>
              <w:widowControl w:val="0"/>
              <w:kinsoku/>
              <w:wordWrap/>
              <w:overflowPunct/>
              <w:topLinePunct w:val="0"/>
              <w:autoSpaceDE/>
              <w:autoSpaceDN/>
              <w:bidi w:val="0"/>
              <w:adjustRightInd/>
              <w:snapToGrid/>
              <w:spacing w:line="288" w:lineRule="auto"/>
              <w:ind w:firstLine="0" w:firstLineChars="0"/>
              <w:textAlignment w:val="auto"/>
              <w:rPr>
                <w:rFonts w:hint="eastAsia"/>
                <w:color w:val="auto"/>
                <w:highlight w:val="none"/>
                <w:lang w:val="zh-CN"/>
              </w:rPr>
            </w:pPr>
          </w:p>
        </w:tc>
        <w:tc>
          <w:tcPr>
            <w:tcW w:w="1146" w:type="dxa"/>
            <w:vAlign w:val="center"/>
          </w:tcPr>
          <w:p w14:paraId="77F51084">
            <w:pPr>
              <w:widowControl/>
              <w:snapToGrid w:val="0"/>
              <w:spacing w:line="240" w:lineRule="auto"/>
              <w:ind w:firstLine="0" w:firstLineChars="0"/>
              <w:jc w:val="center"/>
              <w:rPr>
                <w:rFonts w:hint="default" w:ascii="Times New Roman" w:hAnsi="Times New Roman" w:cs="Times New Roman"/>
                <w:color w:val="auto"/>
                <w:highlight w:val="none"/>
                <w:lang w:val="zh-CN"/>
              </w:rPr>
            </w:pPr>
            <w:r>
              <w:rPr>
                <w:rFonts w:hint="default" w:ascii="Times New Roman" w:hAnsi="Times New Roman" w:eastAsia="宋体" w:cs="Times New Roman"/>
                <w:color w:val="auto"/>
                <w:kern w:val="0"/>
                <w:sz w:val="21"/>
                <w:szCs w:val="21"/>
                <w:highlight w:val="none"/>
                <w:lang w:val="en-US" w:eastAsia="zh-CN"/>
              </w:rPr>
              <w:t>127°35'38.1840"</w:t>
            </w:r>
          </w:p>
        </w:tc>
        <w:tc>
          <w:tcPr>
            <w:tcW w:w="954" w:type="dxa"/>
            <w:vAlign w:val="center"/>
          </w:tcPr>
          <w:p w14:paraId="3A18774B">
            <w:pPr>
              <w:widowControl/>
              <w:snapToGrid w:val="0"/>
              <w:spacing w:line="240" w:lineRule="auto"/>
              <w:ind w:firstLine="0" w:firstLineChars="0"/>
              <w:jc w:val="center"/>
              <w:rPr>
                <w:rFonts w:hint="default" w:ascii="Times New Roman" w:hAnsi="Times New Roman" w:cs="Times New Roman"/>
                <w:color w:val="auto"/>
                <w:highlight w:val="none"/>
                <w:lang w:val="zh-CN"/>
              </w:rPr>
            </w:pPr>
            <w:r>
              <w:rPr>
                <w:rFonts w:hint="default" w:ascii="Times New Roman" w:hAnsi="Times New Roman" w:eastAsia="宋体" w:cs="Times New Roman"/>
                <w:color w:val="auto"/>
                <w:kern w:val="0"/>
                <w:sz w:val="21"/>
                <w:szCs w:val="21"/>
                <w:highlight w:val="none"/>
                <w:lang w:val="en-US" w:eastAsia="zh-CN"/>
              </w:rPr>
              <w:t>46°43'49.2110"</w:t>
            </w:r>
          </w:p>
        </w:tc>
        <w:tc>
          <w:tcPr>
            <w:tcW w:w="941" w:type="dxa"/>
            <w:vMerge w:val="continue"/>
            <w:vAlign w:val="center"/>
          </w:tcPr>
          <w:p w14:paraId="01A6E643">
            <w:pPr>
              <w:pStyle w:val="30"/>
              <w:keepNext w:val="0"/>
              <w:keepLines w:val="0"/>
              <w:pageBreakBefore w:val="0"/>
              <w:widowControl w:val="0"/>
              <w:kinsoku/>
              <w:wordWrap/>
              <w:overflowPunct/>
              <w:topLinePunct w:val="0"/>
              <w:autoSpaceDE/>
              <w:autoSpaceDN/>
              <w:bidi w:val="0"/>
              <w:adjustRightInd/>
              <w:snapToGrid/>
              <w:spacing w:line="288" w:lineRule="auto"/>
              <w:ind w:firstLine="0" w:firstLineChars="0"/>
              <w:textAlignment w:val="auto"/>
              <w:rPr>
                <w:rFonts w:hint="eastAsia"/>
                <w:color w:val="auto"/>
                <w:highlight w:val="none"/>
                <w:lang w:val="zh-CN"/>
              </w:rPr>
            </w:pPr>
          </w:p>
        </w:tc>
        <w:tc>
          <w:tcPr>
            <w:tcW w:w="1023" w:type="dxa"/>
            <w:vMerge w:val="continue"/>
            <w:vAlign w:val="center"/>
          </w:tcPr>
          <w:p w14:paraId="44489755">
            <w:pPr>
              <w:pStyle w:val="30"/>
              <w:keepNext w:val="0"/>
              <w:keepLines w:val="0"/>
              <w:pageBreakBefore w:val="0"/>
              <w:widowControl w:val="0"/>
              <w:kinsoku/>
              <w:wordWrap/>
              <w:overflowPunct/>
              <w:topLinePunct w:val="0"/>
              <w:autoSpaceDE/>
              <w:autoSpaceDN/>
              <w:bidi w:val="0"/>
              <w:adjustRightInd/>
              <w:snapToGrid/>
              <w:spacing w:line="288" w:lineRule="auto"/>
              <w:ind w:firstLine="0" w:firstLineChars="0"/>
              <w:textAlignment w:val="auto"/>
              <w:rPr>
                <w:rFonts w:hint="eastAsia"/>
                <w:color w:val="auto"/>
                <w:highlight w:val="none"/>
                <w:lang w:val="zh-CN"/>
              </w:rPr>
            </w:pPr>
          </w:p>
        </w:tc>
        <w:tc>
          <w:tcPr>
            <w:tcW w:w="2850" w:type="dxa"/>
            <w:vMerge w:val="continue"/>
            <w:vAlign w:val="center"/>
          </w:tcPr>
          <w:p w14:paraId="45A52939">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zh-CN"/>
              </w:rPr>
            </w:pPr>
          </w:p>
        </w:tc>
        <w:tc>
          <w:tcPr>
            <w:tcW w:w="722" w:type="dxa"/>
            <w:vMerge w:val="continue"/>
            <w:vAlign w:val="center"/>
          </w:tcPr>
          <w:p w14:paraId="7A7FBF7B">
            <w:pPr>
              <w:widowControl/>
              <w:snapToGrid w:val="0"/>
              <w:spacing w:line="240" w:lineRule="auto"/>
              <w:ind w:firstLine="0" w:firstLineChars="0"/>
              <w:jc w:val="center"/>
              <w:rPr>
                <w:rFonts w:hint="eastAsia"/>
                <w:color w:val="auto"/>
                <w:highlight w:val="none"/>
                <w:lang w:val="zh-CN"/>
              </w:rPr>
            </w:pPr>
          </w:p>
        </w:tc>
        <w:tc>
          <w:tcPr>
            <w:tcW w:w="1052" w:type="dxa"/>
            <w:vMerge w:val="continue"/>
            <w:vAlign w:val="center"/>
          </w:tcPr>
          <w:p w14:paraId="784E4503">
            <w:pPr>
              <w:widowControl/>
              <w:snapToGrid w:val="0"/>
              <w:spacing w:line="240" w:lineRule="auto"/>
              <w:ind w:firstLine="0" w:firstLineChars="0"/>
              <w:jc w:val="center"/>
              <w:rPr>
                <w:rFonts w:hint="eastAsia"/>
                <w:color w:val="auto"/>
                <w:highlight w:val="none"/>
                <w:lang w:val="zh-CN"/>
              </w:rPr>
            </w:pPr>
          </w:p>
        </w:tc>
      </w:tr>
      <w:tr w14:paraId="0F6FF5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00" w:type="dxa"/>
            <w:vMerge w:val="continue"/>
            <w:vAlign w:val="center"/>
          </w:tcPr>
          <w:p w14:paraId="3D1C3822">
            <w:pPr>
              <w:pStyle w:val="30"/>
              <w:keepNext w:val="0"/>
              <w:keepLines w:val="0"/>
              <w:pageBreakBefore w:val="0"/>
              <w:widowControl w:val="0"/>
              <w:kinsoku/>
              <w:wordWrap/>
              <w:overflowPunct/>
              <w:topLinePunct w:val="0"/>
              <w:autoSpaceDE/>
              <w:autoSpaceDN/>
              <w:bidi w:val="0"/>
              <w:adjustRightInd/>
              <w:snapToGrid/>
              <w:spacing w:line="288" w:lineRule="auto"/>
              <w:textAlignment w:val="auto"/>
              <w:rPr>
                <w:rFonts w:hint="default"/>
                <w:color w:val="auto"/>
                <w:highlight w:val="none"/>
                <w:lang w:val="zh-CN"/>
              </w:rPr>
            </w:pPr>
          </w:p>
        </w:tc>
        <w:tc>
          <w:tcPr>
            <w:tcW w:w="874" w:type="dxa"/>
            <w:shd w:val="clear" w:color="auto" w:fill="auto"/>
            <w:vAlign w:val="center"/>
          </w:tcPr>
          <w:p w14:paraId="72E2CE50">
            <w:pPr>
              <w:pStyle w:val="30"/>
              <w:keepNext w:val="0"/>
              <w:keepLines w:val="0"/>
              <w:pageBreakBefore w:val="0"/>
              <w:widowControl w:val="0"/>
              <w:kinsoku/>
              <w:wordWrap/>
              <w:overflowPunct/>
              <w:topLinePunct w:val="0"/>
              <w:autoSpaceDE/>
              <w:autoSpaceDN/>
              <w:bidi w:val="0"/>
              <w:adjustRightInd/>
              <w:snapToGrid/>
              <w:spacing w:line="288" w:lineRule="auto"/>
              <w:ind w:firstLine="0" w:firstLineChars="0"/>
              <w:textAlignment w:val="auto"/>
              <w:rPr>
                <w:rFonts w:hint="default" w:ascii="Times New Roman" w:hAnsi="Times New Roman" w:eastAsia="宋体" w:cs="Times New Roman"/>
                <w:color w:val="auto"/>
                <w:kern w:val="2"/>
                <w:sz w:val="21"/>
                <w:szCs w:val="21"/>
                <w:highlight w:val="none"/>
                <w:lang w:val="zh-CN" w:eastAsia="zh-CN" w:bidi="ar-SA"/>
              </w:rPr>
            </w:pPr>
            <w:r>
              <w:rPr>
                <w:color w:val="auto"/>
                <w:highlight w:val="none"/>
              </w:rPr>
              <w:t>5#</w:t>
            </w:r>
          </w:p>
        </w:tc>
        <w:tc>
          <w:tcPr>
            <w:tcW w:w="1363" w:type="dxa"/>
            <w:vMerge w:val="continue"/>
            <w:vAlign w:val="center"/>
          </w:tcPr>
          <w:p w14:paraId="65371158">
            <w:pPr>
              <w:widowControl/>
              <w:snapToGrid w:val="0"/>
              <w:spacing w:line="240" w:lineRule="auto"/>
              <w:ind w:firstLine="0" w:firstLineChars="0"/>
              <w:jc w:val="center"/>
              <w:rPr>
                <w:color w:val="auto"/>
                <w:highlight w:val="none"/>
                <w:lang w:val="zh-CN"/>
              </w:rPr>
            </w:pPr>
          </w:p>
        </w:tc>
        <w:tc>
          <w:tcPr>
            <w:tcW w:w="928" w:type="dxa"/>
            <w:vAlign w:val="center"/>
          </w:tcPr>
          <w:p w14:paraId="58CA25D8">
            <w:pPr>
              <w:widowControl/>
              <w:snapToGrid w:val="0"/>
              <w:spacing w:line="240" w:lineRule="auto"/>
              <w:ind w:firstLine="0" w:firstLineChars="0"/>
              <w:jc w:val="center"/>
              <w:rPr>
                <w:rFonts w:hint="eastAsia"/>
                <w:color w:val="auto"/>
                <w:highlight w:val="none"/>
                <w:lang w:val="zh-CN"/>
              </w:rPr>
            </w:pPr>
            <w:r>
              <w:rPr>
                <w:rFonts w:hint="eastAsia" w:ascii="Times New Roman" w:hAnsi="Times New Roman" w:eastAsia="宋体" w:cs="Times New Roman"/>
                <w:color w:val="auto"/>
                <w:kern w:val="0"/>
                <w:sz w:val="21"/>
                <w:szCs w:val="21"/>
                <w:highlight w:val="none"/>
              </w:rPr>
              <w:t>地下水型</w:t>
            </w:r>
          </w:p>
        </w:tc>
        <w:tc>
          <w:tcPr>
            <w:tcW w:w="845" w:type="dxa"/>
            <w:vMerge w:val="continue"/>
            <w:vAlign w:val="center"/>
          </w:tcPr>
          <w:p w14:paraId="33A90632">
            <w:pPr>
              <w:pStyle w:val="30"/>
              <w:keepNext w:val="0"/>
              <w:keepLines w:val="0"/>
              <w:pageBreakBefore w:val="0"/>
              <w:widowControl w:val="0"/>
              <w:kinsoku/>
              <w:wordWrap/>
              <w:overflowPunct/>
              <w:topLinePunct w:val="0"/>
              <w:autoSpaceDE/>
              <w:autoSpaceDN/>
              <w:bidi w:val="0"/>
              <w:adjustRightInd/>
              <w:snapToGrid/>
              <w:spacing w:line="288" w:lineRule="auto"/>
              <w:ind w:firstLine="0" w:firstLineChars="0"/>
              <w:textAlignment w:val="auto"/>
              <w:rPr>
                <w:rFonts w:hint="eastAsia"/>
                <w:color w:val="auto"/>
                <w:highlight w:val="none"/>
                <w:lang w:val="zh-CN"/>
              </w:rPr>
            </w:pPr>
          </w:p>
        </w:tc>
        <w:tc>
          <w:tcPr>
            <w:tcW w:w="1146" w:type="dxa"/>
            <w:vAlign w:val="center"/>
          </w:tcPr>
          <w:p w14:paraId="1933B30C">
            <w:pPr>
              <w:widowControl/>
              <w:snapToGrid w:val="0"/>
              <w:spacing w:line="240" w:lineRule="auto"/>
              <w:ind w:firstLine="0" w:firstLineChars="0"/>
              <w:jc w:val="center"/>
              <w:rPr>
                <w:rFonts w:hint="default" w:ascii="Times New Roman" w:hAnsi="Times New Roman" w:cs="Times New Roman"/>
                <w:color w:val="auto"/>
                <w:highlight w:val="none"/>
                <w:lang w:val="zh-CN"/>
              </w:rPr>
            </w:pPr>
            <w:r>
              <w:rPr>
                <w:rFonts w:hint="default" w:ascii="Times New Roman" w:hAnsi="Times New Roman" w:eastAsia="宋体" w:cs="Times New Roman"/>
                <w:color w:val="auto"/>
                <w:kern w:val="0"/>
                <w:sz w:val="21"/>
                <w:szCs w:val="21"/>
                <w:highlight w:val="none"/>
                <w:lang w:val="en-US" w:eastAsia="zh-CN"/>
              </w:rPr>
              <w:t>127°35'34.1340"</w:t>
            </w:r>
          </w:p>
        </w:tc>
        <w:tc>
          <w:tcPr>
            <w:tcW w:w="954" w:type="dxa"/>
            <w:vAlign w:val="center"/>
          </w:tcPr>
          <w:p w14:paraId="790C732D">
            <w:pPr>
              <w:widowControl/>
              <w:snapToGrid w:val="0"/>
              <w:spacing w:line="240" w:lineRule="auto"/>
              <w:ind w:firstLine="0" w:firstLineChars="0"/>
              <w:jc w:val="center"/>
              <w:rPr>
                <w:rFonts w:hint="default" w:ascii="Times New Roman" w:hAnsi="Times New Roman" w:cs="Times New Roman"/>
                <w:color w:val="auto"/>
                <w:highlight w:val="none"/>
                <w:lang w:val="zh-CN"/>
              </w:rPr>
            </w:pPr>
            <w:r>
              <w:rPr>
                <w:rFonts w:hint="default" w:ascii="Times New Roman" w:hAnsi="Times New Roman" w:eastAsia="宋体" w:cs="Times New Roman"/>
                <w:color w:val="auto"/>
                <w:kern w:val="0"/>
                <w:sz w:val="21"/>
                <w:szCs w:val="21"/>
                <w:highlight w:val="none"/>
                <w:lang w:val="en-US" w:eastAsia="zh-CN"/>
              </w:rPr>
              <w:t>46°43'49.1550"</w:t>
            </w:r>
          </w:p>
        </w:tc>
        <w:tc>
          <w:tcPr>
            <w:tcW w:w="941" w:type="dxa"/>
            <w:vMerge w:val="continue"/>
            <w:vAlign w:val="center"/>
          </w:tcPr>
          <w:p w14:paraId="21C57B44">
            <w:pPr>
              <w:pStyle w:val="30"/>
              <w:keepNext w:val="0"/>
              <w:keepLines w:val="0"/>
              <w:pageBreakBefore w:val="0"/>
              <w:widowControl w:val="0"/>
              <w:kinsoku/>
              <w:wordWrap/>
              <w:overflowPunct/>
              <w:topLinePunct w:val="0"/>
              <w:autoSpaceDE/>
              <w:autoSpaceDN/>
              <w:bidi w:val="0"/>
              <w:adjustRightInd/>
              <w:snapToGrid/>
              <w:spacing w:line="288" w:lineRule="auto"/>
              <w:ind w:firstLine="0" w:firstLineChars="0"/>
              <w:textAlignment w:val="auto"/>
              <w:rPr>
                <w:rFonts w:hint="eastAsia"/>
                <w:color w:val="auto"/>
                <w:highlight w:val="none"/>
                <w:lang w:val="zh-CN"/>
              </w:rPr>
            </w:pPr>
          </w:p>
        </w:tc>
        <w:tc>
          <w:tcPr>
            <w:tcW w:w="1023" w:type="dxa"/>
            <w:vMerge w:val="continue"/>
            <w:vAlign w:val="center"/>
          </w:tcPr>
          <w:p w14:paraId="4F8A54A9">
            <w:pPr>
              <w:pStyle w:val="30"/>
              <w:keepNext w:val="0"/>
              <w:keepLines w:val="0"/>
              <w:pageBreakBefore w:val="0"/>
              <w:widowControl w:val="0"/>
              <w:kinsoku/>
              <w:wordWrap/>
              <w:overflowPunct/>
              <w:topLinePunct w:val="0"/>
              <w:autoSpaceDE/>
              <w:autoSpaceDN/>
              <w:bidi w:val="0"/>
              <w:adjustRightInd/>
              <w:snapToGrid/>
              <w:spacing w:line="288" w:lineRule="auto"/>
              <w:ind w:firstLine="0" w:firstLineChars="0"/>
              <w:textAlignment w:val="auto"/>
              <w:rPr>
                <w:rFonts w:hint="eastAsia"/>
                <w:color w:val="auto"/>
                <w:highlight w:val="none"/>
                <w:lang w:val="zh-CN"/>
              </w:rPr>
            </w:pPr>
          </w:p>
        </w:tc>
        <w:tc>
          <w:tcPr>
            <w:tcW w:w="2850" w:type="dxa"/>
            <w:vMerge w:val="continue"/>
            <w:vAlign w:val="center"/>
          </w:tcPr>
          <w:p w14:paraId="58DEE0BC">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zh-CN"/>
              </w:rPr>
            </w:pPr>
          </w:p>
        </w:tc>
        <w:tc>
          <w:tcPr>
            <w:tcW w:w="722" w:type="dxa"/>
            <w:vMerge w:val="continue"/>
            <w:vAlign w:val="center"/>
          </w:tcPr>
          <w:p w14:paraId="12FD39BC">
            <w:pPr>
              <w:widowControl/>
              <w:snapToGrid w:val="0"/>
              <w:spacing w:line="240" w:lineRule="auto"/>
              <w:ind w:firstLine="0" w:firstLineChars="0"/>
              <w:jc w:val="center"/>
              <w:rPr>
                <w:rFonts w:hint="eastAsia"/>
                <w:color w:val="auto"/>
                <w:highlight w:val="none"/>
                <w:lang w:val="zh-CN"/>
              </w:rPr>
            </w:pPr>
          </w:p>
        </w:tc>
        <w:tc>
          <w:tcPr>
            <w:tcW w:w="1052" w:type="dxa"/>
            <w:vMerge w:val="continue"/>
            <w:vAlign w:val="center"/>
          </w:tcPr>
          <w:p w14:paraId="676BCD4A">
            <w:pPr>
              <w:widowControl/>
              <w:snapToGrid w:val="0"/>
              <w:spacing w:line="240" w:lineRule="auto"/>
              <w:ind w:firstLine="0" w:firstLineChars="0"/>
              <w:jc w:val="center"/>
              <w:rPr>
                <w:rFonts w:hint="eastAsia"/>
                <w:color w:val="auto"/>
                <w:highlight w:val="none"/>
                <w:lang w:val="zh-CN"/>
              </w:rPr>
            </w:pPr>
          </w:p>
        </w:tc>
      </w:tr>
      <w:tr w14:paraId="3F458D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00" w:type="dxa"/>
            <w:vMerge w:val="restart"/>
            <w:vAlign w:val="center"/>
          </w:tcPr>
          <w:p w14:paraId="668B83B9">
            <w:pPr>
              <w:widowControl/>
              <w:spacing w:line="240" w:lineRule="auto"/>
              <w:ind w:firstLine="0" w:firstLineChars="0"/>
              <w:jc w:val="center"/>
              <w:textAlignment w:val="center"/>
              <w:rPr>
                <w:rFonts w:hint="default"/>
                <w:color w:val="auto"/>
                <w:highlight w:val="none"/>
                <w:lang w:val="zh-CN"/>
              </w:rPr>
            </w:pPr>
            <w:r>
              <w:rPr>
                <w:rFonts w:hint="eastAsia" w:ascii="Times New Roman" w:hAnsi="Times New Roman" w:eastAsia="宋体" w:cs="Times New Roman"/>
                <w:color w:val="auto"/>
                <w:kern w:val="0"/>
                <w:sz w:val="21"/>
                <w:szCs w:val="21"/>
                <w:highlight w:val="none"/>
                <w:lang w:val="en-US" w:eastAsia="zh-CN" w:bidi="ar"/>
              </w:rPr>
              <w:t>绥化市庆安县丰收乡饮用水水源地</w:t>
            </w:r>
          </w:p>
        </w:tc>
        <w:tc>
          <w:tcPr>
            <w:tcW w:w="874" w:type="dxa"/>
            <w:vAlign w:val="center"/>
          </w:tcPr>
          <w:p w14:paraId="29310818">
            <w:pPr>
              <w:pStyle w:val="30"/>
              <w:keepNext w:val="0"/>
              <w:keepLines w:val="0"/>
              <w:pageBreakBefore w:val="0"/>
              <w:widowControl w:val="0"/>
              <w:kinsoku/>
              <w:wordWrap/>
              <w:overflowPunct/>
              <w:topLinePunct w:val="0"/>
              <w:autoSpaceDE/>
              <w:autoSpaceDN/>
              <w:bidi w:val="0"/>
              <w:adjustRightInd/>
              <w:snapToGrid/>
              <w:spacing w:line="288" w:lineRule="auto"/>
              <w:ind w:firstLine="0" w:firstLineChars="0"/>
              <w:textAlignment w:val="auto"/>
              <w:rPr>
                <w:color w:val="auto"/>
                <w:highlight w:val="none"/>
              </w:rPr>
            </w:pPr>
            <w:r>
              <w:rPr>
                <w:color w:val="auto"/>
                <w:highlight w:val="none"/>
              </w:rPr>
              <w:t>1#</w:t>
            </w:r>
          </w:p>
        </w:tc>
        <w:tc>
          <w:tcPr>
            <w:tcW w:w="1363" w:type="dxa"/>
            <w:vMerge w:val="restart"/>
            <w:vAlign w:val="center"/>
          </w:tcPr>
          <w:p w14:paraId="38710543">
            <w:pPr>
              <w:widowControl/>
              <w:spacing w:line="240" w:lineRule="auto"/>
              <w:ind w:firstLine="0" w:firstLineChars="0"/>
              <w:jc w:val="center"/>
              <w:textAlignment w:val="center"/>
              <w:rPr>
                <w:color w:val="auto"/>
                <w:highlight w:val="none"/>
                <w:lang w:val="zh-CN"/>
              </w:rPr>
            </w:pPr>
            <w:r>
              <w:rPr>
                <w:rFonts w:hint="eastAsia"/>
                <w:color w:val="auto"/>
                <w:sz w:val="21"/>
                <w:szCs w:val="21"/>
                <w:highlight w:val="none"/>
                <w:lang w:eastAsia="zh-CN"/>
              </w:rPr>
              <w:t>丰收乡内</w:t>
            </w:r>
            <w:r>
              <w:rPr>
                <w:rFonts w:hint="eastAsia" w:cs="Times New Roman"/>
                <w:color w:val="auto"/>
                <w:kern w:val="0"/>
                <w:sz w:val="21"/>
                <w:szCs w:val="21"/>
                <w:highlight w:val="none"/>
                <w:lang w:val="en-US" w:eastAsia="zh-CN" w:bidi="ar"/>
              </w:rPr>
              <w:t>丰满村、丰裕村、丰田村</w:t>
            </w:r>
            <w:r>
              <w:rPr>
                <w:rFonts w:hint="eastAsia"/>
                <w:color w:val="auto"/>
                <w:sz w:val="21"/>
                <w:szCs w:val="21"/>
                <w:highlight w:val="none"/>
                <w:lang w:eastAsia="zh-CN"/>
              </w:rPr>
              <w:t>、</w:t>
            </w:r>
            <w:r>
              <w:rPr>
                <w:rFonts w:hint="eastAsia" w:cs="Times New Roman"/>
                <w:color w:val="auto"/>
                <w:kern w:val="0"/>
                <w:sz w:val="21"/>
                <w:szCs w:val="21"/>
                <w:highlight w:val="none"/>
                <w:lang w:val="en-US" w:eastAsia="zh-CN" w:bidi="ar"/>
              </w:rPr>
              <w:t>丰林村、丰山村、丰泰村、丰民村、丰盛村、丰华村</w:t>
            </w:r>
            <w:r>
              <w:rPr>
                <w:rFonts w:hint="eastAsia"/>
                <w:color w:val="auto"/>
                <w:sz w:val="21"/>
                <w:szCs w:val="21"/>
                <w:highlight w:val="none"/>
                <w:lang w:eastAsia="zh-CN"/>
              </w:rPr>
              <w:t>、</w:t>
            </w:r>
            <w:r>
              <w:rPr>
                <w:rFonts w:hint="eastAsia" w:cs="Times New Roman"/>
                <w:color w:val="auto"/>
                <w:kern w:val="0"/>
                <w:sz w:val="21"/>
                <w:szCs w:val="21"/>
                <w:highlight w:val="none"/>
                <w:lang w:val="en-US" w:eastAsia="zh-CN" w:bidi="ar"/>
              </w:rPr>
              <w:t>丰年村、丰收村、星光村，共计12个行政村村86个自然屯</w:t>
            </w:r>
          </w:p>
        </w:tc>
        <w:tc>
          <w:tcPr>
            <w:tcW w:w="928" w:type="dxa"/>
            <w:vAlign w:val="center"/>
          </w:tcPr>
          <w:p w14:paraId="26F98353">
            <w:pPr>
              <w:widowControl/>
              <w:snapToGrid w:val="0"/>
              <w:spacing w:line="240" w:lineRule="auto"/>
              <w:ind w:firstLine="0" w:firstLineChars="0"/>
              <w:jc w:val="center"/>
              <w:rPr>
                <w:rFonts w:hint="eastAsia"/>
                <w:color w:val="auto"/>
                <w:highlight w:val="none"/>
                <w:lang w:val="zh-CN"/>
              </w:rPr>
            </w:pPr>
            <w:r>
              <w:rPr>
                <w:rFonts w:hint="eastAsia" w:ascii="Times New Roman" w:hAnsi="Times New Roman" w:eastAsia="宋体" w:cs="Times New Roman"/>
                <w:color w:val="auto"/>
                <w:kern w:val="0"/>
                <w:sz w:val="21"/>
                <w:szCs w:val="21"/>
                <w:highlight w:val="none"/>
              </w:rPr>
              <w:t>地下水型</w:t>
            </w:r>
          </w:p>
        </w:tc>
        <w:tc>
          <w:tcPr>
            <w:tcW w:w="845" w:type="dxa"/>
            <w:vMerge w:val="restart"/>
            <w:vAlign w:val="center"/>
          </w:tcPr>
          <w:p w14:paraId="5F13EBE4">
            <w:pPr>
              <w:pStyle w:val="30"/>
              <w:keepNext w:val="0"/>
              <w:keepLines w:val="0"/>
              <w:pageBreakBefore w:val="0"/>
              <w:widowControl w:val="0"/>
              <w:kinsoku/>
              <w:wordWrap/>
              <w:overflowPunct/>
              <w:topLinePunct w:val="0"/>
              <w:autoSpaceDE/>
              <w:autoSpaceDN/>
              <w:bidi w:val="0"/>
              <w:adjustRightInd/>
              <w:snapToGrid/>
              <w:spacing w:line="288" w:lineRule="auto"/>
              <w:ind w:firstLine="0" w:firstLineChars="0"/>
              <w:textAlignment w:val="auto"/>
              <w:rPr>
                <w:rFonts w:hint="eastAsia"/>
                <w:color w:val="auto"/>
                <w:highlight w:val="none"/>
                <w:lang w:val="zh-CN"/>
              </w:rPr>
            </w:pPr>
            <w:r>
              <w:rPr>
                <w:rFonts w:hint="eastAsia" w:cs="Times New Roman"/>
                <w:color w:val="auto"/>
                <w:kern w:val="0"/>
                <w:sz w:val="21"/>
                <w:szCs w:val="21"/>
                <w:highlight w:val="none"/>
                <w:lang w:val="en-US" w:eastAsia="zh-CN"/>
              </w:rPr>
              <w:t>2023年</w:t>
            </w:r>
          </w:p>
        </w:tc>
        <w:tc>
          <w:tcPr>
            <w:tcW w:w="1146" w:type="dxa"/>
            <w:vAlign w:val="center"/>
          </w:tcPr>
          <w:p w14:paraId="56B14C58">
            <w:pPr>
              <w:widowControl/>
              <w:snapToGrid w:val="0"/>
              <w:spacing w:line="240" w:lineRule="auto"/>
              <w:ind w:firstLine="0" w:firstLineChars="0"/>
              <w:jc w:val="center"/>
              <w:rPr>
                <w:rFonts w:hint="default" w:ascii="Times New Roman" w:hAnsi="Times New Roman" w:cs="Times New Roman"/>
                <w:color w:val="auto"/>
                <w:highlight w:val="none"/>
                <w:lang w:val="zh-CN"/>
              </w:rPr>
            </w:pPr>
            <w:r>
              <w:rPr>
                <w:rFonts w:hint="default" w:ascii="Times New Roman" w:hAnsi="Times New Roman" w:eastAsia="宋体" w:cs="Times New Roman"/>
                <w:color w:val="auto"/>
                <w:kern w:val="0"/>
                <w:sz w:val="21"/>
                <w:szCs w:val="21"/>
                <w:highlight w:val="none"/>
                <w:lang w:val="en-US" w:eastAsia="zh-CN"/>
              </w:rPr>
              <w:t>127°43'18.1578"</w:t>
            </w:r>
          </w:p>
        </w:tc>
        <w:tc>
          <w:tcPr>
            <w:tcW w:w="954" w:type="dxa"/>
            <w:vAlign w:val="center"/>
          </w:tcPr>
          <w:p w14:paraId="6BB0BDC4">
            <w:pPr>
              <w:widowControl/>
              <w:snapToGrid w:val="0"/>
              <w:spacing w:line="240" w:lineRule="auto"/>
              <w:ind w:firstLine="0" w:firstLineChars="0"/>
              <w:jc w:val="center"/>
              <w:rPr>
                <w:rFonts w:hint="default" w:ascii="Times New Roman" w:hAnsi="Times New Roman" w:cs="Times New Roman"/>
                <w:color w:val="auto"/>
                <w:highlight w:val="none"/>
                <w:lang w:val="zh-CN"/>
              </w:rPr>
            </w:pPr>
            <w:r>
              <w:rPr>
                <w:rFonts w:hint="default" w:ascii="Times New Roman" w:hAnsi="Times New Roman" w:eastAsia="宋体" w:cs="Times New Roman"/>
                <w:color w:val="auto"/>
                <w:kern w:val="0"/>
                <w:sz w:val="21"/>
                <w:szCs w:val="21"/>
                <w:highlight w:val="none"/>
                <w:lang w:val="en-US" w:eastAsia="zh-CN"/>
              </w:rPr>
              <w:t>46°51'50.4898"</w:t>
            </w:r>
          </w:p>
        </w:tc>
        <w:tc>
          <w:tcPr>
            <w:tcW w:w="941" w:type="dxa"/>
            <w:vMerge w:val="restart"/>
            <w:vAlign w:val="center"/>
          </w:tcPr>
          <w:p w14:paraId="17A94ACD">
            <w:pPr>
              <w:widowControl/>
              <w:spacing w:line="240" w:lineRule="auto"/>
              <w:ind w:firstLine="0" w:firstLineChars="0"/>
              <w:jc w:val="center"/>
              <w:textAlignment w:val="center"/>
              <w:rPr>
                <w:rFonts w:hint="eastAsia"/>
                <w:color w:val="auto"/>
                <w:highlight w:val="none"/>
                <w:lang w:val="zh-CN"/>
              </w:rPr>
            </w:pPr>
            <w:r>
              <w:rPr>
                <w:rFonts w:hint="eastAsia" w:ascii="Times New Roman" w:hAnsi="Times New Roman" w:eastAsia="宋体" w:cs="Times New Roman"/>
                <w:color w:val="auto"/>
                <w:kern w:val="0"/>
                <w:sz w:val="21"/>
                <w:szCs w:val="21"/>
                <w:highlight w:val="none"/>
                <w:lang w:val="en-US" w:eastAsia="zh-CN" w:bidi="ar"/>
              </w:rPr>
              <w:t>9130人</w:t>
            </w:r>
          </w:p>
        </w:tc>
        <w:tc>
          <w:tcPr>
            <w:tcW w:w="1023" w:type="dxa"/>
            <w:vMerge w:val="restart"/>
            <w:vAlign w:val="center"/>
          </w:tcPr>
          <w:p w14:paraId="6E223424">
            <w:pPr>
              <w:widowControl/>
              <w:snapToGrid w:val="0"/>
              <w:spacing w:line="240" w:lineRule="auto"/>
              <w:ind w:firstLine="0" w:firstLineChars="0"/>
              <w:jc w:val="center"/>
              <w:rPr>
                <w:rFonts w:hint="eastAsia"/>
                <w:color w:val="auto"/>
                <w:highlight w:val="none"/>
                <w:lang w:val="zh-CN"/>
              </w:rPr>
            </w:pPr>
            <w:r>
              <w:rPr>
                <w:rFonts w:hint="eastAsia"/>
                <w:color w:val="auto"/>
                <w:sz w:val="21"/>
                <w:szCs w:val="18"/>
                <w:highlight w:val="none"/>
              </w:rPr>
              <w:t>机械曝气</w:t>
            </w:r>
            <w:r>
              <w:rPr>
                <w:rFonts w:hint="eastAsia"/>
                <w:color w:val="auto"/>
                <w:sz w:val="21"/>
                <w:szCs w:val="18"/>
                <w:highlight w:val="none"/>
                <w:lang w:eastAsia="zh-CN"/>
              </w:rPr>
              <w:t>、</w:t>
            </w:r>
            <w:r>
              <w:rPr>
                <w:rFonts w:hint="eastAsia"/>
                <w:color w:val="auto"/>
                <w:sz w:val="21"/>
                <w:szCs w:val="18"/>
                <w:highlight w:val="none"/>
              </w:rPr>
              <w:t>二级除铁除锰</w:t>
            </w:r>
            <w:r>
              <w:rPr>
                <w:rFonts w:hint="eastAsia"/>
                <w:color w:val="auto"/>
                <w:sz w:val="21"/>
                <w:szCs w:val="18"/>
                <w:highlight w:val="none"/>
                <w:lang w:eastAsia="zh-CN"/>
              </w:rPr>
              <w:t>、</w:t>
            </w:r>
            <w:r>
              <w:rPr>
                <w:rFonts w:hint="eastAsia"/>
                <w:color w:val="auto"/>
                <w:sz w:val="21"/>
                <w:szCs w:val="18"/>
                <w:highlight w:val="none"/>
              </w:rPr>
              <w:t>二氧化氯</w:t>
            </w:r>
            <w:r>
              <w:rPr>
                <w:rFonts w:hint="eastAsia"/>
                <w:color w:val="auto"/>
                <w:sz w:val="21"/>
                <w:szCs w:val="18"/>
                <w:highlight w:val="none"/>
                <w:lang w:eastAsia="zh-CN"/>
              </w:rPr>
              <w:t>消毒</w:t>
            </w:r>
          </w:p>
        </w:tc>
        <w:tc>
          <w:tcPr>
            <w:tcW w:w="2850" w:type="dxa"/>
            <w:vMerge w:val="restart"/>
            <w:vAlign w:val="center"/>
          </w:tcPr>
          <w:p w14:paraId="02747D42">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zh-CN"/>
              </w:rPr>
            </w:pPr>
            <w:r>
              <w:rPr>
                <w:rFonts w:hint="eastAsia" w:cs="Times New Roman"/>
                <w:color w:val="auto"/>
                <w:kern w:val="0"/>
                <w:sz w:val="21"/>
                <w:szCs w:val="21"/>
                <w:highlight w:val="none"/>
                <w:lang w:val="en-US" w:eastAsia="zh-CN"/>
              </w:rPr>
              <w:t>3</w:t>
            </w:r>
            <w:r>
              <w:rPr>
                <w:rFonts w:hint="eastAsia" w:ascii="Times New Roman" w:hAnsi="Times New Roman" w:eastAsia="宋体" w:cs="Times New Roman"/>
                <w:color w:val="auto"/>
                <w:kern w:val="0"/>
                <w:sz w:val="21"/>
                <w:szCs w:val="21"/>
                <w:highlight w:val="none"/>
              </w:rPr>
              <w:t>眼井，为</w:t>
            </w:r>
            <w:r>
              <w:rPr>
                <w:rFonts w:hint="eastAsia" w:ascii="Times New Roman" w:hAnsi="Times New Roman" w:cs="Times New Roman"/>
                <w:color w:val="auto"/>
                <w:sz w:val="21"/>
                <w:szCs w:val="21"/>
                <w:highlight w:val="none"/>
                <w:lang w:eastAsia="zh-CN"/>
              </w:rPr>
              <w:t>孔隙—裂隙</w:t>
            </w:r>
            <w:r>
              <w:rPr>
                <w:rFonts w:hint="eastAsia" w:ascii="Times New Roman" w:hAnsi="Times New Roman" w:eastAsia="宋体" w:cs="Times New Roman"/>
                <w:color w:val="auto"/>
                <w:kern w:val="0"/>
                <w:sz w:val="21"/>
                <w:szCs w:val="21"/>
                <w:highlight w:val="none"/>
              </w:rPr>
              <w:t>承压水型，</w:t>
            </w:r>
            <w:r>
              <w:rPr>
                <w:rFonts w:hint="eastAsia" w:ascii="Times New Roman" w:hAnsi="Times New Roman" w:eastAsia="宋体" w:cs="Times New Roman"/>
                <w:color w:val="auto"/>
                <w:sz w:val="21"/>
                <w:szCs w:val="21"/>
                <w:highlight w:val="none"/>
                <w:lang w:val="en-US" w:eastAsia="zh-CN"/>
              </w:rPr>
              <w:t>一级保护区范围：分别以3眼取水井为圆心，30米为半径的圆形区域，一级保护区总面积为</w:t>
            </w:r>
            <w:r>
              <w:rPr>
                <w:rFonts w:hint="eastAsia"/>
                <w:color w:val="auto"/>
                <w:sz w:val="21"/>
                <w:szCs w:val="21"/>
                <w:highlight w:val="none"/>
                <w:lang w:val="en-US" w:eastAsia="zh-CN"/>
              </w:rPr>
              <w:t>8478</w:t>
            </w:r>
            <w:r>
              <w:rPr>
                <w:rFonts w:hint="eastAsia"/>
                <w:color w:val="auto"/>
                <w:sz w:val="21"/>
                <w:szCs w:val="21"/>
                <w:highlight w:val="none"/>
              </w:rPr>
              <w:t>平方米</w:t>
            </w:r>
            <w:r>
              <w:rPr>
                <w:rFonts w:hint="eastAsia" w:ascii="Times New Roman" w:hAnsi="Times New Roman" w:eastAsia="宋体" w:cs="Times New Roman"/>
                <w:color w:val="auto"/>
                <w:kern w:val="0"/>
                <w:sz w:val="21"/>
                <w:szCs w:val="21"/>
                <w:highlight w:val="none"/>
              </w:rPr>
              <w:t>。</w:t>
            </w:r>
          </w:p>
        </w:tc>
        <w:tc>
          <w:tcPr>
            <w:tcW w:w="722" w:type="dxa"/>
            <w:vMerge w:val="restart"/>
            <w:vAlign w:val="center"/>
          </w:tcPr>
          <w:p w14:paraId="3FF8F47D">
            <w:pPr>
              <w:widowControl/>
              <w:snapToGrid w:val="0"/>
              <w:spacing w:line="240" w:lineRule="auto"/>
              <w:ind w:firstLine="0" w:firstLineChars="0"/>
              <w:jc w:val="center"/>
              <w:rPr>
                <w:rFonts w:hint="eastAsia"/>
                <w:color w:val="auto"/>
                <w:highlight w:val="none"/>
                <w:lang w:val="zh-CN"/>
              </w:rPr>
            </w:pPr>
            <w:r>
              <w:rPr>
                <w:rFonts w:hint="eastAsia" w:ascii="Times New Roman" w:hAnsi="Times New Roman" w:eastAsia="宋体" w:cs="Times New Roman"/>
                <w:color w:val="auto"/>
                <w:kern w:val="0"/>
                <w:sz w:val="21"/>
                <w:szCs w:val="21"/>
                <w:highlight w:val="none"/>
              </w:rPr>
              <w:t>无</w:t>
            </w:r>
          </w:p>
        </w:tc>
        <w:tc>
          <w:tcPr>
            <w:tcW w:w="1052" w:type="dxa"/>
            <w:vMerge w:val="restart"/>
            <w:vAlign w:val="center"/>
          </w:tcPr>
          <w:p w14:paraId="1BFD9E05">
            <w:pPr>
              <w:widowControl/>
              <w:snapToGrid w:val="0"/>
              <w:spacing w:line="240" w:lineRule="auto"/>
              <w:ind w:firstLine="0" w:firstLineChars="0"/>
              <w:jc w:val="center"/>
              <w:rPr>
                <w:rFonts w:hint="eastAsia"/>
                <w:color w:val="auto"/>
                <w:highlight w:val="none"/>
                <w:lang w:val="zh-CN"/>
              </w:rPr>
            </w:pPr>
            <w:r>
              <w:rPr>
                <w:rFonts w:hint="eastAsia" w:ascii="Times New Roman" w:hAnsi="Times New Roman" w:eastAsia="宋体" w:cs="Times New Roman"/>
                <w:color w:val="auto"/>
                <w:kern w:val="0"/>
                <w:sz w:val="21"/>
                <w:szCs w:val="21"/>
                <w:highlight w:val="none"/>
              </w:rPr>
              <w:t>无</w:t>
            </w:r>
          </w:p>
        </w:tc>
      </w:tr>
      <w:tr w14:paraId="797DF4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00" w:type="dxa"/>
            <w:vMerge w:val="continue"/>
            <w:vAlign w:val="center"/>
          </w:tcPr>
          <w:p w14:paraId="41CABF44">
            <w:pPr>
              <w:pStyle w:val="30"/>
              <w:keepNext w:val="0"/>
              <w:keepLines w:val="0"/>
              <w:pageBreakBefore w:val="0"/>
              <w:widowControl w:val="0"/>
              <w:kinsoku/>
              <w:wordWrap/>
              <w:overflowPunct/>
              <w:topLinePunct w:val="0"/>
              <w:autoSpaceDE/>
              <w:autoSpaceDN/>
              <w:bidi w:val="0"/>
              <w:adjustRightInd/>
              <w:snapToGrid/>
              <w:spacing w:line="288" w:lineRule="auto"/>
              <w:textAlignment w:val="auto"/>
              <w:rPr>
                <w:rFonts w:hint="default"/>
                <w:color w:val="auto"/>
                <w:highlight w:val="none"/>
                <w:lang w:val="zh-CN"/>
              </w:rPr>
            </w:pPr>
          </w:p>
        </w:tc>
        <w:tc>
          <w:tcPr>
            <w:tcW w:w="874" w:type="dxa"/>
            <w:vAlign w:val="center"/>
          </w:tcPr>
          <w:p w14:paraId="7488204B">
            <w:pPr>
              <w:pStyle w:val="30"/>
              <w:keepNext w:val="0"/>
              <w:keepLines w:val="0"/>
              <w:pageBreakBefore w:val="0"/>
              <w:widowControl w:val="0"/>
              <w:kinsoku/>
              <w:wordWrap/>
              <w:overflowPunct/>
              <w:topLinePunct w:val="0"/>
              <w:autoSpaceDE/>
              <w:autoSpaceDN/>
              <w:bidi w:val="0"/>
              <w:adjustRightInd/>
              <w:snapToGrid/>
              <w:spacing w:line="288" w:lineRule="auto"/>
              <w:ind w:firstLine="0" w:firstLineChars="0"/>
              <w:textAlignment w:val="auto"/>
              <w:rPr>
                <w:color w:val="auto"/>
                <w:highlight w:val="none"/>
              </w:rPr>
            </w:pPr>
            <w:r>
              <w:rPr>
                <w:color w:val="auto"/>
                <w:highlight w:val="none"/>
              </w:rPr>
              <w:t>2#</w:t>
            </w:r>
          </w:p>
        </w:tc>
        <w:tc>
          <w:tcPr>
            <w:tcW w:w="1363" w:type="dxa"/>
            <w:vMerge w:val="continue"/>
            <w:vAlign w:val="center"/>
          </w:tcPr>
          <w:p w14:paraId="50647769">
            <w:pPr>
              <w:widowControl/>
              <w:snapToGrid w:val="0"/>
              <w:spacing w:line="240" w:lineRule="auto"/>
              <w:ind w:firstLine="0" w:firstLineChars="0"/>
              <w:jc w:val="center"/>
              <w:rPr>
                <w:color w:val="auto"/>
                <w:highlight w:val="none"/>
                <w:lang w:val="zh-CN"/>
              </w:rPr>
            </w:pPr>
          </w:p>
        </w:tc>
        <w:tc>
          <w:tcPr>
            <w:tcW w:w="928" w:type="dxa"/>
            <w:vAlign w:val="center"/>
          </w:tcPr>
          <w:p w14:paraId="560D2038">
            <w:pPr>
              <w:widowControl/>
              <w:snapToGrid w:val="0"/>
              <w:spacing w:line="240" w:lineRule="auto"/>
              <w:ind w:firstLine="0" w:firstLineChars="0"/>
              <w:jc w:val="center"/>
              <w:rPr>
                <w:rFonts w:hint="eastAsia"/>
                <w:color w:val="auto"/>
                <w:highlight w:val="none"/>
                <w:lang w:val="zh-CN"/>
              </w:rPr>
            </w:pPr>
            <w:r>
              <w:rPr>
                <w:rFonts w:hint="eastAsia" w:ascii="Times New Roman" w:hAnsi="Times New Roman" w:eastAsia="宋体" w:cs="Times New Roman"/>
                <w:color w:val="auto"/>
                <w:kern w:val="0"/>
                <w:sz w:val="21"/>
                <w:szCs w:val="21"/>
                <w:highlight w:val="none"/>
              </w:rPr>
              <w:t>地下水型</w:t>
            </w:r>
          </w:p>
        </w:tc>
        <w:tc>
          <w:tcPr>
            <w:tcW w:w="845" w:type="dxa"/>
            <w:vMerge w:val="continue"/>
            <w:vAlign w:val="center"/>
          </w:tcPr>
          <w:p w14:paraId="135191D3">
            <w:pPr>
              <w:pStyle w:val="30"/>
              <w:keepNext w:val="0"/>
              <w:keepLines w:val="0"/>
              <w:pageBreakBefore w:val="0"/>
              <w:widowControl w:val="0"/>
              <w:kinsoku/>
              <w:wordWrap/>
              <w:overflowPunct/>
              <w:topLinePunct w:val="0"/>
              <w:autoSpaceDE/>
              <w:autoSpaceDN/>
              <w:bidi w:val="0"/>
              <w:adjustRightInd/>
              <w:snapToGrid/>
              <w:spacing w:line="288" w:lineRule="auto"/>
              <w:ind w:firstLine="0" w:firstLineChars="0"/>
              <w:textAlignment w:val="auto"/>
              <w:rPr>
                <w:rFonts w:hint="eastAsia"/>
                <w:color w:val="auto"/>
                <w:highlight w:val="none"/>
                <w:lang w:val="zh-CN"/>
              </w:rPr>
            </w:pPr>
          </w:p>
        </w:tc>
        <w:tc>
          <w:tcPr>
            <w:tcW w:w="1146" w:type="dxa"/>
            <w:vAlign w:val="center"/>
          </w:tcPr>
          <w:p w14:paraId="3564E32C">
            <w:pPr>
              <w:widowControl/>
              <w:snapToGrid w:val="0"/>
              <w:spacing w:line="240" w:lineRule="auto"/>
              <w:ind w:firstLine="0" w:firstLineChars="0"/>
              <w:jc w:val="center"/>
              <w:rPr>
                <w:rFonts w:hint="default" w:ascii="Times New Roman" w:hAnsi="Times New Roman" w:cs="Times New Roman"/>
                <w:color w:val="auto"/>
                <w:highlight w:val="none"/>
                <w:lang w:val="zh-CN"/>
              </w:rPr>
            </w:pPr>
            <w:r>
              <w:rPr>
                <w:rFonts w:hint="default" w:ascii="Times New Roman" w:hAnsi="Times New Roman" w:eastAsia="宋体" w:cs="Times New Roman"/>
                <w:color w:val="auto"/>
                <w:kern w:val="0"/>
                <w:sz w:val="21"/>
                <w:szCs w:val="21"/>
                <w:highlight w:val="none"/>
                <w:lang w:val="en-US" w:eastAsia="zh-CN"/>
              </w:rPr>
              <w:t>127°43'09.9889"</w:t>
            </w:r>
          </w:p>
        </w:tc>
        <w:tc>
          <w:tcPr>
            <w:tcW w:w="954" w:type="dxa"/>
            <w:vAlign w:val="center"/>
          </w:tcPr>
          <w:p w14:paraId="07641424">
            <w:pPr>
              <w:widowControl/>
              <w:snapToGrid w:val="0"/>
              <w:spacing w:line="240" w:lineRule="auto"/>
              <w:ind w:firstLine="0" w:firstLineChars="0"/>
              <w:jc w:val="center"/>
              <w:rPr>
                <w:rFonts w:hint="default" w:ascii="Times New Roman" w:hAnsi="Times New Roman" w:cs="Times New Roman"/>
                <w:color w:val="auto"/>
                <w:highlight w:val="none"/>
                <w:lang w:val="zh-CN"/>
              </w:rPr>
            </w:pPr>
            <w:r>
              <w:rPr>
                <w:rFonts w:hint="default" w:ascii="Times New Roman" w:hAnsi="Times New Roman" w:eastAsia="宋体" w:cs="Times New Roman"/>
                <w:color w:val="auto"/>
                <w:kern w:val="0"/>
                <w:sz w:val="21"/>
                <w:szCs w:val="21"/>
                <w:highlight w:val="none"/>
                <w:lang w:val="en-US" w:eastAsia="zh-CN"/>
              </w:rPr>
              <w:t>46°51'48.4795"</w:t>
            </w:r>
          </w:p>
        </w:tc>
        <w:tc>
          <w:tcPr>
            <w:tcW w:w="941" w:type="dxa"/>
            <w:vMerge w:val="continue"/>
            <w:vAlign w:val="center"/>
          </w:tcPr>
          <w:p w14:paraId="728FE058">
            <w:pPr>
              <w:pStyle w:val="30"/>
              <w:keepNext w:val="0"/>
              <w:keepLines w:val="0"/>
              <w:pageBreakBefore w:val="0"/>
              <w:widowControl w:val="0"/>
              <w:kinsoku/>
              <w:wordWrap/>
              <w:overflowPunct/>
              <w:topLinePunct w:val="0"/>
              <w:autoSpaceDE/>
              <w:autoSpaceDN/>
              <w:bidi w:val="0"/>
              <w:adjustRightInd/>
              <w:snapToGrid/>
              <w:spacing w:line="288" w:lineRule="auto"/>
              <w:ind w:firstLine="0" w:firstLineChars="0"/>
              <w:textAlignment w:val="auto"/>
              <w:rPr>
                <w:rFonts w:hint="eastAsia"/>
                <w:color w:val="auto"/>
                <w:highlight w:val="none"/>
                <w:lang w:val="zh-CN"/>
              </w:rPr>
            </w:pPr>
          </w:p>
        </w:tc>
        <w:tc>
          <w:tcPr>
            <w:tcW w:w="1023" w:type="dxa"/>
            <w:vMerge w:val="continue"/>
            <w:vAlign w:val="center"/>
          </w:tcPr>
          <w:p w14:paraId="639BC0A4">
            <w:pPr>
              <w:pStyle w:val="30"/>
              <w:keepNext w:val="0"/>
              <w:keepLines w:val="0"/>
              <w:pageBreakBefore w:val="0"/>
              <w:widowControl w:val="0"/>
              <w:kinsoku/>
              <w:wordWrap/>
              <w:overflowPunct/>
              <w:topLinePunct w:val="0"/>
              <w:autoSpaceDE/>
              <w:autoSpaceDN/>
              <w:bidi w:val="0"/>
              <w:adjustRightInd/>
              <w:snapToGrid/>
              <w:spacing w:line="288" w:lineRule="auto"/>
              <w:ind w:firstLine="0" w:firstLineChars="0"/>
              <w:textAlignment w:val="auto"/>
              <w:rPr>
                <w:rFonts w:hint="eastAsia"/>
                <w:color w:val="auto"/>
                <w:highlight w:val="none"/>
                <w:lang w:val="zh-CN"/>
              </w:rPr>
            </w:pPr>
          </w:p>
        </w:tc>
        <w:tc>
          <w:tcPr>
            <w:tcW w:w="2850" w:type="dxa"/>
            <w:vMerge w:val="continue"/>
            <w:vAlign w:val="center"/>
          </w:tcPr>
          <w:p w14:paraId="6B753E06">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zh-CN"/>
              </w:rPr>
            </w:pPr>
          </w:p>
        </w:tc>
        <w:tc>
          <w:tcPr>
            <w:tcW w:w="722" w:type="dxa"/>
            <w:vMerge w:val="continue"/>
            <w:vAlign w:val="center"/>
          </w:tcPr>
          <w:p w14:paraId="5CF36979">
            <w:pPr>
              <w:widowControl/>
              <w:snapToGrid w:val="0"/>
              <w:spacing w:line="240" w:lineRule="auto"/>
              <w:ind w:firstLine="0" w:firstLineChars="0"/>
              <w:jc w:val="center"/>
              <w:rPr>
                <w:rFonts w:hint="eastAsia"/>
                <w:color w:val="auto"/>
                <w:highlight w:val="none"/>
                <w:lang w:val="zh-CN"/>
              </w:rPr>
            </w:pPr>
          </w:p>
        </w:tc>
        <w:tc>
          <w:tcPr>
            <w:tcW w:w="1052" w:type="dxa"/>
            <w:vMerge w:val="continue"/>
            <w:vAlign w:val="center"/>
          </w:tcPr>
          <w:p w14:paraId="1437A930">
            <w:pPr>
              <w:widowControl/>
              <w:snapToGrid w:val="0"/>
              <w:spacing w:line="240" w:lineRule="auto"/>
              <w:ind w:firstLine="0" w:firstLineChars="0"/>
              <w:jc w:val="center"/>
              <w:rPr>
                <w:rFonts w:hint="eastAsia"/>
                <w:color w:val="auto"/>
                <w:highlight w:val="none"/>
                <w:lang w:val="zh-CN"/>
              </w:rPr>
            </w:pPr>
          </w:p>
        </w:tc>
      </w:tr>
      <w:tr w14:paraId="03E99A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00" w:type="dxa"/>
            <w:vMerge w:val="continue"/>
            <w:vAlign w:val="center"/>
          </w:tcPr>
          <w:p w14:paraId="78D8DEDC">
            <w:pPr>
              <w:pStyle w:val="30"/>
              <w:keepNext w:val="0"/>
              <w:keepLines w:val="0"/>
              <w:pageBreakBefore w:val="0"/>
              <w:widowControl w:val="0"/>
              <w:kinsoku/>
              <w:wordWrap/>
              <w:overflowPunct/>
              <w:topLinePunct w:val="0"/>
              <w:autoSpaceDE/>
              <w:autoSpaceDN/>
              <w:bidi w:val="0"/>
              <w:adjustRightInd/>
              <w:snapToGrid/>
              <w:spacing w:line="288" w:lineRule="auto"/>
              <w:textAlignment w:val="auto"/>
              <w:rPr>
                <w:rFonts w:hint="default"/>
                <w:color w:val="auto"/>
                <w:highlight w:val="none"/>
                <w:lang w:val="zh-CN"/>
              </w:rPr>
            </w:pPr>
          </w:p>
        </w:tc>
        <w:tc>
          <w:tcPr>
            <w:tcW w:w="874" w:type="dxa"/>
            <w:vAlign w:val="center"/>
          </w:tcPr>
          <w:p w14:paraId="7F76DBF0">
            <w:pPr>
              <w:pStyle w:val="30"/>
              <w:keepNext w:val="0"/>
              <w:keepLines w:val="0"/>
              <w:pageBreakBefore w:val="0"/>
              <w:widowControl w:val="0"/>
              <w:kinsoku/>
              <w:wordWrap/>
              <w:overflowPunct/>
              <w:topLinePunct w:val="0"/>
              <w:autoSpaceDE/>
              <w:autoSpaceDN/>
              <w:bidi w:val="0"/>
              <w:adjustRightInd/>
              <w:snapToGrid/>
              <w:spacing w:line="288" w:lineRule="auto"/>
              <w:ind w:firstLine="0" w:firstLineChars="0"/>
              <w:textAlignment w:val="auto"/>
              <w:rPr>
                <w:color w:val="auto"/>
                <w:highlight w:val="none"/>
              </w:rPr>
            </w:pPr>
            <w:r>
              <w:rPr>
                <w:color w:val="auto"/>
                <w:highlight w:val="none"/>
              </w:rPr>
              <w:t>3#</w:t>
            </w:r>
          </w:p>
        </w:tc>
        <w:tc>
          <w:tcPr>
            <w:tcW w:w="1363" w:type="dxa"/>
            <w:vMerge w:val="continue"/>
            <w:vAlign w:val="center"/>
          </w:tcPr>
          <w:p w14:paraId="7C621D9A">
            <w:pPr>
              <w:widowControl/>
              <w:snapToGrid w:val="0"/>
              <w:spacing w:line="240" w:lineRule="auto"/>
              <w:ind w:firstLine="0" w:firstLineChars="0"/>
              <w:jc w:val="center"/>
              <w:rPr>
                <w:color w:val="auto"/>
                <w:highlight w:val="none"/>
                <w:lang w:val="zh-CN"/>
              </w:rPr>
            </w:pPr>
          </w:p>
        </w:tc>
        <w:tc>
          <w:tcPr>
            <w:tcW w:w="928" w:type="dxa"/>
            <w:vAlign w:val="center"/>
          </w:tcPr>
          <w:p w14:paraId="2C69D005">
            <w:pPr>
              <w:widowControl/>
              <w:snapToGrid w:val="0"/>
              <w:spacing w:line="240" w:lineRule="auto"/>
              <w:ind w:firstLine="0" w:firstLineChars="0"/>
              <w:jc w:val="center"/>
              <w:rPr>
                <w:rFonts w:hint="eastAsia"/>
                <w:color w:val="auto"/>
                <w:highlight w:val="none"/>
                <w:lang w:val="zh-CN"/>
              </w:rPr>
            </w:pPr>
            <w:r>
              <w:rPr>
                <w:rFonts w:hint="eastAsia" w:ascii="Times New Roman" w:hAnsi="Times New Roman" w:eastAsia="宋体" w:cs="Times New Roman"/>
                <w:color w:val="auto"/>
                <w:kern w:val="0"/>
                <w:sz w:val="21"/>
                <w:szCs w:val="21"/>
                <w:highlight w:val="none"/>
              </w:rPr>
              <w:t>地下水型</w:t>
            </w:r>
          </w:p>
        </w:tc>
        <w:tc>
          <w:tcPr>
            <w:tcW w:w="845" w:type="dxa"/>
            <w:vMerge w:val="continue"/>
            <w:vAlign w:val="center"/>
          </w:tcPr>
          <w:p w14:paraId="4A1AF266">
            <w:pPr>
              <w:pStyle w:val="30"/>
              <w:keepNext w:val="0"/>
              <w:keepLines w:val="0"/>
              <w:pageBreakBefore w:val="0"/>
              <w:widowControl w:val="0"/>
              <w:kinsoku/>
              <w:wordWrap/>
              <w:overflowPunct/>
              <w:topLinePunct w:val="0"/>
              <w:autoSpaceDE/>
              <w:autoSpaceDN/>
              <w:bidi w:val="0"/>
              <w:adjustRightInd/>
              <w:snapToGrid/>
              <w:spacing w:line="288" w:lineRule="auto"/>
              <w:ind w:firstLine="0" w:firstLineChars="0"/>
              <w:textAlignment w:val="auto"/>
              <w:rPr>
                <w:rFonts w:hint="eastAsia"/>
                <w:color w:val="auto"/>
                <w:highlight w:val="none"/>
                <w:lang w:val="zh-CN"/>
              </w:rPr>
            </w:pPr>
          </w:p>
        </w:tc>
        <w:tc>
          <w:tcPr>
            <w:tcW w:w="1146" w:type="dxa"/>
            <w:vAlign w:val="center"/>
          </w:tcPr>
          <w:p w14:paraId="35B79582">
            <w:pPr>
              <w:widowControl/>
              <w:snapToGrid w:val="0"/>
              <w:spacing w:line="240" w:lineRule="auto"/>
              <w:ind w:firstLine="0" w:firstLineChars="0"/>
              <w:jc w:val="center"/>
              <w:rPr>
                <w:rFonts w:hint="default" w:ascii="Times New Roman" w:hAnsi="Times New Roman" w:cs="Times New Roman"/>
                <w:color w:val="auto"/>
                <w:highlight w:val="none"/>
                <w:lang w:val="zh-CN"/>
              </w:rPr>
            </w:pPr>
            <w:r>
              <w:rPr>
                <w:rFonts w:hint="default" w:ascii="Times New Roman" w:hAnsi="Times New Roman" w:eastAsia="宋体" w:cs="Times New Roman"/>
                <w:color w:val="auto"/>
                <w:kern w:val="0"/>
                <w:sz w:val="21"/>
                <w:szCs w:val="21"/>
                <w:highlight w:val="none"/>
                <w:lang w:val="en-US" w:eastAsia="zh-CN"/>
              </w:rPr>
              <w:t>127°43'02.7179"</w:t>
            </w:r>
          </w:p>
        </w:tc>
        <w:tc>
          <w:tcPr>
            <w:tcW w:w="954" w:type="dxa"/>
            <w:vAlign w:val="center"/>
          </w:tcPr>
          <w:p w14:paraId="41C0191F">
            <w:pPr>
              <w:widowControl/>
              <w:snapToGrid w:val="0"/>
              <w:spacing w:line="240" w:lineRule="auto"/>
              <w:ind w:firstLine="0" w:firstLineChars="0"/>
              <w:jc w:val="center"/>
              <w:rPr>
                <w:rFonts w:hint="default" w:ascii="Times New Roman" w:hAnsi="Times New Roman" w:cs="Times New Roman"/>
                <w:color w:val="auto"/>
                <w:highlight w:val="none"/>
                <w:lang w:val="zh-CN"/>
              </w:rPr>
            </w:pPr>
            <w:r>
              <w:rPr>
                <w:rFonts w:hint="default" w:ascii="Times New Roman" w:hAnsi="Times New Roman" w:eastAsia="宋体" w:cs="Times New Roman"/>
                <w:color w:val="auto"/>
                <w:kern w:val="0"/>
                <w:sz w:val="21"/>
                <w:szCs w:val="21"/>
                <w:highlight w:val="none"/>
                <w:lang w:val="en-US" w:eastAsia="zh-CN"/>
              </w:rPr>
              <w:t>46°51'47.0666"</w:t>
            </w:r>
          </w:p>
        </w:tc>
        <w:tc>
          <w:tcPr>
            <w:tcW w:w="941" w:type="dxa"/>
            <w:vMerge w:val="continue"/>
            <w:vAlign w:val="center"/>
          </w:tcPr>
          <w:p w14:paraId="640E4929">
            <w:pPr>
              <w:pStyle w:val="30"/>
              <w:keepNext w:val="0"/>
              <w:keepLines w:val="0"/>
              <w:pageBreakBefore w:val="0"/>
              <w:widowControl w:val="0"/>
              <w:kinsoku/>
              <w:wordWrap/>
              <w:overflowPunct/>
              <w:topLinePunct w:val="0"/>
              <w:autoSpaceDE/>
              <w:autoSpaceDN/>
              <w:bidi w:val="0"/>
              <w:adjustRightInd/>
              <w:snapToGrid/>
              <w:spacing w:line="288" w:lineRule="auto"/>
              <w:ind w:firstLine="0" w:firstLineChars="0"/>
              <w:textAlignment w:val="auto"/>
              <w:rPr>
                <w:rFonts w:hint="eastAsia"/>
                <w:color w:val="auto"/>
                <w:highlight w:val="none"/>
                <w:lang w:val="zh-CN"/>
              </w:rPr>
            </w:pPr>
          </w:p>
        </w:tc>
        <w:tc>
          <w:tcPr>
            <w:tcW w:w="1023" w:type="dxa"/>
            <w:vMerge w:val="continue"/>
            <w:vAlign w:val="center"/>
          </w:tcPr>
          <w:p w14:paraId="540020A3">
            <w:pPr>
              <w:pStyle w:val="30"/>
              <w:keepNext w:val="0"/>
              <w:keepLines w:val="0"/>
              <w:pageBreakBefore w:val="0"/>
              <w:widowControl w:val="0"/>
              <w:kinsoku/>
              <w:wordWrap/>
              <w:overflowPunct/>
              <w:topLinePunct w:val="0"/>
              <w:autoSpaceDE/>
              <w:autoSpaceDN/>
              <w:bidi w:val="0"/>
              <w:adjustRightInd/>
              <w:snapToGrid/>
              <w:spacing w:line="288" w:lineRule="auto"/>
              <w:ind w:firstLine="0" w:firstLineChars="0"/>
              <w:textAlignment w:val="auto"/>
              <w:rPr>
                <w:rFonts w:hint="eastAsia"/>
                <w:color w:val="auto"/>
                <w:highlight w:val="none"/>
                <w:lang w:val="zh-CN"/>
              </w:rPr>
            </w:pPr>
          </w:p>
        </w:tc>
        <w:tc>
          <w:tcPr>
            <w:tcW w:w="2850" w:type="dxa"/>
            <w:vMerge w:val="continue"/>
            <w:vAlign w:val="center"/>
          </w:tcPr>
          <w:p w14:paraId="00FE980F">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zh-CN"/>
              </w:rPr>
            </w:pPr>
          </w:p>
        </w:tc>
        <w:tc>
          <w:tcPr>
            <w:tcW w:w="722" w:type="dxa"/>
            <w:vMerge w:val="continue"/>
            <w:vAlign w:val="center"/>
          </w:tcPr>
          <w:p w14:paraId="48FDF894">
            <w:pPr>
              <w:widowControl/>
              <w:snapToGrid w:val="0"/>
              <w:spacing w:line="240" w:lineRule="auto"/>
              <w:ind w:firstLine="0" w:firstLineChars="0"/>
              <w:jc w:val="center"/>
              <w:rPr>
                <w:rFonts w:hint="eastAsia"/>
                <w:color w:val="auto"/>
                <w:highlight w:val="none"/>
                <w:lang w:val="zh-CN"/>
              </w:rPr>
            </w:pPr>
          </w:p>
        </w:tc>
        <w:tc>
          <w:tcPr>
            <w:tcW w:w="1052" w:type="dxa"/>
            <w:vMerge w:val="continue"/>
            <w:vAlign w:val="center"/>
          </w:tcPr>
          <w:p w14:paraId="53BC79E9">
            <w:pPr>
              <w:widowControl/>
              <w:snapToGrid w:val="0"/>
              <w:spacing w:line="240" w:lineRule="auto"/>
              <w:ind w:firstLine="0" w:firstLineChars="0"/>
              <w:jc w:val="center"/>
              <w:rPr>
                <w:rFonts w:hint="eastAsia"/>
                <w:color w:val="auto"/>
                <w:highlight w:val="none"/>
                <w:lang w:val="zh-CN"/>
              </w:rPr>
            </w:pPr>
          </w:p>
        </w:tc>
      </w:tr>
      <w:tr w14:paraId="77ECF2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00" w:type="dxa"/>
            <w:vMerge w:val="restart"/>
            <w:vAlign w:val="center"/>
          </w:tcPr>
          <w:p w14:paraId="08CCB605">
            <w:pPr>
              <w:widowControl/>
              <w:spacing w:line="240" w:lineRule="auto"/>
              <w:ind w:firstLine="0" w:firstLineChars="0"/>
              <w:jc w:val="center"/>
              <w:textAlignment w:val="center"/>
              <w:rPr>
                <w:rFonts w:hint="default"/>
                <w:color w:val="auto"/>
                <w:highlight w:val="none"/>
                <w:lang w:val="zh-CN"/>
              </w:rPr>
            </w:pPr>
            <w:r>
              <w:rPr>
                <w:rFonts w:hint="eastAsia" w:ascii="Times New Roman" w:hAnsi="Times New Roman" w:eastAsia="宋体" w:cs="Times New Roman"/>
                <w:color w:val="auto"/>
                <w:kern w:val="0"/>
                <w:sz w:val="21"/>
                <w:szCs w:val="21"/>
                <w:highlight w:val="none"/>
                <w:lang w:val="en-US" w:eastAsia="zh-CN" w:bidi="ar"/>
              </w:rPr>
              <w:t>绥化市</w:t>
            </w:r>
            <w:r>
              <w:rPr>
                <w:rFonts w:hint="eastAsia" w:cs="Times New Roman"/>
                <w:color w:val="auto"/>
                <w:kern w:val="0"/>
                <w:sz w:val="21"/>
                <w:szCs w:val="21"/>
                <w:highlight w:val="none"/>
                <w:lang w:val="en-US" w:eastAsia="zh-CN" w:bidi="ar"/>
              </w:rPr>
              <w:t>庆</w:t>
            </w:r>
            <w:r>
              <w:rPr>
                <w:rFonts w:hint="eastAsia" w:ascii="Times New Roman" w:hAnsi="Times New Roman" w:eastAsia="宋体" w:cs="Times New Roman"/>
                <w:color w:val="auto"/>
                <w:kern w:val="0"/>
                <w:sz w:val="21"/>
                <w:szCs w:val="21"/>
                <w:highlight w:val="none"/>
                <w:lang w:val="en-US" w:eastAsia="zh-CN" w:bidi="ar"/>
              </w:rPr>
              <w:t>安县平安镇饮用水水源地</w:t>
            </w:r>
          </w:p>
        </w:tc>
        <w:tc>
          <w:tcPr>
            <w:tcW w:w="874" w:type="dxa"/>
            <w:shd w:val="clear" w:color="auto" w:fill="auto"/>
            <w:vAlign w:val="center"/>
          </w:tcPr>
          <w:p w14:paraId="7622DF2A">
            <w:pPr>
              <w:pStyle w:val="30"/>
              <w:keepNext w:val="0"/>
              <w:keepLines w:val="0"/>
              <w:pageBreakBefore w:val="0"/>
              <w:widowControl w:val="0"/>
              <w:kinsoku/>
              <w:wordWrap/>
              <w:overflowPunct/>
              <w:topLinePunct w:val="0"/>
              <w:autoSpaceDE/>
              <w:autoSpaceDN/>
              <w:bidi w:val="0"/>
              <w:adjustRightInd/>
              <w:snapToGrid/>
              <w:spacing w:line="288" w:lineRule="auto"/>
              <w:ind w:firstLine="0" w:firstLineChars="0"/>
              <w:textAlignment w:val="auto"/>
              <w:rPr>
                <w:rFonts w:hint="default" w:ascii="Times New Roman" w:hAnsi="Times New Roman" w:eastAsia="宋体" w:cs="Times New Roman"/>
                <w:color w:val="auto"/>
                <w:kern w:val="2"/>
                <w:sz w:val="21"/>
                <w:szCs w:val="21"/>
                <w:highlight w:val="none"/>
                <w:lang w:val="zh-CN" w:eastAsia="zh-CN" w:bidi="ar-SA"/>
              </w:rPr>
            </w:pPr>
            <w:r>
              <w:rPr>
                <w:color w:val="auto"/>
                <w:highlight w:val="none"/>
              </w:rPr>
              <w:t>1#</w:t>
            </w:r>
          </w:p>
        </w:tc>
        <w:tc>
          <w:tcPr>
            <w:tcW w:w="1363" w:type="dxa"/>
            <w:vMerge w:val="restart"/>
            <w:vAlign w:val="center"/>
          </w:tcPr>
          <w:p w14:paraId="4445A232">
            <w:pPr>
              <w:widowControl/>
              <w:spacing w:line="240" w:lineRule="auto"/>
              <w:ind w:firstLine="0" w:firstLineChars="0"/>
              <w:jc w:val="center"/>
              <w:textAlignment w:val="center"/>
              <w:rPr>
                <w:color w:val="auto"/>
                <w:highlight w:val="none"/>
                <w:lang w:val="zh-CN"/>
              </w:rPr>
            </w:pPr>
            <w:r>
              <w:rPr>
                <w:rFonts w:hint="eastAsia"/>
                <w:color w:val="auto"/>
                <w:sz w:val="21"/>
                <w:szCs w:val="21"/>
                <w:highlight w:val="none"/>
                <w:lang w:eastAsia="zh-CN"/>
              </w:rPr>
              <w:t>平安镇内</w:t>
            </w:r>
            <w:r>
              <w:rPr>
                <w:rFonts w:hint="eastAsia" w:cs="Times New Roman"/>
                <w:color w:val="auto"/>
                <w:kern w:val="0"/>
                <w:sz w:val="21"/>
                <w:szCs w:val="21"/>
                <w:highlight w:val="none"/>
                <w:lang w:val="en-US" w:eastAsia="zh-CN" w:bidi="ar"/>
              </w:rPr>
              <w:t>和平村、安平村、升平村、太平村、永平村，共计5个行政村46个自然屯</w:t>
            </w:r>
          </w:p>
        </w:tc>
        <w:tc>
          <w:tcPr>
            <w:tcW w:w="928" w:type="dxa"/>
            <w:vAlign w:val="center"/>
          </w:tcPr>
          <w:p w14:paraId="6C611CFF">
            <w:pPr>
              <w:widowControl/>
              <w:snapToGrid w:val="0"/>
              <w:spacing w:line="240" w:lineRule="auto"/>
              <w:ind w:firstLine="0" w:firstLineChars="0"/>
              <w:jc w:val="center"/>
              <w:rPr>
                <w:rFonts w:hint="eastAsia"/>
                <w:color w:val="auto"/>
                <w:highlight w:val="none"/>
                <w:lang w:val="zh-CN"/>
              </w:rPr>
            </w:pPr>
            <w:r>
              <w:rPr>
                <w:rFonts w:hint="eastAsia" w:ascii="Times New Roman" w:hAnsi="Times New Roman" w:eastAsia="宋体" w:cs="Times New Roman"/>
                <w:color w:val="auto"/>
                <w:kern w:val="0"/>
                <w:sz w:val="21"/>
                <w:szCs w:val="21"/>
                <w:highlight w:val="none"/>
              </w:rPr>
              <w:t>地下水型</w:t>
            </w:r>
          </w:p>
        </w:tc>
        <w:tc>
          <w:tcPr>
            <w:tcW w:w="845" w:type="dxa"/>
            <w:vMerge w:val="restart"/>
            <w:vAlign w:val="center"/>
          </w:tcPr>
          <w:p w14:paraId="4845165D">
            <w:pPr>
              <w:pStyle w:val="30"/>
              <w:keepNext w:val="0"/>
              <w:keepLines w:val="0"/>
              <w:pageBreakBefore w:val="0"/>
              <w:widowControl w:val="0"/>
              <w:kinsoku/>
              <w:wordWrap/>
              <w:overflowPunct/>
              <w:topLinePunct w:val="0"/>
              <w:autoSpaceDE/>
              <w:autoSpaceDN/>
              <w:bidi w:val="0"/>
              <w:adjustRightInd/>
              <w:snapToGrid/>
              <w:spacing w:line="288" w:lineRule="auto"/>
              <w:ind w:firstLine="0" w:firstLineChars="0"/>
              <w:textAlignment w:val="auto"/>
              <w:rPr>
                <w:rFonts w:hint="eastAsia"/>
                <w:color w:val="auto"/>
                <w:highlight w:val="none"/>
                <w:lang w:val="zh-CN"/>
              </w:rPr>
            </w:pPr>
            <w:r>
              <w:rPr>
                <w:rFonts w:hint="eastAsia" w:cs="Times New Roman"/>
                <w:color w:val="auto"/>
                <w:kern w:val="0"/>
                <w:sz w:val="21"/>
                <w:szCs w:val="21"/>
                <w:highlight w:val="none"/>
                <w:lang w:val="en-US" w:eastAsia="zh-CN"/>
              </w:rPr>
              <w:t>2022年</w:t>
            </w:r>
          </w:p>
        </w:tc>
        <w:tc>
          <w:tcPr>
            <w:tcW w:w="1146" w:type="dxa"/>
            <w:vAlign w:val="center"/>
          </w:tcPr>
          <w:p w14:paraId="0C630193">
            <w:pPr>
              <w:widowControl/>
              <w:snapToGrid w:val="0"/>
              <w:spacing w:line="240" w:lineRule="auto"/>
              <w:ind w:firstLine="0" w:firstLineChars="0"/>
              <w:jc w:val="center"/>
              <w:rPr>
                <w:rFonts w:hint="default" w:ascii="Times New Roman" w:hAnsi="Times New Roman" w:cs="Times New Roman"/>
                <w:color w:val="auto"/>
                <w:highlight w:val="none"/>
                <w:lang w:val="zh-CN"/>
              </w:rPr>
            </w:pPr>
            <w:r>
              <w:rPr>
                <w:rFonts w:hint="default" w:ascii="Times New Roman" w:hAnsi="Times New Roman" w:eastAsia="宋体" w:cs="Times New Roman"/>
                <w:color w:val="auto"/>
                <w:kern w:val="0"/>
                <w:sz w:val="21"/>
                <w:szCs w:val="21"/>
                <w:highlight w:val="none"/>
                <w:lang w:val="en-US" w:eastAsia="zh-CN"/>
              </w:rPr>
              <w:t>127°39'08.4694"</w:t>
            </w:r>
          </w:p>
        </w:tc>
        <w:tc>
          <w:tcPr>
            <w:tcW w:w="954" w:type="dxa"/>
            <w:vAlign w:val="center"/>
          </w:tcPr>
          <w:p w14:paraId="2C514F2D">
            <w:pPr>
              <w:widowControl/>
              <w:snapToGrid w:val="0"/>
              <w:spacing w:line="240" w:lineRule="auto"/>
              <w:ind w:firstLine="0" w:firstLineChars="0"/>
              <w:jc w:val="center"/>
              <w:rPr>
                <w:rFonts w:hint="default" w:ascii="Times New Roman" w:hAnsi="Times New Roman" w:cs="Times New Roman"/>
                <w:color w:val="auto"/>
                <w:highlight w:val="none"/>
                <w:lang w:val="zh-CN"/>
              </w:rPr>
            </w:pPr>
            <w:r>
              <w:rPr>
                <w:rFonts w:hint="default" w:ascii="Times New Roman" w:hAnsi="Times New Roman" w:eastAsia="宋体" w:cs="Times New Roman"/>
                <w:color w:val="auto"/>
                <w:kern w:val="0"/>
                <w:sz w:val="21"/>
                <w:szCs w:val="21"/>
                <w:highlight w:val="none"/>
                <w:lang w:val="en-US" w:eastAsia="zh-CN"/>
              </w:rPr>
              <w:t>46°56'28.1322"</w:t>
            </w:r>
          </w:p>
        </w:tc>
        <w:tc>
          <w:tcPr>
            <w:tcW w:w="941" w:type="dxa"/>
            <w:vMerge w:val="restart"/>
            <w:vAlign w:val="center"/>
          </w:tcPr>
          <w:p w14:paraId="3A4A9447">
            <w:pPr>
              <w:widowControl/>
              <w:spacing w:line="240" w:lineRule="auto"/>
              <w:ind w:firstLine="0" w:firstLineChars="0"/>
              <w:jc w:val="center"/>
              <w:textAlignment w:val="center"/>
              <w:rPr>
                <w:rFonts w:hint="eastAsia"/>
                <w:color w:val="auto"/>
                <w:highlight w:val="none"/>
                <w:lang w:val="zh-CN"/>
              </w:rPr>
            </w:pPr>
            <w:r>
              <w:rPr>
                <w:rFonts w:hint="eastAsia" w:ascii="Times New Roman" w:hAnsi="Times New Roman" w:eastAsia="宋体" w:cs="Times New Roman"/>
                <w:color w:val="auto"/>
                <w:kern w:val="0"/>
                <w:sz w:val="21"/>
                <w:szCs w:val="21"/>
                <w:highlight w:val="none"/>
                <w:lang w:val="en-US" w:eastAsia="zh-CN" w:bidi="ar"/>
              </w:rPr>
              <w:t>5200人</w:t>
            </w:r>
          </w:p>
        </w:tc>
        <w:tc>
          <w:tcPr>
            <w:tcW w:w="1023" w:type="dxa"/>
            <w:vMerge w:val="restart"/>
            <w:vAlign w:val="center"/>
          </w:tcPr>
          <w:p w14:paraId="78A914D3">
            <w:pPr>
              <w:widowControl/>
              <w:snapToGrid w:val="0"/>
              <w:spacing w:line="240" w:lineRule="auto"/>
              <w:ind w:firstLine="0" w:firstLineChars="0"/>
              <w:jc w:val="center"/>
              <w:rPr>
                <w:rFonts w:hint="eastAsia"/>
                <w:color w:val="auto"/>
                <w:highlight w:val="none"/>
                <w:lang w:val="zh-CN"/>
              </w:rPr>
            </w:pPr>
            <w:r>
              <w:rPr>
                <w:rFonts w:hint="eastAsia"/>
                <w:color w:val="auto"/>
                <w:sz w:val="21"/>
                <w:szCs w:val="18"/>
                <w:highlight w:val="none"/>
              </w:rPr>
              <w:t>机械曝气</w:t>
            </w:r>
            <w:r>
              <w:rPr>
                <w:rFonts w:hint="eastAsia"/>
                <w:color w:val="auto"/>
                <w:sz w:val="21"/>
                <w:szCs w:val="18"/>
                <w:highlight w:val="none"/>
                <w:lang w:eastAsia="zh-CN"/>
              </w:rPr>
              <w:t>、</w:t>
            </w:r>
            <w:r>
              <w:rPr>
                <w:rFonts w:hint="eastAsia"/>
                <w:color w:val="auto"/>
                <w:sz w:val="21"/>
                <w:szCs w:val="18"/>
                <w:highlight w:val="none"/>
              </w:rPr>
              <w:t>二级除铁除锰</w:t>
            </w:r>
            <w:r>
              <w:rPr>
                <w:rFonts w:hint="eastAsia"/>
                <w:color w:val="auto"/>
                <w:sz w:val="21"/>
                <w:szCs w:val="18"/>
                <w:highlight w:val="none"/>
                <w:lang w:eastAsia="zh-CN"/>
              </w:rPr>
              <w:t>、</w:t>
            </w:r>
            <w:r>
              <w:rPr>
                <w:rFonts w:hint="eastAsia"/>
                <w:color w:val="auto"/>
                <w:sz w:val="21"/>
                <w:szCs w:val="18"/>
                <w:highlight w:val="none"/>
              </w:rPr>
              <w:t>二氧化氯</w:t>
            </w:r>
            <w:r>
              <w:rPr>
                <w:rFonts w:hint="eastAsia"/>
                <w:color w:val="auto"/>
                <w:sz w:val="21"/>
                <w:szCs w:val="18"/>
                <w:highlight w:val="none"/>
                <w:lang w:eastAsia="zh-CN"/>
              </w:rPr>
              <w:t>消毒</w:t>
            </w:r>
          </w:p>
        </w:tc>
        <w:tc>
          <w:tcPr>
            <w:tcW w:w="2850" w:type="dxa"/>
            <w:vMerge w:val="restart"/>
            <w:vAlign w:val="center"/>
          </w:tcPr>
          <w:p w14:paraId="4F83A325">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zh-CN"/>
              </w:rPr>
            </w:pPr>
            <w:r>
              <w:rPr>
                <w:rFonts w:hint="eastAsia" w:cs="Times New Roman"/>
                <w:color w:val="auto"/>
                <w:kern w:val="0"/>
                <w:sz w:val="21"/>
                <w:szCs w:val="21"/>
                <w:highlight w:val="none"/>
                <w:lang w:val="en-US" w:eastAsia="zh-CN"/>
              </w:rPr>
              <w:t>2</w:t>
            </w:r>
            <w:r>
              <w:rPr>
                <w:rFonts w:hint="eastAsia" w:ascii="Times New Roman" w:hAnsi="Times New Roman" w:eastAsia="宋体" w:cs="Times New Roman"/>
                <w:color w:val="auto"/>
                <w:kern w:val="0"/>
                <w:sz w:val="21"/>
                <w:szCs w:val="21"/>
                <w:highlight w:val="none"/>
              </w:rPr>
              <w:t>眼井，为</w:t>
            </w:r>
            <w:r>
              <w:rPr>
                <w:rFonts w:hint="eastAsia" w:ascii="Times New Roman" w:hAnsi="Times New Roman" w:cs="Times New Roman"/>
                <w:color w:val="auto"/>
                <w:sz w:val="21"/>
                <w:szCs w:val="21"/>
                <w:highlight w:val="none"/>
                <w:lang w:eastAsia="zh-CN"/>
              </w:rPr>
              <w:t>孔孔隙</w:t>
            </w:r>
            <w:r>
              <w:rPr>
                <w:rFonts w:hint="eastAsia" w:ascii="Times New Roman" w:hAnsi="Times New Roman" w:eastAsia="宋体" w:cs="Times New Roman"/>
                <w:color w:val="auto"/>
                <w:kern w:val="0"/>
                <w:sz w:val="21"/>
                <w:szCs w:val="21"/>
                <w:highlight w:val="none"/>
              </w:rPr>
              <w:t>承压</w:t>
            </w:r>
            <w:r>
              <w:rPr>
                <w:rFonts w:hint="eastAsia" w:ascii="Times New Roman" w:hAnsi="Times New Roman" w:cs="Times New Roman"/>
                <w:color w:val="auto"/>
                <w:sz w:val="21"/>
                <w:szCs w:val="21"/>
                <w:highlight w:val="none"/>
                <w:lang w:eastAsia="zh-CN"/>
              </w:rPr>
              <w:t>水、孔隙—裂隙</w:t>
            </w:r>
            <w:r>
              <w:rPr>
                <w:rFonts w:hint="eastAsia" w:ascii="Times New Roman" w:hAnsi="Times New Roman" w:eastAsia="宋体" w:cs="Times New Roman"/>
                <w:color w:val="auto"/>
                <w:kern w:val="0"/>
                <w:sz w:val="21"/>
                <w:szCs w:val="21"/>
                <w:highlight w:val="none"/>
              </w:rPr>
              <w:t>水承压水型，</w:t>
            </w:r>
            <w:r>
              <w:rPr>
                <w:rFonts w:hint="eastAsia" w:ascii="Times New Roman" w:hAnsi="Times New Roman" w:eastAsia="宋体" w:cs="Times New Roman"/>
                <w:color w:val="auto"/>
                <w:sz w:val="21"/>
                <w:szCs w:val="21"/>
                <w:highlight w:val="none"/>
                <w:lang w:val="en-US" w:eastAsia="zh-CN"/>
              </w:rPr>
              <w:t>一级保护区范围分别以2眼取水井为圆心，30米为半径的圆形区域，一级保护区总面积为</w:t>
            </w:r>
            <w:r>
              <w:rPr>
                <w:rFonts w:hint="eastAsia"/>
                <w:color w:val="auto"/>
                <w:sz w:val="21"/>
                <w:szCs w:val="21"/>
                <w:highlight w:val="none"/>
                <w:lang w:val="en-US" w:eastAsia="zh-CN"/>
              </w:rPr>
              <w:t>5652</w:t>
            </w:r>
            <w:r>
              <w:rPr>
                <w:rFonts w:hint="eastAsia"/>
                <w:color w:val="auto"/>
                <w:sz w:val="21"/>
                <w:szCs w:val="21"/>
                <w:highlight w:val="none"/>
              </w:rPr>
              <w:t>平方米</w:t>
            </w:r>
            <w:r>
              <w:rPr>
                <w:rFonts w:hint="eastAsia" w:ascii="Times New Roman" w:hAnsi="Times New Roman" w:eastAsia="宋体" w:cs="Times New Roman"/>
                <w:color w:val="auto"/>
                <w:kern w:val="0"/>
                <w:sz w:val="21"/>
                <w:szCs w:val="21"/>
                <w:highlight w:val="none"/>
              </w:rPr>
              <w:t>。</w:t>
            </w:r>
          </w:p>
        </w:tc>
        <w:tc>
          <w:tcPr>
            <w:tcW w:w="722" w:type="dxa"/>
            <w:vMerge w:val="restart"/>
            <w:vAlign w:val="center"/>
          </w:tcPr>
          <w:p w14:paraId="2EE0A470">
            <w:pPr>
              <w:widowControl/>
              <w:snapToGrid w:val="0"/>
              <w:spacing w:line="240" w:lineRule="auto"/>
              <w:ind w:firstLine="0" w:firstLineChars="0"/>
              <w:jc w:val="center"/>
              <w:rPr>
                <w:rFonts w:hint="eastAsia"/>
                <w:color w:val="auto"/>
                <w:highlight w:val="none"/>
                <w:lang w:val="zh-CN"/>
              </w:rPr>
            </w:pPr>
            <w:r>
              <w:rPr>
                <w:rFonts w:hint="eastAsia" w:ascii="Times New Roman" w:hAnsi="Times New Roman" w:eastAsia="宋体" w:cs="Times New Roman"/>
                <w:color w:val="auto"/>
                <w:kern w:val="0"/>
                <w:sz w:val="21"/>
                <w:szCs w:val="21"/>
                <w:highlight w:val="none"/>
              </w:rPr>
              <w:t>无</w:t>
            </w:r>
          </w:p>
        </w:tc>
        <w:tc>
          <w:tcPr>
            <w:tcW w:w="1052" w:type="dxa"/>
            <w:vMerge w:val="restart"/>
            <w:vAlign w:val="center"/>
          </w:tcPr>
          <w:p w14:paraId="2A12CF33">
            <w:pPr>
              <w:widowControl/>
              <w:snapToGrid w:val="0"/>
              <w:spacing w:line="240" w:lineRule="auto"/>
              <w:ind w:firstLine="0" w:firstLineChars="0"/>
              <w:jc w:val="center"/>
              <w:rPr>
                <w:rFonts w:hint="eastAsia"/>
                <w:color w:val="auto"/>
                <w:highlight w:val="none"/>
                <w:lang w:val="zh-CN"/>
              </w:rPr>
            </w:pPr>
            <w:r>
              <w:rPr>
                <w:rFonts w:hint="eastAsia" w:ascii="Times New Roman" w:hAnsi="Times New Roman" w:eastAsia="宋体" w:cs="Times New Roman"/>
                <w:color w:val="auto"/>
                <w:kern w:val="0"/>
                <w:sz w:val="21"/>
                <w:szCs w:val="21"/>
                <w:highlight w:val="none"/>
              </w:rPr>
              <w:t>无</w:t>
            </w:r>
          </w:p>
        </w:tc>
      </w:tr>
      <w:tr w14:paraId="16CFBB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00" w:type="dxa"/>
            <w:vMerge w:val="continue"/>
            <w:vAlign w:val="center"/>
          </w:tcPr>
          <w:p w14:paraId="212330D5">
            <w:pPr>
              <w:pStyle w:val="30"/>
              <w:keepNext w:val="0"/>
              <w:keepLines w:val="0"/>
              <w:pageBreakBefore w:val="0"/>
              <w:widowControl w:val="0"/>
              <w:kinsoku/>
              <w:wordWrap/>
              <w:overflowPunct/>
              <w:topLinePunct w:val="0"/>
              <w:autoSpaceDE/>
              <w:autoSpaceDN/>
              <w:bidi w:val="0"/>
              <w:adjustRightInd/>
              <w:snapToGrid/>
              <w:spacing w:line="288" w:lineRule="auto"/>
              <w:textAlignment w:val="auto"/>
              <w:rPr>
                <w:rFonts w:hint="default"/>
                <w:color w:val="auto"/>
                <w:highlight w:val="none"/>
                <w:lang w:val="zh-CN"/>
              </w:rPr>
            </w:pPr>
          </w:p>
        </w:tc>
        <w:tc>
          <w:tcPr>
            <w:tcW w:w="874" w:type="dxa"/>
            <w:shd w:val="clear" w:color="auto" w:fill="auto"/>
            <w:vAlign w:val="center"/>
          </w:tcPr>
          <w:p w14:paraId="62B90B9C">
            <w:pPr>
              <w:pStyle w:val="30"/>
              <w:keepNext w:val="0"/>
              <w:keepLines w:val="0"/>
              <w:pageBreakBefore w:val="0"/>
              <w:widowControl w:val="0"/>
              <w:kinsoku/>
              <w:wordWrap/>
              <w:overflowPunct/>
              <w:topLinePunct w:val="0"/>
              <w:autoSpaceDE/>
              <w:autoSpaceDN/>
              <w:bidi w:val="0"/>
              <w:adjustRightInd/>
              <w:snapToGrid/>
              <w:spacing w:line="288" w:lineRule="auto"/>
              <w:ind w:firstLine="0" w:firstLineChars="0"/>
              <w:textAlignment w:val="auto"/>
              <w:rPr>
                <w:rFonts w:hint="default" w:ascii="Times New Roman" w:hAnsi="Times New Roman" w:eastAsia="宋体" w:cs="Times New Roman"/>
                <w:color w:val="auto"/>
                <w:kern w:val="2"/>
                <w:sz w:val="21"/>
                <w:szCs w:val="21"/>
                <w:highlight w:val="none"/>
                <w:lang w:val="zh-CN" w:eastAsia="zh-CN" w:bidi="ar-SA"/>
              </w:rPr>
            </w:pPr>
            <w:r>
              <w:rPr>
                <w:color w:val="auto"/>
                <w:highlight w:val="none"/>
              </w:rPr>
              <w:t>2#</w:t>
            </w:r>
          </w:p>
        </w:tc>
        <w:tc>
          <w:tcPr>
            <w:tcW w:w="1363" w:type="dxa"/>
            <w:vMerge w:val="continue"/>
            <w:vAlign w:val="center"/>
          </w:tcPr>
          <w:p w14:paraId="6CC1B7DE">
            <w:pPr>
              <w:widowControl/>
              <w:snapToGrid w:val="0"/>
              <w:spacing w:line="240" w:lineRule="auto"/>
              <w:ind w:firstLine="0" w:firstLineChars="0"/>
              <w:jc w:val="center"/>
              <w:rPr>
                <w:color w:val="auto"/>
                <w:highlight w:val="none"/>
                <w:lang w:val="zh-CN"/>
              </w:rPr>
            </w:pPr>
          </w:p>
        </w:tc>
        <w:tc>
          <w:tcPr>
            <w:tcW w:w="928" w:type="dxa"/>
            <w:vAlign w:val="center"/>
          </w:tcPr>
          <w:p w14:paraId="4129EAD1">
            <w:pPr>
              <w:widowControl/>
              <w:snapToGrid w:val="0"/>
              <w:spacing w:line="240" w:lineRule="auto"/>
              <w:ind w:firstLine="0" w:firstLineChars="0"/>
              <w:jc w:val="center"/>
              <w:rPr>
                <w:rFonts w:hint="eastAsia"/>
                <w:color w:val="auto"/>
                <w:highlight w:val="none"/>
                <w:lang w:val="zh-CN"/>
              </w:rPr>
            </w:pPr>
            <w:r>
              <w:rPr>
                <w:rFonts w:hint="eastAsia" w:ascii="Times New Roman" w:hAnsi="Times New Roman" w:eastAsia="宋体" w:cs="Times New Roman"/>
                <w:color w:val="auto"/>
                <w:kern w:val="0"/>
                <w:sz w:val="21"/>
                <w:szCs w:val="21"/>
                <w:highlight w:val="none"/>
              </w:rPr>
              <w:t>地下水型</w:t>
            </w:r>
          </w:p>
        </w:tc>
        <w:tc>
          <w:tcPr>
            <w:tcW w:w="845" w:type="dxa"/>
            <w:vMerge w:val="continue"/>
            <w:vAlign w:val="center"/>
          </w:tcPr>
          <w:p w14:paraId="10D31E83">
            <w:pPr>
              <w:pStyle w:val="30"/>
              <w:keepNext w:val="0"/>
              <w:keepLines w:val="0"/>
              <w:pageBreakBefore w:val="0"/>
              <w:widowControl w:val="0"/>
              <w:kinsoku/>
              <w:wordWrap/>
              <w:overflowPunct/>
              <w:topLinePunct w:val="0"/>
              <w:autoSpaceDE/>
              <w:autoSpaceDN/>
              <w:bidi w:val="0"/>
              <w:adjustRightInd/>
              <w:snapToGrid/>
              <w:spacing w:line="288" w:lineRule="auto"/>
              <w:ind w:firstLine="0" w:firstLineChars="0"/>
              <w:textAlignment w:val="auto"/>
              <w:rPr>
                <w:rFonts w:hint="eastAsia"/>
                <w:color w:val="auto"/>
                <w:highlight w:val="none"/>
                <w:lang w:val="zh-CN"/>
              </w:rPr>
            </w:pPr>
          </w:p>
        </w:tc>
        <w:tc>
          <w:tcPr>
            <w:tcW w:w="1146" w:type="dxa"/>
            <w:vAlign w:val="center"/>
          </w:tcPr>
          <w:p w14:paraId="7863F31F">
            <w:pPr>
              <w:widowControl/>
              <w:snapToGrid w:val="0"/>
              <w:spacing w:line="240" w:lineRule="auto"/>
              <w:ind w:firstLine="0" w:firstLineChars="0"/>
              <w:jc w:val="center"/>
              <w:rPr>
                <w:rFonts w:hint="default" w:ascii="Times New Roman" w:hAnsi="Times New Roman" w:cs="Times New Roman"/>
                <w:color w:val="auto"/>
                <w:highlight w:val="none"/>
                <w:lang w:val="zh-CN"/>
              </w:rPr>
            </w:pPr>
            <w:r>
              <w:rPr>
                <w:rFonts w:hint="default" w:ascii="Times New Roman" w:hAnsi="Times New Roman" w:eastAsia="宋体" w:cs="Times New Roman"/>
                <w:color w:val="auto"/>
                <w:kern w:val="0"/>
                <w:sz w:val="21"/>
                <w:szCs w:val="21"/>
                <w:highlight w:val="none"/>
                <w:lang w:val="en-US" w:eastAsia="zh-CN"/>
              </w:rPr>
              <w:t>127°39'30.1433"</w:t>
            </w:r>
          </w:p>
        </w:tc>
        <w:tc>
          <w:tcPr>
            <w:tcW w:w="954" w:type="dxa"/>
            <w:vAlign w:val="center"/>
          </w:tcPr>
          <w:p w14:paraId="7C639575">
            <w:pPr>
              <w:widowControl/>
              <w:snapToGrid w:val="0"/>
              <w:spacing w:line="240" w:lineRule="auto"/>
              <w:ind w:firstLine="0" w:firstLineChars="0"/>
              <w:jc w:val="center"/>
              <w:rPr>
                <w:rFonts w:hint="default" w:ascii="Times New Roman" w:hAnsi="Times New Roman" w:cs="Times New Roman"/>
                <w:color w:val="auto"/>
                <w:highlight w:val="none"/>
                <w:lang w:val="zh-CN"/>
              </w:rPr>
            </w:pPr>
            <w:r>
              <w:rPr>
                <w:rFonts w:hint="default" w:ascii="Times New Roman" w:hAnsi="Times New Roman" w:eastAsia="宋体" w:cs="Times New Roman"/>
                <w:color w:val="auto"/>
                <w:kern w:val="0"/>
                <w:sz w:val="21"/>
                <w:szCs w:val="21"/>
                <w:highlight w:val="none"/>
                <w:lang w:val="en-US" w:eastAsia="zh-CN"/>
              </w:rPr>
              <w:t>46°56'29.5097"</w:t>
            </w:r>
          </w:p>
        </w:tc>
        <w:tc>
          <w:tcPr>
            <w:tcW w:w="941" w:type="dxa"/>
            <w:vMerge w:val="continue"/>
            <w:vAlign w:val="center"/>
          </w:tcPr>
          <w:p w14:paraId="4935D953">
            <w:pPr>
              <w:pStyle w:val="30"/>
              <w:keepNext w:val="0"/>
              <w:keepLines w:val="0"/>
              <w:pageBreakBefore w:val="0"/>
              <w:widowControl w:val="0"/>
              <w:kinsoku/>
              <w:wordWrap/>
              <w:overflowPunct/>
              <w:topLinePunct w:val="0"/>
              <w:autoSpaceDE/>
              <w:autoSpaceDN/>
              <w:bidi w:val="0"/>
              <w:adjustRightInd/>
              <w:snapToGrid/>
              <w:spacing w:line="288" w:lineRule="auto"/>
              <w:ind w:firstLine="0" w:firstLineChars="0"/>
              <w:textAlignment w:val="auto"/>
              <w:rPr>
                <w:rFonts w:hint="eastAsia"/>
                <w:color w:val="auto"/>
                <w:highlight w:val="none"/>
                <w:lang w:val="zh-CN"/>
              </w:rPr>
            </w:pPr>
          </w:p>
        </w:tc>
        <w:tc>
          <w:tcPr>
            <w:tcW w:w="1023" w:type="dxa"/>
            <w:vMerge w:val="continue"/>
            <w:vAlign w:val="center"/>
          </w:tcPr>
          <w:p w14:paraId="71A4A969">
            <w:pPr>
              <w:pStyle w:val="30"/>
              <w:keepNext w:val="0"/>
              <w:keepLines w:val="0"/>
              <w:pageBreakBefore w:val="0"/>
              <w:widowControl w:val="0"/>
              <w:kinsoku/>
              <w:wordWrap/>
              <w:overflowPunct/>
              <w:topLinePunct w:val="0"/>
              <w:autoSpaceDE/>
              <w:autoSpaceDN/>
              <w:bidi w:val="0"/>
              <w:adjustRightInd/>
              <w:snapToGrid/>
              <w:spacing w:line="288" w:lineRule="auto"/>
              <w:ind w:firstLine="0" w:firstLineChars="0"/>
              <w:textAlignment w:val="auto"/>
              <w:rPr>
                <w:rFonts w:hint="eastAsia"/>
                <w:color w:val="auto"/>
                <w:highlight w:val="none"/>
                <w:lang w:val="zh-CN"/>
              </w:rPr>
            </w:pPr>
          </w:p>
        </w:tc>
        <w:tc>
          <w:tcPr>
            <w:tcW w:w="2850" w:type="dxa"/>
            <w:vMerge w:val="continue"/>
            <w:vAlign w:val="center"/>
          </w:tcPr>
          <w:p w14:paraId="23B82692">
            <w:pPr>
              <w:widowControl/>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zh-CN"/>
              </w:rPr>
            </w:pPr>
          </w:p>
        </w:tc>
        <w:tc>
          <w:tcPr>
            <w:tcW w:w="722" w:type="dxa"/>
            <w:vMerge w:val="continue"/>
            <w:vAlign w:val="center"/>
          </w:tcPr>
          <w:p w14:paraId="17329414">
            <w:pPr>
              <w:widowControl/>
              <w:snapToGrid w:val="0"/>
              <w:spacing w:line="240" w:lineRule="auto"/>
              <w:ind w:firstLine="0" w:firstLineChars="0"/>
              <w:jc w:val="center"/>
              <w:rPr>
                <w:rFonts w:hint="eastAsia"/>
                <w:color w:val="auto"/>
                <w:highlight w:val="none"/>
                <w:lang w:val="zh-CN"/>
              </w:rPr>
            </w:pPr>
          </w:p>
        </w:tc>
        <w:tc>
          <w:tcPr>
            <w:tcW w:w="1052" w:type="dxa"/>
            <w:vMerge w:val="continue"/>
            <w:vAlign w:val="center"/>
          </w:tcPr>
          <w:p w14:paraId="02F92369">
            <w:pPr>
              <w:widowControl/>
              <w:snapToGrid w:val="0"/>
              <w:spacing w:line="240" w:lineRule="auto"/>
              <w:ind w:firstLine="0" w:firstLineChars="0"/>
              <w:jc w:val="center"/>
              <w:rPr>
                <w:rFonts w:hint="eastAsia"/>
                <w:color w:val="auto"/>
                <w:highlight w:val="none"/>
                <w:lang w:val="zh-CN"/>
              </w:rPr>
            </w:pPr>
          </w:p>
        </w:tc>
      </w:tr>
    </w:tbl>
    <w:p w14:paraId="295F76AB">
      <w:pPr>
        <w:pStyle w:val="27"/>
        <w:rPr>
          <w:rFonts w:hint="default" w:ascii="Times New Roman" w:hAnsi="Times New Roman" w:cs="Times New Roman"/>
          <w:color w:val="auto"/>
          <w:sz w:val="24"/>
          <w:szCs w:val="24"/>
          <w:highlight w:val="none"/>
        </w:rPr>
        <w:sectPr>
          <w:pgSz w:w="16838" w:h="11905" w:orient="landscape"/>
          <w:pgMar w:top="1474" w:right="1474" w:bottom="1474" w:left="1474" w:header="964" w:footer="992" w:gutter="0"/>
          <w:pgBorders>
            <w:top w:val="none" w:sz="0" w:space="0"/>
            <w:left w:val="none" w:sz="0" w:space="0"/>
            <w:bottom w:val="none" w:sz="0" w:space="0"/>
            <w:right w:val="none" w:sz="0" w:space="0"/>
          </w:pgBorders>
          <w:pgNumType w:fmt="decimal"/>
          <w:cols w:space="720" w:num="1"/>
          <w:docGrid w:type="linesAndChars" w:linePitch="347" w:charSpace="-1024"/>
        </w:sectPr>
      </w:pPr>
    </w:p>
    <w:p w14:paraId="6D5378DB">
      <w:pPr>
        <w:pStyle w:val="3"/>
        <w:rPr>
          <w:color w:val="auto"/>
          <w:highlight w:val="none"/>
        </w:rPr>
      </w:pPr>
      <w:bookmarkStart w:id="146" w:name="_Toc15324"/>
      <w:bookmarkStart w:id="147" w:name="_Toc16704"/>
      <w:r>
        <w:rPr>
          <w:rFonts w:hint="eastAsia"/>
          <w:color w:val="auto"/>
          <w:highlight w:val="none"/>
        </w:rPr>
        <w:t>6.2跨界情况说明</w:t>
      </w:r>
      <w:bookmarkEnd w:id="146"/>
      <w:bookmarkEnd w:id="147"/>
    </w:p>
    <w:p w14:paraId="496F93CC">
      <w:pPr>
        <w:ind w:firstLine="480"/>
        <w:rPr>
          <w:color w:val="auto"/>
          <w:highlight w:val="none"/>
        </w:rPr>
      </w:pPr>
      <w:r>
        <w:rPr>
          <w:rFonts w:hint="eastAsia" w:ascii="Times New Roman" w:hAnsi="Times New Roman" w:eastAsia="宋体" w:cs="Times New Roman"/>
          <w:color w:val="auto"/>
          <w:highlight w:val="none"/>
        </w:rPr>
        <w:t>绥化市庆安县</w:t>
      </w:r>
      <w:r>
        <w:rPr>
          <w:rFonts w:hint="eastAsia" w:ascii="Times New Roman" w:hAnsi="Times New Roman" w:eastAsia="宋体" w:cs="Times New Roman"/>
          <w:color w:val="auto"/>
          <w:highlight w:val="none"/>
          <w:lang w:eastAsia="zh-CN"/>
        </w:rPr>
        <w:t>丰收乡等</w:t>
      </w:r>
      <w:r>
        <w:rPr>
          <w:rFonts w:hint="eastAsia" w:ascii="Times New Roman" w:hAnsi="Times New Roman" w:eastAsia="宋体" w:cs="Times New Roman"/>
          <w:color w:val="auto"/>
          <w:highlight w:val="none"/>
          <w:lang w:val="en-US" w:eastAsia="zh-CN"/>
        </w:rPr>
        <w:t>6个乡镇级和柳河镇新强村1个</w:t>
      </w:r>
      <w:r>
        <w:rPr>
          <w:rFonts w:hint="eastAsia" w:ascii="Times New Roman" w:hAnsi="Times New Roman" w:eastAsia="宋体" w:cs="Times New Roman"/>
          <w:color w:val="auto"/>
          <w:highlight w:val="none"/>
          <w:lang w:eastAsia="zh-CN"/>
        </w:rPr>
        <w:t>村屯级</w:t>
      </w:r>
      <w:r>
        <w:rPr>
          <w:rFonts w:hint="eastAsia" w:ascii="Times New Roman" w:hAnsi="Times New Roman" w:eastAsia="宋体" w:cs="Times New Roman"/>
          <w:color w:val="auto"/>
          <w:highlight w:val="none"/>
        </w:rPr>
        <w:t>集中式饮用水水源保护区不涉及</w:t>
      </w:r>
      <w:r>
        <w:rPr>
          <w:rFonts w:hint="eastAsia"/>
          <w:color w:val="auto"/>
          <w:sz w:val="24"/>
          <w:szCs w:val="24"/>
          <w:highlight w:val="none"/>
        </w:rPr>
        <w:t>地市级、乡镇级行政区跨界</w:t>
      </w:r>
      <w:r>
        <w:rPr>
          <w:rFonts w:hint="eastAsia"/>
          <w:color w:val="auto"/>
          <w:highlight w:val="none"/>
        </w:rPr>
        <w:t>。</w:t>
      </w:r>
    </w:p>
    <w:p w14:paraId="7FEFF618">
      <w:pPr>
        <w:pStyle w:val="3"/>
        <w:rPr>
          <w:color w:val="auto"/>
          <w:highlight w:val="none"/>
        </w:rPr>
      </w:pPr>
      <w:bookmarkStart w:id="148" w:name="_Toc14741"/>
      <w:bookmarkStart w:id="149" w:name="_Toc31080"/>
      <w:r>
        <w:rPr>
          <w:rFonts w:hint="eastAsia"/>
          <w:color w:val="auto"/>
          <w:highlight w:val="none"/>
        </w:rPr>
        <w:t>6.3图件说明</w:t>
      </w:r>
      <w:bookmarkEnd w:id="148"/>
      <w:bookmarkEnd w:id="149"/>
    </w:p>
    <w:p w14:paraId="2DA0E7BC">
      <w:pPr>
        <w:ind w:firstLine="480"/>
        <w:rPr>
          <w:rFonts w:hint="eastAsia"/>
          <w:color w:val="auto"/>
          <w:highlight w:val="none"/>
        </w:rPr>
      </w:pPr>
      <w:r>
        <w:rPr>
          <w:rFonts w:hint="eastAsia"/>
          <w:color w:val="auto"/>
          <w:highlight w:val="none"/>
        </w:rPr>
        <w:t>本项目图件包括水源地位置分布图、区域水文地质略图、水源地水井成井柱状图、划分后保护区范围图、</w:t>
      </w:r>
      <w:r>
        <w:rPr>
          <w:rFonts w:hint="eastAsia" w:ascii="Times New Roman" w:hAnsi="Times New Roman" w:eastAsia="宋体" w:cs="Times New Roman"/>
          <w:color w:val="auto"/>
          <w:highlight w:val="none"/>
          <w:lang w:val="zh-CN"/>
        </w:rPr>
        <w:t>水源保护区</w:t>
      </w:r>
      <w:r>
        <w:rPr>
          <w:rFonts w:hint="eastAsia" w:ascii="Times New Roman" w:hAnsi="Times New Roman" w:eastAsia="宋体" w:cs="Times New Roman"/>
          <w:color w:val="auto"/>
          <w:highlight w:val="none"/>
          <w:lang w:val="en-US" w:eastAsia="zh-CN"/>
        </w:rPr>
        <w:t>调整前后</w:t>
      </w:r>
      <w:r>
        <w:rPr>
          <w:rFonts w:hint="eastAsia" w:ascii="Times New Roman" w:hAnsi="Times New Roman" w:eastAsia="宋体" w:cs="Times New Roman"/>
          <w:color w:val="auto"/>
          <w:highlight w:val="none"/>
          <w:lang w:val="zh-CN"/>
        </w:rPr>
        <w:t>范围</w:t>
      </w:r>
      <w:r>
        <w:rPr>
          <w:rFonts w:hint="eastAsia" w:ascii="Times New Roman" w:hAnsi="Times New Roman" w:eastAsia="宋体" w:cs="Times New Roman"/>
          <w:color w:val="auto"/>
          <w:highlight w:val="none"/>
          <w:lang w:val="en-US" w:eastAsia="zh-CN"/>
        </w:rPr>
        <w:t>对比</w:t>
      </w:r>
      <w:r>
        <w:rPr>
          <w:rFonts w:hint="eastAsia" w:ascii="Times New Roman" w:hAnsi="Times New Roman" w:eastAsia="宋体" w:cs="Times New Roman"/>
          <w:color w:val="auto"/>
          <w:highlight w:val="none"/>
          <w:lang w:val="zh-CN"/>
        </w:rPr>
        <w:t>图</w:t>
      </w:r>
      <w:r>
        <w:rPr>
          <w:rFonts w:hint="eastAsia"/>
          <w:color w:val="auto"/>
          <w:highlight w:val="none"/>
        </w:rPr>
        <w:t>。图件采用地形图、谷歌卫星图为底图，根据保护区划分结果，提取需要的各种数据图层，输入作图软件并对各个图层进行调试，做到科学分层、合理布局，从而完成保护区电子地图的制作。各水源地污染源分布和保护区划分结果情况见附图</w:t>
      </w:r>
      <w:r>
        <w:rPr>
          <w:rFonts w:hint="eastAsia"/>
          <w:color w:val="auto"/>
          <w:highlight w:val="none"/>
          <w:lang w:val="en-US" w:eastAsia="zh-CN"/>
        </w:rPr>
        <w:t>4</w:t>
      </w:r>
      <w:r>
        <w:rPr>
          <w:rFonts w:hint="eastAsia"/>
          <w:color w:val="auto"/>
          <w:highlight w:val="none"/>
        </w:rPr>
        <w:t>和附图</w:t>
      </w:r>
      <w:r>
        <w:rPr>
          <w:rFonts w:hint="eastAsia"/>
          <w:color w:val="auto"/>
          <w:highlight w:val="none"/>
          <w:lang w:val="en-US" w:eastAsia="zh-CN"/>
        </w:rPr>
        <w:t>5</w:t>
      </w:r>
      <w:r>
        <w:rPr>
          <w:rFonts w:hint="eastAsia"/>
          <w:color w:val="auto"/>
          <w:highlight w:val="none"/>
        </w:rPr>
        <w:t>，图中主要包括保护区的边界、拐点和污染源等信息。</w:t>
      </w:r>
    </w:p>
    <w:p w14:paraId="60859CDB">
      <w:pPr>
        <w:pStyle w:val="3"/>
        <w:rPr>
          <w:rFonts w:hint="eastAsia"/>
          <w:color w:val="auto"/>
          <w:highlight w:val="none"/>
        </w:rPr>
      </w:pPr>
      <w:bookmarkStart w:id="150" w:name="_Toc77173593"/>
      <w:bookmarkStart w:id="151" w:name="_Toc22438"/>
      <w:r>
        <w:rPr>
          <w:rFonts w:hint="eastAsia"/>
          <w:color w:val="auto"/>
          <w:highlight w:val="none"/>
        </w:rPr>
        <w:t>6.</w:t>
      </w:r>
      <w:r>
        <w:rPr>
          <w:rFonts w:hint="eastAsia"/>
          <w:color w:val="auto"/>
          <w:highlight w:val="none"/>
          <w:lang w:val="en-US" w:eastAsia="zh-CN"/>
        </w:rPr>
        <w:t>4</w:t>
      </w:r>
      <w:r>
        <w:rPr>
          <w:rFonts w:hint="eastAsia"/>
          <w:color w:val="auto"/>
          <w:highlight w:val="none"/>
        </w:rPr>
        <w:t>建议</w:t>
      </w:r>
      <w:bookmarkEnd w:id="150"/>
      <w:bookmarkEnd w:id="151"/>
    </w:p>
    <w:p w14:paraId="7C6DD58A">
      <w:pPr>
        <w:ind w:firstLine="480"/>
        <w:rPr>
          <w:rFonts w:hint="eastAsia" w:ascii="Times New Roman" w:hAnsi="Times New Roman" w:eastAsia="宋体" w:cs="Times New Roman"/>
          <w:color w:val="auto"/>
          <w:highlight w:val="none"/>
        </w:rPr>
      </w:pPr>
      <w:r>
        <w:rPr>
          <w:rFonts w:hint="eastAsia" w:ascii="Times New Roman" w:hAnsi="Times New Roman" w:eastAsia="宋体" w:cs="Times New Roman"/>
          <w:color w:val="auto"/>
          <w:highlight w:val="none"/>
          <w:lang w:eastAsia="zh-CN"/>
        </w:rPr>
        <w:t>绥化市庆安县丰收乡等6个乡镇级和柳河镇新强村1个村屯级集中式饮用水水源保护区</w:t>
      </w:r>
      <w:r>
        <w:rPr>
          <w:rFonts w:hint="eastAsia" w:ascii="Times New Roman" w:hAnsi="Times New Roman" w:eastAsia="宋体" w:cs="Times New Roman"/>
          <w:color w:val="auto"/>
          <w:highlight w:val="none"/>
        </w:rPr>
        <w:t>建立后，为切实保护好各级保护范围内的水质，建议尽快完成以下工作：</w:t>
      </w:r>
    </w:p>
    <w:p w14:paraId="3D096E7D">
      <w:pPr>
        <w:ind w:firstLine="480"/>
        <w:rPr>
          <w:rFonts w:hint="eastAsia" w:ascii="Times New Roman" w:hAnsi="Times New Roman" w:eastAsia="宋体" w:cs="Times New Roman"/>
          <w:color w:val="auto"/>
          <w:highlight w:val="none"/>
        </w:rPr>
      </w:pPr>
      <w:r>
        <w:rPr>
          <w:rFonts w:hint="eastAsia" w:cs="Times New Roman"/>
          <w:color w:val="auto"/>
          <w:highlight w:val="none"/>
          <w:lang w:eastAsia="zh-CN"/>
        </w:rPr>
        <w:t>（</w:t>
      </w:r>
      <w:r>
        <w:rPr>
          <w:rFonts w:hint="eastAsia" w:cs="Times New Roman"/>
          <w:color w:val="auto"/>
          <w:highlight w:val="none"/>
          <w:lang w:val="en-US" w:eastAsia="zh-CN"/>
        </w:rPr>
        <w:t>1</w:t>
      </w:r>
      <w:r>
        <w:rPr>
          <w:rFonts w:hint="eastAsia" w:cs="Times New Roman"/>
          <w:color w:val="auto"/>
          <w:highlight w:val="none"/>
          <w:lang w:eastAsia="zh-CN"/>
        </w:rPr>
        <w:t>）</w:t>
      </w:r>
      <w:r>
        <w:rPr>
          <w:rFonts w:hint="eastAsia" w:ascii="Times New Roman" w:hAnsi="Times New Roman" w:eastAsia="宋体" w:cs="Times New Roman"/>
          <w:color w:val="auto"/>
          <w:highlight w:val="none"/>
        </w:rPr>
        <w:t>在不影响居民生活的情况下最大程度的对保护区边界设立围栏，防止居民及禽畜进入对水源地；将保护区内的</w:t>
      </w:r>
      <w:r>
        <w:rPr>
          <w:rFonts w:hint="eastAsia" w:cs="Times New Roman"/>
          <w:color w:val="auto"/>
          <w:highlight w:val="none"/>
          <w:lang w:eastAsia="zh-CN"/>
        </w:rPr>
        <w:t>生活</w:t>
      </w:r>
      <w:r>
        <w:rPr>
          <w:rFonts w:hint="eastAsia" w:ascii="Times New Roman" w:hAnsi="Times New Roman" w:eastAsia="宋体" w:cs="Times New Roman"/>
          <w:color w:val="auto"/>
          <w:highlight w:val="none"/>
        </w:rPr>
        <w:t>垃圾放置在</w:t>
      </w:r>
      <w:r>
        <w:rPr>
          <w:rFonts w:hint="eastAsia" w:cs="Times New Roman"/>
          <w:color w:val="auto"/>
          <w:highlight w:val="none"/>
          <w:lang w:eastAsia="zh-CN"/>
        </w:rPr>
        <w:t>保护区外的</w:t>
      </w:r>
      <w:r>
        <w:rPr>
          <w:rFonts w:hint="eastAsia" w:ascii="Times New Roman" w:hAnsi="Times New Roman" w:eastAsia="宋体" w:cs="Times New Roman"/>
          <w:color w:val="auto"/>
          <w:highlight w:val="none"/>
        </w:rPr>
        <w:t>垃圾箱中，有关部门定期</w:t>
      </w:r>
      <w:r>
        <w:rPr>
          <w:rFonts w:hint="eastAsia" w:cs="Times New Roman"/>
          <w:color w:val="auto"/>
          <w:highlight w:val="none"/>
          <w:lang w:eastAsia="zh-CN"/>
        </w:rPr>
        <w:t>及时</w:t>
      </w:r>
      <w:r>
        <w:rPr>
          <w:rFonts w:hint="eastAsia" w:ascii="Times New Roman" w:hAnsi="Times New Roman" w:eastAsia="宋体" w:cs="Times New Roman"/>
          <w:color w:val="auto"/>
          <w:highlight w:val="none"/>
        </w:rPr>
        <w:t>清运。</w:t>
      </w:r>
    </w:p>
    <w:p w14:paraId="5B5D17CC">
      <w:pPr>
        <w:spacing w:line="360" w:lineRule="auto"/>
        <w:ind w:firstLine="480"/>
        <w:rPr>
          <w:rFonts w:hint="eastAsia" w:cs="Times New Roman"/>
          <w:color w:val="auto"/>
          <w:highlight w:val="none"/>
          <w:lang w:eastAsia="zh-CN"/>
        </w:rPr>
      </w:pPr>
      <w:r>
        <w:rPr>
          <w:rFonts w:hint="eastAsia" w:cs="Times New Roman"/>
          <w:color w:val="auto"/>
          <w:highlight w:val="none"/>
          <w:lang w:eastAsia="zh-CN"/>
        </w:rPr>
        <w:t>（</w:t>
      </w:r>
      <w:r>
        <w:rPr>
          <w:rFonts w:hint="eastAsia" w:cs="Times New Roman"/>
          <w:color w:val="auto"/>
          <w:highlight w:val="none"/>
          <w:lang w:val="en-US" w:eastAsia="zh-CN"/>
        </w:rPr>
        <w:t>2</w:t>
      </w:r>
      <w:r>
        <w:rPr>
          <w:rFonts w:hint="eastAsia" w:cs="Times New Roman"/>
          <w:color w:val="auto"/>
          <w:highlight w:val="none"/>
          <w:lang w:eastAsia="zh-CN"/>
        </w:rPr>
        <w:t>）</w:t>
      </w:r>
      <w:r>
        <w:rPr>
          <w:rFonts w:ascii="Segoe UI" w:hAnsi="Segoe UI" w:eastAsia="Segoe UI" w:cs="Segoe UI"/>
          <w:i w:val="0"/>
          <w:iCs w:val="0"/>
          <w:caps w:val="0"/>
          <w:color w:val="auto"/>
          <w:spacing w:val="0"/>
          <w:sz w:val="24"/>
          <w:szCs w:val="24"/>
          <w:highlight w:val="none"/>
          <w:shd w:val="clear" w:fill="FFFFFF"/>
        </w:rPr>
        <w:t>保护区内现有闲置房屋、厂房不得改为排放污染源的设施使用。</w:t>
      </w:r>
    </w:p>
    <w:p w14:paraId="7CCEA73A">
      <w:pPr>
        <w:spacing w:line="360" w:lineRule="auto"/>
        <w:ind w:firstLine="480"/>
        <w:rPr>
          <w:rFonts w:ascii="Segoe UI" w:hAnsi="Segoe UI" w:eastAsia="Segoe UI" w:cs="Segoe UI"/>
          <w:i w:val="0"/>
          <w:iCs w:val="0"/>
          <w:caps w:val="0"/>
          <w:color w:val="auto"/>
          <w:spacing w:val="0"/>
          <w:sz w:val="24"/>
          <w:szCs w:val="24"/>
          <w:highlight w:val="none"/>
          <w:shd w:val="clear" w:fill="FFFFFF"/>
        </w:rPr>
      </w:pPr>
      <w:r>
        <w:rPr>
          <w:rFonts w:hint="eastAsia" w:cs="Times New Roman"/>
          <w:color w:val="auto"/>
          <w:highlight w:val="none"/>
          <w:lang w:eastAsia="zh-CN"/>
        </w:rPr>
        <w:t>（</w:t>
      </w:r>
      <w:r>
        <w:rPr>
          <w:rFonts w:hint="eastAsia" w:cs="Times New Roman"/>
          <w:color w:val="auto"/>
          <w:highlight w:val="none"/>
          <w:lang w:val="en-US" w:eastAsia="zh-CN"/>
        </w:rPr>
        <w:t>3</w:t>
      </w:r>
      <w:r>
        <w:rPr>
          <w:rFonts w:hint="eastAsia" w:cs="Times New Roman"/>
          <w:color w:val="auto"/>
          <w:highlight w:val="none"/>
          <w:lang w:eastAsia="zh-CN"/>
        </w:rPr>
        <w:t>）</w:t>
      </w:r>
      <w:r>
        <w:rPr>
          <w:rFonts w:ascii="Segoe UI" w:hAnsi="Segoe UI" w:eastAsia="Segoe UI" w:cs="Segoe UI"/>
          <w:i w:val="0"/>
          <w:iCs w:val="0"/>
          <w:caps w:val="0"/>
          <w:color w:val="auto"/>
          <w:spacing w:val="0"/>
          <w:sz w:val="24"/>
          <w:szCs w:val="24"/>
          <w:highlight w:val="none"/>
          <w:shd w:val="clear" w:fill="FFFFFF"/>
        </w:rPr>
        <w:t>建议对保护区内现有居民住宅以及闲置房屋</w:t>
      </w:r>
      <w:r>
        <w:rPr>
          <w:rFonts w:hint="eastAsia" w:ascii="Segoe UI" w:hAnsi="Segoe UI" w:eastAsia="宋体" w:cs="Segoe UI"/>
          <w:i w:val="0"/>
          <w:iCs w:val="0"/>
          <w:caps w:val="0"/>
          <w:color w:val="auto"/>
          <w:spacing w:val="0"/>
          <w:sz w:val="24"/>
          <w:szCs w:val="24"/>
          <w:highlight w:val="none"/>
          <w:shd w:val="clear" w:fill="FFFFFF"/>
          <w:lang w:eastAsia="zh-CN"/>
        </w:rPr>
        <w:t>、</w:t>
      </w:r>
      <w:r>
        <w:rPr>
          <w:rFonts w:hint="eastAsia" w:ascii="Segoe UI" w:hAnsi="Segoe UI" w:cs="Segoe UI"/>
          <w:i w:val="0"/>
          <w:iCs w:val="0"/>
          <w:caps w:val="0"/>
          <w:color w:val="auto"/>
          <w:spacing w:val="0"/>
          <w:sz w:val="24"/>
          <w:szCs w:val="24"/>
          <w:highlight w:val="none"/>
          <w:shd w:val="clear" w:fill="FFFFFF"/>
          <w:lang w:eastAsia="zh-CN"/>
        </w:rPr>
        <w:t>仓</w:t>
      </w:r>
      <w:r>
        <w:rPr>
          <w:rFonts w:hint="eastAsia" w:ascii="Segoe UI" w:hAnsi="Segoe UI" w:eastAsia="宋体" w:cs="Segoe UI"/>
          <w:i w:val="0"/>
          <w:iCs w:val="0"/>
          <w:caps w:val="0"/>
          <w:color w:val="auto"/>
          <w:spacing w:val="0"/>
          <w:sz w:val="24"/>
          <w:szCs w:val="24"/>
          <w:highlight w:val="none"/>
          <w:shd w:val="clear" w:fill="FFFFFF"/>
          <w:lang w:eastAsia="zh-CN"/>
        </w:rPr>
        <w:t>房</w:t>
      </w:r>
      <w:r>
        <w:rPr>
          <w:rFonts w:hint="eastAsia" w:ascii="Segoe UI" w:hAnsi="Segoe UI" w:eastAsia="宋体" w:cs="Segoe UI"/>
          <w:i w:val="0"/>
          <w:iCs w:val="0"/>
          <w:caps w:val="0"/>
          <w:color w:val="auto"/>
          <w:spacing w:val="0"/>
          <w:sz w:val="24"/>
          <w:szCs w:val="24"/>
          <w:highlight w:val="none"/>
          <w:shd w:val="clear" w:fill="FFFFFF"/>
          <w:lang w:val="en-US" w:eastAsia="zh-CN"/>
        </w:rPr>
        <w:t>等</w:t>
      </w:r>
      <w:r>
        <w:rPr>
          <w:rFonts w:ascii="Segoe UI" w:hAnsi="Segoe UI" w:eastAsia="Segoe UI" w:cs="Segoe UI"/>
          <w:i w:val="0"/>
          <w:iCs w:val="0"/>
          <w:caps w:val="0"/>
          <w:color w:val="auto"/>
          <w:spacing w:val="0"/>
          <w:sz w:val="24"/>
          <w:szCs w:val="24"/>
          <w:highlight w:val="none"/>
          <w:shd w:val="clear" w:fill="FFFFFF"/>
        </w:rPr>
        <w:t>，制定并实施有序的拆迁计划。</w:t>
      </w:r>
    </w:p>
    <w:p w14:paraId="38CFD56F">
      <w:pPr>
        <w:spacing w:line="360" w:lineRule="auto"/>
        <w:ind w:firstLine="480"/>
        <w:rPr>
          <w:rFonts w:hint="eastAsia" w:ascii="Times New Roman" w:hAnsi="Times New Roman" w:eastAsia="宋体" w:cs="Times New Roman"/>
          <w:color w:val="auto"/>
          <w:highlight w:val="none"/>
        </w:rPr>
      </w:pPr>
      <w:r>
        <w:rPr>
          <w:rFonts w:hint="eastAsia" w:cs="Times New Roman"/>
          <w:color w:val="auto"/>
          <w:highlight w:val="none"/>
          <w:lang w:eastAsia="zh-CN"/>
        </w:rPr>
        <w:t>（</w:t>
      </w:r>
      <w:r>
        <w:rPr>
          <w:rFonts w:hint="eastAsia" w:cs="Times New Roman"/>
          <w:color w:val="auto"/>
          <w:highlight w:val="none"/>
          <w:lang w:val="en-US" w:eastAsia="zh-CN"/>
        </w:rPr>
        <w:t>4</w:t>
      </w:r>
      <w:r>
        <w:rPr>
          <w:rFonts w:hint="eastAsia" w:cs="Times New Roman"/>
          <w:color w:val="auto"/>
          <w:highlight w:val="none"/>
          <w:lang w:eastAsia="zh-CN"/>
        </w:rPr>
        <w:t>）建议</w:t>
      </w:r>
      <w:r>
        <w:rPr>
          <w:rFonts w:ascii="Segoe UI" w:hAnsi="Segoe UI" w:eastAsia="Segoe UI" w:cs="Segoe UI"/>
          <w:i w:val="0"/>
          <w:iCs w:val="0"/>
          <w:caps w:val="0"/>
          <w:color w:val="auto"/>
          <w:spacing w:val="0"/>
          <w:sz w:val="24"/>
          <w:szCs w:val="24"/>
          <w:highlight w:val="none"/>
          <w:shd w:val="clear" w:fill="FFFFFF"/>
        </w:rPr>
        <w:t>保护区内</w:t>
      </w:r>
      <w:r>
        <w:rPr>
          <w:rFonts w:hint="eastAsia" w:ascii="Segoe UI" w:hAnsi="Segoe UI" w:eastAsia="宋体" w:cs="Segoe UI"/>
          <w:i w:val="0"/>
          <w:iCs w:val="0"/>
          <w:caps w:val="0"/>
          <w:color w:val="auto"/>
          <w:spacing w:val="0"/>
          <w:sz w:val="24"/>
          <w:szCs w:val="24"/>
          <w:highlight w:val="none"/>
          <w:shd w:val="clear" w:fill="FFFFFF"/>
          <w:lang w:eastAsia="zh-CN"/>
        </w:rPr>
        <w:t>耕地</w:t>
      </w:r>
      <w:r>
        <w:rPr>
          <w:rFonts w:hint="eastAsia" w:cs="Times New Roman"/>
          <w:color w:val="auto"/>
          <w:highlight w:val="none"/>
          <w:lang w:eastAsia="zh-CN"/>
        </w:rPr>
        <w:t>尽快</w:t>
      </w:r>
      <w:r>
        <w:rPr>
          <w:rFonts w:hint="eastAsia"/>
          <w:color w:val="auto"/>
          <w:kern w:val="0"/>
          <w:sz w:val="24"/>
          <w:szCs w:val="24"/>
          <w:highlight w:val="none"/>
          <w:lang w:eastAsia="zh-CN"/>
        </w:rPr>
        <w:t>推进</w:t>
      </w:r>
      <w:r>
        <w:rPr>
          <w:rFonts w:hint="eastAsia" w:cs="Times New Roman"/>
          <w:color w:val="auto"/>
          <w:highlight w:val="none"/>
          <w:lang w:eastAsia="zh-CN"/>
        </w:rPr>
        <w:t>退耕还林还草。</w:t>
      </w:r>
    </w:p>
    <w:p w14:paraId="30BD0CA2">
      <w:pPr>
        <w:spacing w:line="360" w:lineRule="auto"/>
        <w:ind w:firstLine="480"/>
        <w:rPr>
          <w:rFonts w:hint="eastAsia" w:ascii="Times New Roman" w:hAnsi="Times New Roman" w:eastAsia="宋体" w:cs="Times New Roman"/>
          <w:color w:val="auto"/>
          <w:highlight w:val="none"/>
        </w:rPr>
      </w:pPr>
      <w:r>
        <w:rPr>
          <w:rFonts w:hint="eastAsia" w:cs="Times New Roman"/>
          <w:color w:val="auto"/>
          <w:highlight w:val="none"/>
          <w:lang w:eastAsia="zh-CN"/>
        </w:rPr>
        <w:t>（</w:t>
      </w:r>
      <w:r>
        <w:rPr>
          <w:rFonts w:hint="eastAsia" w:cs="Times New Roman"/>
          <w:color w:val="auto"/>
          <w:highlight w:val="none"/>
          <w:lang w:val="en-US" w:eastAsia="zh-CN"/>
        </w:rPr>
        <w:t>5</w:t>
      </w:r>
      <w:r>
        <w:rPr>
          <w:rFonts w:hint="eastAsia" w:cs="Times New Roman"/>
          <w:color w:val="auto"/>
          <w:highlight w:val="none"/>
          <w:lang w:eastAsia="zh-CN"/>
        </w:rPr>
        <w:t>）</w:t>
      </w:r>
      <w:r>
        <w:rPr>
          <w:rFonts w:hint="eastAsia" w:ascii="Times New Roman" w:hAnsi="Times New Roman" w:eastAsia="宋体" w:cs="Times New Roman"/>
          <w:color w:val="auto"/>
          <w:highlight w:val="none"/>
        </w:rPr>
        <w:t>对穿越保护区内的道路路面平整，并做好排水设施；在穿越保护区的道路内</w:t>
      </w:r>
      <w:r>
        <w:rPr>
          <w:rFonts w:hint="eastAsia" w:cs="Times New Roman"/>
          <w:color w:val="auto"/>
          <w:highlight w:val="none"/>
          <w:lang w:eastAsia="zh-CN"/>
        </w:rPr>
        <w:t>或</w:t>
      </w:r>
      <w:r>
        <w:rPr>
          <w:rFonts w:hint="eastAsia" w:ascii="Times New Roman" w:hAnsi="Times New Roman" w:eastAsia="宋体" w:cs="Times New Roman"/>
          <w:color w:val="auto"/>
          <w:highlight w:val="none"/>
        </w:rPr>
        <w:t>人员聚集的地方设置宣传牌，提醒过往车辆和行人，保护区内快速通过，禁止停车。</w:t>
      </w:r>
    </w:p>
    <w:p w14:paraId="7A25071B">
      <w:pPr>
        <w:keepNext w:val="0"/>
        <w:keepLines w:val="0"/>
        <w:widowControl/>
        <w:suppressLineNumbers w:val="0"/>
        <w:jc w:val="left"/>
        <w:rPr>
          <w:color w:val="auto"/>
          <w:highlight w:val="none"/>
        </w:rPr>
      </w:pPr>
      <w:r>
        <w:rPr>
          <w:rFonts w:hint="eastAsia" w:cs="Times New Roman"/>
          <w:color w:val="auto"/>
          <w:highlight w:val="none"/>
          <w:lang w:eastAsia="zh-CN"/>
        </w:rPr>
        <w:t>（</w:t>
      </w:r>
      <w:r>
        <w:rPr>
          <w:rFonts w:hint="eastAsia" w:cs="Times New Roman"/>
          <w:color w:val="auto"/>
          <w:highlight w:val="none"/>
          <w:lang w:val="en-US" w:eastAsia="zh-CN"/>
        </w:rPr>
        <w:t>6</w:t>
      </w:r>
      <w:r>
        <w:rPr>
          <w:rFonts w:hint="eastAsia" w:cs="Times New Roman"/>
          <w:color w:val="auto"/>
          <w:highlight w:val="none"/>
          <w:lang w:eastAsia="zh-CN"/>
        </w:rPr>
        <w:t>）</w:t>
      </w:r>
      <w:r>
        <w:rPr>
          <w:rFonts w:ascii="宋体" w:hAnsi="宋体" w:eastAsia="宋体" w:cs="宋体"/>
          <w:color w:val="auto"/>
          <w:kern w:val="0"/>
          <w:sz w:val="24"/>
          <w:szCs w:val="24"/>
          <w:highlight w:val="none"/>
          <w:lang w:val="en-US" w:eastAsia="zh-CN" w:bidi="ar"/>
        </w:rPr>
        <w:t>针对保护区外近距离居民区与上游工业点源风险，在严格管控保护区的基础上，强化外围防护：整治居民区生活污染，排查管控上游工业点源、划定缓冲带，健全监管预警机制，防范水源地污染风险。</w:t>
      </w:r>
    </w:p>
    <w:p w14:paraId="21E354C8">
      <w:pPr>
        <w:pStyle w:val="13"/>
        <w:spacing w:line="360" w:lineRule="auto"/>
        <w:ind w:left="0" w:leftChars="0" w:firstLine="480" w:firstLineChars="200"/>
        <w:rPr>
          <w:rFonts w:hint="eastAsia" w:eastAsia="宋体"/>
          <w:color w:val="auto"/>
          <w:highlight w:val="none"/>
          <w:lang w:eastAsia="zh-CN"/>
        </w:rPr>
      </w:pPr>
      <w:r>
        <w:rPr>
          <w:rFonts w:hint="eastAsia" w:cs="Times New Roman"/>
          <w:color w:val="auto"/>
          <w:highlight w:val="none"/>
          <w:lang w:eastAsia="zh-CN"/>
        </w:rPr>
        <w:t>（</w:t>
      </w:r>
      <w:r>
        <w:rPr>
          <w:rFonts w:hint="eastAsia" w:cs="Times New Roman"/>
          <w:color w:val="auto"/>
          <w:highlight w:val="none"/>
          <w:lang w:val="en-US" w:eastAsia="zh-CN"/>
        </w:rPr>
        <w:t>7</w:t>
      </w:r>
      <w:r>
        <w:rPr>
          <w:rFonts w:hint="eastAsia" w:cs="Times New Roman"/>
          <w:color w:val="auto"/>
          <w:highlight w:val="none"/>
          <w:lang w:eastAsia="zh-CN"/>
        </w:rPr>
        <w:t>）</w:t>
      </w:r>
      <w:r>
        <w:rPr>
          <w:rFonts w:hint="eastAsia"/>
          <w:color w:val="auto"/>
          <w:kern w:val="0"/>
          <w:sz w:val="24"/>
          <w:szCs w:val="24"/>
          <w:highlight w:val="none"/>
          <w:lang w:eastAsia="zh-CN"/>
        </w:rPr>
        <w:t>建议本次被替代水井尽快推进封井回填工作。</w:t>
      </w:r>
    </w:p>
    <w:sectPr>
      <w:headerReference r:id="rId16" w:type="default"/>
      <w:pgSz w:w="11906" w:h="16838"/>
      <w:pgMar w:top="1440" w:right="1406" w:bottom="1440" w:left="1406" w:header="851" w:footer="992" w:gutter="0"/>
      <w:pgBorders>
        <w:top w:val="none" w:sz="0" w:space="0"/>
        <w:left w:val="none" w:sz="0" w:space="0"/>
        <w:bottom w:val="none" w:sz="0" w:space="0"/>
        <w:right w:val="none" w:sz="0" w:space="0"/>
      </w:pgBorders>
      <w:pgNumType w:fmt="decimal"/>
      <w:cols w:space="720" w:num="1"/>
      <w:docGrid w:type="lines" w:linePitch="312" w:charSpace="0"/>
    </w:sectPr>
  </w:body>
</w:document>
</file>

<file path=word/customizations.xml><?xml version="1.0" encoding="utf-8"?>
<wne:tcg xmlns:r="http://schemas.openxmlformats.org/officeDocument/2006/relationships" xmlns:wne="http://schemas.microsoft.com/office/word/2006/wordml">
  <wne:keymaps>
    <wne:keymap wne:kcmPrimary="0431">
      <wne:acd wne:acdName="acd0"/>
    </wne:keymap>
    <wne:keymap wne:kcmPrimary="0432">
      <wne:acd wne:acdName="acd1"/>
    </wne:keymap>
    <wne:keymap wne:kcmPrimary="0433">
      <wne:acd wne:acdName="acd2"/>
    </wne:keymap>
    <wne:keymap wne:kcmPrimary="0434">
      <wne:acd wne:acdName="acd3"/>
    </wne:keymap>
    <wne:keymap wne:kcmPrimary="0442">
      <wne:acd wne:acdName="acd4"/>
    </wne:keymap>
    <wne:keymap wne:kcmPrimary="045A">
      <wne:acd wne:acdName="acd5"/>
    </wne:keymap>
  </wne:keymaps>
  <wne:acds>
    <wne:acd wne:argValue="AQAAAAEA" wne:acdName="acd0" wne:fciIndexBasedOn="0065"/>
    <wne:acd wne:argValue="AQAAAAIA" wne:acdName="acd1" wne:fciIndexBasedOn="0065"/>
    <wne:acd wne:argValue="AQAAAAMA" wne:acdName="acd2" wne:fciIndexBasedOn="0065"/>
    <wne:acd wne:argValue="AQAAAAQA" wne:acdName="acd3" wne:fciIndexBasedOn="0065"/>
    <wne:acd wne:argValue="AgBoiDRZATD+Vg1U" wne:acdName="acd4" wne:fciIndexBasedOn="0065"/>
    <wne:acd wne:argValue="AQAAAAAA" wne:acdName="acd5" wne:fciIndexBasedOn="0065"/>
  </wne:acds>
</wne:tcg>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72"/>
      </w:pPr>
      <w:r>
        <w:separator/>
      </w:r>
    </w:p>
  </w:endnote>
  <w:endnote w:type="continuationSeparator" w:id="1">
    <w:p>
      <w:pPr>
        <w:spacing w:line="240" w:lineRule="auto"/>
        <w:ind w:firstLine="472"/>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1"/>
    <w:family w:val="roman"/>
    <w:pitch w:val="default"/>
    <w:sig w:usb0="E0002AFF" w:usb1="C0007841" w:usb2="00000009" w:usb3="00000000" w:csb0="400001FF" w:csb1="FFFF0000"/>
  </w:font>
  <w:font w:name="宋体">
    <w:panose1 w:val="02010600030101010101"/>
    <w:charset w:val="8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仿宋">
    <w:panose1 w:val="02010609060101010101"/>
    <w:charset w:val="86"/>
    <w:family w:val="auto"/>
    <w:pitch w:val="default"/>
    <w:sig w:usb0="800002BF" w:usb1="38CF7CFA" w:usb2="00000016" w:usb3="00000000" w:csb0="00040001" w:csb1="00000000"/>
  </w:font>
  <w:font w:name="Segoe UI">
    <w:panose1 w:val="020B0502040204020203"/>
    <w:charset w:val="00"/>
    <w:family w:val="auto"/>
    <w:pitch w:val="default"/>
    <w:sig w:usb0="E10022FF" w:usb1="C000E47F" w:usb2="00000029" w:usb3="00000000" w:csb0="200001DF" w:csb1="2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F698BAC">
    <w:pPr>
      <w:pStyle w:val="15"/>
      <w:tabs>
        <w:tab w:val="center" w:pos="4156"/>
        <w:tab w:val="clear" w:pos="4153"/>
      </w:tabs>
      <w:ind w:firstLine="360"/>
    </w:pPr>
    <w:r>
      <w:rPr>
        <w:rFonts w:hint="eastAsia"/>
      </w:rP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8CBF9BB">
    <w:pPr>
      <w:pStyle w:val="15"/>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DBC1660">
    <w:pPr>
      <w:pStyle w:val="15"/>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678B2D0">
    <w:pPr>
      <w:pStyle w:val="15"/>
      <w:ind w:firstLine="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A0ABB8B">
    <w:pPr>
      <w:pStyle w:val="15"/>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248C2DB">
    <w:pPr>
      <w:pStyle w:val="15"/>
      <w:ind w:firstLine="360"/>
    </w:pPr>
    <w:r>
      <w:rPr>
        <w:sz w:val="21"/>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956A317">
                          <w:pPr>
                            <w:pStyle w:val="15"/>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SCRrQxAgAAYQ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Akgka0MQIAAGEEAAAOAAAAAAAAAAEAIAAAAB8BAABkcnMvZTJvRG9jLnhtbFBLBQYA&#10;AAAABgAGAFkBAADCBQAAAAA=&#10;">
              <v:fill on="f" focussize="0,0"/>
              <v:stroke on="f" weight="0.5pt"/>
              <v:imagedata o:title=""/>
              <o:lock v:ext="edit" aspectratio="f"/>
              <v:textbox inset="0mm,0mm,0mm,0mm" style="mso-fit-shape-to-text:t;">
                <w:txbxContent>
                  <w:p w14:paraId="3956A317">
                    <w:pPr>
                      <w:pStyle w:val="15"/>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9BEA771">
    <w:pPr>
      <w:pStyle w:val="15"/>
    </w:pPr>
    <w:r>
      <w:rPr>
        <w:sz w:val="21"/>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4" name="文本框 1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60E064D">
                          <w:pPr>
                            <w:pStyle w:val="15"/>
                          </w:pPr>
                          <w:r>
                            <w:fldChar w:fldCharType="begin"/>
                          </w:r>
                          <w:r>
                            <w:instrText xml:space="preserve"> PAGE  \* MERGEFORMAT </w:instrText>
                          </w:r>
                          <w:r>
                            <w:fldChar w:fldCharType="separate"/>
                          </w:r>
                          <w:r>
                            <w:t>7</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MFE50yAgAAYwQAAA4AAABkcnMvZTJvRG9jLnhtbK1UzY7TMBC+I/EO&#10;lu80aYFV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IwUTnTICAABjBAAADgAAAAAAAAABACAAAAAfAQAAZHJzL2Uyb0RvYy54bWxQSwUG&#10;AAAAAAYABgBZAQAAwwUAAAAA&#10;">
              <v:fill on="f" focussize="0,0"/>
              <v:stroke on="f" weight="0.5pt"/>
              <v:imagedata o:title=""/>
              <o:lock v:ext="edit" aspectratio="f"/>
              <v:textbox inset="0mm,0mm,0mm,0mm" style="mso-fit-shape-to-text:t;">
                <w:txbxContent>
                  <w:p w14:paraId="160E064D">
                    <w:pPr>
                      <w:pStyle w:val="15"/>
                    </w:pPr>
                    <w:r>
                      <w:fldChar w:fldCharType="begin"/>
                    </w:r>
                    <w:r>
                      <w:instrText xml:space="preserve"> PAGE  \* MERGEFORMAT </w:instrText>
                    </w:r>
                    <w:r>
                      <w:fldChar w:fldCharType="separate"/>
                    </w:r>
                    <w:r>
                      <w:t>7</w:t>
                    </w:r>
                    <w: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1C65D4E">
    <w:pPr>
      <w:pStyle w:val="15"/>
    </w:pPr>
    <w:r>
      <w:rPr>
        <w:sz w:val="21"/>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6" name="文本框 1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2BA7B71">
                          <w:pPr>
                            <w:pStyle w:val="15"/>
                          </w:pPr>
                          <w:r>
                            <w:fldChar w:fldCharType="begin"/>
                          </w:r>
                          <w:r>
                            <w:instrText xml:space="preserve"> PAGE  \* MERGEFORMAT </w:instrText>
                          </w:r>
                          <w:r>
                            <w:fldChar w:fldCharType="separate"/>
                          </w:r>
                          <w:r>
                            <w:t>99</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5lNNmTICAABjBAAADgAAAAAAAAABACAAAAAfAQAAZHJzL2Uyb0RvYy54bWxQSwUG&#10;AAAAAAYABgBZAQAAwwUAAAAA&#10;">
              <v:fill on="f" focussize="0,0"/>
              <v:stroke on="f" weight="0.5pt"/>
              <v:imagedata o:title=""/>
              <o:lock v:ext="edit" aspectratio="f"/>
              <v:textbox inset="0mm,0mm,0mm,0mm" style="mso-fit-shape-to-text:t;">
                <w:txbxContent>
                  <w:p w14:paraId="12BA7B71">
                    <w:pPr>
                      <w:pStyle w:val="15"/>
                    </w:pPr>
                    <w:r>
                      <w:fldChar w:fldCharType="begin"/>
                    </w:r>
                    <w:r>
                      <w:instrText xml:space="preserve"> PAGE  \* MERGEFORMAT </w:instrText>
                    </w:r>
                    <w:r>
                      <w:fldChar w:fldCharType="separate"/>
                    </w:r>
                    <w:r>
                      <w:t>99</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72"/>
      </w:pPr>
      <w:r>
        <w:separator/>
      </w:r>
    </w:p>
  </w:footnote>
  <w:footnote w:type="continuationSeparator" w:id="1">
    <w:p>
      <w:pPr>
        <w:spacing w:line="360" w:lineRule="auto"/>
        <w:ind w:firstLine="472"/>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584CD4D">
    <w:pPr>
      <w:pStyle w:val="16"/>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9177463">
    <w:pPr>
      <w:pStyle w:val="16"/>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C2691A">
    <w:pPr>
      <w:pStyle w:val="16"/>
      <w:pBdr>
        <w:bottom w:val="thinThickSmallGap" w:color="auto" w:sz="12" w:space="1"/>
      </w:pBdr>
      <w:jc w:val="right"/>
      <w:rPr>
        <w:rFonts w:hint="eastAsia" w:eastAsia="黑体"/>
        <w:sz w:val="20"/>
        <w:szCs w:val="20"/>
        <w:lang w:eastAsia="zh-CN"/>
      </w:rPr>
    </w:pPr>
    <w:r>
      <w:rPr>
        <w:rFonts w:hint="eastAsia"/>
        <w:sz w:val="20"/>
        <w:szCs w:val="20"/>
        <w:lang w:eastAsia="zh-CN"/>
      </w:rPr>
      <w:t>绥化市庆安县丰收乡等6个乡镇级和柳河镇新强村1个村屯级集中式饮用水水源保护区调整技术报告</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9D6AD37">
    <w:pPr>
      <w:pStyle w:val="16"/>
      <w:pBdr>
        <w:bottom w:val="thinThickSmallGap" w:color="auto" w:sz="12" w:space="1"/>
      </w:pBdr>
    </w:pPr>
    <w:r>
      <w:rPr>
        <w:rFonts w:hint="eastAsia"/>
        <w:sz w:val="20"/>
        <w:szCs w:val="20"/>
        <w:lang w:eastAsia="zh-CN"/>
      </w:rPr>
      <w:t>绥化市庆安县丰收乡等6个乡镇级和柳河镇新强村1个村屯级集中式饮用水水源保护区调整技术报告</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isplayBackgroundShape w:val="1"/>
  <w:bordersDoNotSurroundHeader w:val="0"/>
  <w:bordersDoNotSurroundFooter w:val="0"/>
  <w:hideSpellingErrors/>
  <w:documentProtection w:enforcement="0"/>
  <w:defaultTabStop w:val="420"/>
  <w:drawingGridHorizontalSpacing w:val="118"/>
  <w:drawingGridVerticalSpacing w:val="174"/>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jA3MTE1MzQwY2VjNjAyNGY3NzYwNjc0YjUzNDAzZGMifQ=="/>
    <w:docVar w:name="KSO_WPS_MARK_KEY" w:val="cd2700f8-8abf-4de8-ad39-d906328a643b"/>
  </w:docVars>
  <w:rsids>
    <w:rsidRoot w:val="00893CB0"/>
    <w:rsid w:val="00033466"/>
    <w:rsid w:val="00035883"/>
    <w:rsid w:val="0004123F"/>
    <w:rsid w:val="00042752"/>
    <w:rsid w:val="00051A45"/>
    <w:rsid w:val="00054FB5"/>
    <w:rsid w:val="0006795C"/>
    <w:rsid w:val="00072C34"/>
    <w:rsid w:val="00076089"/>
    <w:rsid w:val="00085AF7"/>
    <w:rsid w:val="0008715B"/>
    <w:rsid w:val="0008754E"/>
    <w:rsid w:val="00093ABA"/>
    <w:rsid w:val="000968F6"/>
    <w:rsid w:val="000A3554"/>
    <w:rsid w:val="000A450B"/>
    <w:rsid w:val="000A4A52"/>
    <w:rsid w:val="000A549F"/>
    <w:rsid w:val="000B465C"/>
    <w:rsid w:val="000C0FF1"/>
    <w:rsid w:val="000C7D09"/>
    <w:rsid w:val="000D1F50"/>
    <w:rsid w:val="000D3649"/>
    <w:rsid w:val="000E223E"/>
    <w:rsid w:val="000E2B90"/>
    <w:rsid w:val="000E323A"/>
    <w:rsid w:val="000E3CC2"/>
    <w:rsid w:val="00103897"/>
    <w:rsid w:val="00105B09"/>
    <w:rsid w:val="0010621D"/>
    <w:rsid w:val="00110764"/>
    <w:rsid w:val="001120DF"/>
    <w:rsid w:val="001218DD"/>
    <w:rsid w:val="001230A0"/>
    <w:rsid w:val="001249AB"/>
    <w:rsid w:val="0012518A"/>
    <w:rsid w:val="00125FB7"/>
    <w:rsid w:val="0013064F"/>
    <w:rsid w:val="00133B67"/>
    <w:rsid w:val="00144775"/>
    <w:rsid w:val="001506B6"/>
    <w:rsid w:val="0015202C"/>
    <w:rsid w:val="00160A99"/>
    <w:rsid w:val="0017054B"/>
    <w:rsid w:val="0017240F"/>
    <w:rsid w:val="00174B2A"/>
    <w:rsid w:val="00187D87"/>
    <w:rsid w:val="00192348"/>
    <w:rsid w:val="00197D60"/>
    <w:rsid w:val="001A26C0"/>
    <w:rsid w:val="001A3A23"/>
    <w:rsid w:val="001A3BF8"/>
    <w:rsid w:val="001A4730"/>
    <w:rsid w:val="001B3B86"/>
    <w:rsid w:val="001C24F5"/>
    <w:rsid w:val="001D2903"/>
    <w:rsid w:val="001D3243"/>
    <w:rsid w:val="001F0CA2"/>
    <w:rsid w:val="001F5B7A"/>
    <w:rsid w:val="001F7DDA"/>
    <w:rsid w:val="002009E0"/>
    <w:rsid w:val="00202A05"/>
    <w:rsid w:val="0020311A"/>
    <w:rsid w:val="0020785E"/>
    <w:rsid w:val="00221270"/>
    <w:rsid w:val="002359B3"/>
    <w:rsid w:val="0024277E"/>
    <w:rsid w:val="002467BE"/>
    <w:rsid w:val="00250081"/>
    <w:rsid w:val="00256CF2"/>
    <w:rsid w:val="00266B73"/>
    <w:rsid w:val="002748E7"/>
    <w:rsid w:val="00286B4F"/>
    <w:rsid w:val="00292912"/>
    <w:rsid w:val="002933B0"/>
    <w:rsid w:val="002A1A9B"/>
    <w:rsid w:val="002A3F3A"/>
    <w:rsid w:val="002A4F89"/>
    <w:rsid w:val="002B0F7D"/>
    <w:rsid w:val="002B2D82"/>
    <w:rsid w:val="002B3D8C"/>
    <w:rsid w:val="002B5064"/>
    <w:rsid w:val="002B5586"/>
    <w:rsid w:val="002B6A9F"/>
    <w:rsid w:val="002C1001"/>
    <w:rsid w:val="002C1946"/>
    <w:rsid w:val="002C4CE8"/>
    <w:rsid w:val="002D1F69"/>
    <w:rsid w:val="002D2BE6"/>
    <w:rsid w:val="002D3F84"/>
    <w:rsid w:val="002E1F6F"/>
    <w:rsid w:val="002E5561"/>
    <w:rsid w:val="00312253"/>
    <w:rsid w:val="00317E0B"/>
    <w:rsid w:val="0032160B"/>
    <w:rsid w:val="0032178E"/>
    <w:rsid w:val="003251D8"/>
    <w:rsid w:val="00327CB1"/>
    <w:rsid w:val="003316BF"/>
    <w:rsid w:val="00335E1E"/>
    <w:rsid w:val="00341896"/>
    <w:rsid w:val="0034209A"/>
    <w:rsid w:val="003560B2"/>
    <w:rsid w:val="00356E14"/>
    <w:rsid w:val="00363608"/>
    <w:rsid w:val="003778BD"/>
    <w:rsid w:val="00383739"/>
    <w:rsid w:val="003837DE"/>
    <w:rsid w:val="00384B9C"/>
    <w:rsid w:val="00390CFF"/>
    <w:rsid w:val="00392FCC"/>
    <w:rsid w:val="0039593F"/>
    <w:rsid w:val="003A349A"/>
    <w:rsid w:val="003C283B"/>
    <w:rsid w:val="003C2DCF"/>
    <w:rsid w:val="003C58F4"/>
    <w:rsid w:val="003C63A1"/>
    <w:rsid w:val="003C6ED7"/>
    <w:rsid w:val="003D42F8"/>
    <w:rsid w:val="003D6656"/>
    <w:rsid w:val="003E17A6"/>
    <w:rsid w:val="003E1ADB"/>
    <w:rsid w:val="00402391"/>
    <w:rsid w:val="004031C3"/>
    <w:rsid w:val="00406AE3"/>
    <w:rsid w:val="00407532"/>
    <w:rsid w:val="004104F1"/>
    <w:rsid w:val="004125C7"/>
    <w:rsid w:val="004277C9"/>
    <w:rsid w:val="00444475"/>
    <w:rsid w:val="00444605"/>
    <w:rsid w:val="00464D5B"/>
    <w:rsid w:val="00471F22"/>
    <w:rsid w:val="00483FA8"/>
    <w:rsid w:val="00491249"/>
    <w:rsid w:val="004917CC"/>
    <w:rsid w:val="0049230B"/>
    <w:rsid w:val="004948DD"/>
    <w:rsid w:val="00495A50"/>
    <w:rsid w:val="0049733F"/>
    <w:rsid w:val="004A2C16"/>
    <w:rsid w:val="004A3C55"/>
    <w:rsid w:val="004B5D6C"/>
    <w:rsid w:val="004E1616"/>
    <w:rsid w:val="004E34F3"/>
    <w:rsid w:val="004F1B1D"/>
    <w:rsid w:val="0050273B"/>
    <w:rsid w:val="005104A2"/>
    <w:rsid w:val="00523F69"/>
    <w:rsid w:val="0053067B"/>
    <w:rsid w:val="00530760"/>
    <w:rsid w:val="00532C18"/>
    <w:rsid w:val="005345A5"/>
    <w:rsid w:val="00540EE4"/>
    <w:rsid w:val="00546268"/>
    <w:rsid w:val="00551FCF"/>
    <w:rsid w:val="0055202D"/>
    <w:rsid w:val="00562E92"/>
    <w:rsid w:val="00564D45"/>
    <w:rsid w:val="00570E3E"/>
    <w:rsid w:val="00571181"/>
    <w:rsid w:val="0058749B"/>
    <w:rsid w:val="00591958"/>
    <w:rsid w:val="005942F2"/>
    <w:rsid w:val="005A6A58"/>
    <w:rsid w:val="005B6722"/>
    <w:rsid w:val="005B6DFF"/>
    <w:rsid w:val="005B6FE5"/>
    <w:rsid w:val="005C26C3"/>
    <w:rsid w:val="005D148E"/>
    <w:rsid w:val="005D1984"/>
    <w:rsid w:val="005D253B"/>
    <w:rsid w:val="005D4603"/>
    <w:rsid w:val="00600AD8"/>
    <w:rsid w:val="0060613A"/>
    <w:rsid w:val="00612345"/>
    <w:rsid w:val="006151E2"/>
    <w:rsid w:val="00615AAE"/>
    <w:rsid w:val="00621AA2"/>
    <w:rsid w:val="006256AB"/>
    <w:rsid w:val="00630F52"/>
    <w:rsid w:val="00631ECA"/>
    <w:rsid w:val="00635F1B"/>
    <w:rsid w:val="006442D6"/>
    <w:rsid w:val="00645597"/>
    <w:rsid w:val="00654C34"/>
    <w:rsid w:val="00657D4F"/>
    <w:rsid w:val="00666B32"/>
    <w:rsid w:val="006836D3"/>
    <w:rsid w:val="00683A34"/>
    <w:rsid w:val="006911F9"/>
    <w:rsid w:val="006965AD"/>
    <w:rsid w:val="006B01C1"/>
    <w:rsid w:val="006B2C51"/>
    <w:rsid w:val="006D0A20"/>
    <w:rsid w:val="006D54E1"/>
    <w:rsid w:val="006D5972"/>
    <w:rsid w:val="00705163"/>
    <w:rsid w:val="00707CE9"/>
    <w:rsid w:val="00707E1E"/>
    <w:rsid w:val="00717689"/>
    <w:rsid w:val="00727000"/>
    <w:rsid w:val="00730215"/>
    <w:rsid w:val="007304D0"/>
    <w:rsid w:val="00730976"/>
    <w:rsid w:val="007361D2"/>
    <w:rsid w:val="0073712F"/>
    <w:rsid w:val="00745C58"/>
    <w:rsid w:val="007534BE"/>
    <w:rsid w:val="007607A8"/>
    <w:rsid w:val="0076150F"/>
    <w:rsid w:val="0076221B"/>
    <w:rsid w:val="007629D0"/>
    <w:rsid w:val="00765E59"/>
    <w:rsid w:val="007678FC"/>
    <w:rsid w:val="007718FA"/>
    <w:rsid w:val="00775C69"/>
    <w:rsid w:val="00781091"/>
    <w:rsid w:val="007848F8"/>
    <w:rsid w:val="00786DF9"/>
    <w:rsid w:val="007945D6"/>
    <w:rsid w:val="00795056"/>
    <w:rsid w:val="007A038C"/>
    <w:rsid w:val="007B0BE8"/>
    <w:rsid w:val="007B7175"/>
    <w:rsid w:val="007C239A"/>
    <w:rsid w:val="007C6342"/>
    <w:rsid w:val="007D0F25"/>
    <w:rsid w:val="007D2B9F"/>
    <w:rsid w:val="007D3971"/>
    <w:rsid w:val="007D58A0"/>
    <w:rsid w:val="007F281B"/>
    <w:rsid w:val="007F5F80"/>
    <w:rsid w:val="007F62D5"/>
    <w:rsid w:val="008013B1"/>
    <w:rsid w:val="008023CB"/>
    <w:rsid w:val="00833513"/>
    <w:rsid w:val="008413C9"/>
    <w:rsid w:val="0084718E"/>
    <w:rsid w:val="00850931"/>
    <w:rsid w:val="00850DBC"/>
    <w:rsid w:val="00852F29"/>
    <w:rsid w:val="00861CD2"/>
    <w:rsid w:val="00861DAB"/>
    <w:rsid w:val="00864755"/>
    <w:rsid w:val="0086696A"/>
    <w:rsid w:val="008719DB"/>
    <w:rsid w:val="00874D89"/>
    <w:rsid w:val="00885D66"/>
    <w:rsid w:val="00891668"/>
    <w:rsid w:val="00893289"/>
    <w:rsid w:val="00893CB0"/>
    <w:rsid w:val="008957A5"/>
    <w:rsid w:val="008A042C"/>
    <w:rsid w:val="008D41C4"/>
    <w:rsid w:val="008D7133"/>
    <w:rsid w:val="008E433B"/>
    <w:rsid w:val="008F2BCC"/>
    <w:rsid w:val="009039A1"/>
    <w:rsid w:val="00906D49"/>
    <w:rsid w:val="0090714A"/>
    <w:rsid w:val="00907907"/>
    <w:rsid w:val="00907C6A"/>
    <w:rsid w:val="00923BDB"/>
    <w:rsid w:val="00926EC1"/>
    <w:rsid w:val="00943EFA"/>
    <w:rsid w:val="009444C8"/>
    <w:rsid w:val="0095001F"/>
    <w:rsid w:val="0096383A"/>
    <w:rsid w:val="00970FCD"/>
    <w:rsid w:val="00971CE8"/>
    <w:rsid w:val="00976022"/>
    <w:rsid w:val="00980941"/>
    <w:rsid w:val="0098570A"/>
    <w:rsid w:val="0098683E"/>
    <w:rsid w:val="00994903"/>
    <w:rsid w:val="00997F89"/>
    <w:rsid w:val="009A516F"/>
    <w:rsid w:val="009A57F5"/>
    <w:rsid w:val="009C091E"/>
    <w:rsid w:val="009D279E"/>
    <w:rsid w:val="009D511D"/>
    <w:rsid w:val="009E2213"/>
    <w:rsid w:val="009E70AF"/>
    <w:rsid w:val="009F4A68"/>
    <w:rsid w:val="00A012C1"/>
    <w:rsid w:val="00A03C23"/>
    <w:rsid w:val="00A044CF"/>
    <w:rsid w:val="00A04B46"/>
    <w:rsid w:val="00A11341"/>
    <w:rsid w:val="00A13005"/>
    <w:rsid w:val="00A16734"/>
    <w:rsid w:val="00A21915"/>
    <w:rsid w:val="00A22959"/>
    <w:rsid w:val="00A249BD"/>
    <w:rsid w:val="00A24CBA"/>
    <w:rsid w:val="00A24D70"/>
    <w:rsid w:val="00A34065"/>
    <w:rsid w:val="00A34580"/>
    <w:rsid w:val="00A41346"/>
    <w:rsid w:val="00A41EA6"/>
    <w:rsid w:val="00A60633"/>
    <w:rsid w:val="00A64757"/>
    <w:rsid w:val="00A649F0"/>
    <w:rsid w:val="00A70990"/>
    <w:rsid w:val="00A77437"/>
    <w:rsid w:val="00A83AD0"/>
    <w:rsid w:val="00A97E18"/>
    <w:rsid w:val="00AA25BC"/>
    <w:rsid w:val="00AA2CB2"/>
    <w:rsid w:val="00AB418B"/>
    <w:rsid w:val="00AB5EF3"/>
    <w:rsid w:val="00AC1346"/>
    <w:rsid w:val="00AC2C58"/>
    <w:rsid w:val="00AD0AC7"/>
    <w:rsid w:val="00AD2A4A"/>
    <w:rsid w:val="00AD4B0B"/>
    <w:rsid w:val="00AE002A"/>
    <w:rsid w:val="00AE0739"/>
    <w:rsid w:val="00AF46E1"/>
    <w:rsid w:val="00B40B69"/>
    <w:rsid w:val="00B41482"/>
    <w:rsid w:val="00B44B2D"/>
    <w:rsid w:val="00B47FDB"/>
    <w:rsid w:val="00B53F2D"/>
    <w:rsid w:val="00B60516"/>
    <w:rsid w:val="00B63CF5"/>
    <w:rsid w:val="00B72D75"/>
    <w:rsid w:val="00B82860"/>
    <w:rsid w:val="00B83B2E"/>
    <w:rsid w:val="00B83BB3"/>
    <w:rsid w:val="00B84059"/>
    <w:rsid w:val="00B94747"/>
    <w:rsid w:val="00B94FD2"/>
    <w:rsid w:val="00BD2A4A"/>
    <w:rsid w:val="00BE2305"/>
    <w:rsid w:val="00BF0686"/>
    <w:rsid w:val="00BF2EFE"/>
    <w:rsid w:val="00BF55DC"/>
    <w:rsid w:val="00BF5CE1"/>
    <w:rsid w:val="00BF5F36"/>
    <w:rsid w:val="00C03319"/>
    <w:rsid w:val="00C0690E"/>
    <w:rsid w:val="00C113E6"/>
    <w:rsid w:val="00C1527D"/>
    <w:rsid w:val="00C17EC0"/>
    <w:rsid w:val="00C3503B"/>
    <w:rsid w:val="00C4396F"/>
    <w:rsid w:val="00C44B03"/>
    <w:rsid w:val="00C45841"/>
    <w:rsid w:val="00C45C74"/>
    <w:rsid w:val="00C50394"/>
    <w:rsid w:val="00C51F78"/>
    <w:rsid w:val="00C55F5E"/>
    <w:rsid w:val="00C622F2"/>
    <w:rsid w:val="00C722FB"/>
    <w:rsid w:val="00C75BB6"/>
    <w:rsid w:val="00C77A4F"/>
    <w:rsid w:val="00C80732"/>
    <w:rsid w:val="00C839DB"/>
    <w:rsid w:val="00C8683C"/>
    <w:rsid w:val="00C90C50"/>
    <w:rsid w:val="00C9112E"/>
    <w:rsid w:val="00CB3727"/>
    <w:rsid w:val="00CB48BD"/>
    <w:rsid w:val="00CB516D"/>
    <w:rsid w:val="00CB7E1E"/>
    <w:rsid w:val="00CC04F5"/>
    <w:rsid w:val="00CC191A"/>
    <w:rsid w:val="00CD311E"/>
    <w:rsid w:val="00CD5B59"/>
    <w:rsid w:val="00CD6A63"/>
    <w:rsid w:val="00CD6CC6"/>
    <w:rsid w:val="00CE254F"/>
    <w:rsid w:val="00CE3ECD"/>
    <w:rsid w:val="00CE4E91"/>
    <w:rsid w:val="00CF072F"/>
    <w:rsid w:val="00CF5339"/>
    <w:rsid w:val="00D02552"/>
    <w:rsid w:val="00D15A26"/>
    <w:rsid w:val="00D24FF0"/>
    <w:rsid w:val="00D31113"/>
    <w:rsid w:val="00D318B2"/>
    <w:rsid w:val="00D42467"/>
    <w:rsid w:val="00D430B8"/>
    <w:rsid w:val="00D52200"/>
    <w:rsid w:val="00D54C86"/>
    <w:rsid w:val="00D61A93"/>
    <w:rsid w:val="00D76111"/>
    <w:rsid w:val="00D82EDE"/>
    <w:rsid w:val="00D8418D"/>
    <w:rsid w:val="00DA61DC"/>
    <w:rsid w:val="00DC0E70"/>
    <w:rsid w:val="00DC1837"/>
    <w:rsid w:val="00DC4BDE"/>
    <w:rsid w:val="00DD68FF"/>
    <w:rsid w:val="00DE1154"/>
    <w:rsid w:val="00DE3314"/>
    <w:rsid w:val="00DE4CF7"/>
    <w:rsid w:val="00DF4D20"/>
    <w:rsid w:val="00DF4D9B"/>
    <w:rsid w:val="00E05F53"/>
    <w:rsid w:val="00E07467"/>
    <w:rsid w:val="00E120C5"/>
    <w:rsid w:val="00E14287"/>
    <w:rsid w:val="00E21302"/>
    <w:rsid w:val="00E35277"/>
    <w:rsid w:val="00E47DCA"/>
    <w:rsid w:val="00E5001B"/>
    <w:rsid w:val="00E66C3E"/>
    <w:rsid w:val="00E76C38"/>
    <w:rsid w:val="00E77959"/>
    <w:rsid w:val="00E80A0E"/>
    <w:rsid w:val="00E82164"/>
    <w:rsid w:val="00E82371"/>
    <w:rsid w:val="00E87B67"/>
    <w:rsid w:val="00EA5BBE"/>
    <w:rsid w:val="00EA6133"/>
    <w:rsid w:val="00EB00A1"/>
    <w:rsid w:val="00EB0362"/>
    <w:rsid w:val="00EB0CE8"/>
    <w:rsid w:val="00EC0299"/>
    <w:rsid w:val="00ED400C"/>
    <w:rsid w:val="00ED5986"/>
    <w:rsid w:val="00EE06E6"/>
    <w:rsid w:val="00EE207D"/>
    <w:rsid w:val="00EF1846"/>
    <w:rsid w:val="00EF68D9"/>
    <w:rsid w:val="00F146D2"/>
    <w:rsid w:val="00F22B5F"/>
    <w:rsid w:val="00F30E44"/>
    <w:rsid w:val="00F34E7B"/>
    <w:rsid w:val="00F37EED"/>
    <w:rsid w:val="00F41C32"/>
    <w:rsid w:val="00F435D5"/>
    <w:rsid w:val="00F479E8"/>
    <w:rsid w:val="00F47B68"/>
    <w:rsid w:val="00F5117A"/>
    <w:rsid w:val="00F516A8"/>
    <w:rsid w:val="00F71606"/>
    <w:rsid w:val="00F73F1F"/>
    <w:rsid w:val="00F7551B"/>
    <w:rsid w:val="00F7753C"/>
    <w:rsid w:val="00F77D40"/>
    <w:rsid w:val="00F93463"/>
    <w:rsid w:val="00FA4DA8"/>
    <w:rsid w:val="00FB42E3"/>
    <w:rsid w:val="00FB5275"/>
    <w:rsid w:val="00FB5C15"/>
    <w:rsid w:val="00FC123B"/>
    <w:rsid w:val="00FC3E2B"/>
    <w:rsid w:val="00FC5403"/>
    <w:rsid w:val="00FC69E3"/>
    <w:rsid w:val="00FD2301"/>
    <w:rsid w:val="00FE0D49"/>
    <w:rsid w:val="00FE1942"/>
    <w:rsid w:val="00FE7B94"/>
    <w:rsid w:val="00FF6CE1"/>
    <w:rsid w:val="01026155"/>
    <w:rsid w:val="0103164E"/>
    <w:rsid w:val="01042CD0"/>
    <w:rsid w:val="01105699"/>
    <w:rsid w:val="01192688"/>
    <w:rsid w:val="011B0745"/>
    <w:rsid w:val="011B7573"/>
    <w:rsid w:val="01213882"/>
    <w:rsid w:val="012375FA"/>
    <w:rsid w:val="012F749F"/>
    <w:rsid w:val="01407C14"/>
    <w:rsid w:val="01437EC0"/>
    <w:rsid w:val="014B08FF"/>
    <w:rsid w:val="015B446A"/>
    <w:rsid w:val="015B4FEB"/>
    <w:rsid w:val="016853DB"/>
    <w:rsid w:val="01691BDB"/>
    <w:rsid w:val="01730582"/>
    <w:rsid w:val="017E6F26"/>
    <w:rsid w:val="019829B5"/>
    <w:rsid w:val="01BD7A4F"/>
    <w:rsid w:val="01D90B32"/>
    <w:rsid w:val="01DF46D6"/>
    <w:rsid w:val="01E66FA5"/>
    <w:rsid w:val="01EF572E"/>
    <w:rsid w:val="01F82835"/>
    <w:rsid w:val="020A5163"/>
    <w:rsid w:val="020F5D2B"/>
    <w:rsid w:val="021F6B64"/>
    <w:rsid w:val="0227136C"/>
    <w:rsid w:val="02331ABF"/>
    <w:rsid w:val="023870D5"/>
    <w:rsid w:val="023A4BFB"/>
    <w:rsid w:val="02497934"/>
    <w:rsid w:val="025D4D8E"/>
    <w:rsid w:val="02624152"/>
    <w:rsid w:val="02665C24"/>
    <w:rsid w:val="026954E1"/>
    <w:rsid w:val="026E2702"/>
    <w:rsid w:val="027112CC"/>
    <w:rsid w:val="02783976"/>
    <w:rsid w:val="027A60FF"/>
    <w:rsid w:val="027C16B8"/>
    <w:rsid w:val="027D71DE"/>
    <w:rsid w:val="02831388"/>
    <w:rsid w:val="02924A37"/>
    <w:rsid w:val="02975ACD"/>
    <w:rsid w:val="02985DC6"/>
    <w:rsid w:val="02996215"/>
    <w:rsid w:val="02AA6CEC"/>
    <w:rsid w:val="02B836B0"/>
    <w:rsid w:val="02D13704"/>
    <w:rsid w:val="02D768EE"/>
    <w:rsid w:val="02DB52BD"/>
    <w:rsid w:val="02E96843"/>
    <w:rsid w:val="02FC45A7"/>
    <w:rsid w:val="02FF2231"/>
    <w:rsid w:val="030B2A3C"/>
    <w:rsid w:val="031514EA"/>
    <w:rsid w:val="031A59A9"/>
    <w:rsid w:val="032A2EC2"/>
    <w:rsid w:val="032D29B2"/>
    <w:rsid w:val="033A4B32"/>
    <w:rsid w:val="033C4BD5"/>
    <w:rsid w:val="03407948"/>
    <w:rsid w:val="0341249E"/>
    <w:rsid w:val="03442791"/>
    <w:rsid w:val="034B428D"/>
    <w:rsid w:val="035F26D2"/>
    <w:rsid w:val="03622B9D"/>
    <w:rsid w:val="036C58F1"/>
    <w:rsid w:val="03885E3A"/>
    <w:rsid w:val="038971DB"/>
    <w:rsid w:val="03975C7F"/>
    <w:rsid w:val="039C6DD7"/>
    <w:rsid w:val="03A10C87"/>
    <w:rsid w:val="03AF786B"/>
    <w:rsid w:val="03B50F2A"/>
    <w:rsid w:val="03BE1924"/>
    <w:rsid w:val="03C142B6"/>
    <w:rsid w:val="03C350C4"/>
    <w:rsid w:val="03C4237C"/>
    <w:rsid w:val="03C50E3C"/>
    <w:rsid w:val="03C520CE"/>
    <w:rsid w:val="03D321B5"/>
    <w:rsid w:val="03E91499"/>
    <w:rsid w:val="03F67248"/>
    <w:rsid w:val="03FB1603"/>
    <w:rsid w:val="04043713"/>
    <w:rsid w:val="040C7938"/>
    <w:rsid w:val="04123CC2"/>
    <w:rsid w:val="041975A9"/>
    <w:rsid w:val="042F5D2F"/>
    <w:rsid w:val="04310284"/>
    <w:rsid w:val="04367267"/>
    <w:rsid w:val="04394B34"/>
    <w:rsid w:val="043C5BA9"/>
    <w:rsid w:val="04511CDD"/>
    <w:rsid w:val="04657F2A"/>
    <w:rsid w:val="046C750A"/>
    <w:rsid w:val="046E5030"/>
    <w:rsid w:val="047368F3"/>
    <w:rsid w:val="048552F8"/>
    <w:rsid w:val="04A24CDA"/>
    <w:rsid w:val="04A3117E"/>
    <w:rsid w:val="04AD3DAA"/>
    <w:rsid w:val="04B43C80"/>
    <w:rsid w:val="04BC1B3E"/>
    <w:rsid w:val="04C04179"/>
    <w:rsid w:val="04DA6989"/>
    <w:rsid w:val="04DB7527"/>
    <w:rsid w:val="04E56DE7"/>
    <w:rsid w:val="04E61F4F"/>
    <w:rsid w:val="05026FE8"/>
    <w:rsid w:val="051211C6"/>
    <w:rsid w:val="0512137B"/>
    <w:rsid w:val="051379D8"/>
    <w:rsid w:val="051A33FA"/>
    <w:rsid w:val="051C7496"/>
    <w:rsid w:val="05227A62"/>
    <w:rsid w:val="052C3149"/>
    <w:rsid w:val="052F2A11"/>
    <w:rsid w:val="052F5E15"/>
    <w:rsid w:val="05327D53"/>
    <w:rsid w:val="053308F1"/>
    <w:rsid w:val="053E2C54"/>
    <w:rsid w:val="05444349"/>
    <w:rsid w:val="055113C4"/>
    <w:rsid w:val="055C35E7"/>
    <w:rsid w:val="056805D6"/>
    <w:rsid w:val="0580501B"/>
    <w:rsid w:val="058A40EC"/>
    <w:rsid w:val="05971D90"/>
    <w:rsid w:val="05991F60"/>
    <w:rsid w:val="059C2F89"/>
    <w:rsid w:val="05A7587F"/>
    <w:rsid w:val="05AF76AE"/>
    <w:rsid w:val="05B57C30"/>
    <w:rsid w:val="05C05314"/>
    <w:rsid w:val="05C237BA"/>
    <w:rsid w:val="05C3315A"/>
    <w:rsid w:val="05C621A5"/>
    <w:rsid w:val="05CE0E7F"/>
    <w:rsid w:val="05DE0AE0"/>
    <w:rsid w:val="05DE7F94"/>
    <w:rsid w:val="05EC0669"/>
    <w:rsid w:val="05EF3F4F"/>
    <w:rsid w:val="05F11B6D"/>
    <w:rsid w:val="05F15F19"/>
    <w:rsid w:val="05F851DC"/>
    <w:rsid w:val="06096508"/>
    <w:rsid w:val="060B715F"/>
    <w:rsid w:val="060E5384"/>
    <w:rsid w:val="061821C8"/>
    <w:rsid w:val="061B7F60"/>
    <w:rsid w:val="062137D7"/>
    <w:rsid w:val="062D6B4E"/>
    <w:rsid w:val="06304C93"/>
    <w:rsid w:val="06400C4E"/>
    <w:rsid w:val="06406019"/>
    <w:rsid w:val="064424ED"/>
    <w:rsid w:val="064B4B18"/>
    <w:rsid w:val="06552E3C"/>
    <w:rsid w:val="065C5A00"/>
    <w:rsid w:val="065E4A58"/>
    <w:rsid w:val="066F086A"/>
    <w:rsid w:val="06765EB3"/>
    <w:rsid w:val="068400A0"/>
    <w:rsid w:val="069D270C"/>
    <w:rsid w:val="06A463B8"/>
    <w:rsid w:val="06B221A5"/>
    <w:rsid w:val="06B910A5"/>
    <w:rsid w:val="06BC02D5"/>
    <w:rsid w:val="06C21663"/>
    <w:rsid w:val="06C3547C"/>
    <w:rsid w:val="06C70A28"/>
    <w:rsid w:val="06ED4932"/>
    <w:rsid w:val="06F1685A"/>
    <w:rsid w:val="06FF541D"/>
    <w:rsid w:val="070007AB"/>
    <w:rsid w:val="070F7027"/>
    <w:rsid w:val="07100621"/>
    <w:rsid w:val="071B72C1"/>
    <w:rsid w:val="072E0AA7"/>
    <w:rsid w:val="07306D8B"/>
    <w:rsid w:val="07440FCD"/>
    <w:rsid w:val="07465DF0"/>
    <w:rsid w:val="074B2440"/>
    <w:rsid w:val="074D2288"/>
    <w:rsid w:val="07513835"/>
    <w:rsid w:val="0751715A"/>
    <w:rsid w:val="078D62E6"/>
    <w:rsid w:val="0790598C"/>
    <w:rsid w:val="07B332B2"/>
    <w:rsid w:val="07BE6173"/>
    <w:rsid w:val="07C00D18"/>
    <w:rsid w:val="07C37441"/>
    <w:rsid w:val="07C54C87"/>
    <w:rsid w:val="07C65661"/>
    <w:rsid w:val="07CC1890"/>
    <w:rsid w:val="07D23B28"/>
    <w:rsid w:val="07DC5543"/>
    <w:rsid w:val="07DD1DF5"/>
    <w:rsid w:val="07E775D3"/>
    <w:rsid w:val="07E86C40"/>
    <w:rsid w:val="07F60B29"/>
    <w:rsid w:val="07F76A43"/>
    <w:rsid w:val="080804DF"/>
    <w:rsid w:val="080D2DB2"/>
    <w:rsid w:val="080E2562"/>
    <w:rsid w:val="081439D4"/>
    <w:rsid w:val="08210B42"/>
    <w:rsid w:val="082641D3"/>
    <w:rsid w:val="082E2B16"/>
    <w:rsid w:val="08362309"/>
    <w:rsid w:val="08417F5B"/>
    <w:rsid w:val="08444A26"/>
    <w:rsid w:val="084C34CD"/>
    <w:rsid w:val="085007A0"/>
    <w:rsid w:val="085D0526"/>
    <w:rsid w:val="085D1644"/>
    <w:rsid w:val="085F64AC"/>
    <w:rsid w:val="086C2AB7"/>
    <w:rsid w:val="086F1AAE"/>
    <w:rsid w:val="08811482"/>
    <w:rsid w:val="08811C5D"/>
    <w:rsid w:val="088C0960"/>
    <w:rsid w:val="08926EB8"/>
    <w:rsid w:val="08955281"/>
    <w:rsid w:val="0897720D"/>
    <w:rsid w:val="089D0DE0"/>
    <w:rsid w:val="08B07800"/>
    <w:rsid w:val="08D14088"/>
    <w:rsid w:val="08DD3BC7"/>
    <w:rsid w:val="091259B7"/>
    <w:rsid w:val="0917220E"/>
    <w:rsid w:val="0919027A"/>
    <w:rsid w:val="0922463B"/>
    <w:rsid w:val="092B5F96"/>
    <w:rsid w:val="092F6FCD"/>
    <w:rsid w:val="0935611C"/>
    <w:rsid w:val="09442803"/>
    <w:rsid w:val="09563B8E"/>
    <w:rsid w:val="0958005D"/>
    <w:rsid w:val="095A3DD5"/>
    <w:rsid w:val="095C1FE8"/>
    <w:rsid w:val="0963211F"/>
    <w:rsid w:val="096411BD"/>
    <w:rsid w:val="0966277A"/>
    <w:rsid w:val="096D1D5A"/>
    <w:rsid w:val="09766415"/>
    <w:rsid w:val="097842D5"/>
    <w:rsid w:val="097C1F9D"/>
    <w:rsid w:val="09866501"/>
    <w:rsid w:val="09877502"/>
    <w:rsid w:val="098B21E0"/>
    <w:rsid w:val="099D0853"/>
    <w:rsid w:val="099D349C"/>
    <w:rsid w:val="09A92667"/>
    <w:rsid w:val="09B63701"/>
    <w:rsid w:val="09BB5D90"/>
    <w:rsid w:val="09D45935"/>
    <w:rsid w:val="09D65B51"/>
    <w:rsid w:val="09D93C30"/>
    <w:rsid w:val="09DC6722"/>
    <w:rsid w:val="09E22B15"/>
    <w:rsid w:val="09E772E8"/>
    <w:rsid w:val="09EE46DB"/>
    <w:rsid w:val="09F479B8"/>
    <w:rsid w:val="09F821FB"/>
    <w:rsid w:val="09FD2492"/>
    <w:rsid w:val="0A124C34"/>
    <w:rsid w:val="0A171CC6"/>
    <w:rsid w:val="0A374116"/>
    <w:rsid w:val="0A43484C"/>
    <w:rsid w:val="0A4634CB"/>
    <w:rsid w:val="0A4C5E14"/>
    <w:rsid w:val="0A4E4DF4"/>
    <w:rsid w:val="0A503BA8"/>
    <w:rsid w:val="0A5B0AFA"/>
    <w:rsid w:val="0A620DEF"/>
    <w:rsid w:val="0A6558BE"/>
    <w:rsid w:val="0A6D36A5"/>
    <w:rsid w:val="0A7039F0"/>
    <w:rsid w:val="0A7B2255"/>
    <w:rsid w:val="0A7B3304"/>
    <w:rsid w:val="0A9037A2"/>
    <w:rsid w:val="0A913826"/>
    <w:rsid w:val="0AA44262"/>
    <w:rsid w:val="0AB6328D"/>
    <w:rsid w:val="0AC24A68"/>
    <w:rsid w:val="0AC7549A"/>
    <w:rsid w:val="0AE0655C"/>
    <w:rsid w:val="0AF53DB5"/>
    <w:rsid w:val="0B0009AC"/>
    <w:rsid w:val="0B013DC1"/>
    <w:rsid w:val="0B0264D2"/>
    <w:rsid w:val="0B097861"/>
    <w:rsid w:val="0B0A397A"/>
    <w:rsid w:val="0B0F3A26"/>
    <w:rsid w:val="0B1306DF"/>
    <w:rsid w:val="0B236999"/>
    <w:rsid w:val="0B2F3C29"/>
    <w:rsid w:val="0B43617A"/>
    <w:rsid w:val="0B7C44D7"/>
    <w:rsid w:val="0B7D7288"/>
    <w:rsid w:val="0B8E7D66"/>
    <w:rsid w:val="0B955BB4"/>
    <w:rsid w:val="0B9A42FC"/>
    <w:rsid w:val="0B9F3D21"/>
    <w:rsid w:val="0BAE1F24"/>
    <w:rsid w:val="0BB762AB"/>
    <w:rsid w:val="0BBD1F59"/>
    <w:rsid w:val="0BBE4AEF"/>
    <w:rsid w:val="0BC86369"/>
    <w:rsid w:val="0BEB340A"/>
    <w:rsid w:val="0BF978D5"/>
    <w:rsid w:val="0BFE313E"/>
    <w:rsid w:val="0C063DA0"/>
    <w:rsid w:val="0C0819CF"/>
    <w:rsid w:val="0C0A3890"/>
    <w:rsid w:val="0C10536E"/>
    <w:rsid w:val="0C1464BD"/>
    <w:rsid w:val="0C1B5AE1"/>
    <w:rsid w:val="0C1E00BB"/>
    <w:rsid w:val="0C2030B4"/>
    <w:rsid w:val="0C23061E"/>
    <w:rsid w:val="0C3C77C2"/>
    <w:rsid w:val="0C430577"/>
    <w:rsid w:val="0C590D62"/>
    <w:rsid w:val="0C662A91"/>
    <w:rsid w:val="0C6A44A1"/>
    <w:rsid w:val="0C7053FA"/>
    <w:rsid w:val="0C714BCF"/>
    <w:rsid w:val="0C721436"/>
    <w:rsid w:val="0C746AC4"/>
    <w:rsid w:val="0C7B29E0"/>
    <w:rsid w:val="0C846098"/>
    <w:rsid w:val="0C9144C5"/>
    <w:rsid w:val="0C9920F0"/>
    <w:rsid w:val="0C9C460A"/>
    <w:rsid w:val="0CA85443"/>
    <w:rsid w:val="0CAA0BCF"/>
    <w:rsid w:val="0CAE02B5"/>
    <w:rsid w:val="0CB17E61"/>
    <w:rsid w:val="0CBE467B"/>
    <w:rsid w:val="0CC2674C"/>
    <w:rsid w:val="0CCE2B10"/>
    <w:rsid w:val="0CD36378"/>
    <w:rsid w:val="0CDB70BD"/>
    <w:rsid w:val="0CE01357"/>
    <w:rsid w:val="0CED0068"/>
    <w:rsid w:val="0CEF17A5"/>
    <w:rsid w:val="0CF93AD9"/>
    <w:rsid w:val="0D0B3D64"/>
    <w:rsid w:val="0D1A5D55"/>
    <w:rsid w:val="0D1D5392"/>
    <w:rsid w:val="0D240717"/>
    <w:rsid w:val="0D416E24"/>
    <w:rsid w:val="0D417190"/>
    <w:rsid w:val="0D4479D1"/>
    <w:rsid w:val="0D531267"/>
    <w:rsid w:val="0D5D20E6"/>
    <w:rsid w:val="0D5E3DDF"/>
    <w:rsid w:val="0D62237D"/>
    <w:rsid w:val="0D766D35"/>
    <w:rsid w:val="0D7E48B1"/>
    <w:rsid w:val="0D892CAF"/>
    <w:rsid w:val="0D8E229F"/>
    <w:rsid w:val="0D8E3FCC"/>
    <w:rsid w:val="0DA27AF9"/>
    <w:rsid w:val="0DA35828"/>
    <w:rsid w:val="0DBC7D14"/>
    <w:rsid w:val="0DBF2128"/>
    <w:rsid w:val="0DC12675"/>
    <w:rsid w:val="0DC87621"/>
    <w:rsid w:val="0DC9777B"/>
    <w:rsid w:val="0DD1747B"/>
    <w:rsid w:val="0DD95EC2"/>
    <w:rsid w:val="0DDF2AFB"/>
    <w:rsid w:val="0DE01021"/>
    <w:rsid w:val="0DE52B6C"/>
    <w:rsid w:val="0DED346A"/>
    <w:rsid w:val="0DF60BE8"/>
    <w:rsid w:val="0E012A71"/>
    <w:rsid w:val="0E060087"/>
    <w:rsid w:val="0E0A401C"/>
    <w:rsid w:val="0E10489D"/>
    <w:rsid w:val="0E1B1B12"/>
    <w:rsid w:val="0E211365"/>
    <w:rsid w:val="0E3B2427"/>
    <w:rsid w:val="0E464928"/>
    <w:rsid w:val="0E4706B2"/>
    <w:rsid w:val="0E5B222E"/>
    <w:rsid w:val="0E660C51"/>
    <w:rsid w:val="0E8266A6"/>
    <w:rsid w:val="0E835B7C"/>
    <w:rsid w:val="0E941B37"/>
    <w:rsid w:val="0E9D1A35"/>
    <w:rsid w:val="0EA07C89"/>
    <w:rsid w:val="0EA24254"/>
    <w:rsid w:val="0EA43128"/>
    <w:rsid w:val="0EAA3109"/>
    <w:rsid w:val="0EAE31AB"/>
    <w:rsid w:val="0EB43F87"/>
    <w:rsid w:val="0EB6385C"/>
    <w:rsid w:val="0EB977F0"/>
    <w:rsid w:val="0EBA3EC5"/>
    <w:rsid w:val="0EC75A69"/>
    <w:rsid w:val="0EC87A33"/>
    <w:rsid w:val="0EC95C85"/>
    <w:rsid w:val="0ED71034"/>
    <w:rsid w:val="0EE303C9"/>
    <w:rsid w:val="0EE7238E"/>
    <w:rsid w:val="0EE74802"/>
    <w:rsid w:val="0EF05625"/>
    <w:rsid w:val="0EFD148A"/>
    <w:rsid w:val="0F1B1422"/>
    <w:rsid w:val="0F296723"/>
    <w:rsid w:val="0F334D5E"/>
    <w:rsid w:val="0F362BEE"/>
    <w:rsid w:val="0F474DFC"/>
    <w:rsid w:val="0F58783C"/>
    <w:rsid w:val="0F5B4403"/>
    <w:rsid w:val="0F620FFD"/>
    <w:rsid w:val="0F672DA8"/>
    <w:rsid w:val="0F67724C"/>
    <w:rsid w:val="0F711E78"/>
    <w:rsid w:val="0F84395A"/>
    <w:rsid w:val="0F872D5E"/>
    <w:rsid w:val="0F882908"/>
    <w:rsid w:val="0F8B2663"/>
    <w:rsid w:val="0F931DEF"/>
    <w:rsid w:val="0FA3278C"/>
    <w:rsid w:val="0FA638D0"/>
    <w:rsid w:val="0FB143F9"/>
    <w:rsid w:val="0FCA3416"/>
    <w:rsid w:val="0FCB3577"/>
    <w:rsid w:val="0FD857C7"/>
    <w:rsid w:val="0FDF3286"/>
    <w:rsid w:val="0FDF5034"/>
    <w:rsid w:val="0FEB39D9"/>
    <w:rsid w:val="0FEC238E"/>
    <w:rsid w:val="0FFD2710"/>
    <w:rsid w:val="0FFF1A9C"/>
    <w:rsid w:val="100625C1"/>
    <w:rsid w:val="10156CA8"/>
    <w:rsid w:val="103027E8"/>
    <w:rsid w:val="10392996"/>
    <w:rsid w:val="103E61FE"/>
    <w:rsid w:val="10482E63"/>
    <w:rsid w:val="10594DE6"/>
    <w:rsid w:val="106E1C0C"/>
    <w:rsid w:val="10702130"/>
    <w:rsid w:val="10855BDB"/>
    <w:rsid w:val="109A0F5B"/>
    <w:rsid w:val="109A3B9B"/>
    <w:rsid w:val="10AA73F0"/>
    <w:rsid w:val="10B62239"/>
    <w:rsid w:val="10DC3616"/>
    <w:rsid w:val="10DF373D"/>
    <w:rsid w:val="10DF7048"/>
    <w:rsid w:val="10E34436"/>
    <w:rsid w:val="10E36DA6"/>
    <w:rsid w:val="10E741A0"/>
    <w:rsid w:val="10EE5D63"/>
    <w:rsid w:val="10F6011B"/>
    <w:rsid w:val="10F90377"/>
    <w:rsid w:val="1106155F"/>
    <w:rsid w:val="11085182"/>
    <w:rsid w:val="11101BD9"/>
    <w:rsid w:val="111D0253"/>
    <w:rsid w:val="111E1B8C"/>
    <w:rsid w:val="11324747"/>
    <w:rsid w:val="11334BBD"/>
    <w:rsid w:val="113B16DB"/>
    <w:rsid w:val="113B44EC"/>
    <w:rsid w:val="113C0779"/>
    <w:rsid w:val="113C092E"/>
    <w:rsid w:val="113C0C99"/>
    <w:rsid w:val="114B4CEC"/>
    <w:rsid w:val="115630D4"/>
    <w:rsid w:val="116021A5"/>
    <w:rsid w:val="11623DC5"/>
    <w:rsid w:val="11653D6C"/>
    <w:rsid w:val="11716160"/>
    <w:rsid w:val="11717F0E"/>
    <w:rsid w:val="11743D26"/>
    <w:rsid w:val="118449A9"/>
    <w:rsid w:val="1196479F"/>
    <w:rsid w:val="11991213"/>
    <w:rsid w:val="119B18B2"/>
    <w:rsid w:val="11A976A8"/>
    <w:rsid w:val="11AC0F46"/>
    <w:rsid w:val="11C40985"/>
    <w:rsid w:val="11C6025A"/>
    <w:rsid w:val="11DA1558"/>
    <w:rsid w:val="11E05DD9"/>
    <w:rsid w:val="11EF7262"/>
    <w:rsid w:val="11F801BC"/>
    <w:rsid w:val="12047144"/>
    <w:rsid w:val="1209283C"/>
    <w:rsid w:val="12163467"/>
    <w:rsid w:val="121960FF"/>
    <w:rsid w:val="121C256F"/>
    <w:rsid w:val="121D6E2C"/>
    <w:rsid w:val="12287217"/>
    <w:rsid w:val="122F22A3"/>
    <w:rsid w:val="123258EF"/>
    <w:rsid w:val="12352BEA"/>
    <w:rsid w:val="12435D4E"/>
    <w:rsid w:val="124D62D8"/>
    <w:rsid w:val="12563740"/>
    <w:rsid w:val="12623816"/>
    <w:rsid w:val="12635AA8"/>
    <w:rsid w:val="126B2BAF"/>
    <w:rsid w:val="126D6927"/>
    <w:rsid w:val="127777A6"/>
    <w:rsid w:val="127B4B72"/>
    <w:rsid w:val="12866648"/>
    <w:rsid w:val="12887C05"/>
    <w:rsid w:val="12887D91"/>
    <w:rsid w:val="128A6C79"/>
    <w:rsid w:val="12900868"/>
    <w:rsid w:val="12946401"/>
    <w:rsid w:val="129836AF"/>
    <w:rsid w:val="129E4D32"/>
    <w:rsid w:val="12A52841"/>
    <w:rsid w:val="12BD2877"/>
    <w:rsid w:val="12C30C0A"/>
    <w:rsid w:val="12C67A5C"/>
    <w:rsid w:val="12D04739"/>
    <w:rsid w:val="12D42D04"/>
    <w:rsid w:val="12D6271E"/>
    <w:rsid w:val="12D7663C"/>
    <w:rsid w:val="12DC585B"/>
    <w:rsid w:val="12DF680F"/>
    <w:rsid w:val="12E23728"/>
    <w:rsid w:val="12F62DC0"/>
    <w:rsid w:val="13135FA9"/>
    <w:rsid w:val="132207ED"/>
    <w:rsid w:val="132A0CBC"/>
    <w:rsid w:val="133B27BA"/>
    <w:rsid w:val="134E49AB"/>
    <w:rsid w:val="13502762"/>
    <w:rsid w:val="135915A9"/>
    <w:rsid w:val="136659D4"/>
    <w:rsid w:val="137F4C8C"/>
    <w:rsid w:val="13825653"/>
    <w:rsid w:val="13853312"/>
    <w:rsid w:val="13854144"/>
    <w:rsid w:val="138F0B1F"/>
    <w:rsid w:val="13A9398F"/>
    <w:rsid w:val="13AC657F"/>
    <w:rsid w:val="13CB5FFB"/>
    <w:rsid w:val="13CC1D73"/>
    <w:rsid w:val="13E175CD"/>
    <w:rsid w:val="13F60B9E"/>
    <w:rsid w:val="14103A0E"/>
    <w:rsid w:val="141A0205"/>
    <w:rsid w:val="141C15BA"/>
    <w:rsid w:val="141D25CF"/>
    <w:rsid w:val="14363F8E"/>
    <w:rsid w:val="14432035"/>
    <w:rsid w:val="14467430"/>
    <w:rsid w:val="144D6085"/>
    <w:rsid w:val="14515DD5"/>
    <w:rsid w:val="14535FF1"/>
    <w:rsid w:val="145533A6"/>
    <w:rsid w:val="14634486"/>
    <w:rsid w:val="14667A34"/>
    <w:rsid w:val="147C16AC"/>
    <w:rsid w:val="14801713"/>
    <w:rsid w:val="14834648"/>
    <w:rsid w:val="1494332B"/>
    <w:rsid w:val="149C7998"/>
    <w:rsid w:val="14AB1989"/>
    <w:rsid w:val="14BC55E4"/>
    <w:rsid w:val="14BD74FC"/>
    <w:rsid w:val="14BE3D62"/>
    <w:rsid w:val="14C1152C"/>
    <w:rsid w:val="14CF4595"/>
    <w:rsid w:val="14D07641"/>
    <w:rsid w:val="14DC532B"/>
    <w:rsid w:val="14E1232E"/>
    <w:rsid w:val="14E657FA"/>
    <w:rsid w:val="14EB1F91"/>
    <w:rsid w:val="14F15E1C"/>
    <w:rsid w:val="14FA14F9"/>
    <w:rsid w:val="14FB2FD5"/>
    <w:rsid w:val="1510485B"/>
    <w:rsid w:val="15107A3E"/>
    <w:rsid w:val="15186FD8"/>
    <w:rsid w:val="15237771"/>
    <w:rsid w:val="15271449"/>
    <w:rsid w:val="152A6D51"/>
    <w:rsid w:val="1534585E"/>
    <w:rsid w:val="1536339B"/>
    <w:rsid w:val="15391A5F"/>
    <w:rsid w:val="154F3251"/>
    <w:rsid w:val="15535D43"/>
    <w:rsid w:val="155609F9"/>
    <w:rsid w:val="155C2B41"/>
    <w:rsid w:val="15695ACC"/>
    <w:rsid w:val="156F0C08"/>
    <w:rsid w:val="15744B16"/>
    <w:rsid w:val="15791A87"/>
    <w:rsid w:val="157D1577"/>
    <w:rsid w:val="157D6CD0"/>
    <w:rsid w:val="158836D4"/>
    <w:rsid w:val="158E10A8"/>
    <w:rsid w:val="15981F0D"/>
    <w:rsid w:val="15A41965"/>
    <w:rsid w:val="15A563D8"/>
    <w:rsid w:val="15A85EC8"/>
    <w:rsid w:val="15A87CC5"/>
    <w:rsid w:val="15AA7E92"/>
    <w:rsid w:val="15AF1BFE"/>
    <w:rsid w:val="15B66837"/>
    <w:rsid w:val="15BD1BCA"/>
    <w:rsid w:val="15DA1475"/>
    <w:rsid w:val="15E20E8C"/>
    <w:rsid w:val="15E30B21"/>
    <w:rsid w:val="15E96C0C"/>
    <w:rsid w:val="15EA64E1"/>
    <w:rsid w:val="15F15EE9"/>
    <w:rsid w:val="15F5110D"/>
    <w:rsid w:val="15FF01DE"/>
    <w:rsid w:val="16077093"/>
    <w:rsid w:val="16096967"/>
    <w:rsid w:val="160E39F0"/>
    <w:rsid w:val="16151798"/>
    <w:rsid w:val="161B0C52"/>
    <w:rsid w:val="161C0D90"/>
    <w:rsid w:val="162E2871"/>
    <w:rsid w:val="16336866"/>
    <w:rsid w:val="163B6FFF"/>
    <w:rsid w:val="164200CB"/>
    <w:rsid w:val="164336EB"/>
    <w:rsid w:val="16445BF1"/>
    <w:rsid w:val="16471C1C"/>
    <w:rsid w:val="165912B8"/>
    <w:rsid w:val="165A3666"/>
    <w:rsid w:val="16640041"/>
    <w:rsid w:val="166560CF"/>
    <w:rsid w:val="166718DF"/>
    <w:rsid w:val="167D7355"/>
    <w:rsid w:val="168035E6"/>
    <w:rsid w:val="168356FE"/>
    <w:rsid w:val="168D57EA"/>
    <w:rsid w:val="16A06D76"/>
    <w:rsid w:val="16A82624"/>
    <w:rsid w:val="16AE1DDF"/>
    <w:rsid w:val="16B965DF"/>
    <w:rsid w:val="16D73035"/>
    <w:rsid w:val="16DF3B6C"/>
    <w:rsid w:val="16EA17B8"/>
    <w:rsid w:val="16ED6288"/>
    <w:rsid w:val="16F92E7F"/>
    <w:rsid w:val="17066928"/>
    <w:rsid w:val="172F2734"/>
    <w:rsid w:val="173128BE"/>
    <w:rsid w:val="173914CE"/>
    <w:rsid w:val="174114E0"/>
    <w:rsid w:val="17417263"/>
    <w:rsid w:val="174F49CD"/>
    <w:rsid w:val="175A3EB4"/>
    <w:rsid w:val="175F39F7"/>
    <w:rsid w:val="17620A24"/>
    <w:rsid w:val="176512FA"/>
    <w:rsid w:val="17747262"/>
    <w:rsid w:val="17757095"/>
    <w:rsid w:val="17781D54"/>
    <w:rsid w:val="177B3894"/>
    <w:rsid w:val="177C142C"/>
    <w:rsid w:val="177D585E"/>
    <w:rsid w:val="1780519C"/>
    <w:rsid w:val="17852965"/>
    <w:rsid w:val="178766DD"/>
    <w:rsid w:val="17942BA8"/>
    <w:rsid w:val="17B31280"/>
    <w:rsid w:val="17B70926"/>
    <w:rsid w:val="17B83390"/>
    <w:rsid w:val="17B9616B"/>
    <w:rsid w:val="17BA58CA"/>
    <w:rsid w:val="17C9256F"/>
    <w:rsid w:val="17CF257F"/>
    <w:rsid w:val="17D80701"/>
    <w:rsid w:val="17EC1FB0"/>
    <w:rsid w:val="17EE49EA"/>
    <w:rsid w:val="17EF3FA8"/>
    <w:rsid w:val="17FB27D0"/>
    <w:rsid w:val="17FD6265"/>
    <w:rsid w:val="180A36AC"/>
    <w:rsid w:val="180B4D80"/>
    <w:rsid w:val="180B5C64"/>
    <w:rsid w:val="180D7409"/>
    <w:rsid w:val="180E55BD"/>
    <w:rsid w:val="181D2B9D"/>
    <w:rsid w:val="181D7AAF"/>
    <w:rsid w:val="18446C91"/>
    <w:rsid w:val="18553EFB"/>
    <w:rsid w:val="18554231"/>
    <w:rsid w:val="18585984"/>
    <w:rsid w:val="185B5474"/>
    <w:rsid w:val="186F7922"/>
    <w:rsid w:val="18787DD4"/>
    <w:rsid w:val="187F409E"/>
    <w:rsid w:val="18821B03"/>
    <w:rsid w:val="18831547"/>
    <w:rsid w:val="18905442"/>
    <w:rsid w:val="189D1E4F"/>
    <w:rsid w:val="189D7BD5"/>
    <w:rsid w:val="18AE1998"/>
    <w:rsid w:val="18C15C1F"/>
    <w:rsid w:val="18D21BDA"/>
    <w:rsid w:val="18D71473"/>
    <w:rsid w:val="18D72D4C"/>
    <w:rsid w:val="18E216F1"/>
    <w:rsid w:val="18E45FED"/>
    <w:rsid w:val="18E65685"/>
    <w:rsid w:val="18E92A1D"/>
    <w:rsid w:val="18F45BA2"/>
    <w:rsid w:val="18F6471E"/>
    <w:rsid w:val="19037FE5"/>
    <w:rsid w:val="19145D4E"/>
    <w:rsid w:val="191B713B"/>
    <w:rsid w:val="192A37C4"/>
    <w:rsid w:val="193006AE"/>
    <w:rsid w:val="19446C28"/>
    <w:rsid w:val="19524AC9"/>
    <w:rsid w:val="19582B83"/>
    <w:rsid w:val="19660047"/>
    <w:rsid w:val="19663FA5"/>
    <w:rsid w:val="19676254"/>
    <w:rsid w:val="196D36B1"/>
    <w:rsid w:val="196E3837"/>
    <w:rsid w:val="196F12BF"/>
    <w:rsid w:val="197C38F4"/>
    <w:rsid w:val="19857E7A"/>
    <w:rsid w:val="199571A7"/>
    <w:rsid w:val="19B4308D"/>
    <w:rsid w:val="19BD63E6"/>
    <w:rsid w:val="19BE3676"/>
    <w:rsid w:val="19C81325"/>
    <w:rsid w:val="19D0792D"/>
    <w:rsid w:val="19D93596"/>
    <w:rsid w:val="19DB4ABE"/>
    <w:rsid w:val="19E71E3D"/>
    <w:rsid w:val="19EB5BB5"/>
    <w:rsid w:val="19F906FD"/>
    <w:rsid w:val="1A0A0EFF"/>
    <w:rsid w:val="1A164EFB"/>
    <w:rsid w:val="1A17459F"/>
    <w:rsid w:val="1A176F08"/>
    <w:rsid w:val="1A177C84"/>
    <w:rsid w:val="1A18407F"/>
    <w:rsid w:val="1A1F5F99"/>
    <w:rsid w:val="1A366198"/>
    <w:rsid w:val="1A4015B7"/>
    <w:rsid w:val="1A4563DB"/>
    <w:rsid w:val="1A49562F"/>
    <w:rsid w:val="1A49668B"/>
    <w:rsid w:val="1A671ED8"/>
    <w:rsid w:val="1A6C1BBA"/>
    <w:rsid w:val="1A7840BB"/>
    <w:rsid w:val="1A7B1124"/>
    <w:rsid w:val="1A887461"/>
    <w:rsid w:val="1A8B2040"/>
    <w:rsid w:val="1A9B5FFB"/>
    <w:rsid w:val="1A9F789A"/>
    <w:rsid w:val="1AA66B0C"/>
    <w:rsid w:val="1AB437AE"/>
    <w:rsid w:val="1ADA6B24"/>
    <w:rsid w:val="1AE41750"/>
    <w:rsid w:val="1AE6196C"/>
    <w:rsid w:val="1AED2CFB"/>
    <w:rsid w:val="1AFD0A64"/>
    <w:rsid w:val="1B0342CC"/>
    <w:rsid w:val="1B043BA1"/>
    <w:rsid w:val="1B07088A"/>
    <w:rsid w:val="1B076CE7"/>
    <w:rsid w:val="1B0B4F2F"/>
    <w:rsid w:val="1B0E57C2"/>
    <w:rsid w:val="1B1F6C2C"/>
    <w:rsid w:val="1B2026F6"/>
    <w:rsid w:val="1B2129A5"/>
    <w:rsid w:val="1B2D6FD2"/>
    <w:rsid w:val="1B300E3A"/>
    <w:rsid w:val="1B362FB2"/>
    <w:rsid w:val="1B373B51"/>
    <w:rsid w:val="1B3A5C69"/>
    <w:rsid w:val="1B3C71E1"/>
    <w:rsid w:val="1B434989"/>
    <w:rsid w:val="1B4A1EFB"/>
    <w:rsid w:val="1B4A4F0A"/>
    <w:rsid w:val="1B5F2658"/>
    <w:rsid w:val="1B61433C"/>
    <w:rsid w:val="1B74042F"/>
    <w:rsid w:val="1B79633D"/>
    <w:rsid w:val="1B807A30"/>
    <w:rsid w:val="1B8F3DB2"/>
    <w:rsid w:val="1B961947"/>
    <w:rsid w:val="1B9D2601"/>
    <w:rsid w:val="1B9E5DA3"/>
    <w:rsid w:val="1BA25D06"/>
    <w:rsid w:val="1BAF4334"/>
    <w:rsid w:val="1BB60F3D"/>
    <w:rsid w:val="1BB83309"/>
    <w:rsid w:val="1BB9498B"/>
    <w:rsid w:val="1BCC3990"/>
    <w:rsid w:val="1BD00130"/>
    <w:rsid w:val="1BDB2B53"/>
    <w:rsid w:val="1BDE7C44"/>
    <w:rsid w:val="1BE13EE2"/>
    <w:rsid w:val="1BE87977"/>
    <w:rsid w:val="1BEC0C12"/>
    <w:rsid w:val="1BEF4851"/>
    <w:rsid w:val="1BF14E41"/>
    <w:rsid w:val="1BF4109B"/>
    <w:rsid w:val="1BF603FD"/>
    <w:rsid w:val="1BF63E31"/>
    <w:rsid w:val="1BF6798D"/>
    <w:rsid w:val="1BFF0D3F"/>
    <w:rsid w:val="1C00234C"/>
    <w:rsid w:val="1C03641B"/>
    <w:rsid w:val="1C054074"/>
    <w:rsid w:val="1C145FF6"/>
    <w:rsid w:val="1C1D4DE7"/>
    <w:rsid w:val="1C295FB5"/>
    <w:rsid w:val="1C2A3ADB"/>
    <w:rsid w:val="1C2F10F1"/>
    <w:rsid w:val="1C33473D"/>
    <w:rsid w:val="1C406E5A"/>
    <w:rsid w:val="1C420E24"/>
    <w:rsid w:val="1C472D08"/>
    <w:rsid w:val="1C4E30AA"/>
    <w:rsid w:val="1C540469"/>
    <w:rsid w:val="1C5841A4"/>
    <w:rsid w:val="1C5E47EB"/>
    <w:rsid w:val="1C6B44E3"/>
    <w:rsid w:val="1C6C4FD8"/>
    <w:rsid w:val="1C6C5EA1"/>
    <w:rsid w:val="1C776FFB"/>
    <w:rsid w:val="1C7D1E5D"/>
    <w:rsid w:val="1C817B9F"/>
    <w:rsid w:val="1C9A4990"/>
    <w:rsid w:val="1CB56D70"/>
    <w:rsid w:val="1CB658ED"/>
    <w:rsid w:val="1CB957A5"/>
    <w:rsid w:val="1CBF3B73"/>
    <w:rsid w:val="1CC25AC1"/>
    <w:rsid w:val="1CCE4466"/>
    <w:rsid w:val="1CD64E0A"/>
    <w:rsid w:val="1CD83537"/>
    <w:rsid w:val="1CD87093"/>
    <w:rsid w:val="1CDF6673"/>
    <w:rsid w:val="1CF10155"/>
    <w:rsid w:val="1D01483C"/>
    <w:rsid w:val="1D104A7F"/>
    <w:rsid w:val="1D1F4CC2"/>
    <w:rsid w:val="1D2642A2"/>
    <w:rsid w:val="1D3764AF"/>
    <w:rsid w:val="1D456AFB"/>
    <w:rsid w:val="1D4A4435"/>
    <w:rsid w:val="1D506D2A"/>
    <w:rsid w:val="1D5412D8"/>
    <w:rsid w:val="1D6E70D6"/>
    <w:rsid w:val="1D724C59"/>
    <w:rsid w:val="1D772D50"/>
    <w:rsid w:val="1D8A2A83"/>
    <w:rsid w:val="1D8F11D2"/>
    <w:rsid w:val="1D992CC6"/>
    <w:rsid w:val="1D9B2FAD"/>
    <w:rsid w:val="1D9E02DC"/>
    <w:rsid w:val="1DA85FB6"/>
    <w:rsid w:val="1DAC27BE"/>
    <w:rsid w:val="1DBC0763"/>
    <w:rsid w:val="1DBE272D"/>
    <w:rsid w:val="1DBE5879"/>
    <w:rsid w:val="1DC67833"/>
    <w:rsid w:val="1DD97567"/>
    <w:rsid w:val="1DDD1FC3"/>
    <w:rsid w:val="1DE60100"/>
    <w:rsid w:val="1DF20628"/>
    <w:rsid w:val="1DF51E9C"/>
    <w:rsid w:val="1DF60CD6"/>
    <w:rsid w:val="1E116D00"/>
    <w:rsid w:val="1E21054D"/>
    <w:rsid w:val="1E2E78B2"/>
    <w:rsid w:val="1E50753C"/>
    <w:rsid w:val="1E597E98"/>
    <w:rsid w:val="1E5A22DA"/>
    <w:rsid w:val="1E613132"/>
    <w:rsid w:val="1E6257AE"/>
    <w:rsid w:val="1E6E07D3"/>
    <w:rsid w:val="1E720882"/>
    <w:rsid w:val="1E7E4D14"/>
    <w:rsid w:val="1E822A05"/>
    <w:rsid w:val="1E833E37"/>
    <w:rsid w:val="1E841CFD"/>
    <w:rsid w:val="1E861550"/>
    <w:rsid w:val="1E8D5D05"/>
    <w:rsid w:val="1E930AF8"/>
    <w:rsid w:val="1E962B80"/>
    <w:rsid w:val="1EDC07EA"/>
    <w:rsid w:val="1EDD751C"/>
    <w:rsid w:val="1EE01536"/>
    <w:rsid w:val="1EE26DEA"/>
    <w:rsid w:val="1EE937D9"/>
    <w:rsid w:val="1EF26B32"/>
    <w:rsid w:val="1EF51331"/>
    <w:rsid w:val="1EF80BF6"/>
    <w:rsid w:val="1F0F173B"/>
    <w:rsid w:val="1F253903"/>
    <w:rsid w:val="1F2E743E"/>
    <w:rsid w:val="1F3507CD"/>
    <w:rsid w:val="1F490097"/>
    <w:rsid w:val="1F5206B5"/>
    <w:rsid w:val="1F52137F"/>
    <w:rsid w:val="1F582F19"/>
    <w:rsid w:val="1F6B41EE"/>
    <w:rsid w:val="1F75506D"/>
    <w:rsid w:val="1F7A1770"/>
    <w:rsid w:val="1F807DBA"/>
    <w:rsid w:val="1F890B18"/>
    <w:rsid w:val="1FA15E62"/>
    <w:rsid w:val="1FAA11BB"/>
    <w:rsid w:val="1FB817C9"/>
    <w:rsid w:val="1FC04CA7"/>
    <w:rsid w:val="1FC658C9"/>
    <w:rsid w:val="1FD2090F"/>
    <w:rsid w:val="1FD27BC4"/>
    <w:rsid w:val="1FD77AD6"/>
    <w:rsid w:val="1FE12520"/>
    <w:rsid w:val="1FE346CD"/>
    <w:rsid w:val="20104D96"/>
    <w:rsid w:val="20120B0E"/>
    <w:rsid w:val="201605FE"/>
    <w:rsid w:val="2019376E"/>
    <w:rsid w:val="20237DE4"/>
    <w:rsid w:val="20322F5E"/>
    <w:rsid w:val="203B1E13"/>
    <w:rsid w:val="204061C1"/>
    <w:rsid w:val="204809D3"/>
    <w:rsid w:val="20506E01"/>
    <w:rsid w:val="205630F0"/>
    <w:rsid w:val="20684BD2"/>
    <w:rsid w:val="207574FD"/>
    <w:rsid w:val="207F156F"/>
    <w:rsid w:val="209C5B84"/>
    <w:rsid w:val="209F2C88"/>
    <w:rsid w:val="20A11517"/>
    <w:rsid w:val="20A21E56"/>
    <w:rsid w:val="20BC2DDD"/>
    <w:rsid w:val="20BC78A5"/>
    <w:rsid w:val="20C84600"/>
    <w:rsid w:val="20CD5313"/>
    <w:rsid w:val="20D553D1"/>
    <w:rsid w:val="20FA3A7C"/>
    <w:rsid w:val="210479D4"/>
    <w:rsid w:val="21132D8F"/>
    <w:rsid w:val="212136FE"/>
    <w:rsid w:val="21233ED6"/>
    <w:rsid w:val="212D38AA"/>
    <w:rsid w:val="213845A4"/>
    <w:rsid w:val="214011FC"/>
    <w:rsid w:val="214B077B"/>
    <w:rsid w:val="214B4867"/>
    <w:rsid w:val="216D6763"/>
    <w:rsid w:val="21894314"/>
    <w:rsid w:val="219536BB"/>
    <w:rsid w:val="21995E80"/>
    <w:rsid w:val="21A36780"/>
    <w:rsid w:val="21A62E3B"/>
    <w:rsid w:val="21AE2AB8"/>
    <w:rsid w:val="21B856E5"/>
    <w:rsid w:val="21C11B20"/>
    <w:rsid w:val="21C45BE8"/>
    <w:rsid w:val="21C81DCC"/>
    <w:rsid w:val="21CB18BC"/>
    <w:rsid w:val="21D10C1B"/>
    <w:rsid w:val="21DC3FC8"/>
    <w:rsid w:val="21ED1832"/>
    <w:rsid w:val="21F92CFC"/>
    <w:rsid w:val="2203441A"/>
    <w:rsid w:val="2210107D"/>
    <w:rsid w:val="22216CD1"/>
    <w:rsid w:val="22280ABD"/>
    <w:rsid w:val="222B5EB7"/>
    <w:rsid w:val="22361730"/>
    <w:rsid w:val="22372AAE"/>
    <w:rsid w:val="22433200"/>
    <w:rsid w:val="224D22D1"/>
    <w:rsid w:val="224D5242"/>
    <w:rsid w:val="22553DE4"/>
    <w:rsid w:val="227B299A"/>
    <w:rsid w:val="2288155B"/>
    <w:rsid w:val="229F0A7E"/>
    <w:rsid w:val="22A41D1F"/>
    <w:rsid w:val="22A87507"/>
    <w:rsid w:val="22B365D8"/>
    <w:rsid w:val="22BD1205"/>
    <w:rsid w:val="22CA69FF"/>
    <w:rsid w:val="22CB3E14"/>
    <w:rsid w:val="22D60519"/>
    <w:rsid w:val="22DC16AB"/>
    <w:rsid w:val="22DF15A0"/>
    <w:rsid w:val="22E36792"/>
    <w:rsid w:val="22EB6BB7"/>
    <w:rsid w:val="232149CB"/>
    <w:rsid w:val="232E5185"/>
    <w:rsid w:val="2334047B"/>
    <w:rsid w:val="233D40F4"/>
    <w:rsid w:val="234819FA"/>
    <w:rsid w:val="23497861"/>
    <w:rsid w:val="235333B2"/>
    <w:rsid w:val="23571659"/>
    <w:rsid w:val="235B5539"/>
    <w:rsid w:val="235B5B93"/>
    <w:rsid w:val="23660FB8"/>
    <w:rsid w:val="236830D0"/>
    <w:rsid w:val="23722D50"/>
    <w:rsid w:val="237D58CC"/>
    <w:rsid w:val="2387457D"/>
    <w:rsid w:val="238B47C5"/>
    <w:rsid w:val="238B4BBB"/>
    <w:rsid w:val="239161EE"/>
    <w:rsid w:val="23A203FB"/>
    <w:rsid w:val="23B048C6"/>
    <w:rsid w:val="23B117E5"/>
    <w:rsid w:val="23B95F8F"/>
    <w:rsid w:val="23CE2811"/>
    <w:rsid w:val="23D42D7D"/>
    <w:rsid w:val="23DB65F9"/>
    <w:rsid w:val="23E228ED"/>
    <w:rsid w:val="23EE5289"/>
    <w:rsid w:val="240F73B9"/>
    <w:rsid w:val="24125147"/>
    <w:rsid w:val="242552B4"/>
    <w:rsid w:val="243055F0"/>
    <w:rsid w:val="243A6885"/>
    <w:rsid w:val="243C43AB"/>
    <w:rsid w:val="245142FB"/>
    <w:rsid w:val="245D6D4B"/>
    <w:rsid w:val="24635DDC"/>
    <w:rsid w:val="24646D22"/>
    <w:rsid w:val="246851A0"/>
    <w:rsid w:val="24705167"/>
    <w:rsid w:val="247104F9"/>
    <w:rsid w:val="247B4ED4"/>
    <w:rsid w:val="247C660B"/>
    <w:rsid w:val="249C1CF7"/>
    <w:rsid w:val="24A3267C"/>
    <w:rsid w:val="24A429AB"/>
    <w:rsid w:val="24A756CB"/>
    <w:rsid w:val="24A96FB6"/>
    <w:rsid w:val="24B16B47"/>
    <w:rsid w:val="24C863C9"/>
    <w:rsid w:val="24D61B1B"/>
    <w:rsid w:val="24E64FB3"/>
    <w:rsid w:val="24FC2B89"/>
    <w:rsid w:val="250D077C"/>
    <w:rsid w:val="250F3DFA"/>
    <w:rsid w:val="251B0967"/>
    <w:rsid w:val="251D678D"/>
    <w:rsid w:val="251D7019"/>
    <w:rsid w:val="25203CCD"/>
    <w:rsid w:val="25357778"/>
    <w:rsid w:val="254259F1"/>
    <w:rsid w:val="254623A4"/>
    <w:rsid w:val="255231DD"/>
    <w:rsid w:val="25534FFB"/>
    <w:rsid w:val="25545725"/>
    <w:rsid w:val="255A0F8D"/>
    <w:rsid w:val="256242E5"/>
    <w:rsid w:val="256E7CC8"/>
    <w:rsid w:val="258162A8"/>
    <w:rsid w:val="258558FD"/>
    <w:rsid w:val="25C66622"/>
    <w:rsid w:val="25CB2FB1"/>
    <w:rsid w:val="25D51619"/>
    <w:rsid w:val="25DA6A48"/>
    <w:rsid w:val="25E604AB"/>
    <w:rsid w:val="25E60A39"/>
    <w:rsid w:val="25EB7E37"/>
    <w:rsid w:val="25F82E89"/>
    <w:rsid w:val="26024709"/>
    <w:rsid w:val="26092728"/>
    <w:rsid w:val="261A6A42"/>
    <w:rsid w:val="261D1FBA"/>
    <w:rsid w:val="26215F4F"/>
    <w:rsid w:val="26284BE7"/>
    <w:rsid w:val="262D66A1"/>
    <w:rsid w:val="2631412E"/>
    <w:rsid w:val="265A4FBD"/>
    <w:rsid w:val="2665408D"/>
    <w:rsid w:val="266F0A3A"/>
    <w:rsid w:val="267B5E32"/>
    <w:rsid w:val="26830430"/>
    <w:rsid w:val="26A0179B"/>
    <w:rsid w:val="26A2410D"/>
    <w:rsid w:val="26AB105A"/>
    <w:rsid w:val="26B63CE0"/>
    <w:rsid w:val="26B77499"/>
    <w:rsid w:val="26B91CE3"/>
    <w:rsid w:val="26BE379D"/>
    <w:rsid w:val="26D247D9"/>
    <w:rsid w:val="26D7485F"/>
    <w:rsid w:val="26D92385"/>
    <w:rsid w:val="26DD1E76"/>
    <w:rsid w:val="26DE174A"/>
    <w:rsid w:val="26E476BE"/>
    <w:rsid w:val="26EF6CED"/>
    <w:rsid w:val="26F71263"/>
    <w:rsid w:val="26F947D6"/>
    <w:rsid w:val="26FF298C"/>
    <w:rsid w:val="2705317A"/>
    <w:rsid w:val="27165388"/>
    <w:rsid w:val="27333B64"/>
    <w:rsid w:val="27391076"/>
    <w:rsid w:val="274D272A"/>
    <w:rsid w:val="27614801"/>
    <w:rsid w:val="276158C9"/>
    <w:rsid w:val="276C144B"/>
    <w:rsid w:val="276C4FA7"/>
    <w:rsid w:val="276F6846"/>
    <w:rsid w:val="27725403"/>
    <w:rsid w:val="2786213D"/>
    <w:rsid w:val="279362E9"/>
    <w:rsid w:val="27986411"/>
    <w:rsid w:val="27A25897"/>
    <w:rsid w:val="27A27E15"/>
    <w:rsid w:val="27AC5CEC"/>
    <w:rsid w:val="27B05A75"/>
    <w:rsid w:val="27BD1CA7"/>
    <w:rsid w:val="27C43035"/>
    <w:rsid w:val="27C44DE4"/>
    <w:rsid w:val="27E163BA"/>
    <w:rsid w:val="27E17743"/>
    <w:rsid w:val="27E408FD"/>
    <w:rsid w:val="27E7184E"/>
    <w:rsid w:val="27EF6D82"/>
    <w:rsid w:val="27F42D1C"/>
    <w:rsid w:val="280B656E"/>
    <w:rsid w:val="28153740"/>
    <w:rsid w:val="28164F13"/>
    <w:rsid w:val="28186EDD"/>
    <w:rsid w:val="282E4405"/>
    <w:rsid w:val="28463A4A"/>
    <w:rsid w:val="284E4D1E"/>
    <w:rsid w:val="285443B9"/>
    <w:rsid w:val="2858552C"/>
    <w:rsid w:val="285C501C"/>
    <w:rsid w:val="2865609B"/>
    <w:rsid w:val="28687E65"/>
    <w:rsid w:val="28694EF6"/>
    <w:rsid w:val="286E581F"/>
    <w:rsid w:val="287E08AB"/>
    <w:rsid w:val="289E3187"/>
    <w:rsid w:val="28AA7A31"/>
    <w:rsid w:val="28BB61E6"/>
    <w:rsid w:val="28BE4866"/>
    <w:rsid w:val="28C36E49"/>
    <w:rsid w:val="28D15A45"/>
    <w:rsid w:val="28D64DCE"/>
    <w:rsid w:val="28DB0637"/>
    <w:rsid w:val="28E219C5"/>
    <w:rsid w:val="28E30421"/>
    <w:rsid w:val="28E55011"/>
    <w:rsid w:val="28EA2628"/>
    <w:rsid w:val="28FE280A"/>
    <w:rsid w:val="29020135"/>
    <w:rsid w:val="2904070B"/>
    <w:rsid w:val="29136553"/>
    <w:rsid w:val="291B40DB"/>
    <w:rsid w:val="29235B3A"/>
    <w:rsid w:val="292C49EE"/>
    <w:rsid w:val="292D69B8"/>
    <w:rsid w:val="29316710"/>
    <w:rsid w:val="29336A3F"/>
    <w:rsid w:val="293D309F"/>
    <w:rsid w:val="294F692F"/>
    <w:rsid w:val="29503323"/>
    <w:rsid w:val="29564DFD"/>
    <w:rsid w:val="29770DFC"/>
    <w:rsid w:val="297C1EC3"/>
    <w:rsid w:val="29A053DC"/>
    <w:rsid w:val="29A14FC6"/>
    <w:rsid w:val="29D22ED3"/>
    <w:rsid w:val="29E0634B"/>
    <w:rsid w:val="29E22D43"/>
    <w:rsid w:val="29E51041"/>
    <w:rsid w:val="29F41FF8"/>
    <w:rsid w:val="29FA241D"/>
    <w:rsid w:val="2A092F82"/>
    <w:rsid w:val="2A093583"/>
    <w:rsid w:val="2A0B3707"/>
    <w:rsid w:val="2A1F61F6"/>
    <w:rsid w:val="2A2E0C3A"/>
    <w:rsid w:val="2A3A543B"/>
    <w:rsid w:val="2A4346E5"/>
    <w:rsid w:val="2A5319FD"/>
    <w:rsid w:val="2A592AFE"/>
    <w:rsid w:val="2A5B44C7"/>
    <w:rsid w:val="2A731B6B"/>
    <w:rsid w:val="2A822680"/>
    <w:rsid w:val="2A8A3B98"/>
    <w:rsid w:val="2A8D5961"/>
    <w:rsid w:val="2A9071FF"/>
    <w:rsid w:val="2A976B6E"/>
    <w:rsid w:val="2AA46484"/>
    <w:rsid w:val="2AAA2063"/>
    <w:rsid w:val="2AAF1D7B"/>
    <w:rsid w:val="2AB21E9C"/>
    <w:rsid w:val="2ABC3D95"/>
    <w:rsid w:val="2ABC6246"/>
    <w:rsid w:val="2ABF1892"/>
    <w:rsid w:val="2AC60E73"/>
    <w:rsid w:val="2AD1624A"/>
    <w:rsid w:val="2AE6612C"/>
    <w:rsid w:val="2AE87242"/>
    <w:rsid w:val="2AEB08D9"/>
    <w:rsid w:val="2AED2B71"/>
    <w:rsid w:val="2AF31299"/>
    <w:rsid w:val="2AF424E5"/>
    <w:rsid w:val="2B01130A"/>
    <w:rsid w:val="2B147E30"/>
    <w:rsid w:val="2B1C4F36"/>
    <w:rsid w:val="2B204A27"/>
    <w:rsid w:val="2B211492"/>
    <w:rsid w:val="2B2160A9"/>
    <w:rsid w:val="2B22542D"/>
    <w:rsid w:val="2B35670A"/>
    <w:rsid w:val="2B3758CC"/>
    <w:rsid w:val="2B40163B"/>
    <w:rsid w:val="2B5001B1"/>
    <w:rsid w:val="2B5446D0"/>
    <w:rsid w:val="2B585F6F"/>
    <w:rsid w:val="2B6C37C8"/>
    <w:rsid w:val="2B6C5576"/>
    <w:rsid w:val="2B7B7EAF"/>
    <w:rsid w:val="2B7D30FE"/>
    <w:rsid w:val="2B841D92"/>
    <w:rsid w:val="2B876854"/>
    <w:rsid w:val="2B960845"/>
    <w:rsid w:val="2B967998"/>
    <w:rsid w:val="2BA52670"/>
    <w:rsid w:val="2BAE1BB9"/>
    <w:rsid w:val="2BB1742D"/>
    <w:rsid w:val="2BB67139"/>
    <w:rsid w:val="2BC279AB"/>
    <w:rsid w:val="2BCC7BB7"/>
    <w:rsid w:val="2BD528E4"/>
    <w:rsid w:val="2BDE747D"/>
    <w:rsid w:val="2BF44F91"/>
    <w:rsid w:val="2BF91DB8"/>
    <w:rsid w:val="2BFC0FF0"/>
    <w:rsid w:val="2BFD7003"/>
    <w:rsid w:val="2C0A3184"/>
    <w:rsid w:val="2C0B2AAE"/>
    <w:rsid w:val="2C0B44D1"/>
    <w:rsid w:val="2C1D2D14"/>
    <w:rsid w:val="2C234FD5"/>
    <w:rsid w:val="2C300C99"/>
    <w:rsid w:val="2C332538"/>
    <w:rsid w:val="2C375854"/>
    <w:rsid w:val="2C413A79"/>
    <w:rsid w:val="2C4958B7"/>
    <w:rsid w:val="2C654155"/>
    <w:rsid w:val="2C6C1AB0"/>
    <w:rsid w:val="2C721A69"/>
    <w:rsid w:val="2C846A0A"/>
    <w:rsid w:val="2C8D7E9A"/>
    <w:rsid w:val="2C924A6C"/>
    <w:rsid w:val="2CA52AE0"/>
    <w:rsid w:val="2CA70915"/>
    <w:rsid w:val="2CA86A82"/>
    <w:rsid w:val="2CB63A29"/>
    <w:rsid w:val="2CB90C8F"/>
    <w:rsid w:val="2CB9702B"/>
    <w:rsid w:val="2CC43190"/>
    <w:rsid w:val="2CC8062C"/>
    <w:rsid w:val="2CEC7043"/>
    <w:rsid w:val="2D004D63"/>
    <w:rsid w:val="2D0839C4"/>
    <w:rsid w:val="2D102FC3"/>
    <w:rsid w:val="2D113745"/>
    <w:rsid w:val="2D1F486A"/>
    <w:rsid w:val="2D1F703A"/>
    <w:rsid w:val="2D2233D4"/>
    <w:rsid w:val="2D2A3B8D"/>
    <w:rsid w:val="2D3E35CA"/>
    <w:rsid w:val="2D4010AF"/>
    <w:rsid w:val="2D4B565F"/>
    <w:rsid w:val="2D5A5FF8"/>
    <w:rsid w:val="2D5B5B6E"/>
    <w:rsid w:val="2D5E35E4"/>
    <w:rsid w:val="2D601A0C"/>
    <w:rsid w:val="2D7320FA"/>
    <w:rsid w:val="2D8172D3"/>
    <w:rsid w:val="2D9264B4"/>
    <w:rsid w:val="2DA671B5"/>
    <w:rsid w:val="2DA74F8B"/>
    <w:rsid w:val="2DA92ED7"/>
    <w:rsid w:val="2DAE28D1"/>
    <w:rsid w:val="2DB46970"/>
    <w:rsid w:val="2DBA2F11"/>
    <w:rsid w:val="2DBF0B60"/>
    <w:rsid w:val="2DDF2977"/>
    <w:rsid w:val="2DE00424"/>
    <w:rsid w:val="2DE25FC3"/>
    <w:rsid w:val="2DEB6954"/>
    <w:rsid w:val="2DEC0C59"/>
    <w:rsid w:val="2E007756"/>
    <w:rsid w:val="2E007DC0"/>
    <w:rsid w:val="2E074870"/>
    <w:rsid w:val="2E077C93"/>
    <w:rsid w:val="2E0917A2"/>
    <w:rsid w:val="2E1C4165"/>
    <w:rsid w:val="2E217707"/>
    <w:rsid w:val="2E24069D"/>
    <w:rsid w:val="2E266D03"/>
    <w:rsid w:val="2E364847"/>
    <w:rsid w:val="2E400F3C"/>
    <w:rsid w:val="2E4D6B60"/>
    <w:rsid w:val="2E5172B2"/>
    <w:rsid w:val="2E527668"/>
    <w:rsid w:val="2E536EC1"/>
    <w:rsid w:val="2E5801A2"/>
    <w:rsid w:val="2E5A108C"/>
    <w:rsid w:val="2E625356"/>
    <w:rsid w:val="2E640376"/>
    <w:rsid w:val="2E6D117E"/>
    <w:rsid w:val="2E766D9A"/>
    <w:rsid w:val="2E837EE4"/>
    <w:rsid w:val="2E8B06D6"/>
    <w:rsid w:val="2E8C7DA4"/>
    <w:rsid w:val="2E9D013C"/>
    <w:rsid w:val="2E9F70FE"/>
    <w:rsid w:val="2EBB1AE8"/>
    <w:rsid w:val="2EC102CF"/>
    <w:rsid w:val="2ECD5689"/>
    <w:rsid w:val="2ED52AC2"/>
    <w:rsid w:val="2EE43FB5"/>
    <w:rsid w:val="2EE72F45"/>
    <w:rsid w:val="2EE8585B"/>
    <w:rsid w:val="2EF1054D"/>
    <w:rsid w:val="2F085E45"/>
    <w:rsid w:val="2F120B2A"/>
    <w:rsid w:val="2F2820FC"/>
    <w:rsid w:val="2F3C1703"/>
    <w:rsid w:val="2F3E3A6B"/>
    <w:rsid w:val="2F530F1A"/>
    <w:rsid w:val="2F566C69"/>
    <w:rsid w:val="2F57478F"/>
    <w:rsid w:val="2F6B3D97"/>
    <w:rsid w:val="2F7160BD"/>
    <w:rsid w:val="2F7A4403"/>
    <w:rsid w:val="2F8D6403"/>
    <w:rsid w:val="2F9C5AF8"/>
    <w:rsid w:val="2FA76EBB"/>
    <w:rsid w:val="2FAB145D"/>
    <w:rsid w:val="2FAD43AF"/>
    <w:rsid w:val="2FBF2459"/>
    <w:rsid w:val="2FC122B8"/>
    <w:rsid w:val="2FC16DE4"/>
    <w:rsid w:val="2FC31E25"/>
    <w:rsid w:val="2FCA2269"/>
    <w:rsid w:val="2FCC6F2B"/>
    <w:rsid w:val="2FCD1F6D"/>
    <w:rsid w:val="2FD7142C"/>
    <w:rsid w:val="2FD769A0"/>
    <w:rsid w:val="2FDC20D5"/>
    <w:rsid w:val="2FDE323F"/>
    <w:rsid w:val="2FE34275"/>
    <w:rsid w:val="2FE36023"/>
    <w:rsid w:val="2FEC1E76"/>
    <w:rsid w:val="2FF10740"/>
    <w:rsid w:val="300A1801"/>
    <w:rsid w:val="30273B58"/>
    <w:rsid w:val="3034687E"/>
    <w:rsid w:val="30366C6D"/>
    <w:rsid w:val="303837B5"/>
    <w:rsid w:val="303845C1"/>
    <w:rsid w:val="303C3A3A"/>
    <w:rsid w:val="305E198D"/>
    <w:rsid w:val="307440EA"/>
    <w:rsid w:val="30757063"/>
    <w:rsid w:val="307F2B38"/>
    <w:rsid w:val="30A27C8C"/>
    <w:rsid w:val="30AB7F08"/>
    <w:rsid w:val="30AE03DF"/>
    <w:rsid w:val="30B561C3"/>
    <w:rsid w:val="30D23ED2"/>
    <w:rsid w:val="30E57AFE"/>
    <w:rsid w:val="30F93D50"/>
    <w:rsid w:val="30FC01F6"/>
    <w:rsid w:val="311B6CE3"/>
    <w:rsid w:val="31261C33"/>
    <w:rsid w:val="312936BA"/>
    <w:rsid w:val="31322DBE"/>
    <w:rsid w:val="314B20D2"/>
    <w:rsid w:val="31644F41"/>
    <w:rsid w:val="31681A0B"/>
    <w:rsid w:val="316F5DC0"/>
    <w:rsid w:val="3179422E"/>
    <w:rsid w:val="317F0F65"/>
    <w:rsid w:val="3181001F"/>
    <w:rsid w:val="31837ABD"/>
    <w:rsid w:val="31943F01"/>
    <w:rsid w:val="31A311F7"/>
    <w:rsid w:val="31A43590"/>
    <w:rsid w:val="31C12A2E"/>
    <w:rsid w:val="31CD2942"/>
    <w:rsid w:val="31D10829"/>
    <w:rsid w:val="31D54E31"/>
    <w:rsid w:val="31D60C88"/>
    <w:rsid w:val="31D64091"/>
    <w:rsid w:val="31DA3AEF"/>
    <w:rsid w:val="31E3249B"/>
    <w:rsid w:val="32126E48"/>
    <w:rsid w:val="321A5902"/>
    <w:rsid w:val="321D0FA6"/>
    <w:rsid w:val="32240BE4"/>
    <w:rsid w:val="322518E6"/>
    <w:rsid w:val="32432700"/>
    <w:rsid w:val="32432DA9"/>
    <w:rsid w:val="32463E97"/>
    <w:rsid w:val="3247327D"/>
    <w:rsid w:val="32546D64"/>
    <w:rsid w:val="32560D2E"/>
    <w:rsid w:val="32582CF8"/>
    <w:rsid w:val="32584AA6"/>
    <w:rsid w:val="325F5E35"/>
    <w:rsid w:val="3272726D"/>
    <w:rsid w:val="327B2096"/>
    <w:rsid w:val="328238D1"/>
    <w:rsid w:val="32944916"/>
    <w:rsid w:val="329655CE"/>
    <w:rsid w:val="329809E9"/>
    <w:rsid w:val="32A26E1B"/>
    <w:rsid w:val="32A47F7A"/>
    <w:rsid w:val="32DC56D7"/>
    <w:rsid w:val="32DF0D23"/>
    <w:rsid w:val="32FB0D84"/>
    <w:rsid w:val="33005939"/>
    <w:rsid w:val="33096E5B"/>
    <w:rsid w:val="33134E71"/>
    <w:rsid w:val="3317784C"/>
    <w:rsid w:val="332269C7"/>
    <w:rsid w:val="3324631F"/>
    <w:rsid w:val="332550E3"/>
    <w:rsid w:val="33304B60"/>
    <w:rsid w:val="334119DE"/>
    <w:rsid w:val="33471EAC"/>
    <w:rsid w:val="334C5AA0"/>
    <w:rsid w:val="335A484E"/>
    <w:rsid w:val="335A5FF4"/>
    <w:rsid w:val="337C2EF9"/>
    <w:rsid w:val="33883169"/>
    <w:rsid w:val="338A5A42"/>
    <w:rsid w:val="33910D97"/>
    <w:rsid w:val="33923FE8"/>
    <w:rsid w:val="33953AD8"/>
    <w:rsid w:val="339F1505"/>
    <w:rsid w:val="33B10912"/>
    <w:rsid w:val="33B6494D"/>
    <w:rsid w:val="33B82047"/>
    <w:rsid w:val="33C5616B"/>
    <w:rsid w:val="33D03344"/>
    <w:rsid w:val="33D740F0"/>
    <w:rsid w:val="33F335C9"/>
    <w:rsid w:val="340159EB"/>
    <w:rsid w:val="3402227D"/>
    <w:rsid w:val="340A7BE9"/>
    <w:rsid w:val="340C5B48"/>
    <w:rsid w:val="34190265"/>
    <w:rsid w:val="341A0FC6"/>
    <w:rsid w:val="341D33E7"/>
    <w:rsid w:val="342235BE"/>
    <w:rsid w:val="34285CFB"/>
    <w:rsid w:val="34300B2E"/>
    <w:rsid w:val="34390907"/>
    <w:rsid w:val="3442156A"/>
    <w:rsid w:val="34464303"/>
    <w:rsid w:val="344A6670"/>
    <w:rsid w:val="34545AA9"/>
    <w:rsid w:val="345528B4"/>
    <w:rsid w:val="345B2B17"/>
    <w:rsid w:val="34610414"/>
    <w:rsid w:val="34620B5F"/>
    <w:rsid w:val="346C2A8B"/>
    <w:rsid w:val="346D4CE0"/>
    <w:rsid w:val="347248DD"/>
    <w:rsid w:val="347A51A8"/>
    <w:rsid w:val="3486483B"/>
    <w:rsid w:val="348C0BBA"/>
    <w:rsid w:val="348F22D5"/>
    <w:rsid w:val="34906F65"/>
    <w:rsid w:val="34991083"/>
    <w:rsid w:val="349F6397"/>
    <w:rsid w:val="34A00569"/>
    <w:rsid w:val="34A22009"/>
    <w:rsid w:val="34AA2C62"/>
    <w:rsid w:val="34AB35B3"/>
    <w:rsid w:val="34C44FE3"/>
    <w:rsid w:val="34CB0E4C"/>
    <w:rsid w:val="34CC693E"/>
    <w:rsid w:val="34E56399"/>
    <w:rsid w:val="34EE16F2"/>
    <w:rsid w:val="34F3089D"/>
    <w:rsid w:val="34F62C60"/>
    <w:rsid w:val="35101668"/>
    <w:rsid w:val="352E7146"/>
    <w:rsid w:val="353D7F83"/>
    <w:rsid w:val="35455106"/>
    <w:rsid w:val="35470E02"/>
    <w:rsid w:val="354B5A3E"/>
    <w:rsid w:val="354E2190"/>
    <w:rsid w:val="35512F3C"/>
    <w:rsid w:val="356D5162"/>
    <w:rsid w:val="356D6ABA"/>
    <w:rsid w:val="35727C2D"/>
    <w:rsid w:val="3573138C"/>
    <w:rsid w:val="357A11D7"/>
    <w:rsid w:val="358A6162"/>
    <w:rsid w:val="3597538B"/>
    <w:rsid w:val="359B2D38"/>
    <w:rsid w:val="359E4EC6"/>
    <w:rsid w:val="35AA386B"/>
    <w:rsid w:val="35B73DF2"/>
    <w:rsid w:val="35CB37E1"/>
    <w:rsid w:val="35DF46B8"/>
    <w:rsid w:val="360311CD"/>
    <w:rsid w:val="360337E4"/>
    <w:rsid w:val="360762D6"/>
    <w:rsid w:val="36127662"/>
    <w:rsid w:val="361C403D"/>
    <w:rsid w:val="3627111B"/>
    <w:rsid w:val="362C24D2"/>
    <w:rsid w:val="36402451"/>
    <w:rsid w:val="36445017"/>
    <w:rsid w:val="366B28CE"/>
    <w:rsid w:val="367F5952"/>
    <w:rsid w:val="368600EA"/>
    <w:rsid w:val="368E5EDD"/>
    <w:rsid w:val="3699568D"/>
    <w:rsid w:val="369D163F"/>
    <w:rsid w:val="369E54F7"/>
    <w:rsid w:val="36AA33F6"/>
    <w:rsid w:val="36AA57C0"/>
    <w:rsid w:val="36B275B8"/>
    <w:rsid w:val="36BB5697"/>
    <w:rsid w:val="36BC3918"/>
    <w:rsid w:val="36BD75CE"/>
    <w:rsid w:val="36C15C39"/>
    <w:rsid w:val="36C20165"/>
    <w:rsid w:val="36C20D6D"/>
    <w:rsid w:val="36C62C57"/>
    <w:rsid w:val="36CB04EC"/>
    <w:rsid w:val="36DE0990"/>
    <w:rsid w:val="36F666FD"/>
    <w:rsid w:val="37013421"/>
    <w:rsid w:val="37052D23"/>
    <w:rsid w:val="371A5AD8"/>
    <w:rsid w:val="3724008B"/>
    <w:rsid w:val="37242240"/>
    <w:rsid w:val="3727713D"/>
    <w:rsid w:val="372A4537"/>
    <w:rsid w:val="374028EC"/>
    <w:rsid w:val="37441A9D"/>
    <w:rsid w:val="37485F9F"/>
    <w:rsid w:val="374D56AD"/>
    <w:rsid w:val="3756526F"/>
    <w:rsid w:val="375D2B5F"/>
    <w:rsid w:val="376B702A"/>
    <w:rsid w:val="37710FF7"/>
    <w:rsid w:val="377E4FAF"/>
    <w:rsid w:val="37835FC2"/>
    <w:rsid w:val="37875BA8"/>
    <w:rsid w:val="378C7933"/>
    <w:rsid w:val="379F0A81"/>
    <w:rsid w:val="37A34798"/>
    <w:rsid w:val="37AB38CA"/>
    <w:rsid w:val="37B02C8E"/>
    <w:rsid w:val="37B2058C"/>
    <w:rsid w:val="37B52474"/>
    <w:rsid w:val="37B95EF8"/>
    <w:rsid w:val="37C80C83"/>
    <w:rsid w:val="37C9183B"/>
    <w:rsid w:val="37D21758"/>
    <w:rsid w:val="37D56B99"/>
    <w:rsid w:val="37DD7DB5"/>
    <w:rsid w:val="37DD7E02"/>
    <w:rsid w:val="37E01DFB"/>
    <w:rsid w:val="37E62B54"/>
    <w:rsid w:val="37E66B23"/>
    <w:rsid w:val="37FA5167"/>
    <w:rsid w:val="37FA5E67"/>
    <w:rsid w:val="38003C16"/>
    <w:rsid w:val="381006A8"/>
    <w:rsid w:val="381625C9"/>
    <w:rsid w:val="38346A4D"/>
    <w:rsid w:val="383F1888"/>
    <w:rsid w:val="3841574F"/>
    <w:rsid w:val="38675DDE"/>
    <w:rsid w:val="38711257"/>
    <w:rsid w:val="387F29F9"/>
    <w:rsid w:val="3884425C"/>
    <w:rsid w:val="38B907D1"/>
    <w:rsid w:val="38C93167"/>
    <w:rsid w:val="38CB782F"/>
    <w:rsid w:val="38CC070B"/>
    <w:rsid w:val="38CC1D4A"/>
    <w:rsid w:val="38D2461D"/>
    <w:rsid w:val="38D806EF"/>
    <w:rsid w:val="38D91DC5"/>
    <w:rsid w:val="38DC353B"/>
    <w:rsid w:val="38E27F47"/>
    <w:rsid w:val="38E365CE"/>
    <w:rsid w:val="39052747"/>
    <w:rsid w:val="3905700A"/>
    <w:rsid w:val="391159AF"/>
    <w:rsid w:val="391C0ED0"/>
    <w:rsid w:val="391D07F7"/>
    <w:rsid w:val="3923325A"/>
    <w:rsid w:val="392372CD"/>
    <w:rsid w:val="392A34F7"/>
    <w:rsid w:val="39355B41"/>
    <w:rsid w:val="393670ED"/>
    <w:rsid w:val="394305D3"/>
    <w:rsid w:val="395D152B"/>
    <w:rsid w:val="39653FE8"/>
    <w:rsid w:val="396A0465"/>
    <w:rsid w:val="396B2A3F"/>
    <w:rsid w:val="396E0DCD"/>
    <w:rsid w:val="39736669"/>
    <w:rsid w:val="39754190"/>
    <w:rsid w:val="39821158"/>
    <w:rsid w:val="39885A58"/>
    <w:rsid w:val="399161E1"/>
    <w:rsid w:val="399C13FB"/>
    <w:rsid w:val="399D0BC2"/>
    <w:rsid w:val="399D5494"/>
    <w:rsid w:val="399D7242"/>
    <w:rsid w:val="39AB195F"/>
    <w:rsid w:val="39B20F3F"/>
    <w:rsid w:val="39C12F31"/>
    <w:rsid w:val="39DA25F2"/>
    <w:rsid w:val="39E11825"/>
    <w:rsid w:val="39F817D8"/>
    <w:rsid w:val="39FE6173"/>
    <w:rsid w:val="39FF1CFC"/>
    <w:rsid w:val="3A102AB9"/>
    <w:rsid w:val="3A131E7B"/>
    <w:rsid w:val="3A150F90"/>
    <w:rsid w:val="3A304A1A"/>
    <w:rsid w:val="3A4154E8"/>
    <w:rsid w:val="3A443B62"/>
    <w:rsid w:val="3A4F4F44"/>
    <w:rsid w:val="3A5B451C"/>
    <w:rsid w:val="3A5E69D2"/>
    <w:rsid w:val="3A692962"/>
    <w:rsid w:val="3A6A646E"/>
    <w:rsid w:val="3A6A7A6C"/>
    <w:rsid w:val="3A6D4088"/>
    <w:rsid w:val="3A700B1E"/>
    <w:rsid w:val="3A736AF5"/>
    <w:rsid w:val="3A7A44DE"/>
    <w:rsid w:val="3A7B5AC3"/>
    <w:rsid w:val="3A8D2D9B"/>
    <w:rsid w:val="3A9B19D4"/>
    <w:rsid w:val="3AAD7959"/>
    <w:rsid w:val="3AAE14A9"/>
    <w:rsid w:val="3AB111F7"/>
    <w:rsid w:val="3AC0143A"/>
    <w:rsid w:val="3ADC741E"/>
    <w:rsid w:val="3ADE23C2"/>
    <w:rsid w:val="3ADE5C5A"/>
    <w:rsid w:val="3AEE222D"/>
    <w:rsid w:val="3AF92B9E"/>
    <w:rsid w:val="3B0B6CC6"/>
    <w:rsid w:val="3B1F5D8D"/>
    <w:rsid w:val="3B255741"/>
    <w:rsid w:val="3B27770B"/>
    <w:rsid w:val="3B450564"/>
    <w:rsid w:val="3B451940"/>
    <w:rsid w:val="3B457557"/>
    <w:rsid w:val="3B457B92"/>
    <w:rsid w:val="3B4E2EEA"/>
    <w:rsid w:val="3B510614"/>
    <w:rsid w:val="3B5A10F2"/>
    <w:rsid w:val="3B602C1D"/>
    <w:rsid w:val="3B6405FB"/>
    <w:rsid w:val="3B7121C5"/>
    <w:rsid w:val="3B716BD9"/>
    <w:rsid w:val="3B716BE4"/>
    <w:rsid w:val="3B8E59E5"/>
    <w:rsid w:val="3B914B85"/>
    <w:rsid w:val="3B936B6B"/>
    <w:rsid w:val="3B98692B"/>
    <w:rsid w:val="3B9D74DC"/>
    <w:rsid w:val="3BAF1030"/>
    <w:rsid w:val="3BB645EB"/>
    <w:rsid w:val="3BC1190E"/>
    <w:rsid w:val="3BC9431F"/>
    <w:rsid w:val="3BCB62E9"/>
    <w:rsid w:val="3BCC1B9F"/>
    <w:rsid w:val="3BE52761"/>
    <w:rsid w:val="3BF5359A"/>
    <w:rsid w:val="3BFC4B8D"/>
    <w:rsid w:val="3C0273B0"/>
    <w:rsid w:val="3C1052F7"/>
    <w:rsid w:val="3C2E587A"/>
    <w:rsid w:val="3C355E58"/>
    <w:rsid w:val="3C38160C"/>
    <w:rsid w:val="3C391413"/>
    <w:rsid w:val="3C3B76A4"/>
    <w:rsid w:val="3C574020"/>
    <w:rsid w:val="3C593A40"/>
    <w:rsid w:val="3C5B4A69"/>
    <w:rsid w:val="3C742582"/>
    <w:rsid w:val="3C7872C9"/>
    <w:rsid w:val="3C812E4B"/>
    <w:rsid w:val="3C8841DA"/>
    <w:rsid w:val="3C8D7A42"/>
    <w:rsid w:val="3C936E0F"/>
    <w:rsid w:val="3C964B49"/>
    <w:rsid w:val="3C9C64EF"/>
    <w:rsid w:val="3CA115AD"/>
    <w:rsid w:val="3CA37533"/>
    <w:rsid w:val="3CA449FA"/>
    <w:rsid w:val="3CA673ED"/>
    <w:rsid w:val="3CB02E28"/>
    <w:rsid w:val="3CB20F63"/>
    <w:rsid w:val="3CC04858"/>
    <w:rsid w:val="3CC27D17"/>
    <w:rsid w:val="3CC86CCC"/>
    <w:rsid w:val="3CCD1F95"/>
    <w:rsid w:val="3CD60E7B"/>
    <w:rsid w:val="3CD61426"/>
    <w:rsid w:val="3CE4098F"/>
    <w:rsid w:val="3CE55188"/>
    <w:rsid w:val="3CE8111C"/>
    <w:rsid w:val="3CEC5608"/>
    <w:rsid w:val="3CEE07D4"/>
    <w:rsid w:val="3CFD6976"/>
    <w:rsid w:val="3D0C0967"/>
    <w:rsid w:val="3D164601"/>
    <w:rsid w:val="3D207130"/>
    <w:rsid w:val="3D2748D8"/>
    <w:rsid w:val="3D2E64B4"/>
    <w:rsid w:val="3D37175C"/>
    <w:rsid w:val="3D3E2AEA"/>
    <w:rsid w:val="3D5C5149"/>
    <w:rsid w:val="3D6764E5"/>
    <w:rsid w:val="3D6D1C73"/>
    <w:rsid w:val="3D85598A"/>
    <w:rsid w:val="3D93654B"/>
    <w:rsid w:val="3D9512B4"/>
    <w:rsid w:val="3D954E00"/>
    <w:rsid w:val="3D98669F"/>
    <w:rsid w:val="3D987AD7"/>
    <w:rsid w:val="3D9D5513"/>
    <w:rsid w:val="3DA271D2"/>
    <w:rsid w:val="3DA9265A"/>
    <w:rsid w:val="3DAE5EC2"/>
    <w:rsid w:val="3DAF10A4"/>
    <w:rsid w:val="3DB17760"/>
    <w:rsid w:val="3DB53026"/>
    <w:rsid w:val="3DD22267"/>
    <w:rsid w:val="3DF347F9"/>
    <w:rsid w:val="3DF77869"/>
    <w:rsid w:val="3DF8538F"/>
    <w:rsid w:val="3DFF671E"/>
    <w:rsid w:val="3E047890"/>
    <w:rsid w:val="3E0930F8"/>
    <w:rsid w:val="3E0E2682"/>
    <w:rsid w:val="3E220100"/>
    <w:rsid w:val="3E235B37"/>
    <w:rsid w:val="3E241BBB"/>
    <w:rsid w:val="3E3143FD"/>
    <w:rsid w:val="3E3420DC"/>
    <w:rsid w:val="3E382184"/>
    <w:rsid w:val="3E4A1A41"/>
    <w:rsid w:val="3E6914BF"/>
    <w:rsid w:val="3E6A1E9A"/>
    <w:rsid w:val="3E6D7B2B"/>
    <w:rsid w:val="3E7B6249"/>
    <w:rsid w:val="3E823B0A"/>
    <w:rsid w:val="3E832EAB"/>
    <w:rsid w:val="3E834C59"/>
    <w:rsid w:val="3E86299B"/>
    <w:rsid w:val="3E916E83"/>
    <w:rsid w:val="3EAF2EDB"/>
    <w:rsid w:val="3EB43064"/>
    <w:rsid w:val="3EBF1A09"/>
    <w:rsid w:val="3EBF502E"/>
    <w:rsid w:val="3ECD2378"/>
    <w:rsid w:val="3ECE409C"/>
    <w:rsid w:val="3ED92EFE"/>
    <w:rsid w:val="3EE15DFE"/>
    <w:rsid w:val="3EE43BF5"/>
    <w:rsid w:val="3EE80F60"/>
    <w:rsid w:val="3F00274D"/>
    <w:rsid w:val="3F0D6C18"/>
    <w:rsid w:val="3F1C59E2"/>
    <w:rsid w:val="3F2524C8"/>
    <w:rsid w:val="3F312907"/>
    <w:rsid w:val="3F3441A5"/>
    <w:rsid w:val="3F40491E"/>
    <w:rsid w:val="3F4E6A40"/>
    <w:rsid w:val="3F5D71D2"/>
    <w:rsid w:val="3F60143E"/>
    <w:rsid w:val="3F703015"/>
    <w:rsid w:val="3F7140F5"/>
    <w:rsid w:val="3F7647BE"/>
    <w:rsid w:val="3F85289A"/>
    <w:rsid w:val="3F8F2C54"/>
    <w:rsid w:val="3FBA180C"/>
    <w:rsid w:val="3FC10C55"/>
    <w:rsid w:val="3FC17D26"/>
    <w:rsid w:val="3FC410CC"/>
    <w:rsid w:val="3FC419CD"/>
    <w:rsid w:val="3FC714BD"/>
    <w:rsid w:val="3FD91CE7"/>
    <w:rsid w:val="3FDA1A36"/>
    <w:rsid w:val="3FDD0E9A"/>
    <w:rsid w:val="3FFA0F4B"/>
    <w:rsid w:val="401144E6"/>
    <w:rsid w:val="40226D9C"/>
    <w:rsid w:val="402406BD"/>
    <w:rsid w:val="402A4F9D"/>
    <w:rsid w:val="40465C75"/>
    <w:rsid w:val="404733DB"/>
    <w:rsid w:val="4057639D"/>
    <w:rsid w:val="40583EC3"/>
    <w:rsid w:val="40603B42"/>
    <w:rsid w:val="406712EA"/>
    <w:rsid w:val="40711152"/>
    <w:rsid w:val="40721429"/>
    <w:rsid w:val="407F62B2"/>
    <w:rsid w:val="40863629"/>
    <w:rsid w:val="408B24EB"/>
    <w:rsid w:val="40905D53"/>
    <w:rsid w:val="40985A3E"/>
    <w:rsid w:val="40B76E3C"/>
    <w:rsid w:val="40BB5FF7"/>
    <w:rsid w:val="40BC08F6"/>
    <w:rsid w:val="40BC6785"/>
    <w:rsid w:val="40CF0BDD"/>
    <w:rsid w:val="40D07EFD"/>
    <w:rsid w:val="40DD073B"/>
    <w:rsid w:val="40F72B9F"/>
    <w:rsid w:val="41165CD4"/>
    <w:rsid w:val="411A01DD"/>
    <w:rsid w:val="41313D40"/>
    <w:rsid w:val="41391F47"/>
    <w:rsid w:val="413D1A37"/>
    <w:rsid w:val="413F6CF5"/>
    <w:rsid w:val="414C4EEA"/>
    <w:rsid w:val="414D77A0"/>
    <w:rsid w:val="414F3F68"/>
    <w:rsid w:val="41576FE1"/>
    <w:rsid w:val="41594397"/>
    <w:rsid w:val="415B010F"/>
    <w:rsid w:val="415D5C35"/>
    <w:rsid w:val="417239D8"/>
    <w:rsid w:val="417340EF"/>
    <w:rsid w:val="41807B75"/>
    <w:rsid w:val="41874A60"/>
    <w:rsid w:val="4191768D"/>
    <w:rsid w:val="41C1797D"/>
    <w:rsid w:val="41C30C62"/>
    <w:rsid w:val="41C55588"/>
    <w:rsid w:val="41E53E7C"/>
    <w:rsid w:val="41F00278"/>
    <w:rsid w:val="42156510"/>
    <w:rsid w:val="4227255A"/>
    <w:rsid w:val="423B3824"/>
    <w:rsid w:val="423D15C3"/>
    <w:rsid w:val="423F358D"/>
    <w:rsid w:val="42454447"/>
    <w:rsid w:val="42462B6D"/>
    <w:rsid w:val="424B0183"/>
    <w:rsid w:val="42553EE8"/>
    <w:rsid w:val="42557873"/>
    <w:rsid w:val="4258464E"/>
    <w:rsid w:val="426E68BC"/>
    <w:rsid w:val="427B022A"/>
    <w:rsid w:val="427B6E71"/>
    <w:rsid w:val="42894808"/>
    <w:rsid w:val="428E0070"/>
    <w:rsid w:val="42A46591"/>
    <w:rsid w:val="42B073CA"/>
    <w:rsid w:val="42B52A5A"/>
    <w:rsid w:val="42BC0C0E"/>
    <w:rsid w:val="42BD0DA1"/>
    <w:rsid w:val="42C341BE"/>
    <w:rsid w:val="42FC216C"/>
    <w:rsid w:val="43012B66"/>
    <w:rsid w:val="430E5437"/>
    <w:rsid w:val="430F7403"/>
    <w:rsid w:val="43112896"/>
    <w:rsid w:val="431B20BB"/>
    <w:rsid w:val="432335FB"/>
    <w:rsid w:val="4326474D"/>
    <w:rsid w:val="432C1C27"/>
    <w:rsid w:val="43346E69"/>
    <w:rsid w:val="43394075"/>
    <w:rsid w:val="434F5A5E"/>
    <w:rsid w:val="436239D7"/>
    <w:rsid w:val="43745995"/>
    <w:rsid w:val="43746A4F"/>
    <w:rsid w:val="437614F2"/>
    <w:rsid w:val="437D62C0"/>
    <w:rsid w:val="43A322E2"/>
    <w:rsid w:val="43A50A47"/>
    <w:rsid w:val="43AB7F24"/>
    <w:rsid w:val="43BB206D"/>
    <w:rsid w:val="43BE6733"/>
    <w:rsid w:val="43C14C38"/>
    <w:rsid w:val="43C50932"/>
    <w:rsid w:val="43D45F57"/>
    <w:rsid w:val="43E268C5"/>
    <w:rsid w:val="43E63B53"/>
    <w:rsid w:val="43FA2133"/>
    <w:rsid w:val="44064E36"/>
    <w:rsid w:val="44140054"/>
    <w:rsid w:val="442C18EF"/>
    <w:rsid w:val="442C21B0"/>
    <w:rsid w:val="442C5D93"/>
    <w:rsid w:val="4431500F"/>
    <w:rsid w:val="44323381"/>
    <w:rsid w:val="443469F5"/>
    <w:rsid w:val="443600D1"/>
    <w:rsid w:val="4447497A"/>
    <w:rsid w:val="4457017C"/>
    <w:rsid w:val="445F7972"/>
    <w:rsid w:val="446E05D4"/>
    <w:rsid w:val="44817E8C"/>
    <w:rsid w:val="448A0298"/>
    <w:rsid w:val="44957494"/>
    <w:rsid w:val="44966F51"/>
    <w:rsid w:val="44980FAA"/>
    <w:rsid w:val="4498417F"/>
    <w:rsid w:val="44A040E0"/>
    <w:rsid w:val="44B00772"/>
    <w:rsid w:val="44B91E8A"/>
    <w:rsid w:val="44DB01A8"/>
    <w:rsid w:val="44E65F41"/>
    <w:rsid w:val="44F75334"/>
    <w:rsid w:val="45014B29"/>
    <w:rsid w:val="45132AAF"/>
    <w:rsid w:val="45252F0E"/>
    <w:rsid w:val="452D1DC2"/>
    <w:rsid w:val="45361227"/>
    <w:rsid w:val="453F6310"/>
    <w:rsid w:val="45442C68"/>
    <w:rsid w:val="455D06B8"/>
    <w:rsid w:val="456257A8"/>
    <w:rsid w:val="45635804"/>
    <w:rsid w:val="457D6C89"/>
    <w:rsid w:val="45823F12"/>
    <w:rsid w:val="458D4F3F"/>
    <w:rsid w:val="45947D5B"/>
    <w:rsid w:val="45A11732"/>
    <w:rsid w:val="45B60385"/>
    <w:rsid w:val="45BF33F9"/>
    <w:rsid w:val="45C67B21"/>
    <w:rsid w:val="45D86D8A"/>
    <w:rsid w:val="45DB537A"/>
    <w:rsid w:val="45E64357"/>
    <w:rsid w:val="45F27B9E"/>
    <w:rsid w:val="45F60406"/>
    <w:rsid w:val="45F61354"/>
    <w:rsid w:val="45F6387B"/>
    <w:rsid w:val="45FE41E2"/>
    <w:rsid w:val="46080139"/>
    <w:rsid w:val="4609638B"/>
    <w:rsid w:val="460C34F8"/>
    <w:rsid w:val="462F66AF"/>
    <w:rsid w:val="46396545"/>
    <w:rsid w:val="463A65C6"/>
    <w:rsid w:val="463C0B6C"/>
    <w:rsid w:val="464B2231"/>
    <w:rsid w:val="464C0026"/>
    <w:rsid w:val="46555C55"/>
    <w:rsid w:val="465A0995"/>
    <w:rsid w:val="465B6E0D"/>
    <w:rsid w:val="46657EBF"/>
    <w:rsid w:val="467557CF"/>
    <w:rsid w:val="467E4117"/>
    <w:rsid w:val="467F5A35"/>
    <w:rsid w:val="469A5235"/>
    <w:rsid w:val="469F284C"/>
    <w:rsid w:val="46BE663B"/>
    <w:rsid w:val="46C40504"/>
    <w:rsid w:val="46C6427C"/>
    <w:rsid w:val="46D36999"/>
    <w:rsid w:val="46DC75FC"/>
    <w:rsid w:val="46E33770"/>
    <w:rsid w:val="46F87802"/>
    <w:rsid w:val="47040901"/>
    <w:rsid w:val="47174AD8"/>
    <w:rsid w:val="471C5C4A"/>
    <w:rsid w:val="47213261"/>
    <w:rsid w:val="472C3839"/>
    <w:rsid w:val="473F33F0"/>
    <w:rsid w:val="4740313F"/>
    <w:rsid w:val="47413589"/>
    <w:rsid w:val="474927B8"/>
    <w:rsid w:val="474E7DCE"/>
    <w:rsid w:val="475052CA"/>
    <w:rsid w:val="475573AE"/>
    <w:rsid w:val="47585A9F"/>
    <w:rsid w:val="475E0A4F"/>
    <w:rsid w:val="475F6973"/>
    <w:rsid w:val="47656A50"/>
    <w:rsid w:val="476B4739"/>
    <w:rsid w:val="477B488F"/>
    <w:rsid w:val="4783216D"/>
    <w:rsid w:val="47887784"/>
    <w:rsid w:val="479510FE"/>
    <w:rsid w:val="479A761A"/>
    <w:rsid w:val="47A301AD"/>
    <w:rsid w:val="47A812B3"/>
    <w:rsid w:val="47C479A8"/>
    <w:rsid w:val="47C6205A"/>
    <w:rsid w:val="47C933D3"/>
    <w:rsid w:val="47CF0F0F"/>
    <w:rsid w:val="47D93349"/>
    <w:rsid w:val="480761E4"/>
    <w:rsid w:val="48086415"/>
    <w:rsid w:val="480E459A"/>
    <w:rsid w:val="48162654"/>
    <w:rsid w:val="483A437B"/>
    <w:rsid w:val="483B65A4"/>
    <w:rsid w:val="48403BBB"/>
    <w:rsid w:val="484957E5"/>
    <w:rsid w:val="48515DC8"/>
    <w:rsid w:val="48537D92"/>
    <w:rsid w:val="485F46FA"/>
    <w:rsid w:val="486B1941"/>
    <w:rsid w:val="48710257"/>
    <w:rsid w:val="4880045B"/>
    <w:rsid w:val="48825F81"/>
    <w:rsid w:val="48855A71"/>
    <w:rsid w:val="488C6CCD"/>
    <w:rsid w:val="48AC607C"/>
    <w:rsid w:val="48B3438D"/>
    <w:rsid w:val="48CD3613"/>
    <w:rsid w:val="48E8528E"/>
    <w:rsid w:val="48E94252"/>
    <w:rsid w:val="48F6071D"/>
    <w:rsid w:val="48F86243"/>
    <w:rsid w:val="48FF5823"/>
    <w:rsid w:val="4908232A"/>
    <w:rsid w:val="490E1F0B"/>
    <w:rsid w:val="49105066"/>
    <w:rsid w:val="491C0184"/>
    <w:rsid w:val="49235D7F"/>
    <w:rsid w:val="492C219C"/>
    <w:rsid w:val="493A4AAE"/>
    <w:rsid w:val="493D535D"/>
    <w:rsid w:val="494E5765"/>
    <w:rsid w:val="4957480F"/>
    <w:rsid w:val="49634723"/>
    <w:rsid w:val="49695393"/>
    <w:rsid w:val="4970227E"/>
    <w:rsid w:val="49731136"/>
    <w:rsid w:val="497524EA"/>
    <w:rsid w:val="49830203"/>
    <w:rsid w:val="49880C90"/>
    <w:rsid w:val="499A379E"/>
    <w:rsid w:val="49A8143B"/>
    <w:rsid w:val="49AC544C"/>
    <w:rsid w:val="49B16DC9"/>
    <w:rsid w:val="49B21896"/>
    <w:rsid w:val="49B22D26"/>
    <w:rsid w:val="49C37385"/>
    <w:rsid w:val="49D059CC"/>
    <w:rsid w:val="49DA0AA2"/>
    <w:rsid w:val="49E4148B"/>
    <w:rsid w:val="49E90192"/>
    <w:rsid w:val="49EC22F3"/>
    <w:rsid w:val="49ED2CCD"/>
    <w:rsid w:val="49ED38CE"/>
    <w:rsid w:val="49EF67B1"/>
    <w:rsid w:val="49F7474D"/>
    <w:rsid w:val="4A077580"/>
    <w:rsid w:val="4A0F33D7"/>
    <w:rsid w:val="4A113A61"/>
    <w:rsid w:val="4A1672C9"/>
    <w:rsid w:val="4A1C41B3"/>
    <w:rsid w:val="4A1C75EF"/>
    <w:rsid w:val="4A2A68D0"/>
    <w:rsid w:val="4A2C2648"/>
    <w:rsid w:val="4A2D63C1"/>
    <w:rsid w:val="4A3239D7"/>
    <w:rsid w:val="4A4332F0"/>
    <w:rsid w:val="4A4536BD"/>
    <w:rsid w:val="4A4D0B7A"/>
    <w:rsid w:val="4A69389D"/>
    <w:rsid w:val="4A6A3171"/>
    <w:rsid w:val="4A704E76"/>
    <w:rsid w:val="4A8C1339"/>
    <w:rsid w:val="4A963F66"/>
    <w:rsid w:val="4AA04DE4"/>
    <w:rsid w:val="4AAA0B8D"/>
    <w:rsid w:val="4AB60164"/>
    <w:rsid w:val="4AC847F3"/>
    <w:rsid w:val="4ACA3C0F"/>
    <w:rsid w:val="4AD73E31"/>
    <w:rsid w:val="4ADC060D"/>
    <w:rsid w:val="4ADF53D0"/>
    <w:rsid w:val="4AE0041E"/>
    <w:rsid w:val="4AE9678B"/>
    <w:rsid w:val="4B045373"/>
    <w:rsid w:val="4B1E2140"/>
    <w:rsid w:val="4B207620"/>
    <w:rsid w:val="4B2C3CC2"/>
    <w:rsid w:val="4B3D32B6"/>
    <w:rsid w:val="4B3E0902"/>
    <w:rsid w:val="4B3E7CED"/>
    <w:rsid w:val="4B492A9E"/>
    <w:rsid w:val="4B4E2A92"/>
    <w:rsid w:val="4B5B0112"/>
    <w:rsid w:val="4B6479A6"/>
    <w:rsid w:val="4B6B4193"/>
    <w:rsid w:val="4B7342A7"/>
    <w:rsid w:val="4B7C13AE"/>
    <w:rsid w:val="4B8B35AB"/>
    <w:rsid w:val="4B8D35BB"/>
    <w:rsid w:val="4B9506C1"/>
    <w:rsid w:val="4BA346AD"/>
    <w:rsid w:val="4BA36ACF"/>
    <w:rsid w:val="4BB26B7D"/>
    <w:rsid w:val="4BB61C9C"/>
    <w:rsid w:val="4BC15012"/>
    <w:rsid w:val="4BC80BED"/>
    <w:rsid w:val="4BCF2EE2"/>
    <w:rsid w:val="4BD75475"/>
    <w:rsid w:val="4BD91EE8"/>
    <w:rsid w:val="4BDB500B"/>
    <w:rsid w:val="4BE16B65"/>
    <w:rsid w:val="4BE53498"/>
    <w:rsid w:val="4BEA27BB"/>
    <w:rsid w:val="4BF313AD"/>
    <w:rsid w:val="4BFA506D"/>
    <w:rsid w:val="4C03387D"/>
    <w:rsid w:val="4C062E76"/>
    <w:rsid w:val="4C1A4723"/>
    <w:rsid w:val="4C240504"/>
    <w:rsid w:val="4C2F4672"/>
    <w:rsid w:val="4C340964"/>
    <w:rsid w:val="4C373527"/>
    <w:rsid w:val="4C42653F"/>
    <w:rsid w:val="4C453CFD"/>
    <w:rsid w:val="4C510D1C"/>
    <w:rsid w:val="4C60222C"/>
    <w:rsid w:val="4C6C1422"/>
    <w:rsid w:val="4C771B75"/>
    <w:rsid w:val="4C787DC7"/>
    <w:rsid w:val="4C863E30"/>
    <w:rsid w:val="4CA36F63"/>
    <w:rsid w:val="4CB30DFF"/>
    <w:rsid w:val="4CB46925"/>
    <w:rsid w:val="4CC312AD"/>
    <w:rsid w:val="4CDD409A"/>
    <w:rsid w:val="4CF707A3"/>
    <w:rsid w:val="4CF803E4"/>
    <w:rsid w:val="4D097684"/>
    <w:rsid w:val="4D0A5610"/>
    <w:rsid w:val="4D111FCA"/>
    <w:rsid w:val="4D16138E"/>
    <w:rsid w:val="4D1A36E1"/>
    <w:rsid w:val="4D1B3ED6"/>
    <w:rsid w:val="4D241CFD"/>
    <w:rsid w:val="4D2B6634"/>
    <w:rsid w:val="4D345005"/>
    <w:rsid w:val="4D3B0DF4"/>
    <w:rsid w:val="4D3F6B37"/>
    <w:rsid w:val="4D474848"/>
    <w:rsid w:val="4D491763"/>
    <w:rsid w:val="4D5C1497"/>
    <w:rsid w:val="4D78714F"/>
    <w:rsid w:val="4D804879"/>
    <w:rsid w:val="4D881E5D"/>
    <w:rsid w:val="4D8971F5"/>
    <w:rsid w:val="4D8A7A37"/>
    <w:rsid w:val="4D950505"/>
    <w:rsid w:val="4D9E1AAF"/>
    <w:rsid w:val="4D9F3131"/>
    <w:rsid w:val="4DAB2BFA"/>
    <w:rsid w:val="4DB31898"/>
    <w:rsid w:val="4DCA5A51"/>
    <w:rsid w:val="4DCD4A82"/>
    <w:rsid w:val="4DD70B1D"/>
    <w:rsid w:val="4DDC4386"/>
    <w:rsid w:val="4DE90850"/>
    <w:rsid w:val="4E1753BE"/>
    <w:rsid w:val="4E21448E"/>
    <w:rsid w:val="4E21623C"/>
    <w:rsid w:val="4E2F2707"/>
    <w:rsid w:val="4E34765B"/>
    <w:rsid w:val="4E3E6DEE"/>
    <w:rsid w:val="4E47556D"/>
    <w:rsid w:val="4E4C1E6E"/>
    <w:rsid w:val="4E4E731D"/>
    <w:rsid w:val="4E4F242B"/>
    <w:rsid w:val="4E772300"/>
    <w:rsid w:val="4E807407"/>
    <w:rsid w:val="4E8835CF"/>
    <w:rsid w:val="4E902622"/>
    <w:rsid w:val="4E914A93"/>
    <w:rsid w:val="4E9D1D67"/>
    <w:rsid w:val="4EA36C51"/>
    <w:rsid w:val="4EA51EDE"/>
    <w:rsid w:val="4EAA6232"/>
    <w:rsid w:val="4EB329FB"/>
    <w:rsid w:val="4EB64BD7"/>
    <w:rsid w:val="4EB86BA1"/>
    <w:rsid w:val="4EC97EEC"/>
    <w:rsid w:val="4ED0364D"/>
    <w:rsid w:val="4ED4505D"/>
    <w:rsid w:val="4EDE67D2"/>
    <w:rsid w:val="4EE07EA5"/>
    <w:rsid w:val="4EE51018"/>
    <w:rsid w:val="4EEC684A"/>
    <w:rsid w:val="4EEE6F11"/>
    <w:rsid w:val="4EEF208C"/>
    <w:rsid w:val="4EFE2C71"/>
    <w:rsid w:val="4F035942"/>
    <w:rsid w:val="4F0A0A7E"/>
    <w:rsid w:val="4F281560"/>
    <w:rsid w:val="4F3509EB"/>
    <w:rsid w:val="4F473A81"/>
    <w:rsid w:val="4F476274"/>
    <w:rsid w:val="4F587A3C"/>
    <w:rsid w:val="4F5B752C"/>
    <w:rsid w:val="4F616DFE"/>
    <w:rsid w:val="4F6A776F"/>
    <w:rsid w:val="4F744245"/>
    <w:rsid w:val="4F7D56F4"/>
    <w:rsid w:val="4F8D790A"/>
    <w:rsid w:val="4F8F4266"/>
    <w:rsid w:val="4FA64C4B"/>
    <w:rsid w:val="4FA82F0B"/>
    <w:rsid w:val="4FBF7ABB"/>
    <w:rsid w:val="4FC260EB"/>
    <w:rsid w:val="4FC9594E"/>
    <w:rsid w:val="4FD7064C"/>
    <w:rsid w:val="4FF01FC8"/>
    <w:rsid w:val="4FF37764"/>
    <w:rsid w:val="4FFB31A4"/>
    <w:rsid w:val="4FFD527C"/>
    <w:rsid w:val="500501F3"/>
    <w:rsid w:val="501231EC"/>
    <w:rsid w:val="501B272B"/>
    <w:rsid w:val="50203E3B"/>
    <w:rsid w:val="50243DC2"/>
    <w:rsid w:val="50275F04"/>
    <w:rsid w:val="503404A9"/>
    <w:rsid w:val="503C735D"/>
    <w:rsid w:val="503F09B5"/>
    <w:rsid w:val="504306EC"/>
    <w:rsid w:val="5043249A"/>
    <w:rsid w:val="50463D38"/>
    <w:rsid w:val="506762F6"/>
    <w:rsid w:val="507F7220"/>
    <w:rsid w:val="508E61B5"/>
    <w:rsid w:val="509E5922"/>
    <w:rsid w:val="50A545DB"/>
    <w:rsid w:val="50B12478"/>
    <w:rsid w:val="50B27620"/>
    <w:rsid w:val="50B31830"/>
    <w:rsid w:val="50C04F20"/>
    <w:rsid w:val="50C35389"/>
    <w:rsid w:val="50D731F5"/>
    <w:rsid w:val="50DC335D"/>
    <w:rsid w:val="50E0418D"/>
    <w:rsid w:val="50E6470E"/>
    <w:rsid w:val="50F97DF7"/>
    <w:rsid w:val="51024103"/>
    <w:rsid w:val="51095E03"/>
    <w:rsid w:val="51172F9F"/>
    <w:rsid w:val="5124231B"/>
    <w:rsid w:val="512651A9"/>
    <w:rsid w:val="512C6AB1"/>
    <w:rsid w:val="51347CF1"/>
    <w:rsid w:val="513B13C3"/>
    <w:rsid w:val="51484635"/>
    <w:rsid w:val="51590CC2"/>
    <w:rsid w:val="51673238"/>
    <w:rsid w:val="51685364"/>
    <w:rsid w:val="51695F30"/>
    <w:rsid w:val="51711289"/>
    <w:rsid w:val="517D3696"/>
    <w:rsid w:val="518007D2"/>
    <w:rsid w:val="51850D07"/>
    <w:rsid w:val="518B5578"/>
    <w:rsid w:val="51907133"/>
    <w:rsid w:val="51917235"/>
    <w:rsid w:val="519555A0"/>
    <w:rsid w:val="5196484B"/>
    <w:rsid w:val="519C4558"/>
    <w:rsid w:val="519C56D6"/>
    <w:rsid w:val="51A83503"/>
    <w:rsid w:val="51B62521"/>
    <w:rsid w:val="51B7485D"/>
    <w:rsid w:val="51BA2C30"/>
    <w:rsid w:val="51BD627C"/>
    <w:rsid w:val="51D04201"/>
    <w:rsid w:val="51D610EC"/>
    <w:rsid w:val="51E8469C"/>
    <w:rsid w:val="51F24178"/>
    <w:rsid w:val="51F64AEC"/>
    <w:rsid w:val="520E0886"/>
    <w:rsid w:val="521736C5"/>
    <w:rsid w:val="522105B9"/>
    <w:rsid w:val="52270757"/>
    <w:rsid w:val="52304CA0"/>
    <w:rsid w:val="5233131B"/>
    <w:rsid w:val="52345315"/>
    <w:rsid w:val="523E560F"/>
    <w:rsid w:val="52441102"/>
    <w:rsid w:val="52481203"/>
    <w:rsid w:val="52552958"/>
    <w:rsid w:val="525F7333"/>
    <w:rsid w:val="52662470"/>
    <w:rsid w:val="52724976"/>
    <w:rsid w:val="52726002"/>
    <w:rsid w:val="527903F5"/>
    <w:rsid w:val="529F0F39"/>
    <w:rsid w:val="529F291F"/>
    <w:rsid w:val="52AE419A"/>
    <w:rsid w:val="52AF2069"/>
    <w:rsid w:val="52AF4864"/>
    <w:rsid w:val="52B0193D"/>
    <w:rsid w:val="52B72CCB"/>
    <w:rsid w:val="52BA27BB"/>
    <w:rsid w:val="52BA4CC2"/>
    <w:rsid w:val="52BE05BA"/>
    <w:rsid w:val="52C04276"/>
    <w:rsid w:val="52C75604"/>
    <w:rsid w:val="52C81F57"/>
    <w:rsid w:val="52C97A4D"/>
    <w:rsid w:val="52D8548B"/>
    <w:rsid w:val="52E43B5E"/>
    <w:rsid w:val="52E67894"/>
    <w:rsid w:val="52E8557B"/>
    <w:rsid w:val="52E9702A"/>
    <w:rsid w:val="52F97788"/>
    <w:rsid w:val="530103EA"/>
    <w:rsid w:val="5302663C"/>
    <w:rsid w:val="53034162"/>
    <w:rsid w:val="5305612D"/>
    <w:rsid w:val="530E3233"/>
    <w:rsid w:val="531269BE"/>
    <w:rsid w:val="53210238"/>
    <w:rsid w:val="532760A3"/>
    <w:rsid w:val="5332099B"/>
    <w:rsid w:val="533E519B"/>
    <w:rsid w:val="5340332E"/>
    <w:rsid w:val="534722A1"/>
    <w:rsid w:val="534A096D"/>
    <w:rsid w:val="534A673B"/>
    <w:rsid w:val="53536800"/>
    <w:rsid w:val="5359168B"/>
    <w:rsid w:val="535B3401"/>
    <w:rsid w:val="535E75EB"/>
    <w:rsid w:val="536270DB"/>
    <w:rsid w:val="536D0B6C"/>
    <w:rsid w:val="537B1F4B"/>
    <w:rsid w:val="538B5222"/>
    <w:rsid w:val="53982AFD"/>
    <w:rsid w:val="539902B1"/>
    <w:rsid w:val="53B01DD2"/>
    <w:rsid w:val="53B26779"/>
    <w:rsid w:val="53B52310"/>
    <w:rsid w:val="53D1393F"/>
    <w:rsid w:val="53D60F56"/>
    <w:rsid w:val="53D901B4"/>
    <w:rsid w:val="53DD49B3"/>
    <w:rsid w:val="53DF7F8C"/>
    <w:rsid w:val="53F8359B"/>
    <w:rsid w:val="53F91A55"/>
    <w:rsid w:val="54015280"/>
    <w:rsid w:val="54044563"/>
    <w:rsid w:val="540A5A6E"/>
    <w:rsid w:val="541E10A8"/>
    <w:rsid w:val="54316AAD"/>
    <w:rsid w:val="544423ED"/>
    <w:rsid w:val="54456BE1"/>
    <w:rsid w:val="544801A0"/>
    <w:rsid w:val="546512C4"/>
    <w:rsid w:val="5469397E"/>
    <w:rsid w:val="546A214B"/>
    <w:rsid w:val="546A2443"/>
    <w:rsid w:val="548369C9"/>
    <w:rsid w:val="54880DC3"/>
    <w:rsid w:val="549B4DB8"/>
    <w:rsid w:val="549F7EBB"/>
    <w:rsid w:val="54A36D56"/>
    <w:rsid w:val="54B27D1E"/>
    <w:rsid w:val="54CB6F02"/>
    <w:rsid w:val="54D50C36"/>
    <w:rsid w:val="54D74791"/>
    <w:rsid w:val="54D9161F"/>
    <w:rsid w:val="54DF2C75"/>
    <w:rsid w:val="54E16725"/>
    <w:rsid w:val="54E57FC4"/>
    <w:rsid w:val="54E66377"/>
    <w:rsid w:val="5503669C"/>
    <w:rsid w:val="552227BC"/>
    <w:rsid w:val="553C5568"/>
    <w:rsid w:val="553D46AE"/>
    <w:rsid w:val="555111B5"/>
    <w:rsid w:val="55574EC9"/>
    <w:rsid w:val="555E7D76"/>
    <w:rsid w:val="55780E38"/>
    <w:rsid w:val="558E0FF3"/>
    <w:rsid w:val="559612BE"/>
    <w:rsid w:val="55985036"/>
    <w:rsid w:val="559E63C4"/>
    <w:rsid w:val="55B23C34"/>
    <w:rsid w:val="55CE6CAA"/>
    <w:rsid w:val="55D65C46"/>
    <w:rsid w:val="55E517F1"/>
    <w:rsid w:val="55E97640"/>
    <w:rsid w:val="55FD3462"/>
    <w:rsid w:val="56141D44"/>
    <w:rsid w:val="56156687"/>
    <w:rsid w:val="562A4416"/>
    <w:rsid w:val="563E4B38"/>
    <w:rsid w:val="564170B4"/>
    <w:rsid w:val="564725B8"/>
    <w:rsid w:val="565020BD"/>
    <w:rsid w:val="56516D77"/>
    <w:rsid w:val="56617B1E"/>
    <w:rsid w:val="56680EAC"/>
    <w:rsid w:val="567D422C"/>
    <w:rsid w:val="567D7EB1"/>
    <w:rsid w:val="56837A94"/>
    <w:rsid w:val="568630E0"/>
    <w:rsid w:val="568A2DC4"/>
    <w:rsid w:val="56910414"/>
    <w:rsid w:val="56933A4F"/>
    <w:rsid w:val="56A417B8"/>
    <w:rsid w:val="56B04601"/>
    <w:rsid w:val="56B51C18"/>
    <w:rsid w:val="56B56DB4"/>
    <w:rsid w:val="56B75990"/>
    <w:rsid w:val="56C10BF6"/>
    <w:rsid w:val="56D46542"/>
    <w:rsid w:val="56EF4625"/>
    <w:rsid w:val="56F12C81"/>
    <w:rsid w:val="56F23EDB"/>
    <w:rsid w:val="56F37C7C"/>
    <w:rsid w:val="56FA762A"/>
    <w:rsid w:val="56FC33A3"/>
    <w:rsid w:val="570B2198"/>
    <w:rsid w:val="570E3BC9"/>
    <w:rsid w:val="571B53DB"/>
    <w:rsid w:val="57236B81"/>
    <w:rsid w:val="57385255"/>
    <w:rsid w:val="573D6AD0"/>
    <w:rsid w:val="573D7F76"/>
    <w:rsid w:val="574C1A20"/>
    <w:rsid w:val="575431DF"/>
    <w:rsid w:val="575B456D"/>
    <w:rsid w:val="57797BC1"/>
    <w:rsid w:val="577E025B"/>
    <w:rsid w:val="57864C41"/>
    <w:rsid w:val="578A2735"/>
    <w:rsid w:val="57923D07"/>
    <w:rsid w:val="579B705F"/>
    <w:rsid w:val="57A35F14"/>
    <w:rsid w:val="57B4547E"/>
    <w:rsid w:val="57B47D62"/>
    <w:rsid w:val="57B63578"/>
    <w:rsid w:val="57BD3192"/>
    <w:rsid w:val="57C00874"/>
    <w:rsid w:val="57D305A7"/>
    <w:rsid w:val="57D60097"/>
    <w:rsid w:val="57D85BBE"/>
    <w:rsid w:val="57DE6F4C"/>
    <w:rsid w:val="57E24C8E"/>
    <w:rsid w:val="57E6326E"/>
    <w:rsid w:val="57F02454"/>
    <w:rsid w:val="57F50C93"/>
    <w:rsid w:val="57F624E8"/>
    <w:rsid w:val="57F66044"/>
    <w:rsid w:val="58016AE1"/>
    <w:rsid w:val="58024C3B"/>
    <w:rsid w:val="58131835"/>
    <w:rsid w:val="58133B49"/>
    <w:rsid w:val="5819155B"/>
    <w:rsid w:val="581A4428"/>
    <w:rsid w:val="583006B7"/>
    <w:rsid w:val="583C666D"/>
    <w:rsid w:val="584815D1"/>
    <w:rsid w:val="5856630C"/>
    <w:rsid w:val="58592F0A"/>
    <w:rsid w:val="58654F91"/>
    <w:rsid w:val="58666731"/>
    <w:rsid w:val="586E7B85"/>
    <w:rsid w:val="58721957"/>
    <w:rsid w:val="58951D01"/>
    <w:rsid w:val="589870FB"/>
    <w:rsid w:val="58B818B0"/>
    <w:rsid w:val="58BD31AC"/>
    <w:rsid w:val="58BF28DA"/>
    <w:rsid w:val="58C3061C"/>
    <w:rsid w:val="58CB2776"/>
    <w:rsid w:val="58D771CD"/>
    <w:rsid w:val="58D92201"/>
    <w:rsid w:val="58E42340"/>
    <w:rsid w:val="58E6310E"/>
    <w:rsid w:val="58EE6AD8"/>
    <w:rsid w:val="59077FA0"/>
    <w:rsid w:val="59154BEF"/>
    <w:rsid w:val="59232E69"/>
    <w:rsid w:val="5935134A"/>
    <w:rsid w:val="593516B6"/>
    <w:rsid w:val="5939464F"/>
    <w:rsid w:val="593E34F6"/>
    <w:rsid w:val="593E7CA2"/>
    <w:rsid w:val="593F2872"/>
    <w:rsid w:val="59525A79"/>
    <w:rsid w:val="59537C18"/>
    <w:rsid w:val="595C637A"/>
    <w:rsid w:val="59633BAD"/>
    <w:rsid w:val="596B0199"/>
    <w:rsid w:val="597E7408"/>
    <w:rsid w:val="598558D1"/>
    <w:rsid w:val="59897866"/>
    <w:rsid w:val="598A738C"/>
    <w:rsid w:val="598F6750"/>
    <w:rsid w:val="599920F2"/>
    <w:rsid w:val="59B763F4"/>
    <w:rsid w:val="59B85D01"/>
    <w:rsid w:val="59B9276E"/>
    <w:rsid w:val="59C96A98"/>
    <w:rsid w:val="59D56ED0"/>
    <w:rsid w:val="59E92304"/>
    <w:rsid w:val="59F45004"/>
    <w:rsid w:val="5A004E84"/>
    <w:rsid w:val="5A020743"/>
    <w:rsid w:val="5A130E92"/>
    <w:rsid w:val="5A1F5548"/>
    <w:rsid w:val="5A323D42"/>
    <w:rsid w:val="5A3317D1"/>
    <w:rsid w:val="5A3966BC"/>
    <w:rsid w:val="5A3A7F15"/>
    <w:rsid w:val="5A46493E"/>
    <w:rsid w:val="5A4958D6"/>
    <w:rsid w:val="5A5A6D5E"/>
    <w:rsid w:val="5A736072"/>
    <w:rsid w:val="5A7476F4"/>
    <w:rsid w:val="5A754877"/>
    <w:rsid w:val="5A837D03"/>
    <w:rsid w:val="5A84202D"/>
    <w:rsid w:val="5A907813"/>
    <w:rsid w:val="5A9A35FE"/>
    <w:rsid w:val="5AA5177E"/>
    <w:rsid w:val="5AA63D51"/>
    <w:rsid w:val="5AB3021C"/>
    <w:rsid w:val="5ABE706E"/>
    <w:rsid w:val="5AD132F9"/>
    <w:rsid w:val="5AD36B10"/>
    <w:rsid w:val="5AD6166F"/>
    <w:rsid w:val="5AD67D94"/>
    <w:rsid w:val="5AD80788"/>
    <w:rsid w:val="5AE928DA"/>
    <w:rsid w:val="5AF0321E"/>
    <w:rsid w:val="5AF26F96"/>
    <w:rsid w:val="5AF47318"/>
    <w:rsid w:val="5AFB2552"/>
    <w:rsid w:val="5B101B12"/>
    <w:rsid w:val="5B1D5F4A"/>
    <w:rsid w:val="5B3204BB"/>
    <w:rsid w:val="5B32486D"/>
    <w:rsid w:val="5B346480"/>
    <w:rsid w:val="5B3475AF"/>
    <w:rsid w:val="5B36490C"/>
    <w:rsid w:val="5B3C6463"/>
    <w:rsid w:val="5B3C70FF"/>
    <w:rsid w:val="5B3E13DB"/>
    <w:rsid w:val="5B433C96"/>
    <w:rsid w:val="5B45130C"/>
    <w:rsid w:val="5B4A6DD2"/>
    <w:rsid w:val="5B5528D7"/>
    <w:rsid w:val="5B5A4B3C"/>
    <w:rsid w:val="5B5A7906"/>
    <w:rsid w:val="5B6466FE"/>
    <w:rsid w:val="5B665F9C"/>
    <w:rsid w:val="5B74567C"/>
    <w:rsid w:val="5B773940"/>
    <w:rsid w:val="5B7E082A"/>
    <w:rsid w:val="5B8B17A8"/>
    <w:rsid w:val="5BA30291"/>
    <w:rsid w:val="5BDE751B"/>
    <w:rsid w:val="5BE106D2"/>
    <w:rsid w:val="5BE1734D"/>
    <w:rsid w:val="5BF308A1"/>
    <w:rsid w:val="5C0A6562"/>
    <w:rsid w:val="5C191B77"/>
    <w:rsid w:val="5C1B7675"/>
    <w:rsid w:val="5C2671DD"/>
    <w:rsid w:val="5C38447A"/>
    <w:rsid w:val="5C441A74"/>
    <w:rsid w:val="5C58551F"/>
    <w:rsid w:val="5C732401"/>
    <w:rsid w:val="5C743932"/>
    <w:rsid w:val="5C7D31D8"/>
    <w:rsid w:val="5C846A43"/>
    <w:rsid w:val="5CC52489"/>
    <w:rsid w:val="5CD54512"/>
    <w:rsid w:val="5CDC64A7"/>
    <w:rsid w:val="5CE352DF"/>
    <w:rsid w:val="5CE648D9"/>
    <w:rsid w:val="5CF57894"/>
    <w:rsid w:val="5CF80AB0"/>
    <w:rsid w:val="5CF8285E"/>
    <w:rsid w:val="5D027239"/>
    <w:rsid w:val="5D1457C4"/>
    <w:rsid w:val="5D1740AB"/>
    <w:rsid w:val="5D1C02FB"/>
    <w:rsid w:val="5D235C93"/>
    <w:rsid w:val="5D2B6790"/>
    <w:rsid w:val="5D325D70"/>
    <w:rsid w:val="5D443CF5"/>
    <w:rsid w:val="5D4616EB"/>
    <w:rsid w:val="5D497722"/>
    <w:rsid w:val="5D5F1B97"/>
    <w:rsid w:val="5D753EAF"/>
    <w:rsid w:val="5D7C523D"/>
    <w:rsid w:val="5D897632"/>
    <w:rsid w:val="5D9B7CF5"/>
    <w:rsid w:val="5DA2124B"/>
    <w:rsid w:val="5DD00811"/>
    <w:rsid w:val="5DD72473"/>
    <w:rsid w:val="5DDB5EBA"/>
    <w:rsid w:val="5DE30E18"/>
    <w:rsid w:val="5DED613B"/>
    <w:rsid w:val="5E023A5A"/>
    <w:rsid w:val="5E0C4813"/>
    <w:rsid w:val="5E0F7E5F"/>
    <w:rsid w:val="5E113BD7"/>
    <w:rsid w:val="5E257683"/>
    <w:rsid w:val="5E337FF2"/>
    <w:rsid w:val="5E3D4F56"/>
    <w:rsid w:val="5E3E0745"/>
    <w:rsid w:val="5E5A241C"/>
    <w:rsid w:val="5E627981"/>
    <w:rsid w:val="5E664528"/>
    <w:rsid w:val="5E715C01"/>
    <w:rsid w:val="5E824AD5"/>
    <w:rsid w:val="5E84084D"/>
    <w:rsid w:val="5E846139"/>
    <w:rsid w:val="5E873DAB"/>
    <w:rsid w:val="5E9B796D"/>
    <w:rsid w:val="5EA66A16"/>
    <w:rsid w:val="5EBC3A27"/>
    <w:rsid w:val="5EBD3D5F"/>
    <w:rsid w:val="5EBD78BB"/>
    <w:rsid w:val="5EC073AC"/>
    <w:rsid w:val="5EC944B2"/>
    <w:rsid w:val="5EDA046D"/>
    <w:rsid w:val="5EEC01A1"/>
    <w:rsid w:val="5EF51757"/>
    <w:rsid w:val="5F08322C"/>
    <w:rsid w:val="5F105C3D"/>
    <w:rsid w:val="5F1A2F60"/>
    <w:rsid w:val="5F1F2324"/>
    <w:rsid w:val="5F2B2A77"/>
    <w:rsid w:val="5F2E6A0B"/>
    <w:rsid w:val="5F3536C4"/>
    <w:rsid w:val="5F3D27AA"/>
    <w:rsid w:val="5F405520"/>
    <w:rsid w:val="5F5F310C"/>
    <w:rsid w:val="5F677B93"/>
    <w:rsid w:val="5F6A27FA"/>
    <w:rsid w:val="5F773F0E"/>
    <w:rsid w:val="5F776C17"/>
    <w:rsid w:val="5F7A39FE"/>
    <w:rsid w:val="5F8672E6"/>
    <w:rsid w:val="5F8959EF"/>
    <w:rsid w:val="5F9E76ED"/>
    <w:rsid w:val="5FCF49FC"/>
    <w:rsid w:val="5FD8570E"/>
    <w:rsid w:val="5FDE3F8D"/>
    <w:rsid w:val="5FE13A7D"/>
    <w:rsid w:val="5FE86BBA"/>
    <w:rsid w:val="5FE87052"/>
    <w:rsid w:val="5FE87251"/>
    <w:rsid w:val="60170067"/>
    <w:rsid w:val="601A43EF"/>
    <w:rsid w:val="6025268F"/>
    <w:rsid w:val="60285208"/>
    <w:rsid w:val="603906F6"/>
    <w:rsid w:val="60397415"/>
    <w:rsid w:val="6051650D"/>
    <w:rsid w:val="605A37BF"/>
    <w:rsid w:val="605A5EE4"/>
    <w:rsid w:val="605E4E8F"/>
    <w:rsid w:val="605F4603"/>
    <w:rsid w:val="60690061"/>
    <w:rsid w:val="6071763E"/>
    <w:rsid w:val="60C14B0C"/>
    <w:rsid w:val="60C541B5"/>
    <w:rsid w:val="60F24707"/>
    <w:rsid w:val="61095C50"/>
    <w:rsid w:val="610E4A4B"/>
    <w:rsid w:val="61147259"/>
    <w:rsid w:val="61186D8B"/>
    <w:rsid w:val="612E4AA0"/>
    <w:rsid w:val="612E4F8F"/>
    <w:rsid w:val="61321F75"/>
    <w:rsid w:val="613320B7"/>
    <w:rsid w:val="613459CC"/>
    <w:rsid w:val="613B0F6B"/>
    <w:rsid w:val="613C1835"/>
    <w:rsid w:val="613F280A"/>
    <w:rsid w:val="61461DEA"/>
    <w:rsid w:val="614E35EC"/>
    <w:rsid w:val="615B2E7E"/>
    <w:rsid w:val="6166423A"/>
    <w:rsid w:val="617050B9"/>
    <w:rsid w:val="61970253"/>
    <w:rsid w:val="619E09FC"/>
    <w:rsid w:val="61AA2758"/>
    <w:rsid w:val="61D816A3"/>
    <w:rsid w:val="61DE64C6"/>
    <w:rsid w:val="61E671FB"/>
    <w:rsid w:val="61EA1B28"/>
    <w:rsid w:val="62072434"/>
    <w:rsid w:val="6208709F"/>
    <w:rsid w:val="62195750"/>
    <w:rsid w:val="622814F0"/>
    <w:rsid w:val="623161EC"/>
    <w:rsid w:val="62392EB4"/>
    <w:rsid w:val="623D6E87"/>
    <w:rsid w:val="624731C8"/>
    <w:rsid w:val="624A76B8"/>
    <w:rsid w:val="624D3A11"/>
    <w:rsid w:val="624E3350"/>
    <w:rsid w:val="625B6FBC"/>
    <w:rsid w:val="626A09ED"/>
    <w:rsid w:val="62817261"/>
    <w:rsid w:val="62967221"/>
    <w:rsid w:val="62970423"/>
    <w:rsid w:val="629B4EBC"/>
    <w:rsid w:val="629B6165"/>
    <w:rsid w:val="62A4197B"/>
    <w:rsid w:val="62AD115F"/>
    <w:rsid w:val="62AD6F57"/>
    <w:rsid w:val="62B430C4"/>
    <w:rsid w:val="62B71584"/>
    <w:rsid w:val="62C03E1E"/>
    <w:rsid w:val="62CC4571"/>
    <w:rsid w:val="62CF5E0F"/>
    <w:rsid w:val="62DE42A4"/>
    <w:rsid w:val="62E87FCF"/>
    <w:rsid w:val="62F85366"/>
    <w:rsid w:val="62FB30A8"/>
    <w:rsid w:val="63062529"/>
    <w:rsid w:val="63084640"/>
    <w:rsid w:val="63100901"/>
    <w:rsid w:val="63185A08"/>
    <w:rsid w:val="631B72A6"/>
    <w:rsid w:val="632058D7"/>
    <w:rsid w:val="63495BC1"/>
    <w:rsid w:val="63524352"/>
    <w:rsid w:val="63526744"/>
    <w:rsid w:val="635307EE"/>
    <w:rsid w:val="635412F1"/>
    <w:rsid w:val="63581512"/>
    <w:rsid w:val="635C3B47"/>
    <w:rsid w:val="6361115D"/>
    <w:rsid w:val="63634A5A"/>
    <w:rsid w:val="636E387A"/>
    <w:rsid w:val="6377523E"/>
    <w:rsid w:val="63775D33"/>
    <w:rsid w:val="638035D4"/>
    <w:rsid w:val="63985EF5"/>
    <w:rsid w:val="639A7632"/>
    <w:rsid w:val="63A025B8"/>
    <w:rsid w:val="63A728E8"/>
    <w:rsid w:val="63A759EE"/>
    <w:rsid w:val="63A92B04"/>
    <w:rsid w:val="63B854D2"/>
    <w:rsid w:val="63C27722"/>
    <w:rsid w:val="63D4317D"/>
    <w:rsid w:val="63D455AA"/>
    <w:rsid w:val="63D731CD"/>
    <w:rsid w:val="63E137D0"/>
    <w:rsid w:val="63E1404C"/>
    <w:rsid w:val="63E34D49"/>
    <w:rsid w:val="63E458E8"/>
    <w:rsid w:val="63E57BEB"/>
    <w:rsid w:val="64045A64"/>
    <w:rsid w:val="64085A7D"/>
    <w:rsid w:val="640B2E77"/>
    <w:rsid w:val="64104931"/>
    <w:rsid w:val="64234664"/>
    <w:rsid w:val="642A59F3"/>
    <w:rsid w:val="642A77A1"/>
    <w:rsid w:val="642E704C"/>
    <w:rsid w:val="6437345D"/>
    <w:rsid w:val="643A5574"/>
    <w:rsid w:val="643C74D4"/>
    <w:rsid w:val="643E149E"/>
    <w:rsid w:val="6456730F"/>
    <w:rsid w:val="645A795A"/>
    <w:rsid w:val="64622CD4"/>
    <w:rsid w:val="64787BDF"/>
    <w:rsid w:val="647C1FA9"/>
    <w:rsid w:val="648C220A"/>
    <w:rsid w:val="649E1F3D"/>
    <w:rsid w:val="64A07A63"/>
    <w:rsid w:val="64A4332E"/>
    <w:rsid w:val="64AA08E2"/>
    <w:rsid w:val="64B147AF"/>
    <w:rsid w:val="64B25D57"/>
    <w:rsid w:val="64D43BB1"/>
    <w:rsid w:val="64DB6CED"/>
    <w:rsid w:val="64E20497"/>
    <w:rsid w:val="64E317FD"/>
    <w:rsid w:val="64ED7C62"/>
    <w:rsid w:val="64F90154"/>
    <w:rsid w:val="64FD6C64"/>
    <w:rsid w:val="6508613C"/>
    <w:rsid w:val="650B1E51"/>
    <w:rsid w:val="650C6EA7"/>
    <w:rsid w:val="651B2C0F"/>
    <w:rsid w:val="65247E0C"/>
    <w:rsid w:val="652F7039"/>
    <w:rsid w:val="65313143"/>
    <w:rsid w:val="65315D5A"/>
    <w:rsid w:val="6543036F"/>
    <w:rsid w:val="654650B5"/>
    <w:rsid w:val="65546448"/>
    <w:rsid w:val="65566374"/>
    <w:rsid w:val="65776907"/>
    <w:rsid w:val="659304F1"/>
    <w:rsid w:val="6593581A"/>
    <w:rsid w:val="65991C7A"/>
    <w:rsid w:val="659A13EE"/>
    <w:rsid w:val="65A73E55"/>
    <w:rsid w:val="65B141D8"/>
    <w:rsid w:val="65C717C5"/>
    <w:rsid w:val="65D200F0"/>
    <w:rsid w:val="65E03E62"/>
    <w:rsid w:val="65E16737"/>
    <w:rsid w:val="65F55B8D"/>
    <w:rsid w:val="65FE0EE5"/>
    <w:rsid w:val="66106AB0"/>
    <w:rsid w:val="66117C3F"/>
    <w:rsid w:val="661A20AA"/>
    <w:rsid w:val="661C580F"/>
    <w:rsid w:val="661F281A"/>
    <w:rsid w:val="6626043C"/>
    <w:rsid w:val="66560D21"/>
    <w:rsid w:val="665E7BD6"/>
    <w:rsid w:val="66602124"/>
    <w:rsid w:val="6663397A"/>
    <w:rsid w:val="66763229"/>
    <w:rsid w:val="66770C98"/>
    <w:rsid w:val="66817666"/>
    <w:rsid w:val="668A09CB"/>
    <w:rsid w:val="669730E8"/>
    <w:rsid w:val="669F1019"/>
    <w:rsid w:val="66A03152"/>
    <w:rsid w:val="66A534B2"/>
    <w:rsid w:val="66A870A3"/>
    <w:rsid w:val="66B6356E"/>
    <w:rsid w:val="66B71094"/>
    <w:rsid w:val="66B83C0F"/>
    <w:rsid w:val="66BB0B84"/>
    <w:rsid w:val="66BD504F"/>
    <w:rsid w:val="66C93522"/>
    <w:rsid w:val="66CA3A4C"/>
    <w:rsid w:val="66CD2666"/>
    <w:rsid w:val="66D44878"/>
    <w:rsid w:val="66DD4F9F"/>
    <w:rsid w:val="66E557FD"/>
    <w:rsid w:val="66EF2FFE"/>
    <w:rsid w:val="66F10129"/>
    <w:rsid w:val="66F127F8"/>
    <w:rsid w:val="66F97455"/>
    <w:rsid w:val="66FC49D5"/>
    <w:rsid w:val="67002A3B"/>
    <w:rsid w:val="670A38BA"/>
    <w:rsid w:val="670F0ED0"/>
    <w:rsid w:val="67241800"/>
    <w:rsid w:val="67277FC8"/>
    <w:rsid w:val="6729598A"/>
    <w:rsid w:val="672C0E52"/>
    <w:rsid w:val="67375865"/>
    <w:rsid w:val="67402F06"/>
    <w:rsid w:val="674768BC"/>
    <w:rsid w:val="6749577D"/>
    <w:rsid w:val="674D67BC"/>
    <w:rsid w:val="675114E9"/>
    <w:rsid w:val="675F3C06"/>
    <w:rsid w:val="67674868"/>
    <w:rsid w:val="676C782A"/>
    <w:rsid w:val="67702502"/>
    <w:rsid w:val="677A0A3F"/>
    <w:rsid w:val="67931B01"/>
    <w:rsid w:val="67966EFB"/>
    <w:rsid w:val="679715F1"/>
    <w:rsid w:val="67A066E9"/>
    <w:rsid w:val="67AF792B"/>
    <w:rsid w:val="67B2785F"/>
    <w:rsid w:val="67C73559"/>
    <w:rsid w:val="67D0065F"/>
    <w:rsid w:val="67D068B1"/>
    <w:rsid w:val="67DA7730"/>
    <w:rsid w:val="67DE7AB7"/>
    <w:rsid w:val="67DF722C"/>
    <w:rsid w:val="67E61C31"/>
    <w:rsid w:val="67E91721"/>
    <w:rsid w:val="67FF7197"/>
    <w:rsid w:val="6813679E"/>
    <w:rsid w:val="68161876"/>
    <w:rsid w:val="68182925"/>
    <w:rsid w:val="68190258"/>
    <w:rsid w:val="6819694F"/>
    <w:rsid w:val="68272F3B"/>
    <w:rsid w:val="6835615A"/>
    <w:rsid w:val="68397461"/>
    <w:rsid w:val="683E7CB7"/>
    <w:rsid w:val="684626D0"/>
    <w:rsid w:val="6848469A"/>
    <w:rsid w:val="685314B5"/>
    <w:rsid w:val="6854109A"/>
    <w:rsid w:val="68570D81"/>
    <w:rsid w:val="685A617B"/>
    <w:rsid w:val="685F3791"/>
    <w:rsid w:val="68660FC4"/>
    <w:rsid w:val="686B4994"/>
    <w:rsid w:val="6870620A"/>
    <w:rsid w:val="687330F6"/>
    <w:rsid w:val="68784853"/>
    <w:rsid w:val="68802085"/>
    <w:rsid w:val="6881195A"/>
    <w:rsid w:val="68AA7FC8"/>
    <w:rsid w:val="68B70904"/>
    <w:rsid w:val="68B83154"/>
    <w:rsid w:val="68BC69A9"/>
    <w:rsid w:val="68C746F7"/>
    <w:rsid w:val="68D979E8"/>
    <w:rsid w:val="68DE6DAC"/>
    <w:rsid w:val="68E63EB3"/>
    <w:rsid w:val="68EB00B3"/>
    <w:rsid w:val="68EF720B"/>
    <w:rsid w:val="69100251"/>
    <w:rsid w:val="69197DE4"/>
    <w:rsid w:val="691B3DD3"/>
    <w:rsid w:val="691C1035"/>
    <w:rsid w:val="691E2788"/>
    <w:rsid w:val="691E3D24"/>
    <w:rsid w:val="69253156"/>
    <w:rsid w:val="692C572C"/>
    <w:rsid w:val="69310AF9"/>
    <w:rsid w:val="693E5A9D"/>
    <w:rsid w:val="694035C3"/>
    <w:rsid w:val="69492010"/>
    <w:rsid w:val="6958090C"/>
    <w:rsid w:val="696302A0"/>
    <w:rsid w:val="69707F7F"/>
    <w:rsid w:val="697417A7"/>
    <w:rsid w:val="69761A42"/>
    <w:rsid w:val="697773C1"/>
    <w:rsid w:val="69800056"/>
    <w:rsid w:val="69887333"/>
    <w:rsid w:val="699A7572"/>
    <w:rsid w:val="699E02E9"/>
    <w:rsid w:val="69A2427D"/>
    <w:rsid w:val="69A47FF6"/>
    <w:rsid w:val="69A51678"/>
    <w:rsid w:val="69BC0531"/>
    <w:rsid w:val="69CE6E20"/>
    <w:rsid w:val="69CF4947"/>
    <w:rsid w:val="69D33B54"/>
    <w:rsid w:val="69D76646"/>
    <w:rsid w:val="69DD52B6"/>
    <w:rsid w:val="69E00902"/>
    <w:rsid w:val="69E0552B"/>
    <w:rsid w:val="69FA19C4"/>
    <w:rsid w:val="6A107439"/>
    <w:rsid w:val="6A143C4B"/>
    <w:rsid w:val="6A170EE8"/>
    <w:rsid w:val="6A1E1970"/>
    <w:rsid w:val="6A22716C"/>
    <w:rsid w:val="6A2353D4"/>
    <w:rsid w:val="6A2E5C82"/>
    <w:rsid w:val="6A2F1539"/>
    <w:rsid w:val="6A361B02"/>
    <w:rsid w:val="6A365F4C"/>
    <w:rsid w:val="6A410D55"/>
    <w:rsid w:val="6A420314"/>
    <w:rsid w:val="6A4470E3"/>
    <w:rsid w:val="6A4A2B50"/>
    <w:rsid w:val="6A507835"/>
    <w:rsid w:val="6A527A52"/>
    <w:rsid w:val="6A5437CA"/>
    <w:rsid w:val="6A5645D1"/>
    <w:rsid w:val="6A56562C"/>
    <w:rsid w:val="6A6904B8"/>
    <w:rsid w:val="6A6921D7"/>
    <w:rsid w:val="6A6E5867"/>
    <w:rsid w:val="6A701C86"/>
    <w:rsid w:val="6A773014"/>
    <w:rsid w:val="6A7A07DA"/>
    <w:rsid w:val="6A7A3035"/>
    <w:rsid w:val="6A7A48B2"/>
    <w:rsid w:val="6A7B433D"/>
    <w:rsid w:val="6A8A4A65"/>
    <w:rsid w:val="6A8F61F9"/>
    <w:rsid w:val="6A90057A"/>
    <w:rsid w:val="6A9737B1"/>
    <w:rsid w:val="6A9C7BD0"/>
    <w:rsid w:val="6AA07AB9"/>
    <w:rsid w:val="6AAB53B4"/>
    <w:rsid w:val="6AB4471D"/>
    <w:rsid w:val="6AC3330B"/>
    <w:rsid w:val="6AC55556"/>
    <w:rsid w:val="6AC62455"/>
    <w:rsid w:val="6AC77CBF"/>
    <w:rsid w:val="6AD211B7"/>
    <w:rsid w:val="6AD466B8"/>
    <w:rsid w:val="6AD60633"/>
    <w:rsid w:val="6AD70FE2"/>
    <w:rsid w:val="6AE61F48"/>
    <w:rsid w:val="6AFC79BD"/>
    <w:rsid w:val="6B05379A"/>
    <w:rsid w:val="6B057D86"/>
    <w:rsid w:val="6B080AA9"/>
    <w:rsid w:val="6B0C2534"/>
    <w:rsid w:val="6B166CD1"/>
    <w:rsid w:val="6B1A09C3"/>
    <w:rsid w:val="6B2025A1"/>
    <w:rsid w:val="6B275ADB"/>
    <w:rsid w:val="6B324CE0"/>
    <w:rsid w:val="6B397A9B"/>
    <w:rsid w:val="6B405AFC"/>
    <w:rsid w:val="6B417C84"/>
    <w:rsid w:val="6B643313"/>
    <w:rsid w:val="6B665DAF"/>
    <w:rsid w:val="6B6712DB"/>
    <w:rsid w:val="6B740AAD"/>
    <w:rsid w:val="6B91204B"/>
    <w:rsid w:val="6BAE16EB"/>
    <w:rsid w:val="6BCA4833"/>
    <w:rsid w:val="6BCA7305"/>
    <w:rsid w:val="6BD6020E"/>
    <w:rsid w:val="6BD9304F"/>
    <w:rsid w:val="6BE2040C"/>
    <w:rsid w:val="6BEF307E"/>
    <w:rsid w:val="6BF82D7D"/>
    <w:rsid w:val="6BFB7C75"/>
    <w:rsid w:val="6BFD671A"/>
    <w:rsid w:val="6C0B55A7"/>
    <w:rsid w:val="6C1148DF"/>
    <w:rsid w:val="6C14241E"/>
    <w:rsid w:val="6C143BE9"/>
    <w:rsid w:val="6C180827"/>
    <w:rsid w:val="6C1A00FB"/>
    <w:rsid w:val="6C1C0317"/>
    <w:rsid w:val="6C216DBB"/>
    <w:rsid w:val="6C2C60C4"/>
    <w:rsid w:val="6C354F35"/>
    <w:rsid w:val="6C3E4012"/>
    <w:rsid w:val="6C506213"/>
    <w:rsid w:val="6C6475C8"/>
    <w:rsid w:val="6C785AF0"/>
    <w:rsid w:val="6C79285C"/>
    <w:rsid w:val="6C793453"/>
    <w:rsid w:val="6C7E123B"/>
    <w:rsid w:val="6C8859AD"/>
    <w:rsid w:val="6C992049"/>
    <w:rsid w:val="6CAE5D81"/>
    <w:rsid w:val="6CB20E6D"/>
    <w:rsid w:val="6CBA266E"/>
    <w:rsid w:val="6CC4450B"/>
    <w:rsid w:val="6CC83FFB"/>
    <w:rsid w:val="6CDD0508"/>
    <w:rsid w:val="6CEF5734"/>
    <w:rsid w:val="6CF05300"/>
    <w:rsid w:val="6CF80432"/>
    <w:rsid w:val="6D013069"/>
    <w:rsid w:val="6D092654"/>
    <w:rsid w:val="6D13492F"/>
    <w:rsid w:val="6D14040B"/>
    <w:rsid w:val="6D185805"/>
    <w:rsid w:val="6D1B5985"/>
    <w:rsid w:val="6D1E68A9"/>
    <w:rsid w:val="6D2744EE"/>
    <w:rsid w:val="6D2B65E5"/>
    <w:rsid w:val="6D443CCF"/>
    <w:rsid w:val="6D5068DC"/>
    <w:rsid w:val="6D54588F"/>
    <w:rsid w:val="6D602485"/>
    <w:rsid w:val="6D633D24"/>
    <w:rsid w:val="6D7D683A"/>
    <w:rsid w:val="6D8E6C32"/>
    <w:rsid w:val="6DA63E09"/>
    <w:rsid w:val="6DCE6CB3"/>
    <w:rsid w:val="6DD753C4"/>
    <w:rsid w:val="6DE173BB"/>
    <w:rsid w:val="6DE52764"/>
    <w:rsid w:val="6DFA1AA7"/>
    <w:rsid w:val="6DFE57FA"/>
    <w:rsid w:val="6DFF3A4C"/>
    <w:rsid w:val="6E0348E1"/>
    <w:rsid w:val="6E10219F"/>
    <w:rsid w:val="6E4408FB"/>
    <w:rsid w:val="6E470F4F"/>
    <w:rsid w:val="6E496D4B"/>
    <w:rsid w:val="6E5F098F"/>
    <w:rsid w:val="6E622BD0"/>
    <w:rsid w:val="6E623FDB"/>
    <w:rsid w:val="6E66128D"/>
    <w:rsid w:val="6E672362"/>
    <w:rsid w:val="6E732C64"/>
    <w:rsid w:val="6E7C509D"/>
    <w:rsid w:val="6E7D2BC3"/>
    <w:rsid w:val="6E7E2EFE"/>
    <w:rsid w:val="6E940676"/>
    <w:rsid w:val="6EA12D56"/>
    <w:rsid w:val="6EA2295B"/>
    <w:rsid w:val="6EB8009F"/>
    <w:rsid w:val="6ED22F0F"/>
    <w:rsid w:val="6ED52433"/>
    <w:rsid w:val="6ED749C9"/>
    <w:rsid w:val="6EDD3AFA"/>
    <w:rsid w:val="6EE92BDF"/>
    <w:rsid w:val="6EED7D49"/>
    <w:rsid w:val="6EF74724"/>
    <w:rsid w:val="6EF91340"/>
    <w:rsid w:val="6F0230C8"/>
    <w:rsid w:val="6F077E1F"/>
    <w:rsid w:val="6F3911E0"/>
    <w:rsid w:val="6F391A14"/>
    <w:rsid w:val="6F424616"/>
    <w:rsid w:val="6F484F7F"/>
    <w:rsid w:val="6F4B0F13"/>
    <w:rsid w:val="6F60619F"/>
    <w:rsid w:val="6F7246F2"/>
    <w:rsid w:val="6F787361"/>
    <w:rsid w:val="6F7931EE"/>
    <w:rsid w:val="6F7A1FD7"/>
    <w:rsid w:val="6F7C5CF6"/>
    <w:rsid w:val="6F833042"/>
    <w:rsid w:val="6F9A2F0D"/>
    <w:rsid w:val="6F9C52CB"/>
    <w:rsid w:val="6F9E1043"/>
    <w:rsid w:val="6FA00508"/>
    <w:rsid w:val="6FA6675B"/>
    <w:rsid w:val="6FB36CAD"/>
    <w:rsid w:val="6FBD596D"/>
    <w:rsid w:val="6FD1766A"/>
    <w:rsid w:val="6FD24704"/>
    <w:rsid w:val="6FE253D4"/>
    <w:rsid w:val="6FF80D33"/>
    <w:rsid w:val="6FFB0243"/>
    <w:rsid w:val="6FFB46E7"/>
    <w:rsid w:val="6FFF64DB"/>
    <w:rsid w:val="7007465D"/>
    <w:rsid w:val="700B74D8"/>
    <w:rsid w:val="700C69E4"/>
    <w:rsid w:val="701A2DBF"/>
    <w:rsid w:val="702F681D"/>
    <w:rsid w:val="70427A3C"/>
    <w:rsid w:val="704E2A69"/>
    <w:rsid w:val="704E4817"/>
    <w:rsid w:val="706347FA"/>
    <w:rsid w:val="706758D9"/>
    <w:rsid w:val="70682E98"/>
    <w:rsid w:val="706A53C9"/>
    <w:rsid w:val="706E4EB9"/>
    <w:rsid w:val="706F4AAF"/>
    <w:rsid w:val="707A385E"/>
    <w:rsid w:val="70877D29"/>
    <w:rsid w:val="70AC59E2"/>
    <w:rsid w:val="70BB3A5A"/>
    <w:rsid w:val="70C1148D"/>
    <w:rsid w:val="70CB5E68"/>
    <w:rsid w:val="70D94A29"/>
    <w:rsid w:val="70DF36C1"/>
    <w:rsid w:val="70F62355"/>
    <w:rsid w:val="70FD1A16"/>
    <w:rsid w:val="71015D2D"/>
    <w:rsid w:val="71035E00"/>
    <w:rsid w:val="71193077"/>
    <w:rsid w:val="711E68DF"/>
    <w:rsid w:val="712565D7"/>
    <w:rsid w:val="71285068"/>
    <w:rsid w:val="71306613"/>
    <w:rsid w:val="71374018"/>
    <w:rsid w:val="71415561"/>
    <w:rsid w:val="715414DE"/>
    <w:rsid w:val="71663DE2"/>
    <w:rsid w:val="717B5AE0"/>
    <w:rsid w:val="717E354C"/>
    <w:rsid w:val="719C15B2"/>
    <w:rsid w:val="71B7463E"/>
    <w:rsid w:val="71BA10A6"/>
    <w:rsid w:val="71C72047"/>
    <w:rsid w:val="71DB407F"/>
    <w:rsid w:val="71DF4EDF"/>
    <w:rsid w:val="71EA67C2"/>
    <w:rsid w:val="71F16FC3"/>
    <w:rsid w:val="71F340D2"/>
    <w:rsid w:val="71F4319C"/>
    <w:rsid w:val="71FE226D"/>
    <w:rsid w:val="71FE6305"/>
    <w:rsid w:val="72081E4F"/>
    <w:rsid w:val="721E46BD"/>
    <w:rsid w:val="722506A9"/>
    <w:rsid w:val="72456EB1"/>
    <w:rsid w:val="72502901"/>
    <w:rsid w:val="725138BE"/>
    <w:rsid w:val="72541E8D"/>
    <w:rsid w:val="725D3437"/>
    <w:rsid w:val="72632B84"/>
    <w:rsid w:val="726A5AEB"/>
    <w:rsid w:val="726F0358"/>
    <w:rsid w:val="72706B69"/>
    <w:rsid w:val="72732BC1"/>
    <w:rsid w:val="72734A09"/>
    <w:rsid w:val="727363C4"/>
    <w:rsid w:val="728E22EC"/>
    <w:rsid w:val="729606F7"/>
    <w:rsid w:val="72991281"/>
    <w:rsid w:val="729B6917"/>
    <w:rsid w:val="72A565EB"/>
    <w:rsid w:val="72AB2147"/>
    <w:rsid w:val="72AF5315"/>
    <w:rsid w:val="72B83205"/>
    <w:rsid w:val="72BC37E2"/>
    <w:rsid w:val="72CB65F3"/>
    <w:rsid w:val="72D06CB3"/>
    <w:rsid w:val="72D82ABE"/>
    <w:rsid w:val="72F378F8"/>
    <w:rsid w:val="72FA6ED8"/>
    <w:rsid w:val="72FB055A"/>
    <w:rsid w:val="73012015"/>
    <w:rsid w:val="73025148"/>
    <w:rsid w:val="730E6137"/>
    <w:rsid w:val="73111216"/>
    <w:rsid w:val="73235A27"/>
    <w:rsid w:val="732A1122"/>
    <w:rsid w:val="732E3907"/>
    <w:rsid w:val="73313267"/>
    <w:rsid w:val="733358DA"/>
    <w:rsid w:val="7346211D"/>
    <w:rsid w:val="734D0635"/>
    <w:rsid w:val="73563420"/>
    <w:rsid w:val="736827E7"/>
    <w:rsid w:val="7368538E"/>
    <w:rsid w:val="73685452"/>
    <w:rsid w:val="736F18C6"/>
    <w:rsid w:val="73700F48"/>
    <w:rsid w:val="7375627A"/>
    <w:rsid w:val="73770529"/>
    <w:rsid w:val="737A1DC7"/>
    <w:rsid w:val="73844AB9"/>
    <w:rsid w:val="738805A0"/>
    <w:rsid w:val="738F53D1"/>
    <w:rsid w:val="739358D2"/>
    <w:rsid w:val="73992FB6"/>
    <w:rsid w:val="739D4185"/>
    <w:rsid w:val="73A100AF"/>
    <w:rsid w:val="73AD3F4B"/>
    <w:rsid w:val="73AE3639"/>
    <w:rsid w:val="73B274A0"/>
    <w:rsid w:val="73E21E46"/>
    <w:rsid w:val="73E942E0"/>
    <w:rsid w:val="73ED5998"/>
    <w:rsid w:val="73EE6D96"/>
    <w:rsid w:val="73FE6554"/>
    <w:rsid w:val="740A3A87"/>
    <w:rsid w:val="74125E4D"/>
    <w:rsid w:val="741527AA"/>
    <w:rsid w:val="742E6AE6"/>
    <w:rsid w:val="7436379E"/>
    <w:rsid w:val="74454183"/>
    <w:rsid w:val="744A6ED7"/>
    <w:rsid w:val="74503106"/>
    <w:rsid w:val="74695916"/>
    <w:rsid w:val="74955D2B"/>
    <w:rsid w:val="74A0585D"/>
    <w:rsid w:val="74A203E8"/>
    <w:rsid w:val="74A4534E"/>
    <w:rsid w:val="74A715D2"/>
    <w:rsid w:val="74B133B5"/>
    <w:rsid w:val="74C463D7"/>
    <w:rsid w:val="74D448E6"/>
    <w:rsid w:val="74E225E4"/>
    <w:rsid w:val="74E4574A"/>
    <w:rsid w:val="74F87447"/>
    <w:rsid w:val="74FB2A94"/>
    <w:rsid w:val="75036C4E"/>
    <w:rsid w:val="75093403"/>
    <w:rsid w:val="75495400"/>
    <w:rsid w:val="754A1796"/>
    <w:rsid w:val="754F02AE"/>
    <w:rsid w:val="755E374E"/>
    <w:rsid w:val="755F2CCE"/>
    <w:rsid w:val="75614FED"/>
    <w:rsid w:val="757765BE"/>
    <w:rsid w:val="757A6A57"/>
    <w:rsid w:val="75846316"/>
    <w:rsid w:val="75854815"/>
    <w:rsid w:val="75874327"/>
    <w:rsid w:val="75932CCC"/>
    <w:rsid w:val="75A91F29"/>
    <w:rsid w:val="75AA24FD"/>
    <w:rsid w:val="75AC3DC3"/>
    <w:rsid w:val="75B54FBA"/>
    <w:rsid w:val="75B73ADA"/>
    <w:rsid w:val="75B94E29"/>
    <w:rsid w:val="75D16AE9"/>
    <w:rsid w:val="75DE03EB"/>
    <w:rsid w:val="75E33DF5"/>
    <w:rsid w:val="75E748B4"/>
    <w:rsid w:val="75EA4FE2"/>
    <w:rsid w:val="75EF43A6"/>
    <w:rsid w:val="7604134D"/>
    <w:rsid w:val="760A030B"/>
    <w:rsid w:val="760B691D"/>
    <w:rsid w:val="7613461F"/>
    <w:rsid w:val="7620726A"/>
    <w:rsid w:val="76286D4A"/>
    <w:rsid w:val="762B73A9"/>
    <w:rsid w:val="76304438"/>
    <w:rsid w:val="763174AC"/>
    <w:rsid w:val="763F1FF4"/>
    <w:rsid w:val="764B6696"/>
    <w:rsid w:val="765069A7"/>
    <w:rsid w:val="76656D44"/>
    <w:rsid w:val="76775236"/>
    <w:rsid w:val="76792731"/>
    <w:rsid w:val="768347CA"/>
    <w:rsid w:val="769012C1"/>
    <w:rsid w:val="76962A74"/>
    <w:rsid w:val="769F401E"/>
    <w:rsid w:val="76A34D0F"/>
    <w:rsid w:val="76AF1D88"/>
    <w:rsid w:val="76C05D43"/>
    <w:rsid w:val="76C17C78"/>
    <w:rsid w:val="76E07197"/>
    <w:rsid w:val="76EC2FDC"/>
    <w:rsid w:val="76F01B50"/>
    <w:rsid w:val="76F771B9"/>
    <w:rsid w:val="76FD2AF3"/>
    <w:rsid w:val="77040D55"/>
    <w:rsid w:val="77057BFA"/>
    <w:rsid w:val="770B1FE4"/>
    <w:rsid w:val="77165DBC"/>
    <w:rsid w:val="77170059"/>
    <w:rsid w:val="771D13E7"/>
    <w:rsid w:val="771D4568"/>
    <w:rsid w:val="77361410"/>
    <w:rsid w:val="774C17A2"/>
    <w:rsid w:val="77637B5B"/>
    <w:rsid w:val="777A2396"/>
    <w:rsid w:val="777D1373"/>
    <w:rsid w:val="777F4BFF"/>
    <w:rsid w:val="77894387"/>
    <w:rsid w:val="77905715"/>
    <w:rsid w:val="779416A9"/>
    <w:rsid w:val="77A55C27"/>
    <w:rsid w:val="77A86F03"/>
    <w:rsid w:val="77AE203F"/>
    <w:rsid w:val="77B02ACB"/>
    <w:rsid w:val="77B70883"/>
    <w:rsid w:val="77B8543C"/>
    <w:rsid w:val="77CE4F95"/>
    <w:rsid w:val="77E43CB3"/>
    <w:rsid w:val="77F02658"/>
    <w:rsid w:val="77FB0DA8"/>
    <w:rsid w:val="7803238B"/>
    <w:rsid w:val="780A371A"/>
    <w:rsid w:val="780B2412"/>
    <w:rsid w:val="781246A1"/>
    <w:rsid w:val="78141133"/>
    <w:rsid w:val="78197E01"/>
    <w:rsid w:val="781F6726"/>
    <w:rsid w:val="7829084F"/>
    <w:rsid w:val="783063C3"/>
    <w:rsid w:val="78306EF8"/>
    <w:rsid w:val="7831514A"/>
    <w:rsid w:val="783165F8"/>
    <w:rsid w:val="78362761"/>
    <w:rsid w:val="783A477B"/>
    <w:rsid w:val="783F619F"/>
    <w:rsid w:val="784635DF"/>
    <w:rsid w:val="784E4DCE"/>
    <w:rsid w:val="785307BE"/>
    <w:rsid w:val="785904E4"/>
    <w:rsid w:val="785B589E"/>
    <w:rsid w:val="786077DD"/>
    <w:rsid w:val="7878384E"/>
    <w:rsid w:val="789B436E"/>
    <w:rsid w:val="78A460E6"/>
    <w:rsid w:val="78AE22A7"/>
    <w:rsid w:val="78B25122"/>
    <w:rsid w:val="78B611AB"/>
    <w:rsid w:val="78B707B2"/>
    <w:rsid w:val="78B92705"/>
    <w:rsid w:val="78BF7473"/>
    <w:rsid w:val="78D12489"/>
    <w:rsid w:val="78D635FC"/>
    <w:rsid w:val="78D93032"/>
    <w:rsid w:val="78DE5537"/>
    <w:rsid w:val="78E41F7C"/>
    <w:rsid w:val="78EE6B97"/>
    <w:rsid w:val="78F062F0"/>
    <w:rsid w:val="78F43E98"/>
    <w:rsid w:val="791130F5"/>
    <w:rsid w:val="791365FE"/>
    <w:rsid w:val="791B1956"/>
    <w:rsid w:val="792A1B99"/>
    <w:rsid w:val="792D7A1C"/>
    <w:rsid w:val="79312F28"/>
    <w:rsid w:val="793A6280"/>
    <w:rsid w:val="79507852"/>
    <w:rsid w:val="79507FD7"/>
    <w:rsid w:val="796F666E"/>
    <w:rsid w:val="797671FC"/>
    <w:rsid w:val="797A051B"/>
    <w:rsid w:val="797A7744"/>
    <w:rsid w:val="797A7C24"/>
    <w:rsid w:val="79942FD2"/>
    <w:rsid w:val="799932A5"/>
    <w:rsid w:val="79A100AE"/>
    <w:rsid w:val="79A6790A"/>
    <w:rsid w:val="79A96F62"/>
    <w:rsid w:val="79AD76AE"/>
    <w:rsid w:val="79BD656A"/>
    <w:rsid w:val="79D42231"/>
    <w:rsid w:val="79D73ACF"/>
    <w:rsid w:val="79E1716A"/>
    <w:rsid w:val="79E84010"/>
    <w:rsid w:val="79F226B7"/>
    <w:rsid w:val="79F44681"/>
    <w:rsid w:val="79FD0732"/>
    <w:rsid w:val="79FD55A8"/>
    <w:rsid w:val="7A000746"/>
    <w:rsid w:val="7A0569E7"/>
    <w:rsid w:val="7A0B3779"/>
    <w:rsid w:val="7A0B7A1A"/>
    <w:rsid w:val="7A100B9B"/>
    <w:rsid w:val="7A170370"/>
    <w:rsid w:val="7A33053A"/>
    <w:rsid w:val="7A3507F6"/>
    <w:rsid w:val="7A432F13"/>
    <w:rsid w:val="7A582395"/>
    <w:rsid w:val="7A5E1AFB"/>
    <w:rsid w:val="7A5E77B7"/>
    <w:rsid w:val="7A5E7D4D"/>
    <w:rsid w:val="7A676C97"/>
    <w:rsid w:val="7A7C4677"/>
    <w:rsid w:val="7A7E298C"/>
    <w:rsid w:val="7A804477"/>
    <w:rsid w:val="7A85177D"/>
    <w:rsid w:val="7A85352B"/>
    <w:rsid w:val="7A960FFF"/>
    <w:rsid w:val="7A990D85"/>
    <w:rsid w:val="7AB67B89"/>
    <w:rsid w:val="7AB80F9A"/>
    <w:rsid w:val="7AC53F07"/>
    <w:rsid w:val="7AC75644"/>
    <w:rsid w:val="7AD95EB0"/>
    <w:rsid w:val="7AE2097E"/>
    <w:rsid w:val="7AE257BF"/>
    <w:rsid w:val="7AED182A"/>
    <w:rsid w:val="7AFD7566"/>
    <w:rsid w:val="7B0459B3"/>
    <w:rsid w:val="7B0C59FB"/>
    <w:rsid w:val="7B0F54EB"/>
    <w:rsid w:val="7B102D5B"/>
    <w:rsid w:val="7B1D660B"/>
    <w:rsid w:val="7B2F3497"/>
    <w:rsid w:val="7B4735CF"/>
    <w:rsid w:val="7B4D0C81"/>
    <w:rsid w:val="7B5829EE"/>
    <w:rsid w:val="7B597837"/>
    <w:rsid w:val="7B5B603A"/>
    <w:rsid w:val="7B5F523F"/>
    <w:rsid w:val="7B6273C9"/>
    <w:rsid w:val="7B683586"/>
    <w:rsid w:val="7B6E188D"/>
    <w:rsid w:val="7B7A0BB6"/>
    <w:rsid w:val="7B80192A"/>
    <w:rsid w:val="7BA23C69"/>
    <w:rsid w:val="7BAB6FC2"/>
    <w:rsid w:val="7BB5399C"/>
    <w:rsid w:val="7BB73BB8"/>
    <w:rsid w:val="7BBD2838"/>
    <w:rsid w:val="7BBD4F47"/>
    <w:rsid w:val="7BCC28A5"/>
    <w:rsid w:val="7BCF49EB"/>
    <w:rsid w:val="7BD219B7"/>
    <w:rsid w:val="7BD81D81"/>
    <w:rsid w:val="7BD83B2F"/>
    <w:rsid w:val="7BF344C5"/>
    <w:rsid w:val="7BFC2181"/>
    <w:rsid w:val="7BFE17E7"/>
    <w:rsid w:val="7C0943C4"/>
    <w:rsid w:val="7C0B7E98"/>
    <w:rsid w:val="7C0E7550"/>
    <w:rsid w:val="7C372603"/>
    <w:rsid w:val="7C3E12D1"/>
    <w:rsid w:val="7C4564F6"/>
    <w:rsid w:val="7C4C5062"/>
    <w:rsid w:val="7C5160EE"/>
    <w:rsid w:val="7C552434"/>
    <w:rsid w:val="7C5717FC"/>
    <w:rsid w:val="7C5D67F1"/>
    <w:rsid w:val="7C6361AD"/>
    <w:rsid w:val="7C6453C2"/>
    <w:rsid w:val="7C703D67"/>
    <w:rsid w:val="7C766902"/>
    <w:rsid w:val="7C775FFE"/>
    <w:rsid w:val="7C8021FC"/>
    <w:rsid w:val="7C916B3E"/>
    <w:rsid w:val="7C983047"/>
    <w:rsid w:val="7C9C2DAE"/>
    <w:rsid w:val="7CA0464C"/>
    <w:rsid w:val="7CA9195E"/>
    <w:rsid w:val="7CB02338"/>
    <w:rsid w:val="7CB47CC8"/>
    <w:rsid w:val="7CB93960"/>
    <w:rsid w:val="7CBD7D0D"/>
    <w:rsid w:val="7CC16371"/>
    <w:rsid w:val="7CE24F04"/>
    <w:rsid w:val="7CEC7892"/>
    <w:rsid w:val="7CF160B0"/>
    <w:rsid w:val="7CF229CE"/>
    <w:rsid w:val="7D070051"/>
    <w:rsid w:val="7D096956"/>
    <w:rsid w:val="7D0A41BC"/>
    <w:rsid w:val="7D1172F8"/>
    <w:rsid w:val="7D147E33"/>
    <w:rsid w:val="7D3E3E65"/>
    <w:rsid w:val="7D3E7A94"/>
    <w:rsid w:val="7D52346D"/>
    <w:rsid w:val="7D6E6C69"/>
    <w:rsid w:val="7D766CDB"/>
    <w:rsid w:val="7D8E169B"/>
    <w:rsid w:val="7D9D21D1"/>
    <w:rsid w:val="7DA55B29"/>
    <w:rsid w:val="7DAE00ED"/>
    <w:rsid w:val="7DB55ED6"/>
    <w:rsid w:val="7DB61C4E"/>
    <w:rsid w:val="7DBE266C"/>
    <w:rsid w:val="7DBF5FC7"/>
    <w:rsid w:val="7DD32800"/>
    <w:rsid w:val="7DDB186C"/>
    <w:rsid w:val="7DDD542C"/>
    <w:rsid w:val="7DDF11A4"/>
    <w:rsid w:val="7DE631DA"/>
    <w:rsid w:val="7DE91BEA"/>
    <w:rsid w:val="7DED1B13"/>
    <w:rsid w:val="7E040D20"/>
    <w:rsid w:val="7E05211B"/>
    <w:rsid w:val="7E0B1F99"/>
    <w:rsid w:val="7E0B68D2"/>
    <w:rsid w:val="7E1C0441"/>
    <w:rsid w:val="7E1F5A45"/>
    <w:rsid w:val="7E2566CB"/>
    <w:rsid w:val="7E2712AA"/>
    <w:rsid w:val="7E3E210E"/>
    <w:rsid w:val="7E4322D7"/>
    <w:rsid w:val="7E5C3F56"/>
    <w:rsid w:val="7E5C540E"/>
    <w:rsid w:val="7E5C5E6E"/>
    <w:rsid w:val="7E6478FC"/>
    <w:rsid w:val="7E7A42F4"/>
    <w:rsid w:val="7E980A22"/>
    <w:rsid w:val="7EA773F9"/>
    <w:rsid w:val="7EBD792C"/>
    <w:rsid w:val="7EC14FBA"/>
    <w:rsid w:val="7EC64112"/>
    <w:rsid w:val="7ECA14C8"/>
    <w:rsid w:val="7ECE56A5"/>
    <w:rsid w:val="7ED56104"/>
    <w:rsid w:val="7ED95BF4"/>
    <w:rsid w:val="7EEF4D5C"/>
    <w:rsid w:val="7EEF5FAD"/>
    <w:rsid w:val="7EFD16EC"/>
    <w:rsid w:val="7EFF74BD"/>
    <w:rsid w:val="7EFF7C24"/>
    <w:rsid w:val="7F032C71"/>
    <w:rsid w:val="7F076C05"/>
    <w:rsid w:val="7F0D0A7F"/>
    <w:rsid w:val="7F141322"/>
    <w:rsid w:val="7F1430D0"/>
    <w:rsid w:val="7F1553FA"/>
    <w:rsid w:val="7F1C1F84"/>
    <w:rsid w:val="7F372549"/>
    <w:rsid w:val="7F38184C"/>
    <w:rsid w:val="7F3910C6"/>
    <w:rsid w:val="7F3D43D5"/>
    <w:rsid w:val="7F5A2D7D"/>
    <w:rsid w:val="7F63180E"/>
    <w:rsid w:val="7F71407E"/>
    <w:rsid w:val="7F78036C"/>
    <w:rsid w:val="7F7F2C3F"/>
    <w:rsid w:val="7F8C0B67"/>
    <w:rsid w:val="7F907B6A"/>
    <w:rsid w:val="7F995383"/>
    <w:rsid w:val="7F9B169D"/>
    <w:rsid w:val="7F9F720C"/>
    <w:rsid w:val="7FC90B37"/>
    <w:rsid w:val="7FD14B1D"/>
    <w:rsid w:val="7FD91C23"/>
    <w:rsid w:val="7FE231CE"/>
    <w:rsid w:val="7FE707E4"/>
    <w:rsid w:val="7FF16F6D"/>
    <w:rsid w:val="7FFF78D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iPriority="0" w:semiHidden="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99" w:semiHidden="0" w:name="toc 1"/>
    <w:lsdException w:qFormat="1" w:unhideWhenUsed="0" w:uiPriority="39" w:semiHidden="0" w:name="toc 2"/>
    <w:lsdException w:qFormat="1"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unhideWhenUsed="0" w:uiPriority="0" w:semiHidden="0" w:name="Block Text"/>
    <w:lsdException w:qFormat="1"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iPriority="59"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ind w:firstLine="560" w:firstLineChars="200"/>
      <w:jc w:val="both"/>
    </w:pPr>
    <w:rPr>
      <w:rFonts w:ascii="Times New Roman" w:hAnsi="Times New Roman" w:eastAsia="宋体" w:cs="Times New Roman"/>
      <w:kern w:val="2"/>
      <w:sz w:val="24"/>
      <w:szCs w:val="24"/>
      <w:lang w:val="en-US" w:eastAsia="zh-CN" w:bidi="ar-SA"/>
    </w:rPr>
  </w:style>
  <w:style w:type="paragraph" w:styleId="2">
    <w:name w:val="heading 1"/>
    <w:basedOn w:val="1"/>
    <w:next w:val="1"/>
    <w:link w:val="34"/>
    <w:qFormat/>
    <w:uiPriority w:val="0"/>
    <w:pPr>
      <w:spacing w:before="240" w:after="240"/>
      <w:ind w:firstLine="0" w:firstLineChars="0"/>
      <w:outlineLvl w:val="0"/>
    </w:pPr>
    <w:rPr>
      <w:rFonts w:eastAsia="黑体"/>
      <w:kern w:val="32"/>
      <w:sz w:val="32"/>
      <w:szCs w:val="32"/>
    </w:rPr>
  </w:style>
  <w:style w:type="paragraph" w:styleId="3">
    <w:name w:val="heading 2"/>
    <w:basedOn w:val="1"/>
    <w:next w:val="1"/>
    <w:link w:val="35"/>
    <w:qFormat/>
    <w:uiPriority w:val="0"/>
    <w:pPr>
      <w:keepNext/>
      <w:keepLines/>
      <w:spacing w:before="160" w:after="160"/>
      <w:ind w:firstLine="0" w:firstLineChars="0"/>
      <w:outlineLvl w:val="1"/>
    </w:pPr>
    <w:rPr>
      <w:rFonts w:eastAsia="黑体"/>
      <w:kern w:val="0"/>
      <w:sz w:val="28"/>
      <w:szCs w:val="28"/>
      <w:lang w:val="zh-CN"/>
    </w:rPr>
  </w:style>
  <w:style w:type="paragraph" w:styleId="4">
    <w:name w:val="heading 3"/>
    <w:basedOn w:val="1"/>
    <w:next w:val="1"/>
    <w:link w:val="31"/>
    <w:qFormat/>
    <w:uiPriority w:val="0"/>
    <w:pPr>
      <w:keepNext/>
      <w:keepLines/>
      <w:spacing w:before="60" w:after="60"/>
      <w:ind w:firstLine="0" w:firstLineChars="0"/>
      <w:outlineLvl w:val="2"/>
    </w:pPr>
    <w:rPr>
      <w:rFonts w:eastAsia="黑体"/>
      <w:kern w:val="0"/>
      <w:sz w:val="28"/>
      <w:szCs w:val="28"/>
    </w:rPr>
  </w:style>
  <w:style w:type="paragraph" w:styleId="5">
    <w:name w:val="heading 4"/>
    <w:basedOn w:val="1"/>
    <w:next w:val="1"/>
    <w:link w:val="32"/>
    <w:qFormat/>
    <w:uiPriority w:val="0"/>
    <w:pPr>
      <w:keepNext/>
      <w:keepLines/>
      <w:ind w:firstLine="0" w:firstLineChars="0"/>
      <w:outlineLvl w:val="3"/>
    </w:pPr>
    <w:rPr>
      <w:rFonts w:eastAsia="仿宋"/>
    </w:rPr>
  </w:style>
  <w:style w:type="paragraph" w:styleId="6">
    <w:name w:val="heading 5"/>
    <w:basedOn w:val="1"/>
    <w:next w:val="1"/>
    <w:link w:val="33"/>
    <w:qFormat/>
    <w:uiPriority w:val="0"/>
    <w:pPr>
      <w:ind w:firstLine="599"/>
      <w:outlineLvl w:val="4"/>
    </w:pPr>
    <w:rPr>
      <w:kern w:val="0"/>
      <w:szCs w:val="20"/>
    </w:rPr>
  </w:style>
  <w:style w:type="paragraph" w:styleId="7">
    <w:name w:val="heading 6"/>
    <w:basedOn w:val="1"/>
    <w:next w:val="1"/>
    <w:qFormat/>
    <w:uiPriority w:val="0"/>
    <w:pPr>
      <w:keepNext/>
      <w:keepLines/>
      <w:outlineLvl w:val="5"/>
    </w:pPr>
  </w:style>
  <w:style w:type="paragraph" w:styleId="8">
    <w:name w:val="heading 7"/>
    <w:basedOn w:val="1"/>
    <w:next w:val="1"/>
    <w:unhideWhenUsed/>
    <w:qFormat/>
    <w:uiPriority w:val="0"/>
    <w:pPr>
      <w:keepNext/>
      <w:keepLines/>
      <w:spacing w:before="240" w:beforeLines="0" w:beforeAutospacing="0" w:after="64" w:afterLines="0" w:afterAutospacing="0" w:line="317" w:lineRule="auto"/>
      <w:outlineLvl w:val="6"/>
    </w:pPr>
    <w:rPr>
      <w:b/>
      <w:sz w:val="24"/>
    </w:rPr>
  </w:style>
  <w:style w:type="character" w:default="1" w:styleId="23">
    <w:name w:val="Default Paragraph Font"/>
    <w:semiHidden/>
    <w:unhideWhenUsed/>
    <w:qFormat/>
    <w:uiPriority w:val="1"/>
  </w:style>
  <w:style w:type="table" w:default="1" w:styleId="21">
    <w:name w:val="Normal Table"/>
    <w:semiHidden/>
    <w:unhideWhenUsed/>
    <w:qFormat/>
    <w:uiPriority w:val="99"/>
    <w:tblPr>
      <w:tblCellMar>
        <w:top w:w="0" w:type="dxa"/>
        <w:left w:w="108" w:type="dxa"/>
        <w:bottom w:w="0" w:type="dxa"/>
        <w:right w:w="108" w:type="dxa"/>
      </w:tblCellMar>
    </w:tblPr>
  </w:style>
  <w:style w:type="paragraph" w:styleId="9">
    <w:name w:val="Document Map"/>
    <w:basedOn w:val="1"/>
    <w:link w:val="46"/>
    <w:qFormat/>
    <w:uiPriority w:val="0"/>
    <w:rPr>
      <w:rFonts w:ascii="宋体"/>
      <w:sz w:val="18"/>
      <w:szCs w:val="18"/>
    </w:rPr>
  </w:style>
  <w:style w:type="paragraph" w:styleId="10">
    <w:name w:val="annotation text"/>
    <w:basedOn w:val="1"/>
    <w:link w:val="47"/>
    <w:qFormat/>
    <w:uiPriority w:val="0"/>
    <w:pPr>
      <w:spacing w:line="240" w:lineRule="auto"/>
      <w:ind w:firstLine="0" w:firstLineChars="0"/>
    </w:pPr>
    <w:rPr>
      <w:rFonts w:eastAsia="黑体"/>
      <w:sz w:val="21"/>
    </w:rPr>
  </w:style>
  <w:style w:type="paragraph" w:styleId="11">
    <w:name w:val="Body Text"/>
    <w:basedOn w:val="1"/>
    <w:next w:val="1"/>
    <w:unhideWhenUsed/>
    <w:qFormat/>
    <w:uiPriority w:val="0"/>
    <w:pPr>
      <w:spacing w:after="120"/>
    </w:pPr>
    <w:rPr>
      <w:szCs w:val="22"/>
    </w:rPr>
  </w:style>
  <w:style w:type="paragraph" w:styleId="12">
    <w:name w:val="toc 3"/>
    <w:basedOn w:val="1"/>
    <w:next w:val="1"/>
    <w:qFormat/>
    <w:uiPriority w:val="0"/>
    <w:pPr>
      <w:ind w:left="840" w:leftChars="400"/>
    </w:pPr>
  </w:style>
  <w:style w:type="paragraph" w:styleId="13">
    <w:name w:val="Body Text Indent 2"/>
    <w:basedOn w:val="1"/>
    <w:qFormat/>
    <w:uiPriority w:val="0"/>
    <w:pPr>
      <w:spacing w:after="120" w:line="480" w:lineRule="auto"/>
      <w:ind w:left="420" w:leftChars="200"/>
    </w:pPr>
  </w:style>
  <w:style w:type="paragraph" w:styleId="14">
    <w:name w:val="Balloon Text"/>
    <w:basedOn w:val="1"/>
    <w:link w:val="49"/>
    <w:qFormat/>
    <w:uiPriority w:val="0"/>
    <w:pPr>
      <w:spacing w:line="240" w:lineRule="auto"/>
    </w:pPr>
    <w:rPr>
      <w:sz w:val="18"/>
      <w:szCs w:val="18"/>
    </w:rPr>
  </w:style>
  <w:style w:type="paragraph" w:styleId="15">
    <w:name w:val="footer"/>
    <w:basedOn w:val="1"/>
    <w:qFormat/>
    <w:uiPriority w:val="0"/>
    <w:pPr>
      <w:tabs>
        <w:tab w:val="center" w:pos="4153"/>
        <w:tab w:val="right" w:pos="8306"/>
      </w:tabs>
      <w:ind w:firstLine="0" w:firstLineChars="0"/>
    </w:pPr>
    <w:rPr>
      <w:sz w:val="21"/>
      <w:szCs w:val="21"/>
    </w:rPr>
  </w:style>
  <w:style w:type="paragraph" w:styleId="16">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pacing w:line="240" w:lineRule="auto"/>
      <w:ind w:firstLine="0" w:firstLineChars="0"/>
      <w:jc w:val="center"/>
    </w:pPr>
    <w:rPr>
      <w:rFonts w:eastAsia="黑体"/>
      <w:sz w:val="21"/>
      <w:szCs w:val="21"/>
    </w:rPr>
  </w:style>
  <w:style w:type="paragraph" w:styleId="17">
    <w:name w:val="toc 1"/>
    <w:basedOn w:val="1"/>
    <w:next w:val="1"/>
    <w:qFormat/>
    <w:uiPriority w:val="99"/>
  </w:style>
  <w:style w:type="paragraph" w:styleId="18">
    <w:name w:val="toc 2"/>
    <w:basedOn w:val="1"/>
    <w:next w:val="1"/>
    <w:qFormat/>
    <w:uiPriority w:val="39"/>
    <w:pPr>
      <w:ind w:left="420" w:leftChars="200"/>
    </w:pPr>
  </w:style>
  <w:style w:type="paragraph" w:styleId="19">
    <w:name w:val="annotation subject"/>
    <w:basedOn w:val="10"/>
    <w:next w:val="10"/>
    <w:link w:val="48"/>
    <w:qFormat/>
    <w:uiPriority w:val="0"/>
    <w:pPr>
      <w:spacing w:line="360" w:lineRule="auto"/>
      <w:ind w:firstLine="560" w:firstLineChars="200"/>
      <w:jc w:val="left"/>
    </w:pPr>
    <w:rPr>
      <w:rFonts w:eastAsia="宋体"/>
      <w:b/>
      <w:bCs/>
      <w:sz w:val="24"/>
    </w:rPr>
  </w:style>
  <w:style w:type="paragraph" w:styleId="20">
    <w:name w:val="Body Text First Indent"/>
    <w:basedOn w:val="11"/>
    <w:next w:val="1"/>
    <w:qFormat/>
    <w:uiPriority w:val="0"/>
    <w:pPr>
      <w:spacing w:line="240" w:lineRule="auto"/>
      <w:ind w:firstLine="420" w:firstLineChars="100"/>
    </w:pPr>
    <w:rPr>
      <w:sz w:val="21"/>
      <w:szCs w:val="24"/>
    </w:rPr>
  </w:style>
  <w:style w:type="table" w:styleId="22">
    <w:name w:val="Table Grid"/>
    <w:basedOn w:val="21"/>
    <w:unhideWhenUsed/>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24">
    <w:name w:val="Strong"/>
    <w:basedOn w:val="23"/>
    <w:qFormat/>
    <w:uiPriority w:val="0"/>
    <w:rPr>
      <w:b/>
    </w:rPr>
  </w:style>
  <w:style w:type="character" w:styleId="25">
    <w:name w:val="Hyperlink"/>
    <w:basedOn w:val="23"/>
    <w:unhideWhenUsed/>
    <w:qFormat/>
    <w:uiPriority w:val="99"/>
    <w:rPr>
      <w:color w:val="0000FF" w:themeColor="hyperlink"/>
      <w:u w:val="single"/>
      <w14:textFill>
        <w14:solidFill>
          <w14:schemeClr w14:val="hlink"/>
        </w14:solidFill>
      </w14:textFill>
    </w:rPr>
  </w:style>
  <w:style w:type="character" w:styleId="26">
    <w:name w:val="annotation reference"/>
    <w:basedOn w:val="23"/>
    <w:qFormat/>
    <w:uiPriority w:val="0"/>
    <w:rPr>
      <w:sz w:val="21"/>
      <w:szCs w:val="21"/>
    </w:rPr>
  </w:style>
  <w:style w:type="paragraph" w:customStyle="1" w:styleId="27">
    <w:name w:val="Default"/>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28">
    <w:name w:val="表头、图名"/>
    <w:basedOn w:val="1"/>
    <w:next w:val="1"/>
    <w:qFormat/>
    <w:uiPriority w:val="0"/>
    <w:pPr>
      <w:ind w:firstLine="0" w:firstLineChars="0"/>
      <w:jc w:val="center"/>
    </w:pPr>
    <w:rPr>
      <w:rFonts w:hint="eastAsia" w:eastAsia="黑体"/>
    </w:rPr>
  </w:style>
  <w:style w:type="paragraph" w:customStyle="1" w:styleId="29">
    <w:name w:val="附件名"/>
    <w:basedOn w:val="1"/>
    <w:next w:val="1"/>
    <w:qFormat/>
    <w:uiPriority w:val="0"/>
    <w:pPr>
      <w:ind w:firstLine="0" w:firstLineChars="0"/>
    </w:pPr>
    <w:rPr>
      <w:rFonts w:hint="eastAsia" w:eastAsia="黑体"/>
      <w:color w:val="000000"/>
    </w:rPr>
  </w:style>
  <w:style w:type="paragraph" w:customStyle="1" w:styleId="30">
    <w:name w:val="表格内文字"/>
    <w:basedOn w:val="1"/>
    <w:qFormat/>
    <w:uiPriority w:val="0"/>
    <w:pPr>
      <w:spacing w:line="288" w:lineRule="auto"/>
      <w:ind w:firstLine="0" w:firstLineChars="0"/>
      <w:jc w:val="center"/>
    </w:pPr>
    <w:rPr>
      <w:rFonts w:hint="eastAsia"/>
      <w:color w:val="000000"/>
      <w:sz w:val="21"/>
      <w:szCs w:val="21"/>
    </w:rPr>
  </w:style>
  <w:style w:type="character" w:customStyle="1" w:styleId="31">
    <w:name w:val="标题 3 Char"/>
    <w:link w:val="4"/>
    <w:qFormat/>
    <w:uiPriority w:val="0"/>
    <w:rPr>
      <w:rFonts w:ascii="Times New Roman" w:hAnsi="Times New Roman" w:eastAsia="黑体" w:cs="Times New Roman"/>
      <w:sz w:val="28"/>
      <w:szCs w:val="28"/>
    </w:rPr>
  </w:style>
  <w:style w:type="character" w:customStyle="1" w:styleId="32">
    <w:name w:val="标题 4 Char"/>
    <w:link w:val="5"/>
    <w:qFormat/>
    <w:uiPriority w:val="0"/>
    <w:rPr>
      <w:rFonts w:ascii="Times New Roman" w:hAnsi="Times New Roman" w:eastAsia="仿宋" w:cs="Times New Roman"/>
      <w:kern w:val="2"/>
      <w:sz w:val="24"/>
      <w:szCs w:val="24"/>
    </w:rPr>
  </w:style>
  <w:style w:type="character" w:customStyle="1" w:styleId="33">
    <w:name w:val="标题 5 Char"/>
    <w:link w:val="6"/>
    <w:qFormat/>
    <w:uiPriority w:val="0"/>
    <w:rPr>
      <w:rFonts w:ascii="Times New Roman" w:hAnsi="Times New Roman" w:eastAsia="宋体" w:cs="Times New Roman"/>
      <w:sz w:val="24"/>
    </w:rPr>
  </w:style>
  <w:style w:type="character" w:customStyle="1" w:styleId="34">
    <w:name w:val="标题 1 Char"/>
    <w:link w:val="2"/>
    <w:qFormat/>
    <w:uiPriority w:val="0"/>
    <w:rPr>
      <w:rFonts w:ascii="Times New Roman" w:hAnsi="Times New Roman" w:eastAsia="黑体" w:cs="Times New Roman"/>
      <w:kern w:val="32"/>
      <w:sz w:val="32"/>
      <w:szCs w:val="32"/>
      <w:lang w:val="en-US" w:eastAsia="zh-CN" w:bidi="ar-SA"/>
    </w:rPr>
  </w:style>
  <w:style w:type="character" w:customStyle="1" w:styleId="35">
    <w:name w:val="标题 2 Char"/>
    <w:link w:val="3"/>
    <w:qFormat/>
    <w:uiPriority w:val="0"/>
    <w:rPr>
      <w:rFonts w:ascii="Times New Roman" w:hAnsi="Times New Roman" w:eastAsia="黑体" w:cs="Times New Roman"/>
      <w:sz w:val="28"/>
      <w:szCs w:val="28"/>
      <w:lang w:val="zh-CN"/>
    </w:rPr>
  </w:style>
  <w:style w:type="paragraph" w:customStyle="1" w:styleId="36">
    <w:name w:val="样式 正文首行缩进 + 首行缩进:  2 字符1"/>
    <w:basedOn w:val="1"/>
    <w:next w:val="17"/>
    <w:qFormat/>
    <w:uiPriority w:val="0"/>
    <w:pPr>
      <w:ind w:firstLine="480"/>
    </w:pPr>
  </w:style>
  <w:style w:type="character" w:customStyle="1" w:styleId="37">
    <w:name w:val="font31"/>
    <w:basedOn w:val="23"/>
    <w:qFormat/>
    <w:uiPriority w:val="0"/>
    <w:rPr>
      <w:rFonts w:hint="eastAsia" w:ascii="宋体" w:hAnsi="宋体" w:eastAsia="宋体" w:cs="宋体"/>
      <w:color w:val="000000"/>
      <w:sz w:val="24"/>
      <w:szCs w:val="24"/>
      <w:u w:val="none"/>
    </w:rPr>
  </w:style>
  <w:style w:type="character" w:customStyle="1" w:styleId="38">
    <w:name w:val="font01"/>
    <w:basedOn w:val="23"/>
    <w:qFormat/>
    <w:uiPriority w:val="0"/>
    <w:rPr>
      <w:rFonts w:hint="eastAsia" w:ascii="宋体" w:hAnsi="宋体" w:eastAsia="宋体" w:cs="宋体"/>
      <w:color w:val="000000"/>
      <w:sz w:val="22"/>
      <w:szCs w:val="22"/>
      <w:u w:val="none"/>
    </w:rPr>
  </w:style>
  <w:style w:type="character" w:customStyle="1" w:styleId="39">
    <w:name w:val="font41"/>
    <w:basedOn w:val="23"/>
    <w:qFormat/>
    <w:uiPriority w:val="0"/>
    <w:rPr>
      <w:rFonts w:hint="eastAsia" w:ascii="宋体" w:hAnsi="宋体" w:eastAsia="宋体" w:cs="宋体"/>
      <w:color w:val="000000"/>
      <w:sz w:val="21"/>
      <w:szCs w:val="21"/>
      <w:u w:val="none"/>
    </w:rPr>
  </w:style>
  <w:style w:type="character" w:customStyle="1" w:styleId="40">
    <w:name w:val="font51"/>
    <w:basedOn w:val="23"/>
    <w:qFormat/>
    <w:uiPriority w:val="0"/>
    <w:rPr>
      <w:rFonts w:hint="default" w:ascii="Times New Roman" w:hAnsi="Times New Roman" w:cs="Times New Roman"/>
      <w:color w:val="000000"/>
      <w:sz w:val="21"/>
      <w:szCs w:val="21"/>
      <w:u w:val="none"/>
    </w:rPr>
  </w:style>
  <w:style w:type="character" w:customStyle="1" w:styleId="41">
    <w:name w:val="font21"/>
    <w:basedOn w:val="23"/>
    <w:qFormat/>
    <w:uiPriority w:val="0"/>
    <w:rPr>
      <w:rFonts w:hint="default" w:ascii="Times New Roman" w:hAnsi="Times New Roman" w:cs="Times New Roman"/>
      <w:color w:val="000000"/>
      <w:sz w:val="21"/>
      <w:szCs w:val="21"/>
      <w:u w:val="none"/>
    </w:rPr>
  </w:style>
  <w:style w:type="character" w:customStyle="1" w:styleId="42">
    <w:name w:val="font61"/>
    <w:basedOn w:val="23"/>
    <w:qFormat/>
    <w:uiPriority w:val="0"/>
    <w:rPr>
      <w:rFonts w:hint="eastAsia" w:ascii="宋体" w:hAnsi="宋体" w:eastAsia="宋体" w:cs="宋体"/>
      <w:color w:val="000000"/>
      <w:sz w:val="21"/>
      <w:szCs w:val="21"/>
      <w:u w:val="none"/>
    </w:rPr>
  </w:style>
  <w:style w:type="character" w:customStyle="1" w:styleId="43">
    <w:name w:val="font71"/>
    <w:basedOn w:val="23"/>
    <w:qFormat/>
    <w:uiPriority w:val="0"/>
    <w:rPr>
      <w:rFonts w:hint="default" w:ascii="Times New Roman" w:hAnsi="Times New Roman" w:cs="Times New Roman"/>
      <w:color w:val="000000"/>
      <w:sz w:val="21"/>
      <w:szCs w:val="21"/>
      <w:u w:val="none"/>
      <w:vertAlign w:val="subscript"/>
    </w:rPr>
  </w:style>
  <w:style w:type="character" w:customStyle="1" w:styleId="44">
    <w:name w:val="font81"/>
    <w:basedOn w:val="23"/>
    <w:qFormat/>
    <w:uiPriority w:val="0"/>
    <w:rPr>
      <w:rFonts w:hint="default" w:ascii="Times New Roman" w:hAnsi="Times New Roman" w:cs="Times New Roman"/>
      <w:color w:val="000000"/>
      <w:sz w:val="21"/>
      <w:szCs w:val="21"/>
      <w:u w:val="none"/>
      <w:vertAlign w:val="superscript"/>
    </w:rPr>
  </w:style>
  <w:style w:type="character" w:customStyle="1" w:styleId="45">
    <w:name w:val="font11"/>
    <w:basedOn w:val="23"/>
    <w:qFormat/>
    <w:uiPriority w:val="0"/>
    <w:rPr>
      <w:rFonts w:hint="eastAsia" w:ascii="宋体" w:hAnsi="宋体" w:eastAsia="宋体" w:cs="宋体"/>
      <w:color w:val="000000"/>
      <w:sz w:val="21"/>
      <w:szCs w:val="21"/>
      <w:u w:val="none"/>
    </w:rPr>
  </w:style>
  <w:style w:type="character" w:customStyle="1" w:styleId="46">
    <w:name w:val="文档结构图 Char"/>
    <w:basedOn w:val="23"/>
    <w:link w:val="9"/>
    <w:qFormat/>
    <w:uiPriority w:val="0"/>
    <w:rPr>
      <w:rFonts w:ascii="宋体"/>
      <w:kern w:val="2"/>
      <w:sz w:val="18"/>
      <w:szCs w:val="18"/>
    </w:rPr>
  </w:style>
  <w:style w:type="character" w:customStyle="1" w:styleId="47">
    <w:name w:val="批注文字 Char"/>
    <w:basedOn w:val="23"/>
    <w:link w:val="10"/>
    <w:qFormat/>
    <w:uiPriority w:val="0"/>
    <w:rPr>
      <w:rFonts w:eastAsia="黑体"/>
      <w:kern w:val="2"/>
      <w:sz w:val="21"/>
    </w:rPr>
  </w:style>
  <w:style w:type="character" w:customStyle="1" w:styleId="48">
    <w:name w:val="批注主题 Char"/>
    <w:basedOn w:val="47"/>
    <w:link w:val="19"/>
    <w:qFormat/>
    <w:uiPriority w:val="0"/>
  </w:style>
  <w:style w:type="character" w:customStyle="1" w:styleId="49">
    <w:name w:val="批注框文本 Char"/>
    <w:basedOn w:val="23"/>
    <w:link w:val="14"/>
    <w:qFormat/>
    <w:uiPriority w:val="0"/>
    <w:rPr>
      <w:kern w:val="2"/>
      <w:sz w:val="18"/>
      <w:szCs w:val="18"/>
    </w:rPr>
  </w:style>
  <w:style w:type="paragraph" w:styleId="50">
    <w:name w:val="List Paragraph"/>
    <w:basedOn w:val="1"/>
    <w:qFormat/>
    <w:uiPriority w:val="99"/>
    <w:pPr>
      <w:ind w:firstLine="420"/>
    </w:pPr>
  </w:style>
  <w:style w:type="paragraph" w:customStyle="1" w:styleId="51">
    <w:name w:val="正文1"/>
    <w:qFormat/>
    <w:uiPriority w:val="0"/>
    <w:pPr>
      <w:jc w:val="both"/>
    </w:pPr>
    <w:rPr>
      <w:rFonts w:ascii="Calibri" w:hAnsi="Calibri" w:eastAsia="宋体" w:cs="宋体"/>
      <w:kern w:val="2"/>
      <w:sz w:val="21"/>
      <w:szCs w:val="21"/>
      <w:lang w:val="en-US" w:eastAsia="zh-CN" w:bidi="ar-SA"/>
    </w:rPr>
  </w:style>
  <w:style w:type="paragraph" w:customStyle="1" w:styleId="52">
    <w:name w:val="p0"/>
    <w:basedOn w:val="1"/>
    <w:qFormat/>
    <w:uiPriority w:val="0"/>
    <w:pPr>
      <w:keepNext w:val="0"/>
      <w:keepLines w:val="0"/>
      <w:widowControl/>
      <w:suppressLineNumbers w:val="0"/>
      <w:spacing w:before="0" w:beforeLines="0" w:beforeAutospacing="0" w:after="0" w:afterLines="0" w:afterAutospacing="0"/>
      <w:ind w:left="0" w:right="0"/>
      <w:jc w:val="both"/>
    </w:pPr>
    <w:rPr>
      <w:rFonts w:hint="default" w:ascii="Times New Roman" w:hAnsi="Times New Roman" w:eastAsia="宋体" w:cs="Times New Roman"/>
      <w:color w:val="auto"/>
      <w:spacing w:val="0"/>
      <w:kern w:val="0"/>
      <w:sz w:val="21"/>
      <w:szCs w:val="21"/>
      <w:lang w:val="en-US" w:eastAsia="zh-CN" w:bidi="ar-SA"/>
    </w:rPr>
  </w:style>
  <w:style w:type="paragraph" w:customStyle="1" w:styleId="53">
    <w:name w:val="【正文】"/>
    <w:basedOn w:val="1"/>
    <w:qFormat/>
    <w:uiPriority w:val="0"/>
    <w:pPr>
      <w:adjustRightInd/>
      <w:snapToGrid/>
      <w:spacing w:line="500" w:lineRule="exact"/>
    </w:pPr>
  </w:style>
  <w:style w:type="paragraph" w:customStyle="1" w:styleId="54">
    <w:name w:val="Table Text"/>
    <w:basedOn w:val="1"/>
    <w:semiHidden/>
    <w:qFormat/>
    <w:uiPriority w:val="0"/>
    <w:rPr>
      <w:rFonts w:ascii="宋体" w:hAnsi="宋体" w:eastAsia="宋体" w:cs="宋体"/>
      <w:sz w:val="18"/>
      <w:szCs w:val="18"/>
      <w:lang w:val="en-US" w:eastAsia="en-US" w:bidi="ar-SA"/>
    </w:rPr>
  </w:style>
  <w:style w:type="table" w:customStyle="1" w:styleId="55">
    <w:name w:val="Table Normal"/>
    <w:semiHidden/>
    <w:unhideWhenUsed/>
    <w:qFormat/>
    <w:uiPriority w:val="0"/>
    <w:tblPr>
      <w:tblCellMar>
        <w:top w:w="0" w:type="dxa"/>
        <w:left w:w="0" w:type="dxa"/>
        <w:bottom w:w="0" w:type="dxa"/>
        <w:right w:w="0" w:type="dxa"/>
      </w:tblCellMar>
    </w:tblPr>
  </w:style>
</w:styles>
</file>

<file path=word/_rels/document.xml.rels><?xml version="1.0" encoding="UTF-8" standalone="yes"?>
<Relationships xmlns="http://schemas.openxmlformats.org/package/2006/relationships"><Relationship Id="rId99" Type="http://schemas.openxmlformats.org/officeDocument/2006/relationships/image" Target="media/image81.png"/><Relationship Id="rId98" Type="http://schemas.openxmlformats.org/officeDocument/2006/relationships/image" Target="media/image80.emf"/><Relationship Id="rId97" Type="http://schemas.openxmlformats.org/officeDocument/2006/relationships/image" Target="media/image79.jpeg"/><Relationship Id="rId96" Type="http://schemas.openxmlformats.org/officeDocument/2006/relationships/image" Target="media/image78.jpeg"/><Relationship Id="rId95" Type="http://schemas.openxmlformats.org/officeDocument/2006/relationships/image" Target="media/image77.jpeg"/><Relationship Id="rId94" Type="http://schemas.openxmlformats.org/officeDocument/2006/relationships/image" Target="media/image76.jpeg"/><Relationship Id="rId93" Type="http://schemas.openxmlformats.org/officeDocument/2006/relationships/image" Target="media/image75.jpeg"/><Relationship Id="rId92" Type="http://schemas.openxmlformats.org/officeDocument/2006/relationships/image" Target="media/image74.jpeg"/><Relationship Id="rId91" Type="http://schemas.openxmlformats.org/officeDocument/2006/relationships/image" Target="media/image73.jpeg"/><Relationship Id="rId90" Type="http://schemas.openxmlformats.org/officeDocument/2006/relationships/image" Target="media/image72.jpeg"/><Relationship Id="rId9" Type="http://schemas.openxmlformats.org/officeDocument/2006/relationships/footer" Target="footer3.xml"/><Relationship Id="rId89" Type="http://schemas.openxmlformats.org/officeDocument/2006/relationships/image" Target="media/image71.jpeg"/><Relationship Id="rId88" Type="http://schemas.openxmlformats.org/officeDocument/2006/relationships/image" Target="media/image70.jpeg"/><Relationship Id="rId87" Type="http://schemas.openxmlformats.org/officeDocument/2006/relationships/image" Target="media/image69.jpeg"/><Relationship Id="rId86" Type="http://schemas.openxmlformats.org/officeDocument/2006/relationships/image" Target="media/image68.jpeg"/><Relationship Id="rId85" Type="http://schemas.openxmlformats.org/officeDocument/2006/relationships/image" Target="media/image67.jpeg"/><Relationship Id="rId84" Type="http://schemas.openxmlformats.org/officeDocument/2006/relationships/image" Target="media/image66.jpeg"/><Relationship Id="rId83" Type="http://schemas.openxmlformats.org/officeDocument/2006/relationships/image" Target="media/image65.png"/><Relationship Id="rId82" Type="http://schemas.openxmlformats.org/officeDocument/2006/relationships/image" Target="media/image64.png"/><Relationship Id="rId81" Type="http://schemas.openxmlformats.org/officeDocument/2006/relationships/image" Target="media/image63.png"/><Relationship Id="rId80" Type="http://schemas.openxmlformats.org/officeDocument/2006/relationships/image" Target="media/image62.png"/><Relationship Id="rId8" Type="http://schemas.openxmlformats.org/officeDocument/2006/relationships/footer" Target="footer2.xml"/><Relationship Id="rId79" Type="http://schemas.openxmlformats.org/officeDocument/2006/relationships/image" Target="media/image61.png"/><Relationship Id="rId78" Type="http://schemas.openxmlformats.org/officeDocument/2006/relationships/image" Target="media/image60.png"/><Relationship Id="rId77" Type="http://schemas.openxmlformats.org/officeDocument/2006/relationships/image" Target="media/image59.png"/><Relationship Id="rId76" Type="http://schemas.openxmlformats.org/officeDocument/2006/relationships/image" Target="media/image58.png"/><Relationship Id="rId75" Type="http://schemas.openxmlformats.org/officeDocument/2006/relationships/image" Target="media/image57.png"/><Relationship Id="rId74" Type="http://schemas.openxmlformats.org/officeDocument/2006/relationships/image" Target="media/image56.png"/><Relationship Id="rId73" Type="http://schemas.openxmlformats.org/officeDocument/2006/relationships/image" Target="media/image55.png"/><Relationship Id="rId72" Type="http://schemas.openxmlformats.org/officeDocument/2006/relationships/image" Target="media/image54.png"/><Relationship Id="rId71" Type="http://schemas.openxmlformats.org/officeDocument/2006/relationships/image" Target="media/image53.png"/><Relationship Id="rId70" Type="http://schemas.openxmlformats.org/officeDocument/2006/relationships/image" Target="media/image52.png"/><Relationship Id="rId7" Type="http://schemas.openxmlformats.org/officeDocument/2006/relationships/footer" Target="footer1.xml"/><Relationship Id="rId69" Type="http://schemas.openxmlformats.org/officeDocument/2006/relationships/image" Target="media/image51.png"/><Relationship Id="rId68" Type="http://schemas.openxmlformats.org/officeDocument/2006/relationships/image" Target="media/image50.png"/><Relationship Id="rId67" Type="http://schemas.openxmlformats.org/officeDocument/2006/relationships/image" Target="media/image49.png"/><Relationship Id="rId66" Type="http://schemas.openxmlformats.org/officeDocument/2006/relationships/image" Target="media/image48.png"/><Relationship Id="rId65" Type="http://schemas.openxmlformats.org/officeDocument/2006/relationships/image" Target="media/image47.png"/><Relationship Id="rId64" Type="http://schemas.openxmlformats.org/officeDocument/2006/relationships/image" Target="media/image46.png"/><Relationship Id="rId63" Type="http://schemas.openxmlformats.org/officeDocument/2006/relationships/image" Target="media/image45.png"/><Relationship Id="rId62" Type="http://schemas.openxmlformats.org/officeDocument/2006/relationships/image" Target="media/image44.png"/><Relationship Id="rId61" Type="http://schemas.openxmlformats.org/officeDocument/2006/relationships/image" Target="media/image43.png"/><Relationship Id="rId60" Type="http://schemas.openxmlformats.org/officeDocument/2006/relationships/image" Target="media/image42.png"/><Relationship Id="rId6" Type="http://schemas.openxmlformats.org/officeDocument/2006/relationships/header" Target="header2.xml"/><Relationship Id="rId59" Type="http://schemas.openxmlformats.org/officeDocument/2006/relationships/image" Target="media/image41.png"/><Relationship Id="rId58" Type="http://schemas.openxmlformats.org/officeDocument/2006/relationships/image" Target="media/image40.png"/><Relationship Id="rId57" Type="http://schemas.openxmlformats.org/officeDocument/2006/relationships/image" Target="media/image39.png"/><Relationship Id="rId56" Type="http://schemas.openxmlformats.org/officeDocument/2006/relationships/image" Target="media/image38.png"/><Relationship Id="rId55" Type="http://schemas.openxmlformats.org/officeDocument/2006/relationships/image" Target="media/image37.png"/><Relationship Id="rId54" Type="http://schemas.openxmlformats.org/officeDocument/2006/relationships/image" Target="media/image36.png"/><Relationship Id="rId53" Type="http://schemas.openxmlformats.org/officeDocument/2006/relationships/image" Target="media/image35.png"/><Relationship Id="rId52" Type="http://schemas.openxmlformats.org/officeDocument/2006/relationships/image" Target="media/image34.png"/><Relationship Id="rId51" Type="http://schemas.openxmlformats.org/officeDocument/2006/relationships/image" Target="media/image33.png"/><Relationship Id="rId50" Type="http://schemas.openxmlformats.org/officeDocument/2006/relationships/image" Target="media/image32.png"/><Relationship Id="rId5" Type="http://schemas.openxmlformats.org/officeDocument/2006/relationships/header" Target="header1.xml"/><Relationship Id="rId49" Type="http://schemas.openxmlformats.org/officeDocument/2006/relationships/image" Target="media/image31.png"/><Relationship Id="rId48" Type="http://schemas.openxmlformats.org/officeDocument/2006/relationships/image" Target="media/image30.png"/><Relationship Id="rId47" Type="http://schemas.openxmlformats.org/officeDocument/2006/relationships/image" Target="media/image29.png"/><Relationship Id="rId46" Type="http://schemas.openxmlformats.org/officeDocument/2006/relationships/image" Target="media/image28.png"/><Relationship Id="rId45" Type="http://schemas.openxmlformats.org/officeDocument/2006/relationships/image" Target="media/image27.png"/><Relationship Id="rId44" Type="http://schemas.openxmlformats.org/officeDocument/2006/relationships/image" Target="media/image26.png"/><Relationship Id="rId43" Type="http://schemas.openxmlformats.org/officeDocument/2006/relationships/image" Target="media/image25.png"/><Relationship Id="rId42" Type="http://schemas.openxmlformats.org/officeDocument/2006/relationships/image" Target="media/image24.png"/><Relationship Id="rId41" Type="http://schemas.openxmlformats.org/officeDocument/2006/relationships/image" Target="media/image23.png"/><Relationship Id="rId40" Type="http://schemas.openxmlformats.org/officeDocument/2006/relationships/image" Target="media/image22.png"/><Relationship Id="rId4" Type="http://schemas.openxmlformats.org/officeDocument/2006/relationships/endnotes" Target="endnotes.xml"/><Relationship Id="rId39" Type="http://schemas.openxmlformats.org/officeDocument/2006/relationships/image" Target="media/image21.png"/><Relationship Id="rId38" Type="http://schemas.openxmlformats.org/officeDocument/2006/relationships/image" Target="media/image20.png"/><Relationship Id="rId37" Type="http://schemas.openxmlformats.org/officeDocument/2006/relationships/image" Target="media/image19.png"/><Relationship Id="rId36" Type="http://schemas.openxmlformats.org/officeDocument/2006/relationships/image" Target="media/image18.png"/><Relationship Id="rId35" Type="http://schemas.openxmlformats.org/officeDocument/2006/relationships/image" Target="media/image17.png"/><Relationship Id="rId34" Type="http://schemas.openxmlformats.org/officeDocument/2006/relationships/image" Target="media/image16.png"/><Relationship Id="rId33" Type="http://schemas.openxmlformats.org/officeDocument/2006/relationships/image" Target="media/image15.png"/><Relationship Id="rId32" Type="http://schemas.openxmlformats.org/officeDocument/2006/relationships/image" Target="media/image14.png"/><Relationship Id="rId31" Type="http://schemas.openxmlformats.org/officeDocument/2006/relationships/image" Target="media/image13.png"/><Relationship Id="rId30" Type="http://schemas.openxmlformats.org/officeDocument/2006/relationships/image" Target="media/image12.png"/><Relationship Id="rId3" Type="http://schemas.openxmlformats.org/officeDocument/2006/relationships/footnotes" Target="footnotes.xml"/><Relationship Id="rId29" Type="http://schemas.openxmlformats.org/officeDocument/2006/relationships/image" Target="media/image11.png"/><Relationship Id="rId28" Type="http://schemas.openxmlformats.org/officeDocument/2006/relationships/image" Target="media/image10.png"/><Relationship Id="rId27" Type="http://schemas.openxmlformats.org/officeDocument/2006/relationships/image" Target="media/image9.png"/><Relationship Id="rId26" Type="http://schemas.openxmlformats.org/officeDocument/2006/relationships/image" Target="media/image8.jpeg"/><Relationship Id="rId25" Type="http://schemas.openxmlformats.org/officeDocument/2006/relationships/image" Target="media/image7.jpeg"/><Relationship Id="rId24" Type="http://schemas.openxmlformats.org/officeDocument/2006/relationships/image" Target="media/image6.jpeg"/><Relationship Id="rId23" Type="http://schemas.openxmlformats.org/officeDocument/2006/relationships/image" Target="media/image5.jpeg"/><Relationship Id="rId22" Type="http://schemas.openxmlformats.org/officeDocument/2006/relationships/image" Target="media/image4.jpeg"/><Relationship Id="rId21" Type="http://schemas.openxmlformats.org/officeDocument/2006/relationships/image" Target="media/image3.jpeg"/><Relationship Id="rId20" Type="http://schemas.openxmlformats.org/officeDocument/2006/relationships/image" Target="media/image2.jpeg"/><Relationship Id="rId2" Type="http://schemas.openxmlformats.org/officeDocument/2006/relationships/settings" Target="settings.xml"/><Relationship Id="rId19" Type="http://schemas.openxmlformats.org/officeDocument/2006/relationships/image" Target="media/image1.emf"/><Relationship Id="rId18" Type="http://schemas.openxmlformats.org/officeDocument/2006/relationships/oleObject" Target="embeddings/oleObject1.bin"/><Relationship Id="rId17" Type="http://schemas.openxmlformats.org/officeDocument/2006/relationships/theme" Target="theme/theme1.xml"/><Relationship Id="rId16" Type="http://schemas.openxmlformats.org/officeDocument/2006/relationships/header" Target="header4.xml"/><Relationship Id="rId15" Type="http://schemas.openxmlformats.org/officeDocument/2006/relationships/footer" Target="footer8.xml"/><Relationship Id="rId14" Type="http://schemas.openxmlformats.org/officeDocument/2006/relationships/footer" Target="footer7.xml"/><Relationship Id="rId13" Type="http://schemas.openxmlformats.org/officeDocument/2006/relationships/footer" Target="footer6.xml"/><Relationship Id="rId124" Type="http://schemas.openxmlformats.org/officeDocument/2006/relationships/fontTable" Target="fontTable.xml"/><Relationship Id="rId123" Type="http://schemas.microsoft.com/office/2006/relationships/keyMapCustomizations" Target="customizations.xml"/><Relationship Id="rId122" Type="http://schemas.openxmlformats.org/officeDocument/2006/relationships/customXml" Target="../customXml/item3.xml"/><Relationship Id="rId121" Type="http://schemas.openxmlformats.org/officeDocument/2006/relationships/customXml" Target="../customXml/item2.xml"/><Relationship Id="rId120" Type="http://schemas.openxmlformats.org/officeDocument/2006/relationships/customXml" Target="../customXml/item1.xml"/><Relationship Id="rId12" Type="http://schemas.openxmlformats.org/officeDocument/2006/relationships/footer" Target="footer5.xml"/><Relationship Id="rId119" Type="http://schemas.openxmlformats.org/officeDocument/2006/relationships/image" Target="media/image101.jpeg"/><Relationship Id="rId118" Type="http://schemas.openxmlformats.org/officeDocument/2006/relationships/image" Target="media/image100.jpeg"/><Relationship Id="rId117" Type="http://schemas.openxmlformats.org/officeDocument/2006/relationships/image" Target="media/image99.jpeg"/><Relationship Id="rId116" Type="http://schemas.openxmlformats.org/officeDocument/2006/relationships/image" Target="media/image98.jpeg"/><Relationship Id="rId115" Type="http://schemas.openxmlformats.org/officeDocument/2006/relationships/image" Target="media/image97.jpeg"/><Relationship Id="rId114" Type="http://schemas.openxmlformats.org/officeDocument/2006/relationships/image" Target="media/image96.jpeg"/><Relationship Id="rId113" Type="http://schemas.openxmlformats.org/officeDocument/2006/relationships/image" Target="media/image95.jpeg"/><Relationship Id="rId112" Type="http://schemas.openxmlformats.org/officeDocument/2006/relationships/image" Target="media/image94.jpeg"/><Relationship Id="rId111" Type="http://schemas.openxmlformats.org/officeDocument/2006/relationships/image" Target="media/image93.jpeg"/><Relationship Id="rId110" Type="http://schemas.openxmlformats.org/officeDocument/2006/relationships/image" Target="media/image92.jpeg"/><Relationship Id="rId11" Type="http://schemas.openxmlformats.org/officeDocument/2006/relationships/header" Target="header3.xml"/><Relationship Id="rId109" Type="http://schemas.openxmlformats.org/officeDocument/2006/relationships/image" Target="media/image91.jpeg"/><Relationship Id="rId108" Type="http://schemas.openxmlformats.org/officeDocument/2006/relationships/image" Target="media/image90.jpeg"/><Relationship Id="rId107" Type="http://schemas.openxmlformats.org/officeDocument/2006/relationships/image" Target="media/image89.jpeg"/><Relationship Id="rId106" Type="http://schemas.openxmlformats.org/officeDocument/2006/relationships/image" Target="media/image88.jpeg"/><Relationship Id="rId105" Type="http://schemas.openxmlformats.org/officeDocument/2006/relationships/image" Target="media/image87.jpeg"/><Relationship Id="rId104" Type="http://schemas.openxmlformats.org/officeDocument/2006/relationships/image" Target="media/image86.jpeg"/><Relationship Id="rId103" Type="http://schemas.openxmlformats.org/officeDocument/2006/relationships/image" Target="media/image85.jpeg"/><Relationship Id="rId102" Type="http://schemas.openxmlformats.org/officeDocument/2006/relationships/image" Target="media/image84.jpeg"/><Relationship Id="rId101" Type="http://schemas.openxmlformats.org/officeDocument/2006/relationships/image" Target="media/image83.png"/><Relationship Id="rId100" Type="http://schemas.openxmlformats.org/officeDocument/2006/relationships/image" Target="media/image82.png"/><Relationship Id="rId10" Type="http://schemas.openxmlformats.org/officeDocument/2006/relationships/footer" Target="footer4.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contractReview xmlns="http://schemas.wps.cn/vas-ai-hub/contract-review">
  <reviewItems>
    <reviewItem>
      <errorID>d677a88b-c458-46db-b2b1-c382844f95ba</errorID>
      <errorWord>村</errorWord>
      <group>L1_Word</group>
      <groupName>字词问题</groupName>
      <ability>L2_Typo</ability>
      <abilityName>字词错误</abilityName>
      <candidateList>
        <item>村等</item>
      </candidateList>
      <explain/>
      <paraID>72E3DEB5</paraID>
      <start>22</start>
      <end>23</end>
      <status>ignored</status>
      <modifiedWord/>
      <trackRevisions>false</trackRevisions>
    </reviewItem>
    <reviewItem>
      <errorID>515b768a-0899-4853-875b-86eccfb32bda</errorID>
      <errorWord>相关已经批准实施的</errorWord>
      <group>L1_AI</group>
      <groupName>深度校对</groupName>
      <ability>L2_AI_Word</ability>
      <abilityName>字词纠错</abilityName>
      <candidateList>
        <item>已经批准实施的相关</item>
      </candidateList>
      <explain/>
      <paraID>4A0974B0</paraID>
      <start>5</start>
      <end>14</end>
      <status>ignored</status>
      <modifiedWord/>
      <trackRevisions>false</trackRevisions>
    </reviewItem>
    <reviewItem>
      <errorID>54497e56-c681-45dd-ae61-613c464970ce</errorID>
      <errorWord>海拔高度</errorWord>
      <group>L1_Word</group>
      <groupName>字词问题</groupName>
      <ability>L2_Typo</ability>
      <abilityName>字词错误</abilityName>
      <candidateList>
        <item>海拔</item>
      </candidateList>
      <explain>〈名〉从平均海平面起算的高度。</explain>
      <paraID> 6BD430D</paraID>
      <start>28</start>
      <end>32</end>
      <status>ignored</status>
      <modifiedWord/>
      <trackRevisions>false</trackRevisions>
    </reviewItem>
    <reviewItem>
      <errorID>09ce1dc1-b1bd-4e61-80f6-3897bf4ef86d</errorID>
      <errorWord>四种形态</errorWord>
      <group>L1_Political</group>
      <groupName>政治性问题</groupName>
      <ability>L2_Keyword</ability>
      <abilityName>固定表述</abilityName>
      <candidateList>
        <item>“四种形态”</item>
      </candidateList>
      <explain>注意检查当前固定表述标点是否使用规范。</explain>
      <paraID>2851E3BA</paraID>
      <start>43</start>
      <end>47</end>
      <status>ignored</status>
      <modifiedWord/>
      <trackRevisions>false</trackRevisions>
    </reviewItem>
    <reviewItem>
      <errorID>f7a01590-ba90-42f9-94c9-20c72658acc5</errorID>
      <errorWord>成份</errorWord>
      <group>L1_Word</group>
      <groupName>字词问题</groupName>
      <ability>L2_Typo</ability>
      <abilityName>字词错误</abilityName>
      <candidateList>
        <item>成分</item>
      </candidateList>
      <explain>存在发音相同字词的误用。</explain>
      <paraID>39A94FA5</paraID>
      <start>32</start>
      <end>34</end>
      <status>ignored</status>
      <modifiedWord/>
      <trackRevisions>false</trackRevisions>
    </reviewItem>
    <reviewItem>
      <errorID>ee597998-d9c8-4aa0-bc2a-8acd2a78386e</errorID>
      <errorWord>成份</errorWord>
      <group>L1_Word</group>
      <groupName>字词问题</groupName>
      <ability>L2_Variant</ability>
      <abilityName>异形词</abilityName>
      <candidateList>
        <item>成分</item>
      </candidateList>
      <explain>词汇[成份]的规范词形写作[成分]。</explain>
      <paraID>54BE6E02</paraID>
      <start>45</start>
      <end>47</end>
      <status>ignored</status>
      <modifiedWord/>
      <trackRevisions>false</trackRevisions>
    </reviewItem>
    <reviewItem>
      <errorID>5f54e792-88a0-42f7-9a06-0715fbd5287d</errorID>
      <errorWord>成份</errorWord>
      <group>L1_Word</group>
      <groupName>字词问题</groupName>
      <ability>L2_Variant</ability>
      <abilityName>异形词</abilityName>
      <candidateList>
        <item>成分</item>
      </candidateList>
      <explain>词汇[成份]的规范词形写作[成分]。</explain>
      <paraID>6E75E29E</paraID>
      <start>58</start>
      <end>60</end>
      <status>ignored</status>
      <modifiedWord/>
      <trackRevisions>false</trackRevisions>
    </reviewItem>
    <reviewItem>
      <errorID>eb4bec54-da38-4f71-a9c9-c004f03dad97</errorID>
      <errorWord>成份</errorWord>
      <group>L1_Word</group>
      <groupName>字词问题</groupName>
      <ability>L2_Variant</ability>
      <abilityName>异形词</abilityName>
      <candidateList>
        <item>成分</item>
      </candidateList>
      <explain>词汇[成份]的规范词形写作[成分]。</explain>
      <paraID>6E75E29E</paraID>
      <start>77</start>
      <end>79</end>
      <status>ignored</status>
      <modifiedWord/>
      <trackRevisions>false</trackRevisions>
    </reviewItem>
    <reviewItem>
      <errorID>76551ece-abac-4a07-9491-75a87adc87fa</errorID>
      <errorWord>即是</errorWord>
      <group>L1_Word</group>
      <groupName>字词问题</groupName>
      <ability>L2_Typo</ability>
      <abilityName>字词错误</abilityName>
      <candidateList>
        <item>即</item>
      </candidateList>
      <explain>〈书〉❶就是：荷花～莲花｜非此～彼。❷〈副〉就；便：一触～发｜招之～来｜闻过～改。❸〈连〉即使：～无他方之支援，也能按期完成任务。参看733页“就2”。</explain>
      <paraID>6E75E29E</paraID>
      <start>113</start>
      <end>114</end>
      <status>modified</status>
      <modifiedWord>即</modifiedWord>
      <trackRevisions>false</trackRevisions>
    </reviewItem>
    <reviewItem>
      <errorID>7bb77610-1035-475f-99e0-c38fbad50850</errorID>
      <errorWord>成份</errorWord>
      <group>L1_Word</group>
      <groupName>字词问题</groupName>
      <ability>L2_Variant</ability>
      <abilityName>异形词</abilityName>
      <candidateList>
        <item>成分</item>
      </candidateList>
      <explain>词汇[成份]的规范词形写作[成分]。</explain>
      <paraID>256F7ACF</paraID>
      <start>84</start>
      <end>86</end>
      <status>ignored</status>
      <modifiedWord/>
      <trackRevisions>false</trackRevisions>
    </reviewItem>
    <reviewItem>
      <errorID>b5f2c8ba-b6f6-4919-abf6-02d365bb083c</errorID>
      <errorWord>成份</errorWord>
      <group>L1_Word</group>
      <groupName>字词问题</groupName>
      <ability>L2_Variant</ability>
      <abilityName>异形词</abilityName>
      <candidateList>
        <item>成分</item>
      </candidateList>
      <explain>词汇[成份]的规范词形写作[成分]。</explain>
      <paraID>256F7ACF</paraID>
      <start>102</start>
      <end>104</end>
      <status>ignored</status>
      <modifiedWord/>
      <trackRevisions>false</trackRevisions>
    </reviewItem>
    <reviewItem>
      <errorID>277b20bf-5f9a-4d19-872c-aae2b9b9d724</errorID>
      <errorWord>成份</errorWord>
      <group>L1_Word</group>
      <groupName>字词问题</groupName>
      <ability>L2_Variant</ability>
      <abilityName>异形词</abilityName>
      <candidateList>
        <item>成分</item>
      </candidateList>
      <explain>词汇[成份]的规范词形写作[成分]。</explain>
      <paraID>4A0AF59D</paraID>
      <start>31</start>
      <end>33</end>
      <status>ignored</status>
      <modifiedWord/>
      <trackRevisions>false</trackRevisions>
    </reviewItem>
    <reviewItem>
      <errorID>fbe3c4f2-15d3-4f15-99b7-04d15a0b5cff</errorID>
      <errorWord>成份</errorWord>
      <group>L1_Word</group>
      <groupName>字词问题</groupName>
      <ability>L2_Variant</ability>
      <abilityName>异形词</abilityName>
      <candidateList>
        <item>成分</item>
      </candidateList>
      <explain>词汇[成份]的规范词形写作[成分]。</explain>
      <paraID>519A79A1</paraID>
      <start>75</start>
      <end>77</end>
      <status>ignored</status>
      <modifiedWord/>
      <trackRevisions>false</trackRevisions>
    </reviewItem>
    <reviewItem>
      <errorID>b25ad6dc-f515-493f-97ad-9662134003e2</errorID>
      <errorWord>成份</errorWord>
      <group>L1_Word</group>
      <groupName>字词问题</groupName>
      <ability>L2_Typo</ability>
      <abilityName>字词错误</abilityName>
      <candidateList>
        <item>成分</item>
      </candidateList>
      <explain>存在发音相同字词的误用。</explain>
      <paraID>3660A62B</paraID>
      <start>61</start>
      <end>63</end>
      <status>ignored</status>
      <modifiedWord/>
      <trackRevisions>false</trackRevisions>
    </reviewItem>
    <reviewItem>
      <errorID>dee7d446-8b44-4cc5-bfb1-bc0bf797231a</errorID>
      <errorWord>新统</errorWord>
      <group>L1_Word</group>
      <groupName>字词问题</groupName>
      <ability>L2_Typo</ability>
      <abilityName>字词错误</abilityName>
      <candidateList>
        <item>系统</item>
      </candidateList>
      <explain>❶〈名〉同类事物按一定的关系组成的整体：～化｜组织～｜灌溉～。❷〈形〉有条理的；有系统的：～学习｜～研究｜资料不够。</explain>
      <paraID>333D522B</paraID>
      <start>3</start>
      <end>5</end>
      <status>ignored</status>
      <modifiedWord/>
      <trackRevisions>false</trackRevisions>
    </reviewItem>
    <reviewItem>
      <errorID>8de621c1-b98b-4b6b-aaa8-82ad4ab3bc4b</errorID>
      <errorWord>新统</errorWord>
      <group>L1_Word</group>
      <groupName>字词问题</groupName>
      <ability>L2_Typo</ability>
      <abilityName>字词错误</abilityName>
      <candidateList>
        <item>系统</item>
      </candidateList>
      <explain>❶〈名〉同类事物按一定的关系组成的整体：～化｜组织～｜灌溉～。❷〈形〉有条理的；有系统的：～学习｜～研究｜资料不够。</explain>
      <paraID>17F9DF9D</paraID>
      <start>2</start>
      <end>4</end>
      <status>ignored</status>
      <modifiedWord/>
      <trackRevisions>false</trackRevisions>
    </reviewItem>
    <reviewItem>
      <errorID>839d992e-b729-43ca-a2aa-e596ac789223</errorID>
      <errorWord>成份</errorWord>
      <group>L1_Word</group>
      <groupName>字词问题</groupName>
      <ability>L2_Variant</ability>
      <abilityName>异形词</abilityName>
      <candidateList>
        <item>成分</item>
      </candidateList>
      <explain>词汇[成份]的规范词形写作[成分]。</explain>
      <paraID>3FBF86BD</paraID>
      <start>145</start>
      <end>147</end>
      <status>ignored</status>
      <modifiedWord/>
      <trackRevisions>false</trackRevisions>
    </reviewItem>
    <reviewItem>
      <errorID>a6e62551-8ac4-49bd-8799-76b70b6c7a72</errorID>
      <errorWord>新统</errorWord>
      <group>L1_Word</group>
      <groupName>字词问题</groupName>
      <ability>L2_Typo</ability>
      <abilityName>字词错误</abilityName>
      <candidateList>
        <item>系统</item>
      </candidateList>
      <explain>❶〈名〉同类事物按一定的关系组成的整体：～化｜组织～｜灌溉～。❷〈形〉有条理的；有系统的：～学习｜～研究｜资料不够。</explain>
      <paraID>1A151D27</paraID>
      <start>2</start>
      <end>4</end>
      <status>ignored</status>
      <modifiedWord/>
      <trackRevisions>false</trackRevisions>
    </reviewItem>
    <reviewItem>
      <errorID>0d100e24-839d-4282-a6fc-a06ef95432e1</errorID>
      <errorWord>成份</errorWord>
      <group>L1_Word</group>
      <groupName>字词问题</groupName>
      <ability>L2_Variant</ability>
      <abilityName>异形词</abilityName>
      <candidateList>
        <item>成分</item>
      </candidateList>
      <explain>词汇[成份]的规范词形写作[成分]。</explain>
      <paraID>6550EF0A</paraID>
      <start>72</start>
      <end>74</end>
      <status>ignored</status>
      <modifiedWord/>
      <trackRevisions>false</trackRevisions>
    </reviewItem>
    <reviewItem>
      <errorID>ea2bcc26-6248-469c-8d03-f4eb536a4a6c</errorID>
      <errorWord>新统</errorWord>
      <group>L1_Word</group>
      <groupName>字词问题</groupName>
      <ability>L2_Typo</ability>
      <abilityName>字词错误</abilityName>
      <candidateList>
        <item>系统</item>
      </candidateList>
      <explain>❶〈名〉同类事物按一定的关系组成的整体：～化｜组织～｜灌溉～。❷〈形〉有条理的；有系统的：～学习｜～研究｜资料不够。</explain>
      <paraID>294B0472</paraID>
      <start>90</start>
      <end>92</end>
      <status>ignored</status>
      <modifiedWord/>
      <trackRevisions>false</trackRevisions>
    </reviewItem>
    <reviewItem>
      <errorID>4abecb13-1840-453a-8c72-e3a176c03753</errorID>
      <errorWord>成份</errorWord>
      <group>L1_Word</group>
      <groupName>字词问题</groupName>
      <ability>L2_Variant</ability>
      <abilityName>异形词</abilityName>
      <candidateList>
        <item>成分</item>
      </candidateList>
      <explain>词汇[成份]的规范词形写作[成分]。</explain>
      <paraID>2BD68202</paraID>
      <start>61</start>
      <end>63</end>
      <status>ignored</status>
      <modifiedWord/>
      <trackRevisions>false</trackRevisions>
    </reviewItem>
    <reviewItem>
      <errorID>4c815141-6af6-45d5-b465-b7e08dd3843b</errorID>
      <errorWord>越流</errorWord>
      <group>L1_Word</group>
      <groupName>字词问题</groupName>
      <ability>L2_Typo</ability>
      <abilityName>字词错误</abilityName>
      <candidateList>
        <item>径流</item>
      </candidateList>
      <explain>〈名〉降水除蒸发的、被土地吸收的和被拦堵的以外，沿着地面流走的水叫径流。渗入地下的也可以形成地下径流。</explain>
      <paraID>70503F6E</paraID>
      <start>71</start>
      <end>73</end>
      <status>modified</status>
      <modifiedWord>径流</modifiedWord>
      <trackRevisions>false</trackRevisions>
    </reviewItem>
    <reviewItem>
      <errorID>db7377e7-ccf2-419b-a16b-ae5fa3b14d48</errorID>
      <errorWord>，</errorWord>
      <group>L1_Word</group>
      <groupName>字词问题</groupName>
      <ability>L2_Typo</ability>
      <abilityName>字词错误</abilityName>
      <candidateList>
        <item>，根</item>
      </candidateList>
      <explain/>
      <paraID>7627B69E</paraID>
      <start>50</start>
      <end>51</end>
      <status>ignored</status>
      <modifiedWord/>
      <trackRevisions>false</trackRevisions>
    </reviewItem>
    <reviewItem>
      <errorID>884daa6f-e65b-43b5-a8e0-a5c11dd8c21b</errorID>
      <errorWord>另</errorWord>
      <group>L1_Word</group>
      <groupName>字词问题</groupName>
      <ability>L2_Typo</ability>
      <abilityName>字词错误</abilityName>
      <candidateList>
        <item>另一</item>
      </candidateList>
      <explain/>
      <paraID>2BC6C95C</paraID>
      <start>156</start>
      <end>158</end>
      <status>modified</status>
      <modifiedWord>另一</modifiedWord>
      <trackRevisions>false</trackRevisions>
    </reviewItem>
    <reviewItem>
      <errorID>8e1e632b-d5fc-47ce-850f-6c3936762d0c</errorID>
      <errorWord>具</errorWord>
      <group>L1_Word</group>
      <groupName>字词问题</groupName>
      <ability>L2_Typo</ability>
      <abilityName>字词错误</abilityName>
      <candidateList>
        <item>其</item>
      </candidateList>
      <explain>存在字形相近字词的误用。</explain>
      <paraID>5101B7A8</paraID>
      <start>124</start>
      <end>125</end>
      <status>modified</status>
      <modifiedWord>其</modifiedWord>
      <trackRevisions>false</trackRevisions>
    </reviewItem>
    <reviewItem>
      <errorID>ca500166-671f-47de-9cc4-de77b7304c8c</errorID>
      <errorWord>新统</errorWord>
      <group>L1_Word</group>
      <groupName>字词问题</groupName>
      <ability>L2_Typo</ability>
      <abilityName>字词错误</abilityName>
      <candidateList>
        <item>系统</item>
      </candidateList>
      <explain>❶〈名〉同类事物按一定的关系组成的整体：～化｜组织～｜灌溉～。❷〈形〉有条理的；有系统的：～学习｜～研究｜资料不够。</explain>
      <paraID>48AA8DA7</paraID>
      <start>3</start>
      <end>5</end>
      <status>ignored</status>
      <modifiedWord/>
      <trackRevisions>false</trackRevisions>
    </reviewItem>
    <reviewItem>
      <errorID>658d983a-c49a-40f9-ab0e-bcd37917fd45</errorID>
      <errorWord>新统</errorWord>
      <group>L1_Word</group>
      <groupName>字词问题</groupName>
      <ability>L2_Typo</ability>
      <abilityName>字词错误</abilityName>
      <candidateList>
        <item>系统</item>
      </candidateList>
      <explain>❶〈名〉同类事物按一定的关系组成的整体：～化｜组织～｜灌溉～。❷〈形〉有条理的；有系统的：～学习｜～研究｜资料不够。</explain>
      <paraID>74897355</paraID>
      <start>3</start>
      <end>5</end>
      <status>ignored</status>
      <modifiedWord/>
      <trackRevisions>false</trackRevisions>
    </reviewItem>
    <reviewItem>
      <errorID>43050dae-bb6f-426e-b47b-9cc167ce461a</errorID>
      <errorWord>新统</errorWord>
      <group>L1_Word</group>
      <groupName>字词问题</groupName>
      <ability>L2_Typo</ability>
      <abilityName>字词错误</abilityName>
      <candidateList>
        <item>系统</item>
      </candidateList>
      <explain>❶〈名〉同类事物按一定的关系组成的整体：～化｜组织～｜灌溉～。❷〈形〉有条理的；有系统的：～学习｜～研究｜资料不够。</explain>
      <paraID>11BACD32</paraID>
      <start>3</start>
      <end>5</end>
      <status>ignored</status>
      <modifiedWord/>
      <trackRevisions>false</trackRevisions>
    </reviewItem>
    <reviewItem>
      <errorID>687a88c7-fd44-4c65-842a-581a834f5d55</errorID>
      <errorWord>迳流</errorWord>
      <group>L1_Word</group>
      <groupName>字词问题</groupName>
      <ability>L2_Variant</ability>
      <abilityName>异形词</abilityName>
      <candidateList>
        <item>径流</item>
      </candidateList>
      <explain>词汇[迳流]的规范词形写作[径流]。</explain>
      <paraID>624B5405</paraID>
      <start>228</start>
      <end>230</end>
      <status>modified</status>
      <modifiedWord>径流</modifiedWord>
      <trackRevisions>false</trackRevisions>
    </reviewItem>
    <reviewItem>
      <errorID>5af7b448-90e3-43e4-96b1-d4e5919ea70d</errorID>
      <errorWord>部</errorWord>
      <group>L1_Word</group>
      <groupName>字词问题</groupName>
      <ability>L2_Typo</ability>
      <abilityName>字词错误</abilityName>
      <candidateList>
        <item>部为</item>
      </candidateList>
      <explain/>
      <paraID>2AD46A4C</paraID>
      <start>43</start>
      <end>45</end>
      <status>modified</status>
      <modifiedWord>部为</modifiedWord>
      <trackRevisions>false</trackRevisions>
    </reviewItem>
    <reviewItem>
      <errorID>6d472e7d-be17-48c7-94e6-175c965e12f6</errorID>
      <errorWord>迳流</errorWord>
      <group>L1_Word</group>
      <groupName>字词问题</groupName>
      <ability>L2_Variant</ability>
      <abilityName>异形词</abilityName>
      <candidateList>
        <item>径流</item>
      </candidateList>
      <explain>词汇[迳流]的规范词形写作[径流]。</explain>
      <paraID>2AD46A4C</paraID>
      <start>370</start>
      <end>372</end>
      <status>modified</status>
      <modifiedWord>径流</modifiedWord>
      <trackRevisions>false</trackRevisions>
    </reviewItem>
    <reviewItem>
      <errorID>0bd958df-2048-4fa0-b98d-00d62a7aecf6</errorID>
      <errorWord>的</errorWord>
      <group>L1_Word</group>
      <groupName>字词问题</groupName>
      <ability>L2_DDD</ability>
      <abilityName>的地得用法</abilityName>
      <candidateList>
        <item>地</item>
      </candidateList>
      <explain>“地”常用于连接修饰语与动词性中心语，表示动作的方式、状态或程度。</explain>
      <paraID>2AD46A4C</paraID>
      <start>406</start>
      <end>407</end>
      <status>ignored</status>
      <modifiedWord/>
      <trackRevisions>false</trackRevisions>
    </reviewItem>
    <reviewItem>
      <errorID>1a3b08b0-7a47-4108-8483-c187e698e99d</errorID>
      <errorWord>相对涞水</errorWord>
      <group>L1_Word</group>
      <groupName>字词问题</groupName>
      <ability>L2_Typo</ability>
      <abilityName>字词错误</abilityName>
      <candidateList>
        <item>相对来说</item>
      </candidateList>
      <explain/>
      <paraID>4A485425</paraID>
      <start>16</start>
      <end>20</end>
      <status>modified</status>
      <modifiedWord>相对来说</modifiedWord>
      <trackRevisions>false</trackRevisions>
    </reviewItem>
    <reviewItem>
      <errorID>a16101fc-7339-4131-9883-b855394f9a1d</errorID>
      <errorWord>丰富的</errorWord>
      <group>L1_Word</group>
      <groupName>字词问题</groupName>
      <ability>L2_Typo</ability>
      <abilityName>字词错误</abilityName>
      <candidateList>
        <item>丰富</item>
      </candidateList>
      <explain/>
      <paraID>4A485425</paraID>
      <start>22</start>
      <end>24</end>
      <status>modified</status>
      <modifiedWord>丰富</modifiedWord>
      <trackRevisions>false</trackRevisions>
    </reviewItem>
    <reviewItem>
      <errorID>b3b2b102-3f25-4401-9d38-cbb902687b44</errorID>
      <errorWord>越流</errorWord>
      <group>L1_Word</group>
      <groupName>字词问题</groupName>
      <ability>L2_Typo</ability>
      <abilityName>字词错误</abilityName>
      <candidateList>
        <item>径流</item>
      </candidateList>
      <explain>〈名〉降水除蒸发的、被土地吸收的和被拦堵的以外，沿着地面流走的水叫径流。渗入地下的也可以形成地下径流。</explain>
      <paraID>4A485425</paraID>
      <start>133</start>
      <end>135</end>
      <status>modified</status>
      <modifiedWord>径流</modifiedWord>
      <trackRevisions>false</trackRevisions>
    </reviewItem>
    <reviewItem>
      <errorID>afc54a69-b836-4cef-a3e1-ae61071f6123</errorID>
      <errorWord>河流用</errorWord>
      <group>L1_Word</group>
      <groupName>字词问题</groupName>
      <ability>L2_Typo</ability>
      <abilityName>字词错误</abilityName>
      <candidateList>
        <item>河流</item>
      </candidateList>
      <explain/>
      <paraID>5B481EDE</paraID>
      <start>38</start>
      <end>40</end>
      <status>modified</status>
      <modifiedWord>河流</modifiedWord>
      <trackRevisions>false</trackRevisions>
    </reviewItem>
    <reviewItem>
      <errorID>4e3c0667-832e-4504-987c-cd42b57813ae</errorID>
      <errorWord>发</errorWord>
      <group>L1_Word</group>
      <groupName>字词问题</groupName>
      <ability>L2_Typo</ability>
      <abilityName>字词错误</abilityName>
      <candidateList>
        <item>发型</item>
      </candidateList>
      <explain/>
      <paraID> 41C5E3F</paraID>
      <start>54</start>
      <end>55</end>
      <status>ignored</status>
      <modifiedWord/>
      <trackRevisions>false</trackRevisions>
    </reviewItem>
    <reviewItem>
      <errorID>afce6ded-5604-4817-bc83-b3fc58bb5fb2</errorID>
      <errorWord>地下不</errorWord>
      <group>L1_Word</group>
      <groupName>字词问题</groupName>
      <ability>L2_Typo</ability>
      <abilityName>字词错误</abilityName>
      <candidateList>
        <item>地下水</item>
      </candidateList>
      <explain/>
      <paraID>21C9B36F</paraID>
      <start>10</start>
      <end>13</end>
      <status>modified</status>
      <modifiedWord>地下水</modifiedWord>
      <trackRevisions>false</trackRevisions>
    </reviewItem>
    <reviewItem>
      <errorID>c376c5da-1f39-4716-9c4e-6bed85ff0fb2</errorID>
      <errorWord>其它</errorWord>
      <group>L1_Word</group>
      <groupName>字词问题</groupName>
      <ability>L2_Alias</ability>
      <abilityName>也作/曾用词</abilityName>
      <candidateList>
        <item>其他</item>
      </candidateList>
      <explain>词汇[其它]为不规范表述或旧称，其规范书面表述为[其他]。</explain>
      <paraID>21C9B36F</paraID>
      <start>19</start>
      <end>21</end>
      <status>modified</status>
      <modifiedWord>其他</modifiedWord>
      <trackRevisions>false</trackRevisions>
    </reviewItem>
    <reviewItem>
      <errorID>6107e472-d399-4ace-9258-1e51dc826956</errorID>
      <errorWord>越流</errorWord>
      <group>L1_Word</group>
      <groupName>字词问题</groupName>
      <ability>L2_Typo</ability>
      <abilityName>字词错误</abilityName>
      <candidateList>
        <item>径流</item>
      </candidateList>
      <explain>〈名〉降水除蒸发的、被土地吸收的和被拦堵的以外，沿着地面流走的水叫径流。渗入地下的也可以形成地下径流。</explain>
      <paraID>21C9B36F</paraID>
      <start>24</start>
      <end>26</end>
      <status>modified</status>
      <modifiedWord>径流</modifiedWord>
      <trackRevisions>false</trackRevisions>
    </reviewItem>
    <reviewItem>
      <errorID>b1dcd8bb-17c9-4f1b-af6f-a6e57b5b2be7</errorID>
      <errorWord>代替</errorWord>
      <group>L1_Word</group>
      <groupName>字词问题</groupName>
      <ability>L2_Typo</ability>
      <abilityName>字词错误</abilityName>
      <candidateList>
        <item>替代</item>
      </candidateList>
      <explain/>
      <paraID>3E52154D</paraID>
      <start>37</start>
      <end>39</end>
      <status>modified</status>
      <modifiedWord>替代</modifiedWord>
      <trackRevisions>false</trackRevisions>
    </reviewItem>
    <reviewItem>
      <errorID>5372bfa2-4d65-4641-bd4a-89252e9d1839</errorID>
      <errorWord>IV类</errorWord>
      <group>L1_Knowledge</group>
      <groupName>知识性问题</groupName>
      <ability>L2_Knowledge</ability>
      <abilityName>其他知识</abilityName>
      <candidateList>
        <item>Ⅳ类</item>
      </candidateList>
      <explain/>
      <paraID>76F0FAAE</paraID>
      <start>330</start>
      <end>332</end>
      <status>modified</status>
      <modifiedWord>Ⅳ类</modifiedWord>
      <trackRevisions>false</trackRevisions>
    </reviewItem>
    <reviewItem>
      <errorID>d3faf1b0-e155-4077-8b68-b7f5c7e0a7c9</errorID>
      <errorWord>主要主要</errorWord>
      <group>L1_Word</group>
      <groupName>字词问题</groupName>
      <ability>L2_Typo</ability>
      <abilityName>字词错误</abilityName>
      <candidateList>
        <item>主要</item>
      </candidateList>
      <explain>〈形〉属性词。有关事物中最重要的；起决定作用的：～原因｜～目的｜～人物。</explain>
      <paraID> 9623D28</paraID>
      <start>99</start>
      <end>101</end>
      <status>modified</status>
      <modifiedWord>主要</modifiedWord>
      <trackRevisions>false</trackRevisions>
    </reviewItem>
    <reviewItem>
      <errorID>e19ceeb3-48b1-4091-970f-87cf9a5ddaef</errorID>
      <errorWord>，</errorWord>
      <group>L1_Word</group>
      <groupName>字词问题</groupName>
      <ability>L2_Typo</ability>
      <abilityName>字词错误</abilityName>
      <candidateList>
        <item>，该</item>
      </candidateList>
      <explain/>
      <paraID>31110920</paraID>
      <start>57</start>
      <end>59</end>
      <status>modified</status>
      <modifiedWord>，该</modifiedWord>
      <trackRevisions>false</trackRevisions>
    </reviewItem>
    <reviewItem>
      <errorID>5f559533-6160-42bb-8094-cfad5f4d8622</errorID>
      <errorWord>人</errorWord>
      <group>L1_Word</group>
      <groupName>字词问题</groupName>
      <ability>L2_Typo</ability>
      <abilityName>字词错误</abilityName>
      <candidateList>
        <item/>
      </candidateList>
      <explain/>
      <paraID>760A71FF</paraID>
      <start>9</start>
      <end>10</end>
      <status>ignored</status>
      <modifiedWord/>
      <trackRevisions>false</trackRevisions>
    </reviewItem>
    <reviewItem>
      <errorID>92c0799a-d0b3-4b86-8863-cfe4d6a2b267</errorID>
      <errorWord>人</errorWord>
      <group>L1_Word</group>
      <groupName>字词问题</groupName>
      <ability>L2_Typo</ability>
      <abilityName>字词错误</abilityName>
      <candidateList>
        <item/>
      </candidateList>
      <explain/>
      <paraID>33AFC393</paraID>
      <start>9</start>
      <end>10</end>
      <status>ignored</status>
      <modifiedWord/>
      <trackRevisions>false</trackRevisions>
    </reviewItem>
    <reviewItem>
      <errorID>114e5a73-135a-4430-8dfe-2842877b68cf</errorID>
      <errorWord>。。。。</errorWord>
      <group>L1_Punc</group>
      <groupName>标点问题</groupName>
      <ability>L2_Punc</ability>
      <abilityName>标点符号检查</abilityName>
      <candidateList>
        <item>。</item>
      </candidateList>
      <explain/>
      <paraID>255CCE2B</paraID>
      <start>13</start>
      <end>17</end>
      <status>ignored</status>
      <modifiedWord/>
      <trackRevisions>false</trackRevisions>
    </reviewItem>
    <reviewItem>
      <errorID>61265383-f336-40d3-b996-61e643599ddc</errorID>
      <errorWord>。。。。</errorWord>
      <group>L1_Punc</group>
      <groupName>标点问题</groupName>
      <ability>L2_Punc</ability>
      <abilityName>标点符号检查</abilityName>
      <candidateList>
        <item>。</item>
      </candidateList>
      <explain/>
      <paraID>72E74323</paraID>
      <start>3</start>
      <end>7</end>
      <status>ignored</status>
      <modifiedWord/>
      <trackRevisions>false</trackRevisions>
    </reviewItem>
    <reviewItem>
      <errorID>d49bedcd-f67b-4c59-b78d-968240f37250</errorID>
      <errorWord>新统</errorWord>
      <group>L1_Word</group>
      <groupName>字词问题</groupName>
      <ability>L2_Typo</ability>
      <abilityName>字词错误</abilityName>
      <candidateList>
        <item>系统</item>
      </candidateList>
      <explain>❶〈名〉同类事物按一定的关系组成的整体：～化｜组织～｜灌溉～。❷〈形〉有条理的；有系统的：～学习｜～研究｜资料不够。</explain>
      <paraID>307F7FBF</paraID>
      <start>59</start>
      <end>61</end>
      <status>ignored</status>
      <modifiedWord/>
      <trackRevisions>false</trackRevisions>
    </reviewItem>
    <reviewItem>
      <errorID>39d8a7cd-4f63-4414-9ac8-c0894f1266e6</errorID>
      <errorWord>水水</errorWord>
      <group>L1_Word</group>
      <groupName>字词问题</groupName>
      <ability>L2_Typo</ability>
      <abilityName>字词错误</abilityName>
      <candidateList>
        <item>水</item>
      </candidateList>
      <explain/>
      <paraID>77201420</paraID>
      <start>19</start>
      <end>20</end>
      <status>modified</status>
      <modifiedWord>水</modifiedWord>
      <trackRevisions>false</trackRevisions>
    </reviewItem>
    <reviewItem>
      <errorID>4b52a2e3-66c8-4e03-befd-b7c2a9da94a8</errorID>
      <errorWord>消毒消毒</errorWord>
      <group>L1_Word</group>
      <groupName>字词问题</groupName>
      <ability>L2_Typo</ability>
      <abilityName>字词错误</abilityName>
      <candidateList>
        <item>消毒</item>
      </candidateList>
      <explain>〈动〉❶用物理、化学、生物等方法杀灭或清除致病的微生物：～剂｜病房已经消过毒了。❷清除流毒。</explain>
      <paraID>787DDFC2</paraID>
      <start>146</start>
      <end>148</end>
      <status>modified</status>
      <modifiedWord>消毒</modifiedWord>
      <trackRevisions>false</trackRevisions>
    </reviewItem>
    <reviewItem>
      <errorID>5d7afa97-3019-42f9-bbc5-dee687faebb9</errorID>
      <errorWord>消毒消毒</errorWord>
      <group>L1_Word</group>
      <groupName>字词问题</groupName>
      <ability>L2_Typo</ability>
      <abilityName>字词错误</abilityName>
      <candidateList>
        <item>消毒</item>
      </candidateList>
      <explain>〈动〉❶用物理、化学、生物等方法杀灭或清除致病的微生物：～剂｜病房已经消过毒了。❷清除流毒。</explain>
      <paraID>2EAFEB44</paraID>
      <start>146</start>
      <end>148</end>
      <status>modified</status>
      <modifiedWord>消毒</modifiedWord>
      <trackRevisions>false</trackRevisions>
    </reviewItem>
    <reviewItem>
      <errorID>f6a0ee50-70df-4a4f-b33b-94a227804c65</errorID>
      <errorWord>。。。。</errorWord>
      <group>L1_Punc</group>
      <groupName>标点问题</groupName>
      <ability>L2_Punc</ability>
      <abilityName>标点符号检查</abilityName>
      <candidateList>
        <item>。</item>
      </candidateList>
      <explain/>
      <paraID> 2C80022</paraID>
      <start>13</start>
      <end>17</end>
      <status>ignored</status>
      <modifiedWord/>
      <trackRevisions>false</trackRevisions>
    </reviewItem>
    <reviewItem>
      <errorID>2cbed866-7442-4913-b79c-7979881a8ba6</errorID>
      <errorWord>。。。。</errorWord>
      <group>L1_Punc</group>
      <groupName>标点问题</groupName>
      <ability>L2_Punc</ability>
      <abilityName>标点符号检查</abilityName>
      <candidateList>
        <item>。</item>
      </candidateList>
      <explain/>
      <paraID>348BFD9D</paraID>
      <start>3</start>
      <end>7</end>
      <status>ignored</status>
      <modifiedWord/>
      <trackRevisions>false</trackRevisions>
    </reviewItem>
    <reviewItem>
      <errorID>cf829008-55a2-455b-a26d-2e2ad7950f4b</errorID>
      <errorWord>重碳酸钠</errorWord>
      <group>L1_Knowledge</group>
      <groupName>知识性问题</groupName>
      <ability>L2_Term</ability>
      <abilityName>专业术语</abilityName>
      <candidateList>
        <item>碳酸氢钠</item>
      </candidateList>
      <explain>医学名词[重碳酸钠]为不规范表述或旧称，其规范书面表述为[碳酸氢钠]。</explain>
      <paraID> 529A0DF</paraID>
      <start>151</start>
      <end>155</end>
      <status>ignored</status>
      <modifiedWord/>
      <trackRevisions>false</trackRevisions>
    </reviewItem>
    <reviewItem>
      <errorID>d3034bf3-4602-4c15-b6d3-cfac705674e4</errorID>
      <errorWord>重碳酸钠</errorWord>
      <group>L1_Knowledge</group>
      <groupName>知识性问题</groupName>
      <ability>L2_Term</ability>
      <abilityName>专业术语</abilityName>
      <candidateList>
        <item>碳酸氢钠</item>
      </candidateList>
      <explain>医学名词[重碳酸钠]为不规范表述或旧称，其规范书面表述为[碳酸氢钠]。</explain>
      <paraID> 529A0DF</paraID>
      <start>156</start>
      <end>160</end>
      <status>ignored</status>
      <modifiedWord/>
      <trackRevisions>false</trackRevisions>
    </reviewItem>
    <reviewItem>
      <errorID>507f3d17-0faa-449d-916b-715a0568e9be</errorID>
      <errorWord>重碳酸钠</errorWord>
      <group>L1_Knowledge</group>
      <groupName>知识性问题</groupName>
      <ability>L2_Term</ability>
      <abilityName>专业术语</abilityName>
      <candidateList>
        <item>碳酸氢钠</item>
      </candidateList>
      <explain>医学名词[重碳酸钠]为不规范表述或旧称，其规范书面表述为[碳酸氢钠]。</explain>
      <paraID>148D181D</paraID>
      <start>184</start>
      <end>188</end>
      <status>ignored</status>
      <modifiedWord/>
      <trackRevisions>false</trackRevisions>
    </reviewItem>
    <reviewItem>
      <errorID>0d58f2e3-aa9e-4f81-803b-e510977eb19b</errorID>
      <errorWord>重碳酸钠</errorWord>
      <group>L1_Knowledge</group>
      <groupName>知识性问题</groupName>
      <ability>L2_Term</ability>
      <abilityName>专业术语</abilityName>
      <candidateList>
        <item>碳酸氢钠</item>
      </candidateList>
      <explain>医学名词[重碳酸钠]为不规范表述或旧称，其规范书面表述为[碳酸氢钠]。</explain>
      <paraID>148D181D</paraID>
      <start>189</start>
      <end>193</end>
      <status>ignored</status>
      <modifiedWord/>
      <trackRevisions>false</trackRevisions>
    </reviewItem>
    <reviewItem>
      <errorID>3ef718ee-66a4-4ef4-9a64-8a414ff6c6d4</errorID>
      <errorWord>重碳酸钠</errorWord>
      <group>L1_Knowledge</group>
      <groupName>知识性问题</groupName>
      <ability>L2_Term</ability>
      <abilityName>专业术语</abilityName>
      <candidateList>
        <item>碳酸氢钠</item>
      </candidateList>
      <explain>医学名词[重碳酸钠]为不规范表述或旧称，其规范书面表述为[碳酸氢钠]。</explain>
      <paraID> 1A9CFE9</paraID>
      <start>151</start>
      <end>155</end>
      <status>ignored</status>
      <modifiedWord/>
      <trackRevisions>false</trackRevisions>
    </reviewItem>
    <reviewItem>
      <errorID>e1715750-2cc9-4734-b835-2e5ef0c8e8df</errorID>
      <errorWord>重碳酸钠</errorWord>
      <group>L1_Knowledge</group>
      <groupName>知识性问题</groupName>
      <ability>L2_Term</ability>
      <abilityName>专业术语</abilityName>
      <candidateList>
        <item>碳酸氢钠</item>
      </candidateList>
      <explain>医学名词[重碳酸钠]为不规范表述或旧称，其规范书面表述为[碳酸氢钠]。</explain>
      <paraID> 1A9CFE9</paraID>
      <start>156</start>
      <end>160</end>
      <status>ignored</status>
      <modifiedWord/>
      <trackRevisions>false</trackRevisions>
    </reviewItem>
    <reviewItem>
      <errorID>fb40e6d7-944a-40c3-a7bc-131e535d5a97</errorID>
      <errorWord>重碳酸钠</errorWord>
      <group>L1_Knowledge</group>
      <groupName>知识性问题</groupName>
      <ability>L2_Term</ability>
      <abilityName>专业术语</abilityName>
      <candidateList>
        <item>碳酸氢钠</item>
      </candidateList>
      <explain>医学名词[重碳酸钠]为不规范表述或旧称，其规范书面表述为[碳酸氢钠]。</explain>
      <paraID>299E1A68</paraID>
      <start>151</start>
      <end>155</end>
      <status>ignored</status>
      <modifiedWord/>
      <trackRevisions>false</trackRevisions>
    </reviewItem>
    <reviewItem>
      <errorID>299d5356-fe3e-4a16-8262-ed66c6c2c399</errorID>
      <errorWord>重碳酸钠</errorWord>
      <group>L1_Knowledge</group>
      <groupName>知识性问题</groupName>
      <ability>L2_Term</ability>
      <abilityName>专业术语</abilityName>
      <candidateList>
        <item>碳酸氢钠</item>
      </candidateList>
      <explain>医学名词[重碳酸钠]为不规范表述或旧称，其规范书面表述为[碳酸氢钠]。</explain>
      <paraID>299E1A68</paraID>
      <start>156</start>
      <end>160</end>
      <status>ignored</status>
      <modifiedWord/>
      <trackRevisions>false</trackRevisions>
    </reviewItem>
    <reviewItem>
      <errorID>b4232524-1be8-41ee-bd7b-1383cddda450</errorID>
      <errorWord>重碳酸钠</errorWord>
      <group>L1_Knowledge</group>
      <groupName>知识性问题</groupName>
      <ability>L2_Term</ability>
      <abilityName>专业术语</abilityName>
      <candidateList>
        <item>碳酸氢钠</item>
      </candidateList>
      <explain>医学名词[重碳酸钠]为不规范表述或旧称，其规范书面表述为[碳酸氢钠]。</explain>
      <paraID>634C0365</paraID>
      <start>150</start>
      <end>154</end>
      <status>ignored</status>
      <modifiedWord/>
      <trackRevisions>false</trackRevisions>
    </reviewItem>
    <reviewItem>
      <errorID>e1415c86-74dc-4337-a5e8-f9f3b16385da</errorID>
      <errorWord>重碳酸钠</errorWord>
      <group>L1_Knowledge</group>
      <groupName>知识性问题</groupName>
      <ability>L2_Term</ability>
      <abilityName>专业术语</abilityName>
      <candidateList>
        <item>碳酸氢钠</item>
      </candidateList>
      <explain>医学名词[重碳酸钠]为不规范表述或旧称，其规范书面表述为[碳酸氢钠]。</explain>
      <paraID>634C0365</paraID>
      <start>155</start>
      <end>159</end>
      <status>ignored</status>
      <modifiedWord/>
      <trackRevisions>false</trackRevisions>
    </reviewItem>
    <reviewItem>
      <errorID>e4204e6a-4fba-4dca-a755-deb39316dca5</errorID>
      <errorWord>重碳酸钠</errorWord>
      <group>L1_Knowledge</group>
      <groupName>知识性问题</groupName>
      <ability>L2_Term</ability>
      <abilityName>专业术语</abilityName>
      <candidateList>
        <item>碳酸氢钠</item>
      </candidateList>
      <explain>医学名词[重碳酸钠]为不规范表述或旧称，其规范书面表述为[碳酸氢钠]。</explain>
      <paraID>51A8A5DF</paraID>
      <start>144</start>
      <end>148</end>
      <status>ignored</status>
      <modifiedWord/>
      <trackRevisions>false</trackRevisions>
    </reviewItem>
    <reviewItem>
      <errorID>1c41df3a-ce7b-45d2-a2bd-ac991609ffca</errorID>
      <errorWord>重碳酸钠</errorWord>
      <group>L1_Knowledge</group>
      <groupName>知识性问题</groupName>
      <ability>L2_Term</ability>
      <abilityName>专业术语</abilityName>
      <candidateList>
        <item>碳酸氢钠</item>
      </candidateList>
      <explain>医学名词[重碳酸钠]为不规范表述或旧称，其规范书面表述为[碳酸氢钠]。</explain>
      <paraID>51A8A5DF</paraID>
      <start>149</start>
      <end>153</end>
      <status>ignored</status>
      <modifiedWord/>
      <trackRevisions>false</trackRevisions>
    </reviewItem>
    <reviewItem>
      <errorID>e27976b9-e05a-41b6-a7ba-2b4326e13257</errorID>
      <errorWord>重碳酸钠</errorWord>
      <group>L1_Knowledge</group>
      <groupName>知识性问题</groupName>
      <ability>L2_Term</ability>
      <abilityName>专业术语</abilityName>
      <candidateList>
        <item>碳酸氢钠</item>
      </candidateList>
      <explain>医学名词[重碳酸钠]为不规范表述或旧称，其规范书面表述为[碳酸氢钠]。</explain>
      <paraID> BE26543</paraID>
      <start>151</start>
      <end>155</end>
      <status>ignored</status>
      <modifiedWord/>
      <trackRevisions>false</trackRevisions>
    </reviewItem>
    <reviewItem>
      <errorID>62882791-329c-453f-a490-43490017f869</errorID>
      <errorWord>重碳酸钠</errorWord>
      <group>L1_Knowledge</group>
      <groupName>知识性问题</groupName>
      <ability>L2_Term</ability>
      <abilityName>专业术语</abilityName>
      <candidateList>
        <item>碳酸氢钠</item>
      </candidateList>
      <explain>医学名词[重碳酸钠]为不规范表述或旧称，其规范书面表述为[碳酸氢钠]。</explain>
      <paraID> BE26543</paraID>
      <start>156</start>
      <end>160</end>
      <status>ignored</status>
      <modifiedWord/>
      <trackRevisions>false</trackRevisions>
    </reviewItem>
    <reviewItem>
      <errorID>80ed45c3-e668-46e4-a202-0980dfb58060</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1CEA8B8E</paraID>
      <start>55</start>
      <end>56</end>
      <status>ignored</status>
      <modifiedWord/>
      <trackRevisions>false</trackRevisions>
    </reviewItem>
    <reviewItem>
      <errorID>ad7910f3-cb11-446f-a524-a9c5096d9913</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1CEA8B8E</paraID>
      <start>69</start>
      <end>70</end>
      <status>ignored</status>
      <modifiedWord/>
      <trackRevisions>false</trackRevisions>
    </reviewItem>
    <reviewItem>
      <errorID>e0d230da-b679-4b01-9871-421b88837673</errorID>
      <errorWord>碳酸氢氨</errorWord>
      <group>L1_Word</group>
      <groupName>字词问题</groupName>
      <ability>L2_Typo</ability>
      <abilityName>字词错误</abilityName>
      <candidateList>
        <item>碳酸氢铵</item>
      </candidateList>
      <explain>存在发音相同字词的误用。</explain>
      <paraID>7ACAF6FF</paraID>
      <start>171</start>
      <end>175</end>
      <status>ignored</status>
      <modifiedWord/>
      <trackRevisions>false</trackRevisions>
    </reviewItem>
    <reviewItem>
      <errorID>0a530bd3-0dbd-4cba-944a-49dd2beb287f</errorID>
      <errorWord>碳酸氢氨</errorWord>
      <group>L1_Word</group>
      <groupName>字词问题</groupName>
      <ability>L2_Typo</ability>
      <abilityName>字词错误</abilityName>
      <candidateList>
        <item>碳酸氢铵</item>
      </candidateList>
      <explain>存在发音相同字词的误用。</explain>
      <paraID>6CA09C5A</paraID>
      <start>172</start>
      <end>176</end>
      <status>ignored</status>
      <modifiedWord/>
      <trackRevisions>false</trackRevisions>
    </reviewItem>
    <reviewItem>
      <errorID>70a3d33b-103b-4f15-bb80-8afaa9470d04</errorID>
      <errorWord>碳酸氢氨</errorWord>
      <group>L1_Word</group>
      <groupName>字词问题</groupName>
      <ability>L2_Typo</ability>
      <abilityName>字词错误</abilityName>
      <candidateList>
        <item>碳酸氢铵</item>
      </candidateList>
      <explain>存在发音相同字词的误用。</explain>
      <paraID> D39DECA</paraID>
      <start>172</start>
      <end>176</end>
      <status>ignored</status>
      <modifiedWord/>
      <trackRevisions>false</trackRevisions>
    </reviewItem>
    <reviewItem>
      <errorID>508ced10-840a-4c38-9e94-2977866e485c</errorID>
      <errorWord>碳酸氢氨</errorWord>
      <group>L1_Word</group>
      <groupName>字词问题</groupName>
      <ability>L2_Typo</ability>
      <abilityName>字词错误</abilityName>
      <candidateList>
        <item>碳酸氢铵</item>
      </candidateList>
      <explain>存在发音相同字词的误用。</explain>
      <paraID>6BAA4274</paraID>
      <start>172</start>
      <end>176</end>
      <status>ignored</status>
      <modifiedWord/>
      <trackRevisions>false</trackRevisions>
    </reviewItem>
    <reviewItem>
      <errorID>8dff50b8-2201-46fe-ae46-e9842b672bf7</errorID>
      <errorWord>泄露</errorWord>
      <group>L1_Word</group>
      <groupName>字词问题</groupName>
      <ability>L2_Typo</ability>
      <abilityName>字词错误</abilityName>
      <candidateList>
        <item>泄漏</item>
      </candidateList>
      <explain/>
      <paraID> EE308D0</paraID>
      <start>159</start>
      <end>161</end>
      <status>ignored</status>
      <modifiedWord/>
      <trackRevisions>false</trackRevisions>
    </reviewItem>
    <reviewItem>
      <errorID>3b2b0e61-d967-473d-b7df-2ec6fedf84d3</errorID>
      <errorWord>其它</errorWord>
      <group>L1_Word</group>
      <groupName>字词问题</groupName>
      <ability>L2_Alias</ability>
      <abilityName>也作/曾用词</abilityName>
      <candidateList>
        <item>其他</item>
      </candidateList>
      <explain>词汇[其它]为不规范表述或旧称，其规范书面表述为[其他]。</explain>
      <paraID>48D344FC</paraID>
      <start>19</start>
      <end>21</end>
      <status>ignored</status>
      <modifiedWord/>
      <trackRevisions>false</trackRevisions>
    </reviewItem>
    <reviewItem>
      <errorID>2d175eef-b803-49b7-8f24-372f4a8851ec</errorID>
      <errorWord>是由于水源地上游农田农药的使用造成的</errorWord>
      <group>L1_Word</group>
      <groupName>字词问题</groupName>
      <ability>L2_Typo</ability>
      <abilityName>字词错误</abilityName>
      <candidateList>
        <item>是由于水源地上游农田农药的使用</item>
      </candidateList>
      <explain/>
      <paraID>  94DD0B</paraID>
      <start>11</start>
      <end>29</end>
      <status>ignored</status>
      <modifiedWord/>
      <trackRevisions>false</trackRevisions>
    </reviewItem>
    <reviewItem>
      <errorID>b47b9309-bcc0-46bd-a6e0-956644ffb70f</errorID>
      <errorWord>泄露</errorWord>
      <group>L1_Word</group>
      <groupName>字词问题</groupName>
      <ability>L2_Typo</ability>
      <abilityName>字词错误</abilityName>
      <candidateList>
        <item>泄漏</item>
      </candidateList>
      <explain/>
      <paraID>4004A623</paraID>
      <start>173</start>
      <end>175</end>
      <status>ignored</status>
      <modifiedWord/>
      <trackRevisions>false</trackRevisions>
    </reviewItem>
    <reviewItem>
      <errorID>5d930174-c820-4904-8085-835ee0bcf473</errorID>
      <errorWord>加强</errorWord>
      <group>L1_Word</group>
      <groupName>字词问题</groupName>
      <ability>L2_Typo</ability>
      <abilityName>字词错误</abilityName>
      <candidateList>
        <item>加大</item>
      </candidateList>
      <explain>“加强～力度”搭配不当，建议修改为“加大～力度”。</explain>
      <paraID>75A8C436</paraID>
      <start>54</start>
      <end>56</end>
      <status>modified</status>
      <modifiedWord>加大</modifiedWord>
      <trackRevisions>false</trackRevisions>
    </reviewItem>
    <reviewItem>
      <errorID>65ae92c2-b3e7-4509-8d29-15b42fcfca86</errorID>
      <errorWord>的</errorWord>
      <group>L1_Word</group>
      <groupName>字词问题</groupName>
      <ability>L2_DDD</ability>
      <abilityName>的地得用法</abilityName>
      <candidateList>
        <item>地</item>
      </candidateList>
      <explain>“地”常用于连接修饰语与动词性中心语，表示动作的方式、状态或程度。</explain>
      <paraID>25339A3E</paraID>
      <start>113</start>
      <end>114</end>
      <status>ignored</status>
      <modifiedWord/>
      <trackRevisions>false</trackRevisions>
    </reviewItem>
    <reviewItem>
      <errorID>c3c547a0-4bc4-4db8-a52f-6c541d19dfd8</errorID>
      <errorWord>的</errorWord>
      <group>L1_Word</group>
      <groupName>字词问题</groupName>
      <ability>L2_DDD</ability>
      <abilityName>的地得用法</abilityName>
      <candidateList>
        <item>地</item>
      </candidateList>
      <explain>“地”常用于连接修饰语与动词性中心语，表示动作的方式、状态或程度。</explain>
      <paraID>25339A3E</paraID>
      <start>242</start>
      <end>243</end>
      <status>ignored</status>
      <modifiedWord/>
      <trackRevisions>false</trackRevisions>
    </reviewItem>
    <reviewItem>
      <errorID>6b348f10-052b-4f9d-8180-cc495401b9d1</errorID>
      <errorWord>水源源地</errorWord>
      <group>L1_Political</group>
      <groupName>政治性问题</groupName>
      <ability>L2_Unpolitical</ability>
      <abilityName>政治敏感错误</abilityName>
      <candidateList>
        <item>水源地</item>
      </candidateList>
      <explain/>
      <paraID> 52301C6</paraID>
      <start>44</start>
      <end>47</end>
      <status>modified</status>
      <modifiedWord>水源地</modifiedWord>
      <trackRevisions>false</trackRevisions>
    </reviewItem>
    <reviewItem>
      <errorID>32a213d3-cd31-4a10-8301-0903da581795</errorID>
      <errorWord>农田面源污染</errorWord>
      <group>L1_Political</group>
      <groupName>政治性问题</groupName>
      <ability>L2_Keyword</ability>
      <abilityName>固定表述</abilityName>
      <candidateList>
        <item>农业面源污染</item>
      </candidateList>
      <explain>词汇“农业面源污染”在特定场景下为固定表述形式，请确认此处的“农田面源污染”是否存在不当。</explain>
      <paraID>40DD60C7</paraID>
      <start>288</start>
      <end>294</end>
      <status>modified</status>
      <modifiedWord>农业面源污染</modifiedWord>
      <trackRevisions>false</trackRevisions>
    </reviewItem>
    <reviewItem>
      <errorID>cdb87657-2050-4c8f-8254-ea9f65d451a3</errorID>
      <errorWord>；</errorWord>
      <group>L1_Format</group>
      <groupName>格式问题</groupName>
      <ability>L2_HalfPunc</ability>
      <abilityName>全半角检查</abilityName>
      <candidateList>
        <item>; </item>
      </candidateList>
      <explain>文本全半角错误。</explain>
      <paraID> 187342D</paraID>
      <start>14</start>
      <end>15</end>
      <status>ignored</status>
      <modifiedWord/>
      <trackRevisions>false</trackRevisions>
    </reviewItem>
    <reviewItem>
      <errorID>315e8a23-78e2-429a-a5f4-28b357a1872d</errorID>
      <errorWord>；</errorWord>
      <group>L1_Format</group>
      <groupName>格式问题</groupName>
      <ability>L2_HalfPunc</ability>
      <abilityName>全半角检查</abilityName>
      <candidateList>
        <item>; </item>
      </candidateList>
      <explain>文本全半角错误。</explain>
      <paraID>1B318731</paraID>
      <start>14</start>
      <end>15</end>
      <status>ignored</status>
      <modifiedWord/>
      <trackRevisions>false</trackRevisions>
    </reviewItem>
    <reviewItem>
      <errorID>7f0b41c6-42fd-4b92-b0e2-e6af2bd0fc00</errorID>
      <errorWord>；</errorWord>
      <group>L1_Format</group>
      <groupName>格式问题</groupName>
      <ability>L2_HalfPunc</ability>
      <abilityName>全半角检查</abilityName>
      <candidateList>
        <item>; </item>
      </candidateList>
      <explain>文本全半角错误。</explain>
      <paraID>396EF5E8</paraID>
      <start>14</start>
      <end>15</end>
      <status>ignored</status>
      <modifiedWord/>
      <trackRevisions>false</trackRevisions>
    </reviewItem>
    <reviewItem>
      <errorID>c08f3ecb-8866-4709-94cb-3ea79e7188b3</errorID>
      <errorWord>；</errorWord>
      <group>L1_Format</group>
      <groupName>格式问题</groupName>
      <ability>L2_HalfPunc</ability>
      <abilityName>全半角检查</abilityName>
      <candidateList>
        <item>; </item>
      </candidateList>
      <explain>文本全半角错误。</explain>
      <paraID>7C09A999</paraID>
      <start>14</start>
      <end>15</end>
      <status>ignored</status>
      <modifiedWord/>
      <trackRevisions>false</trackRevisions>
    </reviewItem>
    <reviewItem>
      <errorID>419bd0f7-d952-4a09-a870-600838899a22</errorID>
      <errorWord>；</errorWord>
      <group>L1_Format</group>
      <groupName>格式问题</groupName>
      <ability>L2_HalfPunc</ability>
      <abilityName>全半角检查</abilityName>
      <candidateList>
        <item>; </item>
      </candidateList>
      <explain>文本全半角错误。</explain>
      <paraID>1BA3FAFB</paraID>
      <start>14</start>
      <end>15</end>
      <status>ignored</status>
      <modifiedWord/>
      <trackRevisions>false</trackRevisions>
    </reviewItem>
    <reviewItem>
      <errorID>1f02738e-9849-4454-aae0-3cddeee7cc6d</errorID>
      <errorWord>；</errorWord>
      <group>L1_Format</group>
      <groupName>格式问题</groupName>
      <ability>L2_HalfPunc</ability>
      <abilityName>全半角检查</abilityName>
      <candidateList>
        <item>; </item>
      </candidateList>
      <explain>文本全半角错误。</explain>
      <paraID>57B657EC</paraID>
      <start>14</start>
      <end>15</end>
      <status>ignored</status>
      <modifiedWord/>
      <trackRevisions>false</trackRevisions>
    </reviewItem>
    <reviewItem>
      <errorID>1374364b-99c8-4c5f-a961-a219a173599c</errorID>
      <errorWord>；</errorWord>
      <group>L1_Format</group>
      <groupName>格式问题</groupName>
      <ability>L2_HalfPunc</ability>
      <abilityName>全半角检查</abilityName>
      <candidateList>
        <item>; </item>
      </candidateList>
      <explain>文本全半角错误。</explain>
      <paraID>1C066F94</paraID>
      <start>14</start>
      <end>15</end>
      <status>ignored</status>
      <modifiedWord/>
      <trackRevisions>false</trackRevisions>
    </reviewItem>
    <reviewItem>
      <errorID>5ae08e9b-0e3c-4142-b82b-d553ae1e2432</errorID>
      <errorWord>；</errorWord>
      <group>L1_Format</group>
      <groupName>格式问题</groupName>
      <ability>L2_HalfPunc</ability>
      <abilityName>全半角检查</abilityName>
      <candidateList>
        <item>; </item>
      </candidateList>
      <explain>文本全半角错误。</explain>
      <paraID>17DCB864</paraID>
      <start>14</start>
      <end>15</end>
      <status>ignored</status>
      <modifiedWord/>
      <trackRevisions>false</trackRevisions>
    </reviewItem>
    <reviewItem>
      <errorID>00397124-1b6d-4a14-9b59-2c6420437b4e</errorID>
      <errorWord>；</errorWord>
      <group>L1_Format</group>
      <groupName>格式问题</groupName>
      <ability>L2_HalfPunc</ability>
      <abilityName>全半角检查</abilityName>
      <candidateList>
        <item>; </item>
      </candidateList>
      <explain>文本全半角错误。</explain>
      <paraID>1F32D569</paraID>
      <start>14</start>
      <end>15</end>
      <status>ignored</status>
      <modifiedWord/>
      <trackRevisions>false</trackRevisions>
    </reviewItem>
    <reviewItem>
      <errorID>c49734d9-b235-4f19-a277-3629e7a947e6</errorID>
      <errorWord>；</errorWord>
      <group>L1_Format</group>
      <groupName>格式问题</groupName>
      <ability>L2_HalfPunc</ability>
      <abilityName>全半角检查</abilityName>
      <candidateList>
        <item>; </item>
      </candidateList>
      <explain>文本全半角错误。</explain>
      <paraID>46E53D20</paraID>
      <start>14</start>
      <end>15</end>
      <status>ignored</status>
      <modifiedWord/>
      <trackRevisions>false</trackRevisions>
    </reviewItem>
    <reviewItem>
      <errorID>e60736dd-16e2-4d76-98f6-387d08abb8f5</errorID>
      <errorWord>；</errorWord>
      <group>L1_Format</group>
      <groupName>格式问题</groupName>
      <ability>L2_HalfPunc</ability>
      <abilityName>全半角检查</abilityName>
      <candidateList>
        <item>; </item>
      </candidateList>
      <explain>文本全半角错误。</explain>
      <paraID>6A26A7F6</paraID>
      <start>14</start>
      <end>15</end>
      <status>ignored</status>
      <modifiedWord/>
      <trackRevisions>false</trackRevisions>
    </reviewItem>
    <reviewItem>
      <errorID>c9be1c0f-2fcb-4522-abfe-02b313894dcb</errorID>
      <errorWord>；</errorWord>
      <group>L1_Format</group>
      <groupName>格式问题</groupName>
      <ability>L2_HalfPunc</ability>
      <abilityName>全半角检查</abilityName>
      <candidateList>
        <item>; </item>
      </candidateList>
      <explain>文本全半角错误。</explain>
      <paraID>524E6650</paraID>
      <start>14</start>
      <end>15</end>
      <status>ignored</status>
      <modifiedWord/>
      <trackRevisions>false</trackRevisions>
    </reviewItem>
    <reviewItem>
      <errorID>1974f1ae-d878-40ca-a9ba-e0125bec4e46</errorID>
      <errorWord>；</errorWord>
      <group>L1_Format</group>
      <groupName>格式问题</groupName>
      <ability>L2_HalfPunc</ability>
      <abilityName>全半角检查</abilityName>
      <candidateList>
        <item>; </item>
      </candidateList>
      <explain>文本全半角错误。</explain>
      <paraID>1C069D05</paraID>
      <start>14</start>
      <end>15</end>
      <status>ignored</status>
      <modifiedWord/>
      <trackRevisions>false</trackRevisions>
    </reviewItem>
    <reviewItem>
      <errorID>a74fec50-9339-4326-b998-4d185a6ec0b8</errorID>
      <errorWord>；</errorWord>
      <group>L1_Format</group>
      <groupName>格式问题</groupName>
      <ability>L2_HalfPunc</ability>
      <abilityName>全半角检查</abilityName>
      <candidateList>
        <item>; </item>
      </candidateList>
      <explain>文本全半角错误。</explain>
      <paraID>308F15A3</paraID>
      <start>14</start>
      <end>15</end>
      <status>ignored</status>
      <modifiedWord/>
      <trackRevisions>false</trackRevisions>
    </reviewItem>
    <reviewItem>
      <errorID>9d33a475-4723-4e21-abe7-dccd788668cb</errorID>
      <errorWord>；</errorWord>
      <group>L1_Format</group>
      <groupName>格式问题</groupName>
      <ability>L2_HalfPunc</ability>
      <abilityName>全半角检查</abilityName>
      <candidateList>
        <item>; </item>
      </candidateList>
      <explain>文本全半角错误。</explain>
      <paraID>716ED0B8</paraID>
      <start>14</start>
      <end>15</end>
      <status>ignored</status>
      <modifiedWord/>
      <trackRevisions>false</trackRevisions>
    </reviewItem>
    <reviewItem>
      <errorID>392c0f42-f409-48c5-8992-f2543770f2c8</errorID>
      <errorWord>；</errorWord>
      <group>L1_Format</group>
      <groupName>格式问题</groupName>
      <ability>L2_HalfPunc</ability>
      <abilityName>全半角检查</abilityName>
      <candidateList>
        <item>; </item>
      </candidateList>
      <explain>文本全半角错误。</explain>
      <paraID> 6143877</paraID>
      <start>14</start>
      <end>15</end>
      <status>ignored</status>
      <modifiedWord/>
      <trackRevisions>false</trackRevisions>
    </reviewItem>
    <reviewItem>
      <errorID>63950155-c0bf-4a56-b936-975913efca93</errorID>
      <errorWord>；</errorWord>
      <group>L1_Format</group>
      <groupName>格式问题</groupName>
      <ability>L2_HalfPunc</ability>
      <abilityName>全半角检查</abilityName>
      <candidateList>
        <item>; </item>
      </candidateList>
      <explain>文本全半角错误。</explain>
      <paraID> 8B5D68A</paraID>
      <start>14</start>
      <end>15</end>
      <status>ignored</status>
      <modifiedWord/>
      <trackRevisions>false</trackRevisions>
    </reviewItem>
    <reviewItem>
      <errorID>6b1be8b4-c58b-4667-ae7a-6498c334dd55</errorID>
      <errorWord>；</errorWord>
      <group>L1_Format</group>
      <groupName>格式问题</groupName>
      <ability>L2_HalfPunc</ability>
      <abilityName>全半角检查</abilityName>
      <candidateList>
        <item>; </item>
      </candidateList>
      <explain>文本全半角错误。</explain>
      <paraID>3A08C88C</paraID>
      <start>14</start>
      <end>15</end>
      <status>ignored</status>
      <modifiedWord/>
      <trackRevisions>false</trackRevisions>
    </reviewItem>
    <reviewItem>
      <errorID>d1cc71b2-f307-4d94-b973-b4a5055ae395</errorID>
      <errorWord>；</errorWord>
      <group>L1_Format</group>
      <groupName>格式问题</groupName>
      <ability>L2_HalfPunc</ability>
      <abilityName>全半角检查</abilityName>
      <candidateList>
        <item>; </item>
      </candidateList>
      <explain>文本全半角错误。</explain>
      <paraID> 3839A9D</paraID>
      <start>14</start>
      <end>15</end>
      <status>ignored</status>
      <modifiedWord/>
      <trackRevisions>false</trackRevisions>
    </reviewItem>
    <reviewItem>
      <errorID>89d5a844-63e5-400c-85bb-df3cdc76a8fb</errorID>
      <errorWord>；</errorWord>
      <group>L1_Format</group>
      <groupName>格式问题</groupName>
      <ability>L2_HalfPunc</ability>
      <abilityName>全半角检查</abilityName>
      <candidateList>
        <item>; </item>
      </candidateList>
      <explain>文本全半角错误。</explain>
      <paraID>52913BC0</paraID>
      <start>14</start>
      <end>15</end>
      <status>ignored</status>
      <modifiedWord/>
      <trackRevisions>false</trackRevisions>
    </reviewItem>
    <reviewItem>
      <errorID>6e004c2c-1f00-4be8-aea6-7a77dba33a6a</errorID>
      <errorWord>；</errorWord>
      <group>L1_Format</group>
      <groupName>格式问题</groupName>
      <ability>L2_HalfPunc</ability>
      <abilityName>全半角检查</abilityName>
      <candidateList>
        <item>; </item>
      </candidateList>
      <explain>文本全半角错误。</explain>
      <paraID>5858CF33</paraID>
      <start>14</start>
      <end>15</end>
      <status>ignored</status>
      <modifiedWord/>
      <trackRevisions>false</trackRevisions>
    </reviewItem>
    <reviewItem>
      <errorID>bf2a111c-4af1-45c8-8be7-4c190cf48b5d</errorID>
      <errorWord>；</errorWord>
      <group>L1_Format</group>
      <groupName>格式问题</groupName>
      <ability>L2_HalfPunc</ability>
      <abilityName>全半角检查</abilityName>
      <candidateList>
        <item>; </item>
      </candidateList>
      <explain>文本全半角错误。</explain>
      <paraID>18CA7990</paraID>
      <start>14</start>
      <end>15</end>
      <status>ignored</status>
      <modifiedWord/>
      <trackRevisions>false</trackRevisions>
    </reviewItem>
    <reviewItem>
      <errorID>8c9b04b1-07ab-46d7-83b6-060557d2253d</errorID>
      <errorWord>；</errorWord>
      <group>L1_Format</group>
      <groupName>格式问题</groupName>
      <ability>L2_HalfPunc</ability>
      <abilityName>全半角检查</abilityName>
      <candidateList>
        <item>; </item>
      </candidateList>
      <explain>文本全半角错误。</explain>
      <paraID>1C3F4819</paraID>
      <start>14</start>
      <end>15</end>
      <status>ignored</status>
      <modifiedWord/>
      <trackRevisions>false</trackRevisions>
    </reviewItem>
    <reviewItem>
      <errorID>db1cfe81-f8b7-46ef-8c5d-0f76bb6af116</errorID>
      <errorWord>；</errorWord>
      <group>L1_Format</group>
      <groupName>格式问题</groupName>
      <ability>L2_HalfPunc</ability>
      <abilityName>全半角检查</abilityName>
      <candidateList>
        <item>; </item>
      </candidateList>
      <explain>文本全半角错误。</explain>
      <paraID>73BB0A79</paraID>
      <start>14</start>
      <end>15</end>
      <status>ignored</status>
      <modifiedWord/>
      <trackRevisions>false</trackRevisions>
    </reviewItem>
    <reviewItem>
      <errorID>b7b218ee-5727-4bb8-8312-44f37ea13662</errorID>
      <errorWord>；</errorWord>
      <group>L1_Format</group>
      <groupName>格式问题</groupName>
      <ability>L2_HalfPunc</ability>
      <abilityName>全半角检查</abilityName>
      <candidateList>
        <item>; </item>
      </candidateList>
      <explain>文本全半角错误。</explain>
      <paraID>6608F294</paraID>
      <start>14</start>
      <end>15</end>
      <status>ignored</status>
      <modifiedWord/>
      <trackRevisions>false</trackRevisions>
    </reviewItem>
    <reviewItem>
      <errorID>aa9f05cd-35ef-414b-a1ac-d57a3e247469</errorID>
      <errorWord>；</errorWord>
      <group>L1_Format</group>
      <groupName>格式问题</groupName>
      <ability>L2_HalfPunc</ability>
      <abilityName>全半角检查</abilityName>
      <candidateList>
        <item>; </item>
      </candidateList>
      <explain>文本全半角错误。</explain>
      <paraID>4215931C</paraID>
      <start>14</start>
      <end>15</end>
      <status>ignored</status>
      <modifiedWord/>
      <trackRevisions>false</trackRevisions>
    </reviewItem>
    <reviewItem>
      <errorID>1f116238-f714-4960-9b30-3b1d89840c9f</errorID>
      <errorWord>；</errorWord>
      <group>L1_Format</group>
      <groupName>格式问题</groupName>
      <ability>L2_HalfPunc</ability>
      <abilityName>全半角检查</abilityName>
      <candidateList>
        <item>; </item>
      </candidateList>
      <explain>文本全半角错误。</explain>
      <paraID>184FFDC0</paraID>
      <start>14</start>
      <end>15</end>
      <status>ignored</status>
      <modifiedWord/>
      <trackRevisions>false</trackRevisions>
    </reviewItem>
    <reviewItem>
      <errorID>24a27ff0-eae1-41fd-9556-52ecceb7a8ab</errorID>
      <errorWord>；</errorWord>
      <group>L1_Format</group>
      <groupName>格式问题</groupName>
      <ability>L2_HalfPunc</ability>
      <abilityName>全半角检查</abilityName>
      <candidateList>
        <item>; </item>
      </candidateList>
      <explain>文本全半角错误。</explain>
      <paraID>6A816BCC</paraID>
      <start>14</start>
      <end>15</end>
      <status>ignored</status>
      <modifiedWord/>
      <trackRevisions>false</trackRevisions>
    </reviewItem>
    <reviewItem>
      <errorID>697ce3e8-c3a0-4e40-8f00-faffa1727357</errorID>
      <errorWord>；</errorWord>
      <group>L1_Format</group>
      <groupName>格式问题</groupName>
      <ability>L2_HalfPunc</ability>
      <abilityName>全半角检查</abilityName>
      <candidateList>
        <item>; </item>
      </candidateList>
      <explain>文本全半角错误。</explain>
      <paraID>6B186D03</paraID>
      <start>14</start>
      <end>15</end>
      <status>ignored</status>
      <modifiedWord/>
      <trackRevisions>false</trackRevisions>
    </reviewItem>
    <reviewItem>
      <errorID>2a5b13b4-e4d4-4568-9657-8622bda6d981</errorID>
      <errorWord>；</errorWord>
      <group>L1_Format</group>
      <groupName>格式问题</groupName>
      <ability>L2_HalfPunc</ability>
      <abilityName>全半角检查</abilityName>
      <candidateList>
        <item>; </item>
      </candidateList>
      <explain>文本全半角错误。</explain>
      <paraID>355F00C0</paraID>
      <start>14</start>
      <end>15</end>
      <status>ignored</status>
      <modifiedWord/>
      <trackRevisions>false</trackRevisions>
    </reviewItem>
    <reviewItem>
      <errorID>0a3c2ec3-9a81-4d7d-950a-1ac28134d95a</errorID>
      <errorWord>；</errorWord>
      <group>L1_Format</group>
      <groupName>格式问题</groupName>
      <ability>L2_HalfPunc</ability>
      <abilityName>全半角检查</abilityName>
      <candidateList>
        <item>; </item>
      </candidateList>
      <explain>文本全半角错误。</explain>
      <paraID>65FBA25C</paraID>
      <start>14</start>
      <end>15</end>
      <status>ignored</status>
      <modifiedWord/>
      <trackRevisions>false</trackRevisions>
    </reviewItem>
    <reviewItem>
      <errorID>30d3836f-b187-49eb-a2f8-c7d6b4bf38f2</errorID>
      <errorWord>在一般</errorWord>
      <group>L1_Word</group>
      <groupName>字词问题</groupName>
      <ability>L2_Typo</ability>
      <abilityName>字词错误</abilityName>
      <candidateList>
        <item>一般</item>
      </candidateList>
      <explain>❶〈形〉一样；同样：哥儿俩长得～高｜火车飞～地向前驰去。❷数量词。一种：别有～滋味。❸〈形〉普通；通常：～性｜～化｜～情况｜他一早出去，～要到天黑才回家｜～地说，吃这种药是很见效的。</explain>
      <paraID>7DB6AA59</paraID>
      <start>126</start>
      <end>128</end>
      <status>modified</status>
      <modifiedWord>一般</modifiedWord>
      <trackRevisions>false</trackRevisions>
    </reviewItem>
    <reviewItem>
      <errorID>3e8d5dc7-ba43-4572-947b-1877a7826e26</errorID>
      <errorWord>设</errorWord>
      <group>L1_Word</group>
      <groupName>字词问题</groupName>
      <ability>L2_Typo</ability>
      <abilityName>字词错误</abilityName>
      <candidateList>
        <item>设置</item>
      </candidateList>
      <explain>〈动〉❶设立：这座剧院是为儿童～的。❷安放；安装：～障碍。</explain>
      <paraID>2385D3E7</paraID>
      <start>133</start>
      <end>135</end>
      <status>modified</status>
      <modifiedWord>设置</modifiedWord>
      <trackRevisions>false</trackRevisions>
    </reviewItem>
    <reviewItem>
      <errorID>a0d47241-9570-4d02-b97f-5234b259aca8</errorID>
      <errorWord>，</errorWord>
      <group>L1_Word</group>
      <groupName>字词问题</groupName>
      <ability>L2_Typo</ability>
      <abilityName>字词错误</abilityName>
      <candidateList>
        <item>，在</item>
      </candidateList>
      <explain/>
      <paraID> 7FDD24D</paraID>
      <start>53</start>
      <end>54</end>
      <status>ignored</status>
      <modifiedWord/>
      <trackRevisions>false</trackRevisions>
    </reviewItem>
    <reviewItem>
      <errorID>3a1b6623-efda-4cae-863a-9c2099ee245e</errorID>
      <errorWord>绿色和</errorWord>
      <group>L1_Word</group>
      <groupName>字词问题</groupName>
      <ability>L2_Typo</ability>
      <abilityName>字词错误</abilityName>
      <candidateList>
        <item>绿色</item>
      </candidateList>
      <explain/>
      <paraID>6F2A1C68</paraID>
      <start>78</start>
      <end>80</end>
      <status>modified</status>
      <modifiedWord>绿色</modifiedWord>
      <trackRevisions>false</trackRevisions>
    </reviewItem>
    <reviewItem>
      <errorID>4357f6a3-124b-4681-bd09-71570df47fd5</errorID>
      <errorWord>泄露</errorWord>
      <group>L1_Word</group>
      <groupName>字词问题</groupName>
      <ability>L2_Typo</ability>
      <abilityName>字词错误</abilityName>
      <candidateList>
        <item>泄漏</item>
      </candidateList>
      <explain/>
      <paraID>146D9713</paraID>
      <start>18</start>
      <end>20</end>
      <status>ignored</status>
      <modifiedWord/>
      <trackRevisions>false</trackRevisions>
    </reviewItem>
    <reviewItem>
      <errorID>8003d2f2-2079-4f97-b25f-0dca5edfdb9d</errorID>
      <errorWord>，</errorWord>
      <group>L1_Word</group>
      <groupName>字词问题</groupName>
      <ability>L2_Typo</ability>
      <abilityName>字词错误</abilityName>
      <candidateList>
        <item>，在</item>
      </candidateList>
      <explain/>
      <paraID>59C5D9D4</paraID>
      <start>19</start>
      <end>20</end>
      <status>ignored</status>
      <modifiedWord/>
      <trackRevisions>false</trackRevisions>
    </reviewItem>
    <reviewItem>
      <errorID>f6284134-0b0c-4651-912b-7ba611427975</errorID>
      <errorWord>泄露</errorWord>
      <group>L1_Word</group>
      <groupName>字词问题</groupName>
      <ability>L2_Typo</ability>
      <abilityName>字词错误</abilityName>
      <candidateList>
        <item>泄漏</item>
      </candidateList>
      <explain/>
      <paraID>7558ACBE</paraID>
      <start>25</start>
      <end>27</end>
      <status>ignored</status>
      <modifiedWord/>
      <trackRevisions>false</trackRevisions>
    </reviewItem>
    <reviewItem>
      <errorID>149e91ab-27f0-4c89-85e6-0bae407b7b19</errorID>
      <errorWord>，</errorWord>
      <group>L1_Word</group>
      <groupName>字词问题</groupName>
      <ability>L2_Typo</ability>
      <abilityName>字词错误</abilityName>
      <candidateList>
        <item>，在</item>
      </candidateList>
      <explain/>
      <paraID>7E1B7C12</paraID>
      <start>27</start>
      <end>28</end>
      <status>ignored</status>
      <modifiedWord/>
      <trackRevisions>false</trackRevisions>
    </reviewItem>
    <reviewItem>
      <errorID>0ebd6424-dd5d-40a0-a1a5-6ac96c426339</errorID>
      <errorWord>约为</errorWord>
      <group>L1_Word</group>
      <groupName>字词问题</groupName>
      <ability>L2_Typo</ability>
      <abilityName>字词错误</abilityName>
      <candidateList>
        <item>约</item>
      </candidateList>
      <explain/>
      <paraID>744BA6F1</paraID>
      <start>20</start>
      <end>21</end>
      <status>modified</status>
      <modifiedWord>约</modifiedWord>
      <trackRevisions>false</trackRevisions>
    </reviewItem>
    <reviewItem>
      <errorID>d0a92e39-5bf3-451b-98d5-35f70c0a469d</errorID>
      <errorWord>水源地由水源地由</errorWord>
      <group>L1_Word</group>
      <groupName>字词问题</groupName>
      <ability>L2_Typo</ability>
      <abilityName>字词错误</abilityName>
      <candidateList>
        <item>水源地由</item>
      </candidateList>
      <explain/>
      <paraID>4AB7E00E</paraID>
      <start>0</start>
      <end>4</end>
      <status>modified</status>
      <modifiedWord>水源地由</modifiedWord>
      <trackRevisions>false</trackRevisions>
    </reviewItem>
    <reviewItem>
      <errorID>34904139-5e1a-4573-8b99-c92dc85c5444</errorID>
      <errorWord>价</errorWord>
      <group>L1_Word</group>
      <groupName>字词问题</groupName>
      <ability>L2_Typo</ability>
      <abilityName>字词错误</abilityName>
      <candidateList>
        <item>价格</item>
      </candidateList>
      <explain/>
      <paraID>5C8D5AD8</paraID>
      <start>108</start>
      <end>110</end>
      <status>modified</status>
      <modifiedWord>价格</modifiedWord>
      <trackRevisions>false</trackRevisions>
    </reviewItem>
    <reviewItem>
      <errorID>27f1549f-0b1b-4923-8b6c-8f2548bc7562</errorID>
      <errorWord>使用</errorWord>
      <group>L1_Word</group>
      <groupName>字词问题</groupName>
      <ability>L2_Typo</ability>
      <abilityName>字词错误</abilityName>
      <candidateList>
        <item>采取</item>
      </candidateList>
      <explain>“使用～措施”搭配不当，建议修改为“采取～措施”。</explain>
      <paraID>78B0DC65</paraID>
      <start>10</start>
      <end>12</end>
      <status>ignored</status>
      <modifiedWord/>
      <trackRevisions>false</trackRevisions>
    </reviewItem>
  </reviewItems>
  <config/>
</contractReview>
</file>

<file path=customXml/item3.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41c87d82-23ae-4b16-9ce0-3a53775354ab}">
  <ds:schemaRefs/>
</ds:datastoreItem>
</file>

<file path=customXml/itemProps3.xml><?xml version="1.0" encoding="utf-8"?>
<ds:datastoreItem xmlns:ds="http://schemas.openxmlformats.org/officeDocument/2006/customXml" ds:itemID="{1867ED27-C8FF-490D-A22D-BFB569F744AF}">
  <ds:schemaRefs/>
</ds:datastoreItem>
</file>

<file path=docProps/app.xml><?xml version="1.0" encoding="utf-8"?>
<Properties xmlns="http://schemas.openxmlformats.org/officeDocument/2006/extended-properties" xmlns:vt="http://schemas.openxmlformats.org/officeDocument/2006/docPropsVTypes">
  <Template>Normal.dotm</Template>
  <Company>daohangxitong.com</Company>
  <Pages>197</Pages>
  <Words>19062</Words>
  <Characters>20578</Characters>
  <Lines>499</Lines>
  <Paragraphs>140</Paragraphs>
  <TotalTime>1</TotalTime>
  <ScaleCrop>false</ScaleCrop>
  <LinksUpToDate>false</LinksUpToDate>
  <CharactersWithSpaces>20698</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2025-05-30T00:43:00Z</dcterms:created>
  <dc:creator>Administrator</dc:creator>
  <cp:lastModifiedBy>AXBY6688</cp:lastModifiedBy>
  <cp:lastPrinted>2025-11-11T08:36:00Z</cp:lastPrinted>
  <dcterms:modified xsi:type="dcterms:W3CDTF">2026-04-13T06:42:26Z</dcterms:modified>
  <cp:revision>37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ICV">
    <vt:lpwstr>DA17BD2D8D994281AEC5128B524B4043_13</vt:lpwstr>
  </property>
  <property fmtid="{D5CDD505-2E9C-101B-9397-08002B2CF9AE}" pid="4" name="KSOTemplateDocerSaveRecord">
    <vt:lpwstr>eyJoZGlkIjoiZmM3MDQxNTk1MzRlOTc0OWQ4MDMxOTJlNWM3ODg3NTEiLCJ1c2VySWQiOiIxMzI0MjAwNzk0In0=</vt:lpwstr>
  </property>
</Properties>
</file>