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仿宋_GB2312" w:cs="Times New Roman"/>
          <w:color w:val="auto"/>
          <w:sz w:val="36"/>
          <w:szCs w:val="36"/>
          <w:lang w:val="en-US" w:eastAsia="zh-CN"/>
        </w:rPr>
      </w:pPr>
      <w:bookmarkStart w:id="0" w:name="_Toc68775751"/>
      <w:r>
        <w:rPr>
          <w:rFonts w:hint="eastAsia" w:eastAsia="仿宋_GB2312" w:cs="Times New Roman"/>
          <w:color w:val="auto"/>
          <w:sz w:val="36"/>
          <w:szCs w:val="36"/>
          <w:lang w:val="en-US" w:eastAsia="zh-CN"/>
        </w:rPr>
        <w:t xml:space="preserve"> </w:t>
      </w: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bookmarkStart w:id="1" w:name="_Toc75874122"/>
      <w:bookmarkStart w:id="2" w:name="_Toc25504"/>
      <w:bookmarkStart w:id="3" w:name="_Toc75355413"/>
      <w:bookmarkStart w:id="4" w:name="_Toc31292"/>
      <w:bookmarkStart w:id="5" w:name="_Toc951"/>
      <w:bookmarkStart w:id="6" w:name="_Toc5097"/>
      <w:bookmarkStart w:id="7" w:name="_Toc13879"/>
      <w:bookmarkStart w:id="8" w:name="_Toc76038171"/>
      <w:bookmarkStart w:id="9" w:name="_Toc25501"/>
      <w:bookmarkStart w:id="10" w:name="_Toc3644"/>
      <w:bookmarkStart w:id="11" w:name="_Toc19174"/>
      <w:bookmarkStart w:id="12" w:name="_Toc77162883"/>
      <w:bookmarkStart w:id="13" w:name="_Toc17897"/>
      <w:bookmarkStart w:id="14" w:name="_Toc16779"/>
      <w:bookmarkStart w:id="15" w:name="_Toc28939"/>
      <w:bookmarkStart w:id="16" w:name="_Toc15254"/>
      <w:bookmarkStart w:id="17" w:name="_Toc77162817"/>
      <w:bookmarkStart w:id="18" w:name="_Toc3339"/>
      <w:r>
        <w:rPr>
          <w:rFonts w:hint="default" w:ascii="Times New Roman" w:hAnsi="Times New Roman" w:eastAsia="方正小标宋_GBK" w:cs="Times New Roman"/>
          <w:bCs/>
          <w:color w:val="auto"/>
          <w:sz w:val="72"/>
          <w:szCs w:val="72"/>
        </w:rPr>
        <w:t>建设项目环境影响报告表</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adjustRightInd w:val="0"/>
        <w:snapToGrid w:val="0"/>
        <w:spacing w:line="288" w:lineRule="auto"/>
        <w:jc w:val="center"/>
        <w:rPr>
          <w:rFonts w:hint="default" w:ascii="Times New Roman" w:hAnsi="Times New Roman" w:eastAsia="华文仿宋" w:cs="Times New Roman"/>
          <w:color w:val="auto"/>
          <w:kern w:val="44"/>
          <w:sz w:val="44"/>
          <w:szCs w:val="44"/>
        </w:rPr>
      </w:pPr>
    </w:p>
    <w:p>
      <w:pPr>
        <w:adjustRightInd w:val="0"/>
        <w:snapToGrid w:val="0"/>
        <w:spacing w:line="288" w:lineRule="auto"/>
        <w:jc w:val="center"/>
        <w:rPr>
          <w:rFonts w:hint="default" w:ascii="Times New Roman" w:hAnsi="Times New Roman" w:eastAsia="华文仿宋" w:cs="Times New Roman"/>
          <w:color w:val="auto"/>
          <w:kern w:val="44"/>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rPr>
          <w:rFonts w:hint="default" w:ascii="Times New Roman" w:hAnsi="Times New Roman" w:eastAsia="仿宋" w:cs="Times New Roman"/>
          <w:color w:val="auto"/>
          <w:sz w:val="44"/>
          <w:szCs w:val="44"/>
        </w:rPr>
      </w:pPr>
    </w:p>
    <w:p>
      <w:pPr>
        <w:adjustRightInd w:val="0"/>
        <w:snapToGrid w:val="0"/>
        <w:spacing w:line="360" w:lineRule="auto"/>
        <w:ind w:left="2880" w:hanging="2880" w:hangingChars="900"/>
        <w:rPr>
          <w:rFonts w:hint="default" w:ascii="Times New Roman" w:hAnsi="Times New Roman" w:cs="Times New Roman"/>
          <w:color w:val="auto"/>
          <w:sz w:val="32"/>
          <w:szCs w:val="32"/>
          <w:u w:val="single"/>
          <w:lang w:val="en-US"/>
        </w:rPr>
      </w:pPr>
      <w:r>
        <w:rPr>
          <w:rFonts w:hint="default" w:ascii="Times New Roman" w:hAnsi="Times New Roman" w:cs="Times New Roman"/>
          <w:color w:val="auto"/>
          <w:sz w:val="32"/>
          <w:szCs w:val="32"/>
        </w:rPr>
        <w:t>项目名称 ：</w:t>
      </w:r>
      <w:r>
        <w:rPr>
          <w:rFonts w:hint="eastAsia" w:ascii="Times New Roman" w:hAnsi="Times New Roman" w:cs="Times New Roman"/>
          <w:color w:val="auto"/>
          <w:sz w:val="32"/>
          <w:szCs w:val="32"/>
          <w:u w:val="single"/>
          <w:lang w:val="en-US" w:eastAsia="zh-CN"/>
        </w:rPr>
        <w:t xml:space="preserve"> 东台建鼎石材有限公司庆安分公司石料加工项目 </w:t>
      </w:r>
    </w:p>
    <w:p>
      <w:pPr>
        <w:adjustRightInd w:val="0"/>
        <w:snapToGrid w:val="0"/>
        <w:spacing w:line="360" w:lineRule="auto"/>
        <w:rPr>
          <w:rFonts w:hint="default" w:ascii="Times New Roman" w:hAnsi="Times New Roman" w:cs="Times New Roman"/>
          <w:color w:val="auto"/>
          <w:sz w:val="32"/>
          <w:szCs w:val="32"/>
          <w:u w:val="single"/>
        </w:rPr>
      </w:pPr>
      <w:r>
        <w:rPr>
          <w:rFonts w:hint="default" w:ascii="Times New Roman" w:hAnsi="Times New Roman" w:cs="Times New Roman"/>
          <w:color w:val="auto"/>
          <w:sz w:val="32"/>
          <w:szCs w:val="32"/>
        </w:rPr>
        <w:t>建设单位（盖章）：</w:t>
      </w:r>
      <w:r>
        <w:rPr>
          <w:rFonts w:hint="eastAsia" w:ascii="Times New Roman" w:hAnsi="Times New Roman" w:cs="Times New Roman"/>
          <w:color w:val="auto"/>
          <w:sz w:val="32"/>
          <w:szCs w:val="32"/>
          <w:u w:val="single"/>
          <w:lang w:val="en-US" w:eastAsia="zh-CN"/>
        </w:rPr>
        <w:t xml:space="preserve">  东台建鼎石材有限公司庆安分公司</w:t>
      </w:r>
      <w:r>
        <w:rPr>
          <w:rFonts w:hint="default" w:ascii="Times New Roman" w:hAnsi="Times New Roman" w:cs="Times New Roman"/>
          <w:color w:val="auto"/>
          <w:sz w:val="32"/>
          <w:szCs w:val="32"/>
          <w:u w:val="single"/>
        </w:rPr>
        <w:t xml:space="preserve"> </w:t>
      </w:r>
      <w:r>
        <w:rPr>
          <w:rFonts w:hint="eastAsia" w:ascii="Times New Roman" w:hAnsi="Times New Roman" w:cs="Times New Roman"/>
          <w:color w:val="auto"/>
          <w:sz w:val="32"/>
          <w:szCs w:val="32"/>
          <w:u w:val="single"/>
          <w:lang w:val="en-US" w:eastAsia="zh-CN"/>
        </w:rPr>
        <w:t xml:space="preserve">    </w:t>
      </w:r>
    </w:p>
    <w:p>
      <w:pPr>
        <w:adjustRightInd w:val="0"/>
        <w:snapToGrid w:val="0"/>
        <w:spacing w:line="360" w:lineRule="auto"/>
        <w:rPr>
          <w:rFonts w:hint="default" w:ascii="Times New Roman" w:hAnsi="Times New Roman" w:cs="Times New Roman"/>
          <w:color w:val="auto"/>
          <w:sz w:val="36"/>
          <w:szCs w:val="36"/>
          <w:u w:val="single"/>
        </w:rPr>
      </w:pPr>
      <w:r>
        <w:rPr>
          <w:rFonts w:hint="default" w:ascii="Times New Roman" w:hAnsi="Times New Roman" w:cs="Times New Roman"/>
          <w:color w:val="auto"/>
          <w:sz w:val="32"/>
          <w:szCs w:val="32"/>
        </w:rPr>
        <w:t>编  制  日  期 ：</w:t>
      </w:r>
      <w:r>
        <w:rPr>
          <w:rFonts w:hint="default" w:ascii="Times New Roman" w:hAnsi="Times New Roman" w:cs="Times New Roman"/>
          <w:color w:val="auto"/>
          <w:sz w:val="32"/>
          <w:szCs w:val="32"/>
          <w:u w:val="single"/>
        </w:rPr>
        <w:t xml:space="preserve">  </w:t>
      </w:r>
      <w:r>
        <w:rPr>
          <w:rFonts w:hint="eastAsia" w:ascii="Times New Roman" w:hAnsi="Times New Roman" w:cs="Times New Roman"/>
          <w:color w:val="auto"/>
          <w:sz w:val="32"/>
          <w:szCs w:val="32"/>
          <w:u w:val="single"/>
          <w:lang w:val="en-US" w:eastAsia="zh-CN"/>
        </w:rPr>
        <w:t xml:space="preserve">           </w:t>
      </w:r>
      <w:r>
        <w:rPr>
          <w:rFonts w:hint="default" w:ascii="Times New Roman" w:hAnsi="Times New Roman" w:cs="Times New Roman"/>
          <w:color w:val="auto"/>
          <w:sz w:val="32"/>
          <w:szCs w:val="32"/>
          <w:u w:val="single"/>
        </w:rPr>
        <w:t>202</w:t>
      </w:r>
      <w:r>
        <w:rPr>
          <w:rFonts w:hint="eastAsia" w:ascii="Times New Roman" w:hAnsi="Times New Roman" w:cs="Times New Roman"/>
          <w:color w:val="auto"/>
          <w:sz w:val="32"/>
          <w:szCs w:val="32"/>
          <w:u w:val="single"/>
          <w:lang w:val="en-US" w:eastAsia="zh-CN"/>
        </w:rPr>
        <w:t>3</w:t>
      </w:r>
      <w:r>
        <w:rPr>
          <w:rFonts w:hint="default" w:ascii="Times New Roman" w:hAnsi="Times New Roman" w:cs="Times New Roman"/>
          <w:color w:val="auto"/>
          <w:sz w:val="32"/>
          <w:szCs w:val="32"/>
          <w:u w:val="single"/>
        </w:rPr>
        <w:t>年</w:t>
      </w:r>
      <w:r>
        <w:rPr>
          <w:rFonts w:hint="eastAsia" w:ascii="Times New Roman" w:hAnsi="Times New Roman" w:cs="Times New Roman"/>
          <w:color w:val="auto"/>
          <w:sz w:val="32"/>
          <w:szCs w:val="32"/>
          <w:u w:val="single"/>
          <w:lang w:val="en-US" w:eastAsia="zh-CN"/>
        </w:rPr>
        <w:t>08</w:t>
      </w:r>
      <w:r>
        <w:rPr>
          <w:rFonts w:hint="default" w:ascii="Times New Roman" w:hAnsi="Times New Roman" w:cs="Times New Roman"/>
          <w:color w:val="auto"/>
          <w:sz w:val="32"/>
          <w:szCs w:val="32"/>
          <w:u w:val="single"/>
        </w:rPr>
        <w:t xml:space="preserve">月 </w:t>
      </w:r>
      <w:r>
        <w:rPr>
          <w:rFonts w:hint="eastAsia" w:ascii="Times New Roman" w:hAnsi="Times New Roman" w:cs="Times New Roman"/>
          <w:color w:val="auto"/>
          <w:sz w:val="32"/>
          <w:szCs w:val="32"/>
          <w:u w:val="single"/>
          <w:lang w:val="en-US" w:eastAsia="zh-CN"/>
        </w:rPr>
        <w:t xml:space="preserve">            </w:t>
      </w:r>
      <w:r>
        <w:rPr>
          <w:rFonts w:hint="default" w:ascii="Times New Roman" w:hAnsi="Times New Roman" w:cs="Times New Roman"/>
          <w:color w:val="auto"/>
          <w:sz w:val="32"/>
          <w:szCs w:val="32"/>
          <w:u w:val="single"/>
        </w:rPr>
        <w:t xml:space="preserve"> </w:t>
      </w: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19"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rPr>
          <w:rFonts w:hint="default" w:ascii="Times New Roman" w:hAnsi="Times New Roman" w:eastAsia="仿宋_GB2312" w:cs="Times New Roman"/>
          <w:color w:val="auto"/>
          <w:sz w:val="36"/>
          <w:szCs w:val="36"/>
        </w:rPr>
      </w:pPr>
    </w:p>
    <w:bookmarkEnd w:id="19"/>
    <w:p>
      <w:pPr>
        <w:adjustRightInd w:val="0"/>
        <w:snapToGrid w:val="0"/>
        <w:spacing w:line="360" w:lineRule="auto"/>
        <w:jc w:val="center"/>
        <w:rPr>
          <w:rFonts w:hint="eastAsia" w:ascii="Times New Roman" w:hAnsi="Times New Roman" w:eastAsia="宋体" w:cs="Times New Roman"/>
          <w:color w:val="auto"/>
          <w:sz w:val="32"/>
          <w:szCs w:val="32"/>
          <w:lang w:eastAsia="zh-CN"/>
        </w:rPr>
      </w:pPr>
      <w:r>
        <w:rPr>
          <w:rFonts w:hint="default" w:ascii="Times New Roman" w:hAnsi="Times New Roman" w:cs="Times New Roman"/>
          <w:color w:val="auto"/>
          <w:sz w:val="32"/>
          <w:szCs w:val="32"/>
        </w:rPr>
        <w:t>中华人民共和国生态环境部制</w:t>
      </w:r>
      <w:r>
        <w:rPr>
          <w:rFonts w:hint="eastAsia" w:ascii="Times New Roman" w:hAnsi="Times New Roman" w:eastAsia="宋体" w:cs="Times New Roman"/>
          <w:color w:val="auto"/>
          <w:sz w:val="32"/>
          <w:szCs w:val="32"/>
          <w:lang w:eastAsia="zh-CN"/>
        </w:rPr>
        <w:drawing>
          <wp:inline distT="0" distB="0" distL="114300" distR="114300">
            <wp:extent cx="5612130" cy="7944485"/>
            <wp:effectExtent l="0" t="0" r="11430" b="10795"/>
            <wp:docPr id="16" name="图片 16" descr="初版资质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初版资质页"/>
                    <pic:cNvPicPr>
                      <a:picLocks noChangeAspect="1"/>
                    </pic:cNvPicPr>
                  </pic:nvPicPr>
                  <pic:blipFill>
                    <a:blip r:embed="rId7"/>
                    <a:stretch>
                      <a:fillRect/>
                    </a:stretch>
                  </pic:blipFill>
                  <pic:spPr>
                    <a:xfrm>
                      <a:off x="0" y="0"/>
                      <a:ext cx="5612130" cy="7944485"/>
                    </a:xfrm>
                    <a:prstGeom prst="rect">
                      <a:avLst/>
                    </a:prstGeom>
                  </pic:spPr>
                </pic:pic>
              </a:graphicData>
            </a:graphic>
          </wp:inline>
        </w:drawing>
      </w:r>
    </w:p>
    <w:p>
      <w:pPr>
        <w:rPr>
          <w:rFonts w:hint="default" w:ascii="Times New Roman" w:hAnsi="Times New Roman" w:cs="Times New Roman"/>
          <w:color w:val="auto"/>
          <w:sz w:val="32"/>
          <w:szCs w:val="32"/>
        </w:rPr>
      </w:pPr>
    </w:p>
    <w:p>
      <w:pPr>
        <w:pStyle w:val="2"/>
        <w:rPr>
          <w:rFonts w:hint="default"/>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38"/>
        <w:jc w:val="center"/>
      </w:pPr>
    </w:p>
    <w:bookmarkEnd w:id="0"/>
    <w:sdt>
      <w:sdtPr>
        <w:rPr>
          <w:lang w:val="en-US" w:eastAsia="zh-CN"/>
        </w:rPr>
        <w:id w:val="147455855"/>
        <w15:color w:val="DBDBDB"/>
        <w:docPartObj>
          <w:docPartGallery w:val="Table of Contents"/>
          <w:docPartUnique/>
        </w:docPartObj>
      </w:sdtPr>
      <w:sdtEndPr>
        <w:rPr>
          <w:lang w:val="en-US" w:eastAsia="zh-CN"/>
        </w:rPr>
      </w:sdtEndPr>
      <w:sdtContent>
        <w:p>
          <w:pPr>
            <w:pStyle w:val="3"/>
            <w:bidi w:val="0"/>
            <w:jc w:val="center"/>
          </w:pPr>
          <w:bookmarkStart w:id="20" w:name="_Toc32118"/>
          <w:bookmarkStart w:id="21" w:name="_Toc28607"/>
          <w:bookmarkStart w:id="22" w:name="_Toc68775752"/>
          <w:bookmarkStart w:id="23" w:name="_Toc13305"/>
          <w:r>
            <w:t>目录</w:t>
          </w:r>
          <w:bookmarkEnd w:id="20"/>
          <w:bookmarkEnd w:id="21"/>
        </w:p>
        <w:p>
          <w:pPr>
            <w:pStyle w:val="21"/>
            <w:tabs>
              <w:tab w:val="right" w:leader="dot" w:pos="8844"/>
            </w:tabs>
          </w:pPr>
          <w:r>
            <w:fldChar w:fldCharType="begin"/>
          </w:r>
          <w:r>
            <w:instrText xml:space="preserve">TOC \o "1-3" \h \u </w:instrText>
          </w:r>
          <w:r>
            <w:fldChar w:fldCharType="separate"/>
          </w:r>
        </w:p>
        <w:p>
          <w:pPr>
            <w:pStyle w:val="21"/>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rPr>
            <w:fldChar w:fldCharType="begin"/>
          </w:r>
          <w:r>
            <w:rPr>
              <w:b/>
              <w:bCs/>
            </w:rPr>
            <w:instrText xml:space="preserve"> HYPERLINK \l _Toc3583 </w:instrText>
          </w:r>
          <w:r>
            <w:rPr>
              <w:b/>
              <w:bCs/>
            </w:rPr>
            <w:fldChar w:fldCharType="separate"/>
          </w:r>
          <w:r>
            <w:rPr>
              <w:rFonts w:hint="eastAsia" w:ascii="黑体" w:hAnsi="黑体" w:eastAsia="黑体"/>
              <w:b/>
              <w:bCs/>
              <w:snapToGrid w:val="0"/>
              <w:szCs w:val="30"/>
              <w:highlight w:val="none"/>
            </w:rPr>
            <w:t>一、建设项目基本情况</w:t>
          </w:r>
          <w:r>
            <w:rPr>
              <w:b/>
              <w:bCs/>
            </w:rPr>
            <w:tab/>
          </w:r>
          <w:r>
            <w:rPr>
              <w:b/>
              <w:bCs/>
            </w:rPr>
            <w:fldChar w:fldCharType="begin"/>
          </w:r>
          <w:r>
            <w:rPr>
              <w:b/>
              <w:bCs/>
            </w:rPr>
            <w:instrText xml:space="preserve"> PAGEREF _Toc3583 \h </w:instrText>
          </w:r>
          <w:r>
            <w:rPr>
              <w:b/>
              <w:bCs/>
            </w:rPr>
            <w:fldChar w:fldCharType="separate"/>
          </w:r>
          <w:r>
            <w:rPr>
              <w:b/>
              <w:bCs/>
            </w:rPr>
            <w:t>1</w:t>
          </w:r>
          <w:r>
            <w:rPr>
              <w:b/>
              <w:bCs/>
            </w:rPr>
            <w:fldChar w:fldCharType="end"/>
          </w:r>
          <w:r>
            <w:rPr>
              <w:b/>
              <w:bCs/>
            </w:rPr>
            <w:fldChar w:fldCharType="end"/>
          </w:r>
        </w:p>
        <w:p>
          <w:pPr>
            <w:pStyle w:val="21"/>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rPr>
            <w:fldChar w:fldCharType="begin"/>
          </w:r>
          <w:r>
            <w:rPr>
              <w:b/>
              <w:bCs/>
            </w:rPr>
            <w:instrText xml:space="preserve"> HYPERLINK \l _Toc19638 </w:instrText>
          </w:r>
          <w:r>
            <w:rPr>
              <w:b/>
              <w:bCs/>
            </w:rPr>
            <w:fldChar w:fldCharType="separate"/>
          </w:r>
          <w:r>
            <w:rPr>
              <w:rFonts w:hint="eastAsia" w:ascii="黑体" w:hAnsi="黑体" w:eastAsia="黑体" w:cs="Times New Roman"/>
              <w:b/>
              <w:bCs/>
              <w:snapToGrid w:val="0"/>
              <w:szCs w:val="30"/>
              <w:highlight w:val="none"/>
            </w:rPr>
            <w:t>二、建设项目工程分析</w:t>
          </w:r>
          <w:r>
            <w:rPr>
              <w:b/>
              <w:bCs/>
            </w:rPr>
            <w:tab/>
          </w:r>
          <w:r>
            <w:rPr>
              <w:b/>
              <w:bCs/>
            </w:rPr>
            <w:fldChar w:fldCharType="begin"/>
          </w:r>
          <w:r>
            <w:rPr>
              <w:b/>
              <w:bCs/>
            </w:rPr>
            <w:instrText xml:space="preserve"> PAGEREF _Toc19638 \h </w:instrText>
          </w:r>
          <w:r>
            <w:rPr>
              <w:b/>
              <w:bCs/>
            </w:rPr>
            <w:fldChar w:fldCharType="separate"/>
          </w:r>
          <w:r>
            <w:rPr>
              <w:b/>
              <w:bCs/>
            </w:rPr>
            <w:t>9</w:t>
          </w:r>
          <w:r>
            <w:rPr>
              <w:b/>
              <w:bCs/>
            </w:rPr>
            <w:fldChar w:fldCharType="end"/>
          </w:r>
          <w:r>
            <w:rPr>
              <w:b/>
              <w:bCs/>
            </w:rPr>
            <w:fldChar w:fldCharType="end"/>
          </w:r>
        </w:p>
        <w:p>
          <w:pPr>
            <w:pStyle w:val="21"/>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rPr>
            <w:fldChar w:fldCharType="begin"/>
          </w:r>
          <w:r>
            <w:rPr>
              <w:b/>
              <w:bCs/>
            </w:rPr>
            <w:instrText xml:space="preserve"> HYPERLINK \l _Toc16010 </w:instrText>
          </w:r>
          <w:r>
            <w:rPr>
              <w:b/>
              <w:bCs/>
            </w:rPr>
            <w:fldChar w:fldCharType="separate"/>
          </w:r>
          <w:r>
            <w:rPr>
              <w:rFonts w:hint="eastAsia" w:ascii="黑体" w:hAnsi="黑体" w:eastAsia="黑体" w:cs="Times New Roman"/>
              <w:b/>
              <w:bCs/>
              <w:snapToGrid w:val="0"/>
              <w:szCs w:val="30"/>
              <w:highlight w:val="none"/>
            </w:rPr>
            <w:t>三、区域环境质量现状、环境保护目标及评价标准</w:t>
          </w:r>
          <w:r>
            <w:rPr>
              <w:b/>
              <w:bCs/>
            </w:rPr>
            <w:tab/>
          </w:r>
          <w:r>
            <w:rPr>
              <w:b/>
              <w:bCs/>
            </w:rPr>
            <w:fldChar w:fldCharType="begin"/>
          </w:r>
          <w:r>
            <w:rPr>
              <w:b/>
              <w:bCs/>
            </w:rPr>
            <w:instrText xml:space="preserve"> PAGEREF _Toc16010 \h </w:instrText>
          </w:r>
          <w:r>
            <w:rPr>
              <w:b/>
              <w:bCs/>
            </w:rPr>
            <w:fldChar w:fldCharType="separate"/>
          </w:r>
          <w:r>
            <w:rPr>
              <w:b/>
              <w:bCs/>
            </w:rPr>
            <w:t>17</w:t>
          </w:r>
          <w:r>
            <w:rPr>
              <w:b/>
              <w:bCs/>
            </w:rPr>
            <w:fldChar w:fldCharType="end"/>
          </w:r>
          <w:r>
            <w:rPr>
              <w:b/>
              <w:bCs/>
            </w:rPr>
            <w:fldChar w:fldCharType="end"/>
          </w:r>
        </w:p>
        <w:p>
          <w:pPr>
            <w:pStyle w:val="21"/>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rPr>
            <w:fldChar w:fldCharType="begin"/>
          </w:r>
          <w:r>
            <w:rPr>
              <w:b/>
              <w:bCs/>
            </w:rPr>
            <w:instrText xml:space="preserve"> HYPERLINK \l _Toc8791 </w:instrText>
          </w:r>
          <w:r>
            <w:rPr>
              <w:b/>
              <w:bCs/>
            </w:rPr>
            <w:fldChar w:fldCharType="separate"/>
          </w:r>
          <w:r>
            <w:rPr>
              <w:rFonts w:hint="eastAsia" w:ascii="黑体" w:hAnsi="黑体" w:eastAsia="黑体"/>
              <w:b/>
              <w:bCs/>
              <w:snapToGrid w:val="0"/>
              <w:szCs w:val="30"/>
              <w:highlight w:val="none"/>
            </w:rPr>
            <w:t>四、主要环境影响和保护措施</w:t>
          </w:r>
          <w:r>
            <w:rPr>
              <w:b/>
              <w:bCs/>
            </w:rPr>
            <w:tab/>
          </w:r>
          <w:r>
            <w:rPr>
              <w:b/>
              <w:bCs/>
            </w:rPr>
            <w:fldChar w:fldCharType="begin"/>
          </w:r>
          <w:r>
            <w:rPr>
              <w:b/>
              <w:bCs/>
            </w:rPr>
            <w:instrText xml:space="preserve"> PAGEREF _Toc8791 \h </w:instrText>
          </w:r>
          <w:r>
            <w:rPr>
              <w:b/>
              <w:bCs/>
            </w:rPr>
            <w:fldChar w:fldCharType="separate"/>
          </w:r>
          <w:r>
            <w:rPr>
              <w:b/>
              <w:bCs/>
            </w:rPr>
            <w:t>22</w:t>
          </w:r>
          <w:r>
            <w:rPr>
              <w:b/>
              <w:bCs/>
            </w:rPr>
            <w:fldChar w:fldCharType="end"/>
          </w:r>
          <w:r>
            <w:rPr>
              <w:b/>
              <w:bCs/>
            </w:rPr>
            <w:fldChar w:fldCharType="end"/>
          </w:r>
        </w:p>
        <w:p>
          <w:pPr>
            <w:pStyle w:val="21"/>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rPr>
            <w:fldChar w:fldCharType="begin"/>
          </w:r>
          <w:r>
            <w:rPr>
              <w:b/>
              <w:bCs/>
            </w:rPr>
            <w:instrText xml:space="preserve"> HYPERLINK \l _Toc16768 </w:instrText>
          </w:r>
          <w:r>
            <w:rPr>
              <w:b/>
              <w:bCs/>
            </w:rPr>
            <w:fldChar w:fldCharType="separate"/>
          </w:r>
          <w:r>
            <w:rPr>
              <w:rFonts w:hint="eastAsia" w:ascii="黑体" w:hAnsi="黑体" w:eastAsia="黑体"/>
              <w:b/>
              <w:bCs/>
              <w:snapToGrid w:val="0"/>
              <w:szCs w:val="30"/>
              <w:highlight w:val="none"/>
              <w:lang w:val="en-US" w:eastAsia="zh-CN"/>
            </w:rPr>
            <w:t>五、</w:t>
          </w:r>
          <w:r>
            <w:rPr>
              <w:rFonts w:hint="eastAsia" w:ascii="黑体" w:hAnsi="黑体" w:eastAsia="黑体"/>
              <w:b/>
              <w:bCs/>
              <w:snapToGrid w:val="0"/>
              <w:szCs w:val="30"/>
              <w:highlight w:val="none"/>
            </w:rPr>
            <w:t>环境保护措施监督检查清单</w:t>
          </w:r>
          <w:r>
            <w:rPr>
              <w:b/>
              <w:bCs/>
            </w:rPr>
            <w:tab/>
          </w:r>
          <w:r>
            <w:rPr>
              <w:b/>
              <w:bCs/>
            </w:rPr>
            <w:fldChar w:fldCharType="begin"/>
          </w:r>
          <w:r>
            <w:rPr>
              <w:b/>
              <w:bCs/>
            </w:rPr>
            <w:instrText xml:space="preserve"> PAGEREF _Toc16768 \h </w:instrText>
          </w:r>
          <w:r>
            <w:rPr>
              <w:b/>
              <w:bCs/>
            </w:rPr>
            <w:fldChar w:fldCharType="separate"/>
          </w:r>
          <w:r>
            <w:rPr>
              <w:b/>
              <w:bCs/>
            </w:rPr>
            <w:t>45</w:t>
          </w:r>
          <w:r>
            <w:rPr>
              <w:b/>
              <w:bCs/>
            </w:rPr>
            <w:fldChar w:fldCharType="end"/>
          </w:r>
          <w:r>
            <w:rPr>
              <w:b/>
              <w:bCs/>
            </w:rPr>
            <w:fldChar w:fldCharType="end"/>
          </w:r>
        </w:p>
        <w:p>
          <w:pPr>
            <w:pStyle w:val="21"/>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rPr>
            <w:fldChar w:fldCharType="begin"/>
          </w:r>
          <w:r>
            <w:rPr>
              <w:b/>
              <w:bCs/>
            </w:rPr>
            <w:instrText xml:space="preserve"> HYPERLINK \l _Toc24838 </w:instrText>
          </w:r>
          <w:r>
            <w:rPr>
              <w:b/>
              <w:bCs/>
            </w:rPr>
            <w:fldChar w:fldCharType="separate"/>
          </w:r>
          <w:r>
            <w:rPr>
              <w:rFonts w:hint="eastAsia" w:ascii="黑体" w:hAnsi="黑体" w:eastAsia="黑体"/>
              <w:b/>
              <w:bCs/>
              <w:snapToGrid w:val="0"/>
              <w:szCs w:val="30"/>
              <w:highlight w:val="none"/>
            </w:rPr>
            <w:t>六、结论</w:t>
          </w:r>
          <w:r>
            <w:rPr>
              <w:b/>
              <w:bCs/>
            </w:rPr>
            <w:tab/>
          </w:r>
          <w:r>
            <w:rPr>
              <w:b/>
              <w:bCs/>
            </w:rPr>
            <w:fldChar w:fldCharType="begin"/>
          </w:r>
          <w:r>
            <w:rPr>
              <w:b/>
              <w:bCs/>
            </w:rPr>
            <w:instrText xml:space="preserve"> PAGEREF _Toc24838 \h </w:instrText>
          </w:r>
          <w:r>
            <w:rPr>
              <w:b/>
              <w:bCs/>
            </w:rPr>
            <w:fldChar w:fldCharType="separate"/>
          </w:r>
          <w:r>
            <w:rPr>
              <w:b/>
              <w:bCs/>
            </w:rPr>
            <w:t>47</w:t>
          </w:r>
          <w:r>
            <w:rPr>
              <w:b/>
              <w:bCs/>
            </w:rPr>
            <w:fldChar w:fldCharType="end"/>
          </w:r>
          <w:r>
            <w:rPr>
              <w:b/>
              <w:bCs/>
            </w:rPr>
            <w:fldChar w:fldCharType="end"/>
          </w:r>
        </w:p>
        <w:p>
          <w:pPr>
            <w:pStyle w:val="21"/>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rPr>
            <w:fldChar w:fldCharType="begin"/>
          </w:r>
          <w:r>
            <w:rPr>
              <w:b/>
              <w:bCs/>
            </w:rPr>
            <w:instrText xml:space="preserve"> HYPERLINK \l _Toc13665 </w:instrText>
          </w:r>
          <w:r>
            <w:rPr>
              <w:b/>
              <w:bCs/>
            </w:rPr>
            <w:fldChar w:fldCharType="separate"/>
          </w:r>
          <w:r>
            <w:rPr>
              <w:rFonts w:hint="eastAsia" w:ascii="黑体" w:hAnsi="黑体" w:eastAsia="黑体"/>
              <w:b/>
              <w:bCs/>
              <w:snapToGrid w:val="0"/>
              <w:szCs w:val="32"/>
              <w:highlight w:val="none"/>
            </w:rPr>
            <w:t>附表</w:t>
          </w:r>
          <w:r>
            <w:rPr>
              <w:b/>
              <w:bCs/>
            </w:rPr>
            <w:fldChar w:fldCharType="end"/>
          </w:r>
          <w:r>
            <w:rPr>
              <w:b/>
              <w:bCs/>
            </w:rPr>
            <w:fldChar w:fldCharType="begin"/>
          </w:r>
          <w:r>
            <w:rPr>
              <w:b/>
              <w:bCs/>
            </w:rPr>
            <w:instrText xml:space="preserve"> HYPERLINK \l _Toc25023 </w:instrText>
          </w:r>
          <w:r>
            <w:rPr>
              <w:b/>
              <w:bCs/>
            </w:rPr>
            <w:fldChar w:fldCharType="separate"/>
          </w:r>
          <w:r>
            <w:rPr>
              <w:rFonts w:hint="eastAsia" w:asciiTheme="minorEastAsia" w:hAnsiTheme="minorEastAsia" w:eastAsiaTheme="minorEastAsia" w:cstheme="minorEastAsia"/>
              <w:b/>
              <w:bCs/>
              <w:snapToGrid w:val="0"/>
              <w:szCs w:val="28"/>
              <w:highlight w:val="none"/>
            </w:rPr>
            <w:t>建设项目污染物排放量汇总表</w:t>
          </w:r>
          <w:r>
            <w:rPr>
              <w:b/>
              <w:bCs/>
            </w:rPr>
            <w:tab/>
          </w:r>
          <w:r>
            <w:rPr>
              <w:b/>
              <w:bCs/>
            </w:rPr>
            <w:fldChar w:fldCharType="begin"/>
          </w:r>
          <w:r>
            <w:rPr>
              <w:b/>
              <w:bCs/>
            </w:rPr>
            <w:instrText xml:space="preserve"> PAGEREF _Toc25023 \h </w:instrText>
          </w:r>
          <w:r>
            <w:rPr>
              <w:b/>
              <w:bCs/>
            </w:rPr>
            <w:fldChar w:fldCharType="separate"/>
          </w:r>
          <w:r>
            <w:rPr>
              <w:b/>
              <w:bCs/>
            </w:rPr>
            <w:t>48</w:t>
          </w:r>
          <w:r>
            <w:rPr>
              <w:b/>
              <w:bCs/>
            </w:rPr>
            <w:fldChar w:fldCharType="end"/>
          </w:r>
          <w:r>
            <w:rPr>
              <w:b/>
              <w:bCs/>
            </w:rPr>
            <w:fldChar w:fldCharType="end"/>
          </w:r>
        </w:p>
        <w:p>
          <w:pPr>
            <w:pStyle w:val="21"/>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rPr>
            <w:fldChar w:fldCharType="begin"/>
          </w:r>
          <w:r>
            <w:rPr>
              <w:b/>
              <w:bCs/>
            </w:rPr>
            <w:instrText xml:space="preserve"> HYPERLINK \l _Toc22981 </w:instrText>
          </w:r>
          <w:r>
            <w:rPr>
              <w:b/>
              <w:bCs/>
            </w:rPr>
            <w:fldChar w:fldCharType="separate"/>
          </w:r>
          <w:r>
            <w:rPr>
              <w:rFonts w:hint="eastAsia" w:ascii="Times New Roman" w:hAnsi="Times New Roman" w:eastAsia="宋体" w:cs="Times New Roman"/>
              <w:b/>
              <w:bCs/>
              <w:kern w:val="2"/>
              <w:szCs w:val="30"/>
              <w:highlight w:val="none"/>
              <w:lang w:val="en-US" w:eastAsia="zh-CN" w:bidi="ar-SA"/>
            </w:rPr>
            <w:t>附图1：本项目地理位置图</w:t>
          </w:r>
          <w:r>
            <w:rPr>
              <w:b/>
              <w:bCs/>
            </w:rPr>
            <w:tab/>
          </w:r>
          <w:r>
            <w:rPr>
              <w:b/>
              <w:bCs/>
            </w:rPr>
            <w:fldChar w:fldCharType="begin"/>
          </w:r>
          <w:r>
            <w:rPr>
              <w:b/>
              <w:bCs/>
            </w:rPr>
            <w:instrText xml:space="preserve"> PAGEREF _Toc22981 \h </w:instrText>
          </w:r>
          <w:r>
            <w:rPr>
              <w:b/>
              <w:bCs/>
            </w:rPr>
            <w:fldChar w:fldCharType="separate"/>
          </w:r>
          <w:r>
            <w:rPr>
              <w:b/>
              <w:bCs/>
            </w:rPr>
            <w:t>49</w:t>
          </w:r>
          <w:r>
            <w:rPr>
              <w:b/>
              <w:bCs/>
            </w:rPr>
            <w:fldChar w:fldCharType="end"/>
          </w:r>
          <w:r>
            <w:rPr>
              <w:b/>
              <w:bCs/>
            </w:rPr>
            <w:fldChar w:fldCharType="end"/>
          </w:r>
        </w:p>
        <w:p>
          <w:pPr>
            <w:pStyle w:val="21"/>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rPr>
            <w:fldChar w:fldCharType="begin"/>
          </w:r>
          <w:r>
            <w:rPr>
              <w:b/>
              <w:bCs/>
            </w:rPr>
            <w:instrText xml:space="preserve"> HYPERLINK \l _Toc19969 </w:instrText>
          </w:r>
          <w:r>
            <w:rPr>
              <w:b/>
              <w:bCs/>
            </w:rPr>
            <w:fldChar w:fldCharType="separate"/>
          </w:r>
          <w:r>
            <w:rPr>
              <w:rFonts w:hint="eastAsia" w:ascii="Times New Roman" w:hAnsi="Times New Roman" w:eastAsia="宋体" w:cs="Times New Roman"/>
              <w:b/>
              <w:bCs/>
              <w:kern w:val="2"/>
              <w:szCs w:val="30"/>
              <w:highlight w:val="none"/>
              <w:lang w:val="en-US" w:eastAsia="zh-CN" w:bidi="ar-SA"/>
            </w:rPr>
            <w:t>附图2</w:t>
          </w:r>
          <w:r>
            <w:rPr>
              <w:rFonts w:hint="eastAsia" w:ascii="Times New Roman" w:hAnsi="Times New Roman" w:eastAsia="宋体" w:cs="Times New Roman"/>
              <w:b/>
              <w:bCs/>
              <w:kern w:val="2"/>
              <w:szCs w:val="30"/>
              <w:highlight w:val="yellow"/>
              <w:lang w:val="en-US" w:eastAsia="zh-CN" w:bidi="ar-SA"/>
            </w:rPr>
            <w:t>：平面布置图</w:t>
          </w:r>
          <w:r>
            <w:rPr>
              <w:b/>
              <w:bCs/>
            </w:rPr>
            <w:tab/>
          </w:r>
          <w:r>
            <w:rPr>
              <w:b/>
              <w:bCs/>
            </w:rPr>
            <w:fldChar w:fldCharType="begin"/>
          </w:r>
          <w:r>
            <w:rPr>
              <w:b/>
              <w:bCs/>
            </w:rPr>
            <w:instrText xml:space="preserve"> PAGEREF _Toc19969 \h </w:instrText>
          </w:r>
          <w:r>
            <w:rPr>
              <w:b/>
              <w:bCs/>
            </w:rPr>
            <w:fldChar w:fldCharType="separate"/>
          </w:r>
          <w:r>
            <w:rPr>
              <w:b/>
              <w:bCs/>
            </w:rPr>
            <w:t>50</w:t>
          </w:r>
          <w:r>
            <w:rPr>
              <w:b/>
              <w:bCs/>
            </w:rPr>
            <w:fldChar w:fldCharType="end"/>
          </w:r>
          <w:r>
            <w:rPr>
              <w:b/>
              <w:bCs/>
            </w:rPr>
            <w:fldChar w:fldCharType="end"/>
          </w:r>
        </w:p>
        <w:p>
          <w:pPr>
            <w:pStyle w:val="21"/>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rPr>
            <w:fldChar w:fldCharType="begin"/>
          </w:r>
          <w:r>
            <w:rPr>
              <w:b/>
              <w:bCs/>
            </w:rPr>
            <w:instrText xml:space="preserve"> HYPERLINK \l _Toc8534 </w:instrText>
          </w:r>
          <w:r>
            <w:rPr>
              <w:b/>
              <w:bCs/>
            </w:rPr>
            <w:fldChar w:fldCharType="separate"/>
          </w:r>
          <w:r>
            <w:rPr>
              <w:rFonts w:hint="eastAsia"/>
              <w:b/>
              <w:bCs/>
              <w:lang w:val="en-US" w:eastAsia="zh-CN"/>
            </w:rPr>
            <w:t>附件3 生产车间平面布置图</w:t>
          </w:r>
          <w:r>
            <w:rPr>
              <w:b/>
              <w:bCs/>
            </w:rPr>
            <w:tab/>
          </w:r>
          <w:r>
            <w:rPr>
              <w:b/>
              <w:bCs/>
            </w:rPr>
            <w:fldChar w:fldCharType="begin"/>
          </w:r>
          <w:r>
            <w:rPr>
              <w:b/>
              <w:bCs/>
            </w:rPr>
            <w:instrText xml:space="preserve"> PAGEREF _Toc8534 \h </w:instrText>
          </w:r>
          <w:r>
            <w:rPr>
              <w:b/>
              <w:bCs/>
            </w:rPr>
            <w:fldChar w:fldCharType="separate"/>
          </w:r>
          <w:r>
            <w:rPr>
              <w:b/>
              <w:bCs/>
            </w:rPr>
            <w:t>51</w:t>
          </w:r>
          <w:r>
            <w:rPr>
              <w:b/>
              <w:bCs/>
            </w:rPr>
            <w:fldChar w:fldCharType="end"/>
          </w:r>
          <w:r>
            <w:rPr>
              <w:b/>
              <w:bCs/>
            </w:rPr>
            <w:fldChar w:fldCharType="end"/>
          </w:r>
        </w:p>
        <w:p>
          <w:pPr>
            <w:pStyle w:val="21"/>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rPr>
            <w:fldChar w:fldCharType="begin"/>
          </w:r>
          <w:r>
            <w:rPr>
              <w:b/>
              <w:bCs/>
            </w:rPr>
            <w:instrText xml:space="preserve"> HYPERLINK \l _Toc2152 </w:instrText>
          </w:r>
          <w:r>
            <w:rPr>
              <w:b/>
              <w:bCs/>
            </w:rPr>
            <w:fldChar w:fldCharType="separate"/>
          </w:r>
          <w:r>
            <w:rPr>
              <w:rFonts w:hint="default" w:ascii="Times New Roman" w:hAnsi="Times New Roman" w:eastAsia="宋体" w:cs="Times New Roman"/>
              <w:b/>
              <w:bCs/>
              <w:kern w:val="2"/>
              <w:szCs w:val="30"/>
              <w:highlight w:val="none"/>
              <w:lang w:val="en-US" w:eastAsia="zh-CN" w:bidi="ar-SA"/>
            </w:rPr>
            <w:t>附图</w:t>
          </w:r>
          <w:r>
            <w:rPr>
              <w:rFonts w:hint="eastAsia" w:ascii="Times New Roman" w:hAnsi="Times New Roman" w:cs="Times New Roman"/>
              <w:b/>
              <w:bCs/>
              <w:kern w:val="2"/>
              <w:szCs w:val="30"/>
              <w:highlight w:val="none"/>
              <w:lang w:val="en-US" w:eastAsia="zh-CN" w:bidi="ar-SA"/>
            </w:rPr>
            <w:t>4</w:t>
          </w:r>
          <w:r>
            <w:rPr>
              <w:rFonts w:hint="eastAsia" w:ascii="Times New Roman" w:hAnsi="Times New Roman" w:eastAsia="宋体" w:cs="Times New Roman"/>
              <w:b/>
              <w:bCs/>
              <w:kern w:val="2"/>
              <w:szCs w:val="30"/>
              <w:highlight w:val="none"/>
              <w:lang w:val="en-US" w:eastAsia="zh-CN" w:bidi="ar-SA"/>
            </w:rPr>
            <w:t>：</w:t>
          </w:r>
          <w:r>
            <w:rPr>
              <w:rFonts w:hint="eastAsia" w:ascii="Times New Roman" w:hAnsi="Times New Roman" w:cs="Times New Roman"/>
              <w:b/>
              <w:bCs/>
              <w:kern w:val="2"/>
              <w:szCs w:val="30"/>
              <w:highlight w:val="none"/>
              <w:lang w:val="en-US" w:eastAsia="zh-CN" w:bidi="ar-SA"/>
            </w:rPr>
            <w:t>环境保护目标图</w:t>
          </w:r>
          <w:r>
            <w:rPr>
              <w:b/>
              <w:bCs/>
            </w:rPr>
            <w:tab/>
          </w:r>
          <w:r>
            <w:rPr>
              <w:b/>
              <w:bCs/>
            </w:rPr>
            <w:fldChar w:fldCharType="begin"/>
          </w:r>
          <w:r>
            <w:rPr>
              <w:b/>
              <w:bCs/>
            </w:rPr>
            <w:instrText xml:space="preserve"> PAGEREF _Toc2152 \h </w:instrText>
          </w:r>
          <w:r>
            <w:rPr>
              <w:b/>
              <w:bCs/>
            </w:rPr>
            <w:fldChar w:fldCharType="separate"/>
          </w:r>
          <w:r>
            <w:rPr>
              <w:b/>
              <w:bCs/>
            </w:rPr>
            <w:t>52</w:t>
          </w:r>
          <w:r>
            <w:rPr>
              <w:b/>
              <w:bCs/>
            </w:rPr>
            <w:fldChar w:fldCharType="end"/>
          </w:r>
          <w:r>
            <w:rPr>
              <w:b/>
              <w:bCs/>
            </w:rPr>
            <w:fldChar w:fldCharType="end"/>
          </w:r>
        </w:p>
        <w:p>
          <w:pPr>
            <w:pStyle w:val="21"/>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rPr>
            <w:fldChar w:fldCharType="begin"/>
          </w:r>
          <w:r>
            <w:rPr>
              <w:b/>
              <w:bCs/>
            </w:rPr>
            <w:instrText xml:space="preserve"> HYPERLINK \l _Toc7282 </w:instrText>
          </w:r>
          <w:r>
            <w:rPr>
              <w:b/>
              <w:bCs/>
            </w:rPr>
            <w:fldChar w:fldCharType="separate"/>
          </w:r>
          <w:r>
            <w:rPr>
              <w:rFonts w:hint="eastAsia" w:cs="Times New Roman"/>
              <w:b/>
              <w:bCs/>
              <w:szCs w:val="30"/>
              <w:highlight w:val="none"/>
              <w:lang w:eastAsia="zh-CN"/>
            </w:rPr>
            <w:t>附件</w:t>
          </w:r>
          <w:r>
            <w:rPr>
              <w:rFonts w:hint="eastAsia" w:cs="Times New Roman"/>
              <w:b/>
              <w:bCs/>
              <w:szCs w:val="30"/>
              <w:highlight w:val="none"/>
              <w:lang w:val="en-US" w:eastAsia="zh-CN"/>
            </w:rPr>
            <w:t>1：营业执照</w:t>
          </w:r>
          <w:r>
            <w:rPr>
              <w:b/>
              <w:bCs/>
            </w:rPr>
            <w:tab/>
          </w:r>
          <w:r>
            <w:rPr>
              <w:b/>
              <w:bCs/>
            </w:rPr>
            <w:fldChar w:fldCharType="begin"/>
          </w:r>
          <w:r>
            <w:rPr>
              <w:b/>
              <w:bCs/>
            </w:rPr>
            <w:instrText xml:space="preserve"> PAGEREF _Toc7282 \h </w:instrText>
          </w:r>
          <w:r>
            <w:rPr>
              <w:b/>
              <w:bCs/>
            </w:rPr>
            <w:fldChar w:fldCharType="separate"/>
          </w:r>
          <w:r>
            <w:rPr>
              <w:b/>
              <w:bCs/>
            </w:rPr>
            <w:t>53</w:t>
          </w:r>
          <w:r>
            <w:rPr>
              <w:b/>
              <w:bCs/>
            </w:rPr>
            <w:fldChar w:fldCharType="end"/>
          </w:r>
          <w:r>
            <w:rPr>
              <w:b/>
              <w:bCs/>
            </w:rPr>
            <w:fldChar w:fldCharType="end"/>
          </w:r>
        </w:p>
        <w:p>
          <w:pPr>
            <w:pStyle w:val="21"/>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rPr>
            <w:fldChar w:fldCharType="begin"/>
          </w:r>
          <w:r>
            <w:rPr>
              <w:b/>
              <w:bCs/>
            </w:rPr>
            <w:instrText xml:space="preserve"> HYPERLINK \l _Toc32582 </w:instrText>
          </w:r>
          <w:r>
            <w:rPr>
              <w:b/>
              <w:bCs/>
            </w:rPr>
            <w:fldChar w:fldCharType="separate"/>
          </w:r>
          <w:r>
            <w:rPr>
              <w:rFonts w:hint="eastAsia"/>
              <w:b/>
              <w:bCs/>
              <w:szCs w:val="30"/>
              <w:highlight w:val="none"/>
              <w:lang w:val="en-US" w:eastAsia="zh-CN"/>
            </w:rPr>
            <w:t>附件2：土地手续</w:t>
          </w:r>
          <w:r>
            <w:rPr>
              <w:b/>
              <w:bCs/>
            </w:rPr>
            <w:tab/>
          </w:r>
          <w:r>
            <w:rPr>
              <w:b/>
              <w:bCs/>
            </w:rPr>
            <w:fldChar w:fldCharType="begin"/>
          </w:r>
          <w:r>
            <w:rPr>
              <w:b/>
              <w:bCs/>
            </w:rPr>
            <w:instrText xml:space="preserve"> PAGEREF _Toc32582 \h </w:instrText>
          </w:r>
          <w:r>
            <w:rPr>
              <w:b/>
              <w:bCs/>
            </w:rPr>
            <w:fldChar w:fldCharType="separate"/>
          </w:r>
          <w:r>
            <w:rPr>
              <w:b/>
              <w:bCs/>
            </w:rPr>
            <w:t>54</w:t>
          </w:r>
          <w:r>
            <w:rPr>
              <w:b/>
              <w:bCs/>
            </w:rPr>
            <w:fldChar w:fldCharType="end"/>
          </w:r>
          <w:r>
            <w:rPr>
              <w:b/>
              <w:bCs/>
            </w:rPr>
            <w:fldChar w:fldCharType="end"/>
          </w:r>
        </w:p>
        <w:p>
          <w:pPr>
            <w:pStyle w:val="21"/>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rPr>
            <w:fldChar w:fldCharType="begin"/>
          </w:r>
          <w:r>
            <w:rPr>
              <w:b/>
              <w:bCs/>
            </w:rPr>
            <w:instrText xml:space="preserve"> HYPERLINK \l _Toc18912 </w:instrText>
          </w:r>
          <w:r>
            <w:rPr>
              <w:b/>
              <w:bCs/>
            </w:rPr>
            <w:fldChar w:fldCharType="separate"/>
          </w:r>
          <w:r>
            <w:rPr>
              <w:rFonts w:hint="eastAsia"/>
              <w:b/>
              <w:bCs/>
              <w:szCs w:val="30"/>
              <w:highlight w:val="none"/>
              <w:lang w:val="en-US" w:eastAsia="zh-CN"/>
            </w:rPr>
            <w:t>附件3：现状监测报告</w:t>
          </w:r>
          <w:r>
            <w:rPr>
              <w:b/>
              <w:bCs/>
            </w:rPr>
            <w:tab/>
          </w:r>
          <w:r>
            <w:rPr>
              <w:b/>
              <w:bCs/>
            </w:rPr>
            <w:fldChar w:fldCharType="begin"/>
          </w:r>
          <w:r>
            <w:rPr>
              <w:b/>
              <w:bCs/>
            </w:rPr>
            <w:instrText xml:space="preserve"> PAGEREF _Toc18912 \h </w:instrText>
          </w:r>
          <w:r>
            <w:rPr>
              <w:b/>
              <w:bCs/>
            </w:rPr>
            <w:fldChar w:fldCharType="separate"/>
          </w:r>
          <w:r>
            <w:rPr>
              <w:b/>
              <w:bCs/>
            </w:rPr>
            <w:t>58</w:t>
          </w:r>
          <w:r>
            <w:rPr>
              <w:b/>
              <w:bCs/>
            </w:rPr>
            <w:fldChar w:fldCharType="end"/>
          </w:r>
          <w:r>
            <w:rPr>
              <w:b/>
              <w:bCs/>
            </w:rPr>
            <w:fldChar w:fldCharType="end"/>
          </w:r>
        </w:p>
        <w:p>
          <w:pPr>
            <w:pStyle w:val="21"/>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b/>
              <w:bCs/>
            </w:rPr>
            <w:fldChar w:fldCharType="begin"/>
          </w:r>
          <w:r>
            <w:rPr>
              <w:b/>
              <w:bCs/>
            </w:rPr>
            <w:instrText xml:space="preserve"> HYPERLINK \l _Toc24833 </w:instrText>
          </w:r>
          <w:r>
            <w:rPr>
              <w:b/>
              <w:bCs/>
            </w:rPr>
            <w:fldChar w:fldCharType="separate"/>
          </w:r>
          <w:r>
            <w:rPr>
              <w:rFonts w:hint="eastAsia" w:ascii="Times New Roman" w:hAnsi="Times New Roman" w:cs="Times New Roman"/>
              <w:b/>
              <w:bCs/>
              <w:szCs w:val="30"/>
              <w:highlight w:val="none"/>
            </w:rPr>
            <w:t>附件</w:t>
          </w:r>
          <w:r>
            <w:rPr>
              <w:rFonts w:hint="eastAsia" w:cs="Times New Roman"/>
              <w:b/>
              <w:bCs/>
              <w:szCs w:val="30"/>
              <w:highlight w:val="none"/>
              <w:lang w:val="en-US" w:eastAsia="zh-CN"/>
            </w:rPr>
            <w:t>4：</w:t>
          </w:r>
          <w:r>
            <w:rPr>
              <w:rFonts w:ascii="Times New Roman" w:hAnsi="Times New Roman" w:cs="Times New Roman"/>
              <w:b/>
              <w:bCs/>
              <w:szCs w:val="30"/>
              <w:highlight w:val="none"/>
            </w:rPr>
            <w:t>核定排放量计算说明</w:t>
          </w:r>
          <w:r>
            <w:rPr>
              <w:b/>
              <w:bCs/>
            </w:rPr>
            <w:tab/>
          </w:r>
          <w:r>
            <w:rPr>
              <w:b/>
              <w:bCs/>
            </w:rPr>
            <w:fldChar w:fldCharType="begin"/>
          </w:r>
          <w:r>
            <w:rPr>
              <w:b/>
              <w:bCs/>
            </w:rPr>
            <w:instrText xml:space="preserve"> PAGEREF _Toc24833 \h </w:instrText>
          </w:r>
          <w:r>
            <w:rPr>
              <w:b/>
              <w:bCs/>
            </w:rPr>
            <w:fldChar w:fldCharType="separate"/>
          </w:r>
          <w:r>
            <w:rPr>
              <w:b/>
              <w:bCs/>
            </w:rPr>
            <w:t>62</w:t>
          </w:r>
          <w:r>
            <w:rPr>
              <w:b/>
              <w:bCs/>
            </w:rPr>
            <w:fldChar w:fldCharType="end"/>
          </w:r>
          <w:r>
            <w:rPr>
              <w:b/>
              <w:bCs/>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fldChar w:fldCharType="end"/>
          </w:r>
        </w:p>
      </w:sdtContent>
    </w:sdt>
    <w:p/>
    <w:p>
      <w:pPr>
        <w:pStyle w:val="26"/>
        <w:jc w:val="center"/>
        <w:outlineLvl w:val="0"/>
        <w:rPr>
          <w:rFonts w:ascii="黑体" w:hAnsi="黑体" w:eastAsia="黑体"/>
          <w:snapToGrid w:val="0"/>
          <w:color w:val="000000" w:themeColor="text1"/>
          <w:sz w:val="30"/>
          <w:szCs w:val="30"/>
          <w:highlight w:val="none"/>
          <w14:textFill>
            <w14:solidFill>
              <w14:schemeClr w14:val="tx1"/>
            </w14:solidFill>
          </w14:textFill>
        </w:rPr>
      </w:pPr>
      <w:bookmarkStart w:id="24" w:name="_Toc3583"/>
      <w:r>
        <w:rPr>
          <w:rFonts w:hint="eastAsia" w:ascii="黑体" w:hAnsi="黑体" w:eastAsia="黑体"/>
          <w:snapToGrid w:val="0"/>
          <w:color w:val="000000" w:themeColor="text1"/>
          <w:sz w:val="30"/>
          <w:szCs w:val="30"/>
          <w:highlight w:val="none"/>
          <w14:textFill>
            <w14:solidFill>
              <w14:schemeClr w14:val="tx1"/>
            </w14:solidFill>
          </w14:textFill>
        </w:rPr>
        <w:t>一、建设项目基本情况</w:t>
      </w:r>
      <w:bookmarkEnd w:id="22"/>
      <w:bookmarkEnd w:id="23"/>
      <w:bookmarkEnd w:id="24"/>
    </w:p>
    <w:tbl>
      <w:tblPr>
        <w:tblStyle w:val="30"/>
        <w:tblW w:w="93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08"/>
        <w:gridCol w:w="3167"/>
        <w:gridCol w:w="672"/>
        <w:gridCol w:w="1540"/>
        <w:gridCol w:w="303"/>
        <w:gridCol w:w="24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 w:hRule="atLeast"/>
          <w:jc w:val="center"/>
        </w:trPr>
        <w:tc>
          <w:tcPr>
            <w:tcW w:w="120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建设项目名称</w:t>
            </w:r>
          </w:p>
        </w:tc>
        <w:tc>
          <w:tcPr>
            <w:tcW w:w="8160" w:type="dxa"/>
            <w:gridSpan w:val="5"/>
            <w:vAlign w:val="center"/>
          </w:tcPr>
          <w:p>
            <w:pPr>
              <w:adjustRightInd w:val="0"/>
              <w:snapToGrid w:val="0"/>
              <w:jc w:val="center"/>
              <w:rPr>
                <w:rFonts w:hint="eastAsia" w:eastAsia="宋体"/>
                <w:color w:val="000000" w:themeColor="text1"/>
                <w:sz w:val="24"/>
                <w:highlight w:val="none"/>
                <w:lang w:eastAsia="zh-CN"/>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东台建鼎石材有限公司庆安分公司块石加工项目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120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项目代码</w:t>
            </w:r>
          </w:p>
        </w:tc>
        <w:tc>
          <w:tcPr>
            <w:tcW w:w="8160" w:type="dxa"/>
            <w:gridSpan w:val="5"/>
            <w:vAlign w:val="center"/>
          </w:tcPr>
          <w:p>
            <w:pPr>
              <w:adjustRightInd w:val="0"/>
              <w:snapToGrid w:val="0"/>
              <w:jc w:val="center"/>
              <w:rPr>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120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建设单位联系人</w:t>
            </w:r>
          </w:p>
        </w:tc>
        <w:tc>
          <w:tcPr>
            <w:tcW w:w="3167" w:type="dxa"/>
            <w:vAlign w:val="center"/>
          </w:tcPr>
          <w:p>
            <w:pPr>
              <w:adjustRightInd w:val="0"/>
              <w:snapToGrid w:val="0"/>
              <w:jc w:val="center"/>
              <w:rPr>
                <w:rFonts w:hint="eastAsia" w:eastAsia="宋体"/>
                <w:color w:val="000000" w:themeColor="text1"/>
                <w:sz w:val="24"/>
                <w:highlight w:val="none"/>
                <w:lang w:eastAsia="zh-CN"/>
                <w14:textFill>
                  <w14:solidFill>
                    <w14:schemeClr w14:val="tx1"/>
                  </w14:solidFill>
                </w14:textFill>
              </w:rPr>
            </w:pPr>
            <w:r>
              <w:rPr>
                <w:rFonts w:hint="eastAsia" w:eastAsia="宋体"/>
                <w:color w:val="000000" w:themeColor="text1"/>
                <w:sz w:val="24"/>
                <w:highlight w:val="none"/>
                <w:lang w:eastAsia="zh-CN"/>
                <w14:textFill>
                  <w14:solidFill>
                    <w14:schemeClr w14:val="tx1"/>
                  </w14:solidFill>
                </w14:textFill>
              </w:rPr>
              <w:t>陆桂玲</w:t>
            </w:r>
          </w:p>
        </w:tc>
        <w:tc>
          <w:tcPr>
            <w:tcW w:w="2212" w:type="dxa"/>
            <w:gridSpan w:val="2"/>
            <w:vAlign w:val="center"/>
          </w:tcPr>
          <w:p>
            <w:pPr>
              <w:adjustRightInd w:val="0"/>
              <w:snapToGrid w:val="0"/>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联系方式</w:t>
            </w:r>
          </w:p>
        </w:tc>
        <w:tc>
          <w:tcPr>
            <w:tcW w:w="2781" w:type="dxa"/>
            <w:gridSpan w:val="2"/>
            <w:vAlign w:val="center"/>
          </w:tcPr>
          <w:p>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r>
              <w:rPr>
                <w:rFonts w:hint="default" w:eastAsia="宋体"/>
                <w:color w:val="000000" w:themeColor="text1"/>
                <w:sz w:val="24"/>
                <w:highlight w:val="none"/>
                <w:lang w:val="en-US" w:eastAsia="zh-CN"/>
                <w14:textFill>
                  <w14:solidFill>
                    <w14:schemeClr w14:val="tx1"/>
                  </w14:solidFill>
                </w14:textFill>
              </w:rPr>
              <w:t>15636117789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120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建设地点</w:t>
            </w:r>
          </w:p>
        </w:tc>
        <w:tc>
          <w:tcPr>
            <w:tcW w:w="8160" w:type="dxa"/>
            <w:gridSpan w:val="5"/>
            <w:vAlign w:val="center"/>
          </w:tcPr>
          <w:p>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庆安县同乐乡政府南原同乐制砖厂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120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地理坐标</w:t>
            </w:r>
          </w:p>
        </w:tc>
        <w:tc>
          <w:tcPr>
            <w:tcW w:w="8160" w:type="dxa"/>
            <w:gridSpan w:val="5"/>
            <w:vAlign w:val="center"/>
          </w:tcPr>
          <w:p>
            <w:pPr>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rFonts w:hint="eastAsia"/>
                <w:color w:val="000000" w:themeColor="text1"/>
                <w:sz w:val="24"/>
                <w:highlight w:val="none"/>
                <w:u w:val="single"/>
                <w14:textFill>
                  <w14:solidFill>
                    <w14:schemeClr w14:val="tx1"/>
                  </w14:solidFill>
                </w14:textFill>
              </w:rPr>
              <w:t>12</w:t>
            </w:r>
            <w:r>
              <w:rPr>
                <w:rFonts w:hint="eastAsia"/>
                <w:color w:val="000000" w:themeColor="text1"/>
                <w:sz w:val="24"/>
                <w:highlight w:val="none"/>
                <w:u w:val="single"/>
                <w:lang w:val="en-US" w:eastAsia="zh-CN"/>
                <w14:textFill>
                  <w14:solidFill>
                    <w14:schemeClr w14:val="tx1"/>
                  </w14:solidFill>
                </w14:textFill>
              </w:rPr>
              <w:t>6</w:t>
            </w:r>
            <w:r>
              <w:rPr>
                <w:rFonts w:hAnsi="宋体"/>
                <w:color w:val="000000" w:themeColor="text1"/>
                <w:sz w:val="24"/>
                <w:highlight w:val="none"/>
                <w14:textFill>
                  <w14:solidFill>
                    <w14:schemeClr w14:val="tx1"/>
                  </w14:solidFill>
                </w14:textFill>
              </w:rPr>
              <w:t>度</w:t>
            </w:r>
            <w:r>
              <w:rPr>
                <w:rFonts w:hint="eastAsia"/>
                <w:color w:val="000000" w:themeColor="text1"/>
                <w:sz w:val="24"/>
                <w:highlight w:val="none"/>
                <w:u w:val="single"/>
                <w:lang w:val="en-US" w:eastAsia="zh-CN"/>
                <w14:textFill>
                  <w14:solidFill>
                    <w14:schemeClr w14:val="tx1"/>
                  </w14:solidFill>
                </w14:textFill>
              </w:rPr>
              <w:t>38</w:t>
            </w:r>
            <w:r>
              <w:rPr>
                <w:rFonts w:hAnsi="宋体"/>
                <w:color w:val="000000" w:themeColor="text1"/>
                <w:sz w:val="24"/>
                <w:highlight w:val="none"/>
                <w14:textFill>
                  <w14:solidFill>
                    <w14:schemeClr w14:val="tx1"/>
                  </w14:solidFill>
                </w14:textFill>
              </w:rPr>
              <w:t>分</w:t>
            </w:r>
            <w:r>
              <w:rPr>
                <w:rFonts w:hint="eastAsia"/>
                <w:color w:val="000000" w:themeColor="text1"/>
                <w:sz w:val="24"/>
                <w:highlight w:val="none"/>
                <w:u w:val="single"/>
                <w:lang w:val="en-US" w:eastAsia="zh-CN"/>
                <w14:textFill>
                  <w14:solidFill>
                    <w14:schemeClr w14:val="tx1"/>
                  </w14:solidFill>
                </w14:textFill>
              </w:rPr>
              <w:t>42.290</w:t>
            </w:r>
            <w:r>
              <w:rPr>
                <w:rFonts w:hAnsi="宋体"/>
                <w:color w:val="000000" w:themeColor="text1"/>
                <w:sz w:val="24"/>
                <w:highlight w:val="none"/>
                <w14:textFill>
                  <w14:solidFill>
                    <w14:schemeClr w14:val="tx1"/>
                  </w14:solidFill>
                </w14:textFill>
              </w:rPr>
              <w:t>秒，</w:t>
            </w:r>
            <w:r>
              <w:rPr>
                <w:rFonts w:hint="eastAsia"/>
                <w:color w:val="000000" w:themeColor="text1"/>
                <w:sz w:val="24"/>
                <w:highlight w:val="none"/>
                <w:u w:val="single"/>
                <w:lang w:val="en-US" w:eastAsia="zh-CN"/>
                <w14:textFill>
                  <w14:solidFill>
                    <w14:schemeClr w14:val="tx1"/>
                  </w14:solidFill>
                </w14:textFill>
              </w:rPr>
              <w:t>45</w:t>
            </w:r>
            <w:r>
              <w:rPr>
                <w:rFonts w:hAnsi="宋体"/>
                <w:color w:val="000000" w:themeColor="text1"/>
                <w:sz w:val="24"/>
                <w:highlight w:val="none"/>
                <w14:textFill>
                  <w14:solidFill>
                    <w14:schemeClr w14:val="tx1"/>
                  </w14:solidFill>
                </w14:textFill>
              </w:rPr>
              <w:t>度</w:t>
            </w:r>
            <w:r>
              <w:rPr>
                <w:rFonts w:hint="eastAsia"/>
                <w:color w:val="000000" w:themeColor="text1"/>
                <w:sz w:val="24"/>
                <w:highlight w:val="none"/>
                <w:u w:val="single"/>
                <w:lang w:val="en-US" w:eastAsia="zh-CN"/>
                <w14:textFill>
                  <w14:solidFill>
                    <w14:schemeClr w14:val="tx1"/>
                  </w14:solidFill>
                </w14:textFill>
              </w:rPr>
              <w:t>58</w:t>
            </w:r>
            <w:r>
              <w:rPr>
                <w:rFonts w:hAnsi="宋体"/>
                <w:color w:val="000000" w:themeColor="text1"/>
                <w:sz w:val="24"/>
                <w:highlight w:val="none"/>
                <w14:textFill>
                  <w14:solidFill>
                    <w14:schemeClr w14:val="tx1"/>
                  </w14:solidFill>
                </w14:textFill>
              </w:rPr>
              <w:t>分</w:t>
            </w:r>
            <w:r>
              <w:rPr>
                <w:rFonts w:hint="eastAsia"/>
                <w:color w:val="000000" w:themeColor="text1"/>
                <w:sz w:val="24"/>
                <w:highlight w:val="none"/>
                <w:u w:val="single"/>
                <w:lang w:val="en-US" w:eastAsia="zh-CN"/>
                <w14:textFill>
                  <w14:solidFill>
                    <w14:schemeClr w14:val="tx1"/>
                  </w14:solidFill>
                </w14:textFill>
              </w:rPr>
              <w:t>48.410</w:t>
            </w:r>
            <w:r>
              <w:rPr>
                <w:rFonts w:hAnsi="宋体"/>
                <w:color w:val="000000" w:themeColor="text1"/>
                <w:sz w:val="24"/>
                <w:highlight w:val="none"/>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0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国民经济</w:t>
            </w:r>
          </w:p>
          <w:p>
            <w:pPr>
              <w:adjustRightInd w:val="0"/>
              <w:snapToGrid w:val="0"/>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行业类别</w:t>
            </w:r>
          </w:p>
        </w:tc>
        <w:tc>
          <w:tcPr>
            <w:tcW w:w="3839" w:type="dxa"/>
            <w:gridSpan w:val="2"/>
            <w:vAlign w:val="center"/>
          </w:tcPr>
          <w:p>
            <w:pPr>
              <w:adjustRightInd w:val="0"/>
              <w:snapToGrid w:val="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C3032建筑用石加工</w:t>
            </w:r>
          </w:p>
        </w:tc>
        <w:tc>
          <w:tcPr>
            <w:tcW w:w="1843" w:type="dxa"/>
            <w:gridSpan w:val="2"/>
            <w:vAlign w:val="center"/>
          </w:tcPr>
          <w:p>
            <w:pPr>
              <w:adjustRightInd w:val="0"/>
              <w:snapToGrid w:val="0"/>
              <w:jc w:val="center"/>
              <w:rPr>
                <w:color w:val="000000" w:themeColor="text1"/>
                <w:sz w:val="24"/>
                <w:highlight w:val="none"/>
                <w14:textFill>
                  <w14:solidFill>
                    <w14:schemeClr w14:val="tx1"/>
                  </w14:solidFill>
                </w14:textFill>
              </w:rPr>
            </w:pPr>
            <w:bookmarkStart w:id="25" w:name="_Hlk49843745"/>
            <w:r>
              <w:rPr>
                <w:rFonts w:hAnsi="宋体"/>
                <w:color w:val="000000" w:themeColor="text1"/>
                <w:sz w:val="24"/>
                <w:highlight w:val="none"/>
                <w14:textFill>
                  <w14:solidFill>
                    <w14:schemeClr w14:val="tx1"/>
                  </w14:solidFill>
                </w14:textFill>
              </w:rPr>
              <w:t>建设项目</w:t>
            </w:r>
          </w:p>
          <w:p>
            <w:pPr>
              <w:adjustRightInd w:val="0"/>
              <w:snapToGrid w:val="0"/>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行业类别</w:t>
            </w:r>
            <w:bookmarkEnd w:id="25"/>
          </w:p>
        </w:tc>
        <w:tc>
          <w:tcPr>
            <w:tcW w:w="2478" w:type="dxa"/>
            <w:vAlign w:val="center"/>
          </w:tcPr>
          <w:p>
            <w:pPr>
              <w:adjustRightInd w:val="0"/>
              <w:snapToGrid w:val="0"/>
              <w:jc w:val="center"/>
              <w:rPr>
                <w:color w:val="000000" w:themeColor="text1"/>
                <w:sz w:val="24"/>
                <w:highlight w:val="none"/>
                <w14:textFill>
                  <w14:solidFill>
                    <w14:schemeClr w14:val="tx1"/>
                  </w14:solidFill>
                </w14:textFill>
              </w:rPr>
            </w:pPr>
            <w:r>
              <w:rPr>
                <w:rFonts w:hint="default"/>
                <w:color w:val="000000" w:themeColor="text1"/>
                <w:sz w:val="24"/>
                <w:highlight w:val="none"/>
                <w:lang w:eastAsia="zh-CN"/>
                <w14:textFill>
                  <w14:solidFill>
                    <w14:schemeClr w14:val="tx1"/>
                  </w14:solidFill>
                </w14:textFill>
              </w:rPr>
              <w:t>二十七、非金属矿物制品业</w:t>
            </w:r>
            <w:r>
              <w:rPr>
                <w:rFonts w:hint="default"/>
                <w:color w:val="000000" w:themeColor="text1"/>
                <w:sz w:val="24"/>
                <w:highlight w:val="none"/>
                <w14:textFill>
                  <w14:solidFill>
                    <w14:schemeClr w14:val="tx1"/>
                  </w14:solidFill>
                </w14:textFill>
              </w:rPr>
              <w:t>5</w:t>
            </w:r>
            <w:r>
              <w:rPr>
                <w:rFonts w:hint="default"/>
                <w:color w:val="000000" w:themeColor="text1"/>
                <w:sz w:val="24"/>
                <w:highlight w:val="none"/>
                <w:lang w:val="en-US" w:eastAsia="zh-CN"/>
                <w14:textFill>
                  <w14:solidFill>
                    <w14:schemeClr w14:val="tx1"/>
                  </w14:solidFill>
                </w14:textFill>
              </w:rPr>
              <w:t>6</w:t>
            </w:r>
            <w:r>
              <w:rPr>
                <w:rFonts w:hint="default"/>
                <w:color w:val="000000" w:themeColor="text1"/>
                <w:sz w:val="24"/>
                <w:highlight w:val="none"/>
                <w14:textFill>
                  <w14:solidFill>
                    <w14:schemeClr w14:val="tx1"/>
                  </w14:solidFill>
                </w14:textFill>
              </w:rPr>
              <w:t>、</w:t>
            </w:r>
            <w:r>
              <w:rPr>
                <w:rFonts w:hint="default"/>
                <w:color w:val="000000" w:themeColor="text1"/>
                <w:sz w:val="24"/>
                <w:highlight w:val="none"/>
                <w:lang w:eastAsia="zh-CN"/>
                <w14:textFill>
                  <w14:solidFill>
                    <w14:schemeClr w14:val="tx1"/>
                  </w14:solidFill>
                </w14:textFill>
              </w:rPr>
              <w:t>砖瓦、石材等建筑材料制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08" w:type="dxa"/>
            <w:tcMar>
              <w:top w:w="16" w:type="dxa"/>
              <w:left w:w="16" w:type="dxa"/>
              <w:right w:w="16" w:type="dxa"/>
            </w:tcMar>
            <w:vAlign w:val="center"/>
          </w:tcPr>
          <w:p>
            <w:pPr>
              <w:adjustRightInd w:val="0"/>
              <w:snapToGrid w:val="0"/>
              <w:jc w:val="center"/>
              <w:rPr>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建设性质</w:t>
            </w:r>
          </w:p>
        </w:tc>
        <w:tc>
          <w:tcPr>
            <w:tcW w:w="3839" w:type="dxa"/>
            <w:gridSpan w:val="2"/>
            <w:vAlign w:val="center"/>
          </w:tcPr>
          <w:p>
            <w:pPr>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新建（迁建）</w:t>
            </w:r>
          </w:p>
          <w:p>
            <w:pPr>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改建</w:t>
            </w:r>
          </w:p>
          <w:p>
            <w:pPr>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扩建</w:t>
            </w:r>
          </w:p>
          <w:p>
            <w:pPr>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技术改造</w:t>
            </w:r>
          </w:p>
        </w:tc>
        <w:tc>
          <w:tcPr>
            <w:tcW w:w="1843" w:type="dxa"/>
            <w:gridSpan w:val="2"/>
            <w:vAlign w:val="center"/>
          </w:tcPr>
          <w:p>
            <w:pPr>
              <w:adjustRightInd w:val="0"/>
              <w:snapToGrid w:val="0"/>
              <w:jc w:val="center"/>
              <w:rPr>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建设项目</w:t>
            </w:r>
          </w:p>
          <w:p>
            <w:pPr>
              <w:adjustRightInd w:val="0"/>
              <w:snapToGrid w:val="0"/>
              <w:jc w:val="center"/>
              <w:rPr>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申报情形</w:t>
            </w:r>
          </w:p>
        </w:tc>
        <w:tc>
          <w:tcPr>
            <w:tcW w:w="2478" w:type="dxa"/>
            <w:vAlign w:val="center"/>
          </w:tcPr>
          <w:p>
            <w:pPr>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首次申报项目</w:t>
            </w:r>
          </w:p>
          <w:p>
            <w:pPr>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不予批准后再次申报项目</w:t>
            </w:r>
          </w:p>
          <w:p>
            <w:pPr>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 xml:space="preserve">超五年重新审核项目     </w:t>
            </w:r>
          </w:p>
          <w:p>
            <w:pPr>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120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项目审批（核准</w:t>
            </w:r>
            <w:r>
              <w:rPr>
                <w:color w:val="000000" w:themeColor="text1"/>
                <w:sz w:val="24"/>
                <w:highlight w:val="none"/>
                <w14:textFill>
                  <w14:solidFill>
                    <w14:schemeClr w14:val="tx1"/>
                  </w14:solidFill>
                </w14:textFill>
              </w:rPr>
              <w:t>/</w:t>
            </w:r>
          </w:p>
          <w:p>
            <w:pPr>
              <w:adjustRightInd w:val="0"/>
              <w:snapToGrid w:val="0"/>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备案）部门（选填）</w:t>
            </w:r>
          </w:p>
        </w:tc>
        <w:tc>
          <w:tcPr>
            <w:tcW w:w="3839" w:type="dxa"/>
            <w:gridSpan w:val="2"/>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无</w:t>
            </w:r>
          </w:p>
        </w:tc>
        <w:tc>
          <w:tcPr>
            <w:tcW w:w="1843" w:type="dxa"/>
            <w:gridSpan w:val="2"/>
            <w:vAlign w:val="center"/>
          </w:tcPr>
          <w:p>
            <w:pPr>
              <w:adjustRightInd w:val="0"/>
              <w:snapToGrid w:val="0"/>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项目审批（核准</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备案）文号（选填）</w:t>
            </w:r>
          </w:p>
        </w:tc>
        <w:tc>
          <w:tcPr>
            <w:tcW w:w="2478" w:type="dxa"/>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120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总投资（万元）</w:t>
            </w:r>
          </w:p>
        </w:tc>
        <w:tc>
          <w:tcPr>
            <w:tcW w:w="3839" w:type="dxa"/>
            <w:gridSpan w:val="2"/>
            <w:vAlign w:val="center"/>
          </w:tcPr>
          <w:p>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180</w:t>
            </w:r>
          </w:p>
        </w:tc>
        <w:tc>
          <w:tcPr>
            <w:tcW w:w="1843" w:type="dxa"/>
            <w:gridSpan w:val="2"/>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环保投资（万元）</w:t>
            </w:r>
          </w:p>
        </w:tc>
        <w:tc>
          <w:tcPr>
            <w:tcW w:w="2478" w:type="dxa"/>
            <w:vAlign w:val="center"/>
          </w:tcPr>
          <w:p>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120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环保投资占比（</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w:t>
            </w:r>
          </w:p>
        </w:tc>
        <w:tc>
          <w:tcPr>
            <w:tcW w:w="3839" w:type="dxa"/>
            <w:gridSpan w:val="2"/>
            <w:vAlign w:val="center"/>
          </w:tcPr>
          <w:p>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13.89</w:t>
            </w:r>
          </w:p>
        </w:tc>
        <w:tc>
          <w:tcPr>
            <w:tcW w:w="1843" w:type="dxa"/>
            <w:gridSpan w:val="2"/>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施工工期</w:t>
            </w:r>
          </w:p>
        </w:tc>
        <w:tc>
          <w:tcPr>
            <w:tcW w:w="2478" w:type="dxa"/>
            <w:vAlign w:val="center"/>
          </w:tcPr>
          <w:p>
            <w:pPr>
              <w:adjustRightInd w:val="0"/>
              <w:snapToGrid w:val="0"/>
              <w:jc w:val="center"/>
              <w:rPr>
                <w:rFonts w:hint="eastAsia" w:eastAsia="宋体"/>
                <w:color w:val="000000" w:themeColor="text1"/>
                <w:sz w:val="24"/>
                <w:highlight w:val="none"/>
                <w:lang w:eastAsia="zh-CN"/>
                <w14:textFill>
                  <w14:solidFill>
                    <w14:schemeClr w14:val="tx1"/>
                  </w14:solidFill>
                </w14:textFill>
              </w:rPr>
            </w:pPr>
            <w:r>
              <w:rPr>
                <w:rFonts w:hint="eastAsia" w:eastAsia="宋体"/>
                <w:color w:val="000000" w:themeColor="text1"/>
                <w:sz w:val="24"/>
                <w:highlight w:val="green"/>
                <w:lang w:val="en-US" w:eastAsia="zh-CN"/>
                <w14:textFill>
                  <w14:solidFill>
                    <w14:schemeClr w14:val="tx1"/>
                  </w14:solidFill>
                </w14:textFill>
              </w:rPr>
              <w:t>202</w:t>
            </w:r>
            <w:r>
              <w:rPr>
                <w:rFonts w:hint="eastAsia"/>
                <w:color w:val="000000" w:themeColor="text1"/>
                <w:sz w:val="24"/>
                <w:highlight w:val="green"/>
                <w:lang w:val="en-US" w:eastAsia="zh-CN"/>
                <w14:textFill>
                  <w14:solidFill>
                    <w14:schemeClr w14:val="tx1"/>
                  </w14:solidFill>
                </w14:textFill>
              </w:rPr>
              <w:t>4</w:t>
            </w:r>
            <w:r>
              <w:rPr>
                <w:rFonts w:hint="eastAsia" w:eastAsia="宋体"/>
                <w:color w:val="000000" w:themeColor="text1"/>
                <w:sz w:val="24"/>
                <w:highlight w:val="green"/>
                <w:lang w:val="en-US" w:eastAsia="zh-CN"/>
                <w14:textFill>
                  <w14:solidFill>
                    <w14:schemeClr w14:val="tx1"/>
                  </w14:solidFill>
                </w14:textFill>
              </w:rPr>
              <w:t>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08" w:type="dxa"/>
            <w:tcMar>
              <w:top w:w="16" w:type="dxa"/>
              <w:left w:w="16" w:type="dxa"/>
              <w:right w:w="16" w:type="dxa"/>
            </w:tcMar>
            <w:vAlign w:val="center"/>
          </w:tcPr>
          <w:p>
            <w:pPr>
              <w:adjustRightInd w:val="0"/>
              <w:snapToGrid w:val="0"/>
              <w:jc w:val="center"/>
              <w:rPr>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是否开工建设</w:t>
            </w:r>
          </w:p>
        </w:tc>
        <w:tc>
          <w:tcPr>
            <w:tcW w:w="3839" w:type="dxa"/>
            <w:gridSpan w:val="2"/>
            <w:vAlign w:val="center"/>
          </w:tcPr>
          <w:p>
            <w:pPr>
              <w:adjustRightInd w:val="0"/>
              <w:snapToGrid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否</w:t>
            </w:r>
          </w:p>
          <w:p>
            <w:pPr>
              <w:adjustRightInd w:val="0"/>
              <w:snapToGrid w:val="0"/>
              <w:rPr>
                <w:rFonts w:hint="default" w:eastAsia="宋体"/>
                <w:color w:val="000000" w:themeColor="text1"/>
                <w:sz w:val="24"/>
                <w:szCs w:val="24"/>
                <w:highlight w:val="none"/>
                <w:u w:val="singl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是：</w:t>
            </w: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 xml:space="preserve">             </w:t>
            </w:r>
          </w:p>
        </w:tc>
        <w:tc>
          <w:tcPr>
            <w:tcW w:w="1843"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用地（用海）</w:t>
            </w:r>
          </w:p>
          <w:p>
            <w:pPr>
              <w:adjustRightInd w:val="0"/>
              <w:snapToGrid w:val="0"/>
              <w:jc w:val="center"/>
              <w:rPr>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面积（m</w:t>
            </w:r>
            <w:r>
              <w:rPr>
                <w:rFonts w:hint="default" w:ascii="Times New Roman" w:hAnsi="Times New Roman" w:eastAsia="宋体" w:cs="Times New Roman"/>
                <w:color w:val="000000" w:themeColor="text1"/>
                <w:spacing w:val="-6"/>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w:t>
            </w:r>
          </w:p>
        </w:tc>
        <w:tc>
          <w:tcPr>
            <w:tcW w:w="2478" w:type="dxa"/>
            <w:vAlign w:val="center"/>
          </w:tcPr>
          <w:p>
            <w:pPr>
              <w:adjustRightInd w:val="0"/>
              <w:snapToGrid w:val="0"/>
              <w:jc w:val="center"/>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37500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208" w:type="dxa"/>
            <w:vAlign w:val="center"/>
          </w:tcPr>
          <w:p>
            <w:pPr>
              <w:autoSpaceDE w:val="0"/>
              <w:autoSpaceDN w:val="0"/>
              <w:adjustRightInd w:val="0"/>
              <w:snapToGrid w:val="0"/>
              <w:jc w:val="center"/>
              <w:rPr>
                <w:color w:val="000000" w:themeColor="text1"/>
                <w:kern w:val="0"/>
                <w:sz w:val="24"/>
                <w:highlight w:val="none"/>
                <w14:textFill>
                  <w14:solidFill>
                    <w14:schemeClr w14:val="tx1"/>
                  </w14:solidFill>
                </w14:textFill>
              </w:rPr>
            </w:pPr>
            <w:r>
              <w:rPr>
                <w:rFonts w:hAnsi="宋体"/>
                <w:color w:val="000000" w:themeColor="text1"/>
                <w:kern w:val="0"/>
                <w:sz w:val="24"/>
                <w:highlight w:val="none"/>
                <w14:textFill>
                  <w14:solidFill>
                    <w14:schemeClr w14:val="tx1"/>
                  </w14:solidFill>
                </w14:textFill>
              </w:rPr>
              <w:t>专项评价设置情况</w:t>
            </w:r>
          </w:p>
        </w:tc>
        <w:tc>
          <w:tcPr>
            <w:tcW w:w="8160" w:type="dxa"/>
            <w:gridSpan w:val="5"/>
            <w:vAlign w:val="center"/>
          </w:tcPr>
          <w:p>
            <w:pPr>
              <w:adjustRightInd w:val="0"/>
              <w:snapToGrid w:val="0"/>
              <w:spacing w:line="240" w:lineRule="auto"/>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根据《建设项目环境影响报告表编制技术指南（污染影响类）（试行）》要求，本工程不需设置专项评价，具体设置情况见下表</w:t>
            </w:r>
          </w:p>
          <w:p>
            <w:pPr>
              <w:autoSpaceDE w:val="0"/>
              <w:autoSpaceDN w:val="0"/>
              <w:adjustRightInd w:val="0"/>
              <w:snapToGrid w:val="0"/>
              <w:jc w:val="center"/>
              <w:rPr>
                <w:rFonts w:hint="default"/>
              </w:rPr>
            </w:pPr>
            <w:r>
              <w:rPr>
                <w:b/>
                <w:bCs/>
                <w:color w:val="auto"/>
                <w:kern w:val="0"/>
                <w:szCs w:val="21"/>
                <w:highlight w:val="none"/>
              </w:rPr>
              <w:t>表1</w:t>
            </w:r>
            <w:r>
              <w:rPr>
                <w:rFonts w:ascii="Times New Roman" w:hAnsi="Times New Roman" w:eastAsia="宋体" w:cs="Times New Roman"/>
                <w:b/>
                <w:bCs/>
                <w:color w:val="auto"/>
                <w:kern w:val="0"/>
                <w:szCs w:val="21"/>
                <w:highlight w:val="none"/>
              </w:rPr>
              <w:t>-</w:t>
            </w:r>
            <w:r>
              <w:rPr>
                <w:rFonts w:hint="eastAsia" w:ascii="Times New Roman" w:hAnsi="Times New Roman" w:eastAsia="宋体" w:cs="Times New Roman"/>
                <w:b/>
                <w:bCs/>
                <w:color w:val="auto"/>
                <w:kern w:val="0"/>
                <w:szCs w:val="21"/>
                <w:highlight w:val="none"/>
                <w:lang w:val="en-US" w:eastAsia="zh-CN"/>
              </w:rPr>
              <w:t>1</w:t>
            </w:r>
            <w:r>
              <w:rPr>
                <w:rFonts w:ascii="Times New Roman" w:hAnsi="Times New Roman" w:eastAsia="宋体" w:cs="Times New Roman"/>
                <w:b/>
                <w:bCs/>
                <w:color w:val="auto"/>
                <w:kern w:val="0"/>
                <w:szCs w:val="21"/>
                <w:highlight w:val="none"/>
              </w:rPr>
              <w:t xml:space="preserve"> </w:t>
            </w:r>
            <w:r>
              <w:rPr>
                <w:rFonts w:hint="eastAsia" w:ascii="Times New Roman" w:hAnsi="Times New Roman" w:eastAsia="宋体" w:cs="Times New Roman"/>
                <w:b/>
                <w:bCs/>
                <w:color w:val="auto"/>
                <w:kern w:val="0"/>
                <w:szCs w:val="21"/>
                <w:highlight w:val="none"/>
                <w:lang w:val="en-US" w:eastAsia="zh-CN"/>
              </w:rPr>
              <w:t>专项评价设计情况</w:t>
            </w:r>
          </w:p>
          <w:tbl>
            <w:tblPr>
              <w:tblStyle w:val="31"/>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3253"/>
              <w:gridCol w:w="35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专项评价类别</w:t>
                  </w:r>
                </w:p>
              </w:tc>
              <w:tc>
                <w:tcPr>
                  <w:tcW w:w="2047"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设置原则</w:t>
                  </w:r>
                </w:p>
              </w:tc>
              <w:tc>
                <w:tcPr>
                  <w:tcW w:w="2260"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本项目设置情况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w:t>
                  </w:r>
                </w:p>
              </w:tc>
              <w:tc>
                <w:tcPr>
                  <w:tcW w:w="2047"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both"/>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排放废气含有毒有害污染物，二噁英、苯并[a]芘、氰化物、氯气且厂界外500m范围内有环境空气保护目标的建设项目</w:t>
                  </w:r>
                </w:p>
              </w:tc>
              <w:tc>
                <w:tcPr>
                  <w:tcW w:w="2260"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both"/>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本项目为</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石料加工</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14:textFill>
                        <w14:solidFill>
                          <w14:schemeClr w14:val="tx1"/>
                        </w14:solidFill>
                      </w14:textFill>
                    </w:rPr>
                    <w:t>，不产生二噁英、苯并[a]芘、氰化物、氯气等废气，不产生《有毒有害大气污染物名录》中的有毒有害污染物，不需设置大气专项评价。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地表水</w:t>
                  </w:r>
                </w:p>
              </w:tc>
              <w:tc>
                <w:tcPr>
                  <w:tcW w:w="2047"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both"/>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新增工业废水直排建设项目（槽罐车外送污水处理厂的除外）；新增废水直排的污水集中处理厂</w:t>
                  </w:r>
                </w:p>
              </w:tc>
              <w:tc>
                <w:tcPr>
                  <w:tcW w:w="2260"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both"/>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本项目生活污水排入防渗旱厕，定期清掏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外运堆肥，</w:t>
                  </w:r>
                  <w:r>
                    <w:rPr>
                      <w:rFonts w:hint="default" w:ascii="Times New Roman" w:hAnsi="Times New Roman" w:eastAsia="宋体" w:cs="Times New Roman"/>
                      <w:color w:val="000000" w:themeColor="text1"/>
                      <w:sz w:val="21"/>
                      <w:szCs w:val="21"/>
                      <w:highlight w:val="none"/>
                      <w14:textFill>
                        <w14:solidFill>
                          <w14:schemeClr w14:val="tx1"/>
                        </w14:solidFill>
                      </w14:textFill>
                    </w:rPr>
                    <w:t>不需设置地表水专项评价。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风险</w:t>
                  </w:r>
                </w:p>
              </w:tc>
              <w:tc>
                <w:tcPr>
                  <w:tcW w:w="2047"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both"/>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有毒有害和易燃易爆危险物质存储量超过临界量的建设项目</w:t>
                  </w:r>
                </w:p>
              </w:tc>
              <w:tc>
                <w:tcPr>
                  <w:tcW w:w="2260"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jc w:val="left"/>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r>
                    <w:rPr>
                      <w:rFonts w:hint="eastAsia" w:cs="Times New Roman"/>
                      <w:color w:val="000000" w:themeColor="text1"/>
                      <w:sz w:val="21"/>
                      <w:szCs w:val="21"/>
                      <w:highlight w:val="none"/>
                      <w:lang w:eastAsia="zh-CN"/>
                      <w14:textFill>
                        <w14:solidFill>
                          <w14:schemeClr w14:val="tx1"/>
                        </w14:solidFill>
                      </w14:textFill>
                    </w:rPr>
                    <w:t>无有毒有害和易燃易爆危险物质</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不需设置环境风险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专项评价</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w:t>
                  </w:r>
                </w:p>
              </w:tc>
              <w:tc>
                <w:tcPr>
                  <w:tcW w:w="2047"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both"/>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取水口下游500m范围内有重要水生生物的自然产卵场、索饵场、越冬场和洄游通道的新增河道取水的污染类建设项目</w:t>
                  </w:r>
                </w:p>
              </w:tc>
              <w:tc>
                <w:tcPr>
                  <w:tcW w:w="2260"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both"/>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本项目不涉及河道取水，不需设置</w:t>
                  </w:r>
                  <w:r>
                    <w:rPr>
                      <w:rFonts w:hint="eastAsia" w:cs="Times New Roman"/>
                      <w:color w:val="000000" w:themeColor="text1"/>
                      <w:sz w:val="21"/>
                      <w:szCs w:val="21"/>
                      <w:highlight w:val="none"/>
                      <w:lang w:val="en-US" w:eastAsia="zh-CN"/>
                      <w14:textFill>
                        <w14:solidFill>
                          <w14:schemeClr w14:val="tx1"/>
                        </w14:solidFill>
                      </w14:textFill>
                    </w:rPr>
                    <w:t>生态专项评价</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海洋</w:t>
                  </w:r>
                </w:p>
              </w:tc>
              <w:tc>
                <w:tcPr>
                  <w:tcW w:w="2047"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both"/>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直接向海洋排放污染物的海洋工程建设项目</w:t>
                  </w:r>
                </w:p>
              </w:tc>
              <w:tc>
                <w:tcPr>
                  <w:tcW w:w="2260" w:type="pct"/>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both"/>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本项目不涉及海洋，不需设置海洋</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专项评价</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bl>
          <w:p>
            <w:pPr>
              <w:autoSpaceDE w:val="0"/>
              <w:autoSpaceDN w:val="0"/>
              <w:adjustRightInd w:val="0"/>
              <w:snapToGrid w:val="0"/>
              <w:jc w:val="center"/>
              <w:rPr>
                <w:color w:val="000000" w:themeColor="text1"/>
                <w:kern w:val="0"/>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208" w:type="dxa"/>
            <w:vAlign w:val="center"/>
          </w:tcPr>
          <w:p>
            <w:pPr>
              <w:autoSpaceDE w:val="0"/>
              <w:autoSpaceDN w:val="0"/>
              <w:adjustRightInd w:val="0"/>
              <w:snapToGrid w:val="0"/>
              <w:jc w:val="center"/>
              <w:rPr>
                <w:color w:val="000000" w:themeColor="text1"/>
                <w:kern w:val="0"/>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规划情况</w:t>
            </w:r>
          </w:p>
        </w:tc>
        <w:tc>
          <w:tcPr>
            <w:tcW w:w="8160" w:type="dxa"/>
            <w:gridSpan w:val="5"/>
            <w:vAlign w:val="center"/>
          </w:tcPr>
          <w:p>
            <w:pPr>
              <w:autoSpaceDE w:val="0"/>
              <w:autoSpaceDN w:val="0"/>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08" w:type="dxa"/>
            <w:vAlign w:val="center"/>
          </w:tcPr>
          <w:p>
            <w:pPr>
              <w:adjustRightInd w:val="0"/>
              <w:snapToGrid w:val="0"/>
              <w:jc w:val="center"/>
              <w:rPr>
                <w:color w:val="000000" w:themeColor="text1"/>
                <w:kern w:val="0"/>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规划环境影响评价情况</w:t>
            </w:r>
          </w:p>
        </w:tc>
        <w:tc>
          <w:tcPr>
            <w:tcW w:w="8160" w:type="dxa"/>
            <w:gridSpan w:val="5"/>
            <w:vAlign w:val="center"/>
          </w:tcPr>
          <w:p>
            <w:pPr>
              <w:autoSpaceDE w:val="0"/>
              <w:autoSpaceDN w:val="0"/>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208" w:type="dxa"/>
            <w:vAlign w:val="center"/>
          </w:tcPr>
          <w:p>
            <w:pPr>
              <w:autoSpaceDE w:val="0"/>
              <w:autoSpaceDN w:val="0"/>
              <w:adjustRightInd w:val="0"/>
              <w:snapToGrid w:val="0"/>
              <w:jc w:val="center"/>
              <w:rPr>
                <w:color w:val="000000" w:themeColor="text1"/>
                <w:kern w:val="0"/>
                <w:sz w:val="24"/>
                <w:highlight w:val="none"/>
                <w14:textFill>
                  <w14:solidFill>
                    <w14:schemeClr w14:val="tx1"/>
                  </w14:solidFill>
                </w14:textFill>
              </w:rPr>
            </w:pPr>
            <w:r>
              <w:rPr>
                <w:rFonts w:hAnsi="宋体"/>
                <w:color w:val="000000" w:themeColor="text1"/>
                <w:kern w:val="0"/>
                <w:sz w:val="24"/>
                <w:highlight w:val="none"/>
                <w14:textFill>
                  <w14:solidFill>
                    <w14:schemeClr w14:val="tx1"/>
                  </w14:solidFill>
                </w14:textFill>
              </w:rPr>
              <w:t>规划及规划环境</w:t>
            </w:r>
          </w:p>
          <w:p>
            <w:pPr>
              <w:autoSpaceDE w:val="0"/>
              <w:autoSpaceDN w:val="0"/>
              <w:adjustRightInd w:val="0"/>
              <w:snapToGrid w:val="0"/>
              <w:jc w:val="center"/>
              <w:rPr>
                <w:color w:val="000000" w:themeColor="text1"/>
                <w:kern w:val="0"/>
                <w:sz w:val="24"/>
                <w:highlight w:val="none"/>
                <w14:textFill>
                  <w14:solidFill>
                    <w14:schemeClr w14:val="tx1"/>
                  </w14:solidFill>
                </w14:textFill>
              </w:rPr>
            </w:pPr>
            <w:r>
              <w:rPr>
                <w:rFonts w:hAnsi="宋体"/>
                <w:color w:val="000000" w:themeColor="text1"/>
                <w:kern w:val="0"/>
                <w:sz w:val="24"/>
                <w:highlight w:val="none"/>
                <w14:textFill>
                  <w14:solidFill>
                    <w14:schemeClr w14:val="tx1"/>
                  </w14:solidFill>
                </w14:textFill>
              </w:rPr>
              <w:t>影响评价符合性分析</w:t>
            </w:r>
          </w:p>
        </w:tc>
        <w:tc>
          <w:tcPr>
            <w:tcW w:w="8160" w:type="dxa"/>
            <w:gridSpan w:val="5"/>
            <w:vAlign w:val="center"/>
          </w:tcPr>
          <w:p>
            <w:pPr>
              <w:autoSpaceDE w:val="0"/>
              <w:autoSpaceDN w:val="0"/>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19" w:hRule="atLeast"/>
          <w:jc w:val="center"/>
        </w:trPr>
        <w:tc>
          <w:tcPr>
            <w:tcW w:w="1208" w:type="dxa"/>
            <w:vAlign w:val="center"/>
          </w:tcPr>
          <w:p>
            <w:pPr>
              <w:autoSpaceDE w:val="0"/>
              <w:autoSpaceDN w:val="0"/>
              <w:adjustRightInd w:val="0"/>
              <w:snapToGrid w:val="0"/>
              <w:jc w:val="center"/>
              <w:rPr>
                <w:color w:val="000000" w:themeColor="text1"/>
                <w:kern w:val="0"/>
                <w:sz w:val="24"/>
                <w:highlight w:val="none"/>
                <w14:textFill>
                  <w14:solidFill>
                    <w14:schemeClr w14:val="tx1"/>
                  </w14:solidFill>
                </w14:textFill>
              </w:rPr>
            </w:pPr>
            <w:r>
              <w:rPr>
                <w:rFonts w:hAnsi="宋体"/>
                <w:color w:val="000000" w:themeColor="text1"/>
                <w:kern w:val="0"/>
                <w:sz w:val="24"/>
                <w:highlight w:val="none"/>
                <w14:textFill>
                  <w14:solidFill>
                    <w14:schemeClr w14:val="tx1"/>
                  </w14:solidFill>
                </w14:textFill>
              </w:rPr>
              <w:t>其他符合性分析</w:t>
            </w:r>
          </w:p>
        </w:tc>
        <w:tc>
          <w:tcPr>
            <w:tcW w:w="8160" w:type="dxa"/>
            <w:gridSpan w:val="5"/>
            <w:vAlign w:val="center"/>
          </w:tcPr>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1、三线一单符合性分析</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本项目位于</w:t>
            </w:r>
            <w:r>
              <w:rPr>
                <w:rFonts w:hint="eastAsia"/>
                <w:color w:val="000000" w:themeColor="text1"/>
                <w:sz w:val="24"/>
                <w:highlight w:val="none"/>
                <w:lang w:val="en-US" w:eastAsia="zh-CN"/>
                <w14:textFill>
                  <w14:solidFill>
                    <w14:schemeClr w14:val="tx1"/>
                  </w14:solidFill>
                </w14:textFill>
              </w:rPr>
              <w:t>庆安县同乐乡政府南原同乐制砖厂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根据《黑龙江省人民政府关于实施“三线一单”生态环境分区管控的意见》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《绥化市人民政府关于实施“三线一单”生态环境分区管控的意见》（绥政发〔2021〕10号）以及自然资源部办公厅《关于依据“三区三线”划定成果报批建设项目用地用海有关事宜的函》的划定成果，</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环境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管控单元包括优先保护单元、重点管控单元和一般管控单元三类。</w:t>
            </w:r>
            <w:r>
              <w:rPr>
                <w:rFonts w:hint="default" w:ascii="Times New Roman" w:hAnsi="Times New Roman" w:eastAsia="宋体" w:cs="Times New Roman"/>
                <w:color w:val="000000" w:themeColor="text1"/>
                <w:sz w:val="24"/>
                <w:szCs w:val="24"/>
                <w:highlight w:val="none"/>
                <w14:textFill>
                  <w14:solidFill>
                    <w14:schemeClr w14:val="tx1"/>
                  </w14:solidFill>
                </w14:textFill>
              </w:rPr>
              <w:t>结合本项目生产工艺、排污状况和区域环境及环境质量现状进行调查的基础上，本工程与“三线一单”符合性情况见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下</w:t>
            </w:r>
            <w:r>
              <w:rPr>
                <w:rFonts w:hint="default" w:ascii="Times New Roman" w:hAnsi="Times New Roman" w:eastAsia="宋体" w:cs="Times New Roman"/>
                <w:color w:val="000000" w:themeColor="text1"/>
                <w:sz w:val="24"/>
                <w:szCs w:val="24"/>
                <w:highlight w:val="none"/>
                <w14:textFill>
                  <w14:solidFill>
                    <w14:schemeClr w14:val="tx1"/>
                  </w14:solidFill>
                </w14:textFill>
              </w:rPr>
              <w:t>表。</w:t>
            </w:r>
          </w:p>
          <w:p>
            <w:pPr>
              <w:pStyle w:val="97"/>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360" w:lineRule="auto"/>
              <w:ind w:firstLine="482" w:firstLineChars="20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生态保护红线</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位于黑龙江省绥化市</w:t>
            </w:r>
            <w:r>
              <w:rPr>
                <w:rFonts w:hint="eastAsia" w:cs="Times New Roman"/>
                <w:color w:val="000000" w:themeColor="text1"/>
                <w:sz w:val="24"/>
                <w:szCs w:val="24"/>
                <w:highlight w:val="none"/>
                <w:lang w:val="en-US" w:eastAsia="zh-CN"/>
                <w14:textFill>
                  <w14:solidFill>
                    <w14:schemeClr w14:val="tx1"/>
                  </w14:solidFill>
                </w14:textFill>
              </w:rPr>
              <w:t>庆安县同乐乡政府南原同乐制砖厂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，厂区</w:t>
            </w:r>
            <w:r>
              <w:rPr>
                <w:rFonts w:hint="eastAsia" w:cs="Times New Roman"/>
                <w:color w:val="000000" w:themeColor="text1"/>
                <w:sz w:val="24"/>
                <w:szCs w:val="24"/>
                <w:highlight w:val="none"/>
                <w:lang w:val="en-US" w:eastAsia="zh-CN"/>
                <w14:textFill>
                  <w14:solidFill>
                    <w14:schemeClr w14:val="tx1"/>
                  </w14:solidFill>
                </w14:textFill>
              </w:rPr>
              <w:t>四周均为农田，</w:t>
            </w:r>
            <w:r>
              <w:rPr>
                <w:rFonts w:hint="default" w:ascii="Times New Roman" w:hAnsi="Times New Roman" w:eastAsia="宋体" w:cs="Times New Roman"/>
                <w:color w:val="000000" w:themeColor="text1"/>
                <w:sz w:val="24"/>
                <w:szCs w:val="24"/>
                <w:highlight w:val="none"/>
                <w14:textFill>
                  <w14:solidFill>
                    <w14:schemeClr w14:val="tx1"/>
                  </w14:solidFill>
                </w14:textFill>
              </w:rPr>
              <w:t>不在生态保护红线内。</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both"/>
              <w:textAlignment w:val="auto"/>
              <w:rPr>
                <w:rFonts w:hint="default" w:cs="Times New Roman"/>
                <w:b/>
                <w:bCs/>
                <w:color w:val="000000" w:themeColor="text1"/>
                <w:sz w:val="24"/>
                <w:szCs w:val="24"/>
                <w:highlight w:val="none"/>
                <w:lang w:val="en-US" w:eastAsia="zh-CN"/>
                <w14:textFill>
                  <w14:solidFill>
                    <w14:schemeClr w14:val="tx1"/>
                  </w14:solidFill>
                </w14:textFill>
              </w:rPr>
            </w:pPr>
            <w:r>
              <w:rPr>
                <w:rFonts w:hint="default" w:cs="Times New Roman"/>
                <w:b/>
                <w:bCs/>
                <w:color w:val="000000" w:themeColor="text1"/>
                <w:sz w:val="24"/>
                <w:szCs w:val="24"/>
                <w:highlight w:val="none"/>
                <w:lang w:val="en-US" w:eastAsia="zh-CN"/>
                <w14:textFill>
                  <w14:solidFill>
                    <w14:schemeClr w14:val="tx1"/>
                  </w14:solidFill>
                </w14:textFill>
              </w:rPr>
              <w:t>（2）环境质量底线</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对照《黑龙江省人民政府关于实施“三线一单”生态环境分区管控的意见》，本项目符合性分析见下表。</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fldChar w:fldCharType="begin"/>
            </w:r>
            <w:r>
              <w:rPr>
                <w:rFonts w:hint="default" w:cs="Times New Roman"/>
                <w:color w:val="000000" w:themeColor="text1"/>
                <w:sz w:val="24"/>
                <w:szCs w:val="24"/>
                <w:highlight w:val="none"/>
                <w:lang w:val="en-US" w:eastAsia="zh-CN"/>
                <w14:textFill>
                  <w14:solidFill>
                    <w14:schemeClr w14:val="tx1"/>
                  </w14:solidFill>
                </w14:textFill>
              </w:rPr>
              <w:instrText xml:space="preserve"> = 1 \* GB3 \* MERGEFORMAT </w:instrText>
            </w:r>
            <w:r>
              <w:rPr>
                <w:rFonts w:hint="default" w:cs="Times New Roman"/>
                <w:color w:val="000000" w:themeColor="text1"/>
                <w:sz w:val="24"/>
                <w:szCs w:val="24"/>
                <w:highlight w:val="none"/>
                <w:lang w:val="en-US" w:eastAsia="zh-CN"/>
                <w14:textFill>
                  <w14:solidFill>
                    <w14:schemeClr w14:val="tx1"/>
                  </w14:solidFill>
                </w14:textFill>
              </w:rPr>
              <w:fldChar w:fldCharType="separate"/>
            </w:r>
            <w:r>
              <w:rPr>
                <w:rFonts w:hint="default" w:cs="Times New Roman"/>
                <w:color w:val="000000" w:themeColor="text1"/>
                <w:sz w:val="24"/>
                <w:szCs w:val="24"/>
                <w:highlight w:val="none"/>
                <w:lang w:val="en-US" w:eastAsia="zh-CN"/>
                <w14:textFill>
                  <w14:solidFill>
                    <w14:schemeClr w14:val="tx1"/>
                  </w14:solidFill>
                </w14:textFill>
              </w:rPr>
              <w:t>①</w:t>
            </w:r>
            <w:r>
              <w:rPr>
                <w:rFonts w:hint="default" w:cs="Times New Roman"/>
                <w:color w:val="000000" w:themeColor="text1"/>
                <w:sz w:val="24"/>
                <w:szCs w:val="24"/>
                <w:highlight w:val="none"/>
                <w:lang w:val="en-US" w:eastAsia="zh-CN"/>
                <w14:textFill>
                  <w14:solidFill>
                    <w14:schemeClr w14:val="tx1"/>
                  </w14:solidFill>
                </w14:textFill>
              </w:rPr>
              <w:fldChar w:fldCharType="end"/>
            </w:r>
            <w:r>
              <w:rPr>
                <w:rFonts w:hint="eastAsia" w:cs="Times New Roman"/>
                <w:color w:val="000000" w:themeColor="text1"/>
                <w:sz w:val="24"/>
                <w:szCs w:val="24"/>
                <w:highlight w:val="none"/>
                <w:lang w:val="en-US" w:eastAsia="zh-CN"/>
                <w14:textFill>
                  <w14:solidFill>
                    <w14:schemeClr w14:val="tx1"/>
                  </w14:solidFill>
                </w14:textFill>
              </w:rPr>
              <w:t>大气环境</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本项目位于</w:t>
            </w:r>
            <w:r>
              <w:rPr>
                <w:rFonts w:hint="eastAsia" w:cs="Times New Roman"/>
                <w:color w:val="000000" w:themeColor="text1"/>
                <w:sz w:val="24"/>
                <w:szCs w:val="24"/>
                <w:highlight w:val="none"/>
                <w:lang w:val="en-US" w:eastAsia="zh-CN"/>
                <w14:textFill>
                  <w14:solidFill>
                    <w14:schemeClr w14:val="tx1"/>
                  </w14:solidFill>
                </w14:textFill>
              </w:rPr>
              <w:t>庆安县同乐乡政府南原同乐制砖厂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。项目为运营期产生的大气污染物主要为破碎粉尘、筛分粉尘，经布袋除尘器处理后通过15m高烟囱高空排放，可达标排放</w:t>
            </w:r>
            <w:r>
              <w:rPr>
                <w:rFonts w:hint="eastAsia" w:cs="Times New Roman"/>
                <w:color w:val="000000" w:themeColor="text1"/>
                <w:sz w:val="24"/>
                <w:szCs w:val="24"/>
                <w:highlight w:val="none"/>
                <w:lang w:val="en-US" w:eastAsia="zh-CN"/>
                <w14:textFill>
                  <w14:solidFill>
                    <w14:schemeClr w14:val="tx1"/>
                  </w14:solidFill>
                </w14:textFill>
              </w:rPr>
              <w:t>；剩余粉尘经喷淋处理后在车间内无组织排放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。本项目运营期废气对大气环境影响较小。</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②水环境</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本项目无生产废水，仅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产生少量生活污水，排入防渗旱厕，定期清掏堆肥处置，不对地表水环境排放，不会对流域水环境质量产生影响，符合水环境一般管控区管控要求。</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③土壤</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本项目为石料加工项目，位于</w:t>
            </w:r>
            <w:r>
              <w:rPr>
                <w:rFonts w:hint="eastAsia" w:cs="Times New Roman"/>
                <w:color w:val="000000" w:themeColor="text1"/>
                <w:sz w:val="24"/>
                <w:szCs w:val="24"/>
                <w:highlight w:val="none"/>
                <w:lang w:val="en-US" w:eastAsia="zh-CN"/>
                <w14:textFill>
                  <w14:solidFill>
                    <w14:schemeClr w14:val="tx1"/>
                  </w14:solidFill>
                </w14:textFill>
              </w:rPr>
              <w:t>庆安县同乐乡政府南原同乐制砖厂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设项目敏感程度为不敏感，故本项目不需要开展土壤环境影响评价，产生的固体废物得到了有效处置；本项目环境风险物质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废机油及润滑油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，储存量小于临界量，且采取相应有效预防措施</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，符合管控要求。</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3）资源利用上线</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本项目不属于地下水开采重点管控区和高污染燃料禁燃区。本项目租赁原有厂区，不新增占地。本项目供水水源</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为自备井、供电电源为当地供电电网，用水水源及供电电源可靠</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冬季采用电供暖</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，不消耗煤炭能源，符合绥化市目标年煤炭消费上线要求。本项目资源消耗量相对于区域资源利用总量较小，符合资源利用上线要求。</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4）生态环境准入清单</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本项目位于</w:t>
            </w:r>
            <w:r>
              <w:rPr>
                <w:rFonts w:hint="eastAsia" w:cs="Times New Roman"/>
                <w:color w:val="000000" w:themeColor="text1"/>
                <w:sz w:val="24"/>
                <w:szCs w:val="24"/>
                <w:highlight w:val="none"/>
                <w:lang w:val="en-US" w:eastAsia="zh-CN"/>
                <w14:textFill>
                  <w14:solidFill>
                    <w14:schemeClr w14:val="tx1"/>
                  </w14:solidFill>
                </w14:textFill>
              </w:rPr>
              <w:t>庆安县同乐乡政府南原同乐制砖厂</w:t>
            </w:r>
            <w:r>
              <w:rPr>
                <w:rFonts w:hint="default" w:cs="Times New Roman"/>
                <w:color w:val="000000" w:themeColor="text1"/>
                <w:sz w:val="24"/>
                <w:szCs w:val="24"/>
                <w:highlight w:val="none"/>
                <w:lang w:val="en-US" w:eastAsia="zh-CN"/>
                <w14:textFill>
                  <w14:solidFill>
                    <w14:schemeClr w14:val="tx1"/>
                  </w14:solidFill>
                </w14:textFill>
              </w:rPr>
              <w:t>，根据《</w:t>
            </w:r>
            <w:r>
              <w:rPr>
                <w:rFonts w:hint="eastAsia" w:cs="Times New Roman"/>
                <w:color w:val="000000" w:themeColor="text1"/>
                <w:sz w:val="24"/>
                <w:szCs w:val="24"/>
                <w:highlight w:val="none"/>
                <w:lang w:val="en-US" w:eastAsia="zh-CN"/>
                <w14:textFill>
                  <w14:solidFill>
                    <w14:schemeClr w14:val="tx1"/>
                  </w14:solidFill>
                </w14:textFill>
              </w:rPr>
              <w:t>绥化</w:t>
            </w:r>
            <w:r>
              <w:rPr>
                <w:rFonts w:hint="default" w:cs="Times New Roman"/>
                <w:color w:val="000000" w:themeColor="text1"/>
                <w:sz w:val="24"/>
                <w:szCs w:val="24"/>
                <w:highlight w:val="none"/>
                <w:lang w:val="en-US" w:eastAsia="zh-CN"/>
                <w14:textFill>
                  <w14:solidFill>
                    <w14:schemeClr w14:val="tx1"/>
                  </w14:solidFill>
                </w14:textFill>
              </w:rPr>
              <w:t>市人民政府关于实</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施“三线一单”生态环境分区控制的意见》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绥政发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号，</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本项目属于</w:t>
            </w:r>
            <w:r>
              <w:rPr>
                <w:rFonts w:hint="eastAsia" w:cs="Times New Roman"/>
                <w:color w:val="000000" w:themeColor="text1"/>
                <w:sz w:val="24"/>
                <w:szCs w:val="24"/>
                <w:highlight w:val="none"/>
                <w:lang w:val="en-US" w:eastAsia="zh-CN"/>
                <w14:textFill>
                  <w14:solidFill>
                    <w14:schemeClr w14:val="tx1"/>
                  </w14:solidFill>
                </w14:textFill>
              </w:rPr>
              <w:t>其他区域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（ZH231224</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0002）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绥化市庆安县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生态环境准入清单对照情况见下表。</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jc w:val="center"/>
              <w:textAlignment w:val="auto"/>
              <w:rPr>
                <w:rFonts w:hint="default" w:cs="Times New Roman"/>
                <w:b/>
                <w:bCs/>
                <w:color w:val="000000" w:themeColor="text1"/>
                <w:sz w:val="24"/>
                <w:szCs w:val="24"/>
                <w:highlight w:val="none"/>
                <w:lang w:val="en-US" w:eastAsia="zh-CN"/>
                <w14:textFill>
                  <w14:solidFill>
                    <w14:schemeClr w14:val="tx1"/>
                  </w14:solidFill>
                </w14:textFill>
              </w:rPr>
            </w:pPr>
            <w:r>
              <w:rPr>
                <w:rFonts w:hint="default" w:cs="Times New Roman"/>
                <w:b/>
                <w:bCs/>
                <w:color w:val="000000" w:themeColor="text1"/>
                <w:sz w:val="24"/>
                <w:szCs w:val="24"/>
                <w:highlight w:val="none"/>
                <w:lang w:val="en-US" w:eastAsia="zh-CN"/>
                <w14:textFill>
                  <w14:solidFill>
                    <w14:schemeClr w14:val="tx1"/>
                  </w14:solidFill>
                </w14:textFill>
              </w:rPr>
              <w:t xml:space="preserve">表1-6   </w:t>
            </w:r>
            <w:r>
              <w:rPr>
                <w:rFonts w:hint="eastAsia" w:cs="Times New Roman"/>
                <w:b/>
                <w:bCs/>
                <w:color w:val="000000" w:themeColor="text1"/>
                <w:sz w:val="24"/>
                <w:szCs w:val="24"/>
                <w:highlight w:val="none"/>
                <w:lang w:val="en-US" w:eastAsia="zh-CN"/>
                <w14:textFill>
                  <w14:solidFill>
                    <w14:schemeClr w14:val="tx1"/>
                  </w14:solidFill>
                </w14:textFill>
              </w:rPr>
              <w:t>绥化市庆安县</w:t>
            </w:r>
            <w:r>
              <w:rPr>
                <w:rFonts w:hint="default" w:cs="Times New Roman"/>
                <w:b/>
                <w:bCs/>
                <w:color w:val="000000" w:themeColor="text1"/>
                <w:sz w:val="24"/>
                <w:szCs w:val="24"/>
                <w:highlight w:val="none"/>
                <w:lang w:val="en-US" w:eastAsia="zh-CN"/>
                <w14:textFill>
                  <w14:solidFill>
                    <w14:schemeClr w14:val="tx1"/>
                  </w14:solidFill>
                </w14:textFill>
              </w:rPr>
              <w:t>生态环境准入清单符合性分析</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097"/>
              <w:gridCol w:w="862"/>
              <w:gridCol w:w="685"/>
              <w:gridCol w:w="2297"/>
              <w:gridCol w:w="2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管控单元编码</w:t>
                  </w:r>
                </w:p>
              </w:tc>
              <w:tc>
                <w:tcPr>
                  <w:tcW w:w="6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环境管控单元名称</w:t>
                  </w:r>
                </w:p>
              </w:tc>
              <w:tc>
                <w:tcPr>
                  <w:tcW w:w="5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管控单元类别</w:t>
                  </w:r>
                </w:p>
              </w:tc>
              <w:tc>
                <w:tcPr>
                  <w:tcW w:w="187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管控要求</w:t>
                  </w:r>
                </w:p>
              </w:tc>
              <w:tc>
                <w:tcPr>
                  <w:tcW w:w="13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ZH231224</w:t>
                  </w: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0002</w:t>
                  </w:r>
                </w:p>
              </w:tc>
              <w:tc>
                <w:tcPr>
                  <w:tcW w:w="69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cs="Times New Roman"/>
                      <w:spacing w:val="-2"/>
                      <w:sz w:val="21"/>
                      <w:szCs w:val="21"/>
                      <w:lang w:eastAsia="zh-CN"/>
                    </w:rPr>
                    <w:t>其他区域</w:t>
                  </w:r>
                </w:p>
              </w:tc>
              <w:tc>
                <w:tcPr>
                  <w:tcW w:w="54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eastAsia" w:cs="Times New Roman"/>
                      <w:spacing w:val="-3"/>
                      <w:sz w:val="21"/>
                      <w:szCs w:val="21"/>
                      <w:lang w:eastAsia="zh-CN"/>
                    </w:rPr>
                    <w:t>一般管控单元</w:t>
                  </w:r>
                </w:p>
              </w:tc>
              <w:tc>
                <w:tcPr>
                  <w:tcW w:w="43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空间布局约束</w:t>
                  </w:r>
                </w:p>
              </w:tc>
              <w:tc>
                <w:tcPr>
                  <w:tcW w:w="1446"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Times New Roman" w:hAnsi="Times New Roman" w:eastAsia="宋体" w:cs="Times New Roman"/>
                      <w:spacing w:val="9"/>
                      <w:sz w:val="21"/>
                      <w:szCs w:val="21"/>
                      <w:lang w:val="en-US" w:eastAsia="zh-CN"/>
                    </w:rPr>
                  </w:pPr>
                  <w:r>
                    <w:rPr>
                      <w:rFonts w:hint="default" w:ascii="Times New Roman" w:hAnsi="Times New Roman" w:eastAsia="宋体" w:cs="Times New Roman"/>
                      <w:spacing w:val="9"/>
                      <w:sz w:val="21"/>
                      <w:szCs w:val="21"/>
                      <w:lang w:val="en-US" w:eastAsia="zh-CN"/>
                    </w:rPr>
                    <w:t>贯彻实施国家与黑龙江省大气、水污染相关各项标准，深化重点行业污染治理，推进国家和地方确定的各项产业结构调整措施。</w:t>
                  </w:r>
                </w:p>
                <w:p>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pacing w:val="9"/>
                      <w:sz w:val="21"/>
                      <w:szCs w:val="21"/>
                      <w:lang w:val="en-US" w:eastAsia="zh-CN"/>
                    </w:rPr>
                    <w:t>1、</w:t>
                  </w:r>
                  <w:r>
                    <w:rPr>
                      <w:rFonts w:hint="default" w:ascii="Times New Roman" w:hAnsi="Times New Roman" w:eastAsia="宋体" w:cs="Times New Roman"/>
                      <w:spacing w:val="9"/>
                      <w:sz w:val="21"/>
                      <w:szCs w:val="21"/>
                      <w:lang w:val="en-US" w:eastAsia="zh-CN"/>
                    </w:rPr>
                    <w:t>引导工业项目向开发区集中，促进产业集聚、资源集约、绿色发展</w:t>
                  </w:r>
                  <w:r>
                    <w:rPr>
                      <w:rFonts w:hint="eastAsia" w:cs="Times New Roman"/>
                      <w:spacing w:val="9"/>
                      <w:sz w:val="21"/>
                      <w:szCs w:val="21"/>
                      <w:lang w:val="en-US" w:eastAsia="zh-CN"/>
                    </w:rPr>
                    <w:t>。2、</w:t>
                  </w:r>
                  <w:r>
                    <w:rPr>
                      <w:rFonts w:hint="default" w:ascii="Times New Roman" w:hAnsi="Times New Roman" w:eastAsia="宋体" w:cs="Times New Roman"/>
                      <w:spacing w:val="9"/>
                      <w:sz w:val="21"/>
                      <w:szCs w:val="21"/>
                      <w:lang w:val="en-US" w:eastAsia="zh-CN"/>
                    </w:rPr>
                    <w:t>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13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r>
          </w:tbl>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本项目选址位于</w:t>
            </w:r>
            <w:r>
              <w:rPr>
                <w:rFonts w:hint="eastAsia" w:cs="Times New Roman"/>
                <w:color w:val="000000" w:themeColor="text1"/>
                <w:sz w:val="24"/>
                <w:szCs w:val="24"/>
                <w:highlight w:val="none"/>
                <w:lang w:val="en-US" w:eastAsia="zh-CN"/>
                <w14:textFill>
                  <w14:solidFill>
                    <w14:schemeClr w14:val="tx1"/>
                  </w14:solidFill>
                </w14:textFill>
              </w:rPr>
              <w:t>庆安县同乐乡政府南原同乐制砖厂</w:t>
            </w:r>
            <w:r>
              <w:rPr>
                <w:rFonts w:hint="default" w:cs="Times New Roman"/>
                <w:color w:val="000000" w:themeColor="text1"/>
                <w:sz w:val="24"/>
                <w:szCs w:val="24"/>
                <w:highlight w:val="none"/>
                <w:lang w:val="en-US" w:eastAsia="zh-CN"/>
                <w14:textFill>
                  <w14:solidFill>
                    <w14:schemeClr w14:val="tx1"/>
                  </w14:solidFill>
                </w14:textFill>
              </w:rPr>
              <w:t>，占地性质为</w:t>
            </w:r>
            <w:r>
              <w:rPr>
                <w:rFonts w:hint="eastAsia" w:cs="Times New Roman"/>
                <w:color w:val="000000" w:themeColor="text1"/>
                <w:sz w:val="24"/>
                <w:szCs w:val="24"/>
                <w:highlight w:val="none"/>
                <w:lang w:val="en-US" w:eastAsia="zh-CN"/>
                <w14:textFill>
                  <w14:solidFill>
                    <w14:schemeClr w14:val="tx1"/>
                  </w14:solidFill>
                </w14:textFill>
              </w:rPr>
              <w:t>用途</w:t>
            </w:r>
            <w:r>
              <w:rPr>
                <w:rFonts w:hint="default" w:cs="Times New Roman"/>
                <w:color w:val="000000" w:themeColor="text1"/>
                <w:sz w:val="24"/>
                <w:szCs w:val="24"/>
                <w:highlight w:val="none"/>
                <w:lang w:val="en-US" w:eastAsia="zh-CN"/>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工业用地</w:t>
            </w:r>
            <w:r>
              <w:rPr>
                <w:rFonts w:hint="default" w:cs="Times New Roman"/>
                <w:color w:val="000000" w:themeColor="text1"/>
                <w:sz w:val="24"/>
                <w:szCs w:val="24"/>
                <w:highlight w:val="none"/>
                <w:lang w:val="en-US" w:eastAsia="zh-CN"/>
                <w14:textFill>
                  <w14:solidFill>
                    <w14:schemeClr w14:val="tx1"/>
                  </w14:solidFill>
                </w14:textFill>
              </w:rPr>
              <w:t>，符合土地利用规划</w:t>
            </w:r>
            <w:r>
              <w:rPr>
                <w:rFonts w:hint="eastAsia" w:cs="Times New Roman"/>
                <w:color w:val="000000" w:themeColor="text1"/>
                <w:sz w:val="24"/>
                <w:szCs w:val="24"/>
                <w:highlight w:val="none"/>
                <w:lang w:val="en-US" w:eastAsia="zh-CN"/>
                <w14:textFill>
                  <w14:solidFill>
                    <w14:schemeClr w14:val="tx1"/>
                  </w14:solidFill>
                </w14:textFill>
              </w:rPr>
              <w:t>，</w:t>
            </w:r>
            <w:r>
              <w:rPr>
                <w:rFonts w:hint="default" w:cs="Times New Roman"/>
                <w:color w:val="000000" w:themeColor="text1"/>
                <w:sz w:val="24"/>
                <w:szCs w:val="24"/>
                <w:highlight w:val="none"/>
                <w:lang w:val="en-US" w:eastAsia="zh-CN"/>
                <w14:textFill>
                  <w14:solidFill>
                    <w14:schemeClr w14:val="tx1"/>
                  </w14:solidFill>
                </w14:textFill>
              </w:rPr>
              <w:t>并采取了有效、可行的污染治理措施，各项污染物均可达标排放，本项目建设对周围环境影响较小，因此本项目符合《</w:t>
            </w:r>
            <w:r>
              <w:rPr>
                <w:rFonts w:hint="eastAsia" w:cs="Times New Roman"/>
                <w:color w:val="000000" w:themeColor="text1"/>
                <w:sz w:val="24"/>
                <w:szCs w:val="24"/>
                <w:highlight w:val="none"/>
                <w:lang w:val="en-US" w:eastAsia="zh-CN"/>
                <w14:textFill>
                  <w14:solidFill>
                    <w14:schemeClr w14:val="tx1"/>
                  </w14:solidFill>
                </w14:textFill>
              </w:rPr>
              <w:t>绥化</w:t>
            </w:r>
            <w:r>
              <w:rPr>
                <w:rFonts w:hint="default" w:cs="Times New Roman"/>
                <w:color w:val="000000" w:themeColor="text1"/>
                <w:sz w:val="24"/>
                <w:szCs w:val="24"/>
                <w:highlight w:val="none"/>
                <w:lang w:val="en-US" w:eastAsia="zh-CN"/>
                <w14:textFill>
                  <w14:solidFill>
                    <w14:schemeClr w14:val="tx1"/>
                  </w14:solidFill>
                </w14:textFill>
              </w:rPr>
              <w:t>市人民政府关于实</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施“三线一单”生态环境分区控制的意见》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绥政发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号</w:t>
            </w:r>
            <w:r>
              <w:rPr>
                <w:rFonts w:hint="default" w:cs="Times New Roman"/>
                <w:color w:val="000000" w:themeColor="text1"/>
                <w:sz w:val="24"/>
                <w:szCs w:val="24"/>
                <w:highlight w:val="none"/>
                <w:lang w:val="en-US" w:eastAsia="zh-CN"/>
                <w14:textFill>
                  <w14:solidFill>
                    <w14:schemeClr w14:val="tx1"/>
                  </w14:solidFill>
                </w14:textFill>
              </w:rPr>
              <w:t>以及《黑龙江省“三线一单”文本》中要求。</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both"/>
              <w:textAlignment w:val="auto"/>
              <w:rPr>
                <w:rFonts w:hint="default" w:cs="Times New Roman"/>
                <w:b/>
                <w:bCs/>
                <w:color w:val="000000" w:themeColor="text1"/>
                <w:sz w:val="24"/>
                <w:szCs w:val="24"/>
                <w:highlight w:val="none"/>
                <w:lang w:val="en-US" w:eastAsia="zh-CN"/>
                <w14:textFill>
                  <w14:solidFill>
                    <w14:schemeClr w14:val="tx1"/>
                  </w14:solidFill>
                </w14:textFill>
              </w:rPr>
            </w:pPr>
            <w:r>
              <w:rPr>
                <w:rFonts w:hint="default" w:cs="Times New Roman"/>
                <w:b/>
                <w:bCs/>
                <w:color w:val="000000" w:themeColor="text1"/>
                <w:sz w:val="24"/>
                <w:szCs w:val="24"/>
                <w:highlight w:val="none"/>
                <w:lang w:val="en-US" w:eastAsia="zh-CN"/>
                <w14:textFill>
                  <w14:solidFill>
                    <w14:schemeClr w14:val="tx1"/>
                  </w14:solidFill>
                </w14:textFill>
              </w:rPr>
              <w:t>2、与《大气污染防治行动计划》符合性分析</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根据</w:t>
            </w:r>
            <w:r>
              <w:rPr>
                <w:rFonts w:hint="eastAsia" w:cs="Times New Roman"/>
                <w:color w:val="000000" w:themeColor="text1"/>
                <w:sz w:val="24"/>
                <w:szCs w:val="24"/>
                <w:highlight w:val="none"/>
                <w:lang w:val="en-US" w:eastAsia="zh-CN"/>
                <w14:textFill>
                  <w14:solidFill>
                    <w14:schemeClr w14:val="tx1"/>
                  </w14:solidFill>
                </w14:textFill>
              </w:rPr>
              <w:t>中共中央、国务院</w:t>
            </w:r>
            <w:r>
              <w:rPr>
                <w:rFonts w:hint="default" w:cs="Times New Roman"/>
                <w:color w:val="000000" w:themeColor="text1"/>
                <w:sz w:val="24"/>
                <w:szCs w:val="24"/>
                <w:highlight w:val="none"/>
                <w:lang w:val="en-US" w:eastAsia="zh-CN"/>
                <w14:textFill>
                  <w14:solidFill>
                    <w14:schemeClr w14:val="tx1"/>
                  </w14:solidFill>
                </w14:textFill>
              </w:rPr>
              <w:t>《大气污染防治行动计划》（2013年9月10日），一、加大综合治理力度，减少污染物排放，</w:t>
            </w:r>
            <w:r>
              <w:rPr>
                <w:rFonts w:hint="eastAsia" w:cs="Times New Roman"/>
                <w:color w:val="000000" w:themeColor="text1"/>
                <w:sz w:val="24"/>
                <w:szCs w:val="24"/>
                <w:highlight w:val="none"/>
                <w:lang w:val="en-US" w:eastAsia="zh-CN"/>
                <w14:textFill>
                  <w14:solidFill>
                    <w14:schemeClr w14:val="tx1"/>
                  </w14:solidFill>
                </w14:textFill>
              </w:rPr>
              <w:t>（</w:t>
            </w:r>
            <w:r>
              <w:rPr>
                <w:rFonts w:hint="default" w:cs="Times New Roman"/>
                <w:color w:val="000000" w:themeColor="text1"/>
                <w:sz w:val="24"/>
                <w:szCs w:val="24"/>
                <w:highlight w:val="none"/>
                <w:lang w:val="en-US" w:eastAsia="zh-CN"/>
                <w14:textFill>
                  <w14:solidFill>
                    <w14:schemeClr w14:val="tx1"/>
                  </w14:solidFill>
                </w14:textFill>
              </w:rPr>
              <w:t>一</w:t>
            </w:r>
            <w:r>
              <w:rPr>
                <w:rFonts w:hint="eastAsia" w:cs="Times New Roman"/>
                <w:color w:val="000000" w:themeColor="text1"/>
                <w:sz w:val="24"/>
                <w:szCs w:val="24"/>
                <w:highlight w:val="none"/>
                <w:lang w:val="en-US" w:eastAsia="zh-CN"/>
                <w14:textFill>
                  <w14:solidFill>
                    <w14:schemeClr w14:val="tx1"/>
                  </w14:solidFill>
                </w14:textFill>
              </w:rPr>
              <w:t>）</w:t>
            </w:r>
            <w:r>
              <w:rPr>
                <w:rFonts w:hint="default" w:cs="Times New Roman"/>
                <w:color w:val="000000" w:themeColor="text1"/>
                <w:sz w:val="24"/>
                <w:szCs w:val="24"/>
                <w:highlight w:val="none"/>
                <w:lang w:val="en-US" w:eastAsia="zh-CN"/>
                <w14:textFill>
                  <w14:solidFill>
                    <w14:schemeClr w14:val="tx1"/>
                  </w14:solidFill>
                </w14:textFill>
              </w:rPr>
              <w:t>加强工业企业大气污染综合治理。全面整治燃煤小锅炉。加快推进集中供热、“煤改气</w:t>
            </w:r>
            <w:r>
              <w:rPr>
                <w:rFonts w:hint="eastAsia" w:cs="Times New Roman"/>
                <w:color w:val="000000" w:themeColor="text1"/>
                <w:sz w:val="24"/>
                <w:szCs w:val="24"/>
                <w:highlight w:val="none"/>
                <w:lang w:val="en-US" w:eastAsia="zh-CN"/>
                <w14:textFill>
                  <w14:solidFill>
                    <w14:schemeClr w14:val="tx1"/>
                  </w14:solidFill>
                </w14:textFill>
              </w:rPr>
              <w:t>”“</w:t>
            </w:r>
            <w:r>
              <w:rPr>
                <w:rFonts w:hint="default" w:cs="Times New Roman"/>
                <w:color w:val="000000" w:themeColor="text1"/>
                <w:sz w:val="24"/>
                <w:szCs w:val="24"/>
                <w:highlight w:val="none"/>
                <w:lang w:val="en-US" w:eastAsia="zh-CN"/>
                <w14:textFill>
                  <w14:solidFill>
                    <w14:schemeClr w14:val="tx1"/>
                  </w14:solidFill>
                </w14:textFill>
              </w:rPr>
              <w:t>煤改电”工程建设，到2017年，除必要保留的以外，地级及以上城市建成区基本淘汰每小时10蒸吨及以下的燃煤锅炉，禁止新建每小时20蒸吨以下的燃煤锅炉；其他地区原则上不再新建每小时10蒸吨以下的燃煤锅炉。</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本项目不设置锅炉，运营产生的废气经采取有效措施后均可做到达标排放，对评价区周围环境影响不大，可被环境所接受。符合《大气污染防治行动计划》要求。</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both"/>
              <w:textAlignment w:val="auto"/>
              <w:rPr>
                <w:rFonts w:hint="default" w:cs="Times New Roman"/>
                <w:b/>
                <w:bCs/>
                <w:color w:val="000000" w:themeColor="text1"/>
                <w:sz w:val="24"/>
                <w:szCs w:val="24"/>
                <w:highlight w:val="none"/>
                <w:lang w:val="en-US" w:eastAsia="zh-CN"/>
                <w14:textFill>
                  <w14:solidFill>
                    <w14:schemeClr w14:val="tx1"/>
                  </w14:solidFill>
                </w14:textFill>
              </w:rPr>
            </w:pPr>
            <w:r>
              <w:rPr>
                <w:rFonts w:hint="default" w:cs="Times New Roman"/>
                <w:b/>
                <w:bCs/>
                <w:color w:val="000000" w:themeColor="text1"/>
                <w:sz w:val="24"/>
                <w:szCs w:val="24"/>
                <w:highlight w:val="none"/>
                <w:lang w:val="en-US" w:eastAsia="zh-CN"/>
                <w14:textFill>
                  <w14:solidFill>
                    <w14:schemeClr w14:val="tx1"/>
                  </w14:solidFill>
                </w14:textFill>
              </w:rPr>
              <w:t>3、与《黑龙江省大气污染防治条例》符合性分析</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根据黑龙江省人民代表大会常务委员会发布的《黑龙江省大气污染防治条例》（20</w:t>
            </w:r>
            <w:r>
              <w:rPr>
                <w:rFonts w:hint="eastAsia" w:cs="Times New Roman"/>
                <w:color w:val="000000" w:themeColor="text1"/>
                <w:sz w:val="24"/>
                <w:szCs w:val="24"/>
                <w:highlight w:val="none"/>
                <w:lang w:val="en-US" w:eastAsia="zh-CN"/>
                <w14:textFill>
                  <w14:solidFill>
                    <w14:schemeClr w14:val="tx1"/>
                  </w14:solidFill>
                </w14:textFill>
              </w:rPr>
              <w:t>18</w:t>
            </w:r>
            <w:r>
              <w:rPr>
                <w:rFonts w:hint="default" w:cs="Times New Roman"/>
                <w:color w:val="000000" w:themeColor="text1"/>
                <w:sz w:val="24"/>
                <w:szCs w:val="24"/>
                <w:highlight w:val="none"/>
                <w:lang w:val="en-US" w:eastAsia="zh-CN"/>
                <w14:textFill>
                  <w14:solidFill>
                    <w14:schemeClr w14:val="tx1"/>
                  </w14:solidFill>
                </w14:textFill>
              </w:rPr>
              <w:t>年</w:t>
            </w:r>
            <w:r>
              <w:rPr>
                <w:rFonts w:hint="eastAsia" w:cs="Times New Roman"/>
                <w:color w:val="000000" w:themeColor="text1"/>
                <w:sz w:val="24"/>
                <w:szCs w:val="24"/>
                <w:highlight w:val="none"/>
                <w:lang w:val="en-US" w:eastAsia="zh-CN"/>
                <w14:textFill>
                  <w14:solidFill>
                    <w14:schemeClr w14:val="tx1"/>
                  </w14:solidFill>
                </w14:textFill>
              </w:rPr>
              <w:t>12</w:t>
            </w:r>
            <w:r>
              <w:rPr>
                <w:rFonts w:hint="default" w:cs="Times New Roman"/>
                <w:color w:val="000000" w:themeColor="text1"/>
                <w:sz w:val="24"/>
                <w:szCs w:val="24"/>
                <w:highlight w:val="none"/>
                <w:lang w:val="en-US" w:eastAsia="zh-CN"/>
                <w14:textFill>
                  <w14:solidFill>
                    <w14:schemeClr w14:val="tx1"/>
                  </w14:solidFill>
                </w14:textFill>
              </w:rPr>
              <w:t>月</w:t>
            </w:r>
            <w:r>
              <w:rPr>
                <w:rFonts w:hint="eastAsia" w:cs="Times New Roman"/>
                <w:color w:val="000000" w:themeColor="text1"/>
                <w:sz w:val="24"/>
                <w:szCs w:val="24"/>
                <w:highlight w:val="none"/>
                <w:lang w:val="en-US" w:eastAsia="zh-CN"/>
                <w14:textFill>
                  <w14:solidFill>
                    <w14:schemeClr w14:val="tx1"/>
                  </w14:solidFill>
                </w14:textFill>
              </w:rPr>
              <w:t>27</w:t>
            </w:r>
            <w:r>
              <w:rPr>
                <w:rFonts w:hint="default" w:cs="Times New Roman"/>
                <w:color w:val="000000" w:themeColor="text1"/>
                <w:sz w:val="24"/>
                <w:szCs w:val="24"/>
                <w:highlight w:val="none"/>
                <w:lang w:val="en-US" w:eastAsia="zh-CN"/>
                <w14:textFill>
                  <w14:solidFill>
                    <w14:schemeClr w14:val="tx1"/>
                  </w14:solidFill>
                </w14:textFill>
              </w:rPr>
              <w:t>日），第三章大气污染防治措施、第五节、扬尘和其他污染防治，第五十六条运输煤炭、垃圾、渣土、砂石、土方、灰浆等散装、流体物料的车辆，应当采取密闭或者其他措施防止物料遗撒、泄漏，并按照规定的路线和时间行驶。</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本项目运输车辆全部采用苫布覆盖，控制车速</w:t>
            </w:r>
            <w:r>
              <w:rPr>
                <w:rFonts w:hint="eastAsia" w:cs="Times New Roman"/>
                <w:color w:val="000000" w:themeColor="text1"/>
                <w:sz w:val="24"/>
                <w:szCs w:val="24"/>
                <w:highlight w:val="none"/>
                <w:lang w:val="en-US" w:eastAsia="zh-CN"/>
                <w14:textFill>
                  <w14:solidFill>
                    <w14:schemeClr w14:val="tx1"/>
                  </w14:solidFill>
                </w14:textFill>
              </w:rPr>
              <w:t>，</w:t>
            </w:r>
            <w:r>
              <w:rPr>
                <w:rFonts w:hint="default" w:cs="Times New Roman"/>
                <w:color w:val="000000" w:themeColor="text1"/>
                <w:sz w:val="24"/>
                <w:szCs w:val="24"/>
                <w:highlight w:val="none"/>
                <w:lang w:val="en-US" w:eastAsia="zh-CN"/>
                <w14:textFill>
                  <w14:solidFill>
                    <w14:schemeClr w14:val="tx1"/>
                  </w14:solidFill>
                </w14:textFill>
              </w:rPr>
              <w:t>且洒水降尘</w:t>
            </w:r>
            <w:r>
              <w:rPr>
                <w:rFonts w:hint="eastAsia" w:cs="Times New Roman"/>
                <w:color w:val="000000" w:themeColor="text1"/>
                <w:sz w:val="24"/>
                <w:szCs w:val="24"/>
                <w:highlight w:val="none"/>
                <w:lang w:val="en-US" w:eastAsia="zh-CN"/>
                <w14:textFill>
                  <w14:solidFill>
                    <w14:schemeClr w14:val="tx1"/>
                  </w14:solidFill>
                </w14:textFill>
              </w:rPr>
              <w:t>，</w:t>
            </w:r>
            <w:r>
              <w:rPr>
                <w:rFonts w:hint="default" w:cs="Times New Roman"/>
                <w:color w:val="000000" w:themeColor="text1"/>
                <w:sz w:val="24"/>
                <w:szCs w:val="24"/>
                <w:highlight w:val="none"/>
                <w:lang w:val="en-US" w:eastAsia="zh-CN"/>
                <w14:textFill>
                  <w14:solidFill>
                    <w14:schemeClr w14:val="tx1"/>
                  </w14:solidFill>
                </w14:textFill>
              </w:rPr>
              <w:t>选择对周围环境影响小的运输路线，运输时间在早6:00之后，晚10:00之前。符合《黑龙江省大气污染防治条例》要求。</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原料堆</w:t>
            </w:r>
            <w:r>
              <w:rPr>
                <w:rFonts w:hint="default" w:cs="Times New Roman"/>
                <w:color w:val="000000" w:themeColor="text1"/>
                <w:sz w:val="24"/>
                <w:szCs w:val="24"/>
                <w:highlight w:val="green"/>
                <w:lang w:val="en-US" w:eastAsia="zh-CN"/>
                <w14:textFill>
                  <w14:solidFill>
                    <w14:schemeClr w14:val="tx1"/>
                  </w14:solidFill>
                </w14:textFill>
              </w:rPr>
              <w:t>场</w:t>
            </w:r>
            <w:r>
              <w:rPr>
                <w:rFonts w:hint="eastAsia" w:cs="Times New Roman"/>
                <w:color w:val="000000" w:themeColor="text1"/>
                <w:sz w:val="24"/>
                <w:szCs w:val="24"/>
                <w:highlight w:val="green"/>
                <w:lang w:val="en-US" w:eastAsia="zh-CN"/>
                <w14:textFill>
                  <w14:solidFill>
                    <w14:schemeClr w14:val="tx1"/>
                  </w14:solidFill>
                </w14:textFill>
              </w:rPr>
              <w:t>设置160×6m的防风抑尘网</w:t>
            </w:r>
            <w:r>
              <w:rPr>
                <w:rFonts w:hint="default" w:cs="Times New Roman"/>
                <w:color w:val="000000" w:themeColor="text1"/>
                <w:sz w:val="24"/>
                <w:szCs w:val="24"/>
                <w:highlight w:val="green"/>
                <w:lang w:val="en-US" w:eastAsia="zh-CN"/>
                <w14:textFill>
                  <w14:solidFill>
                    <w14:schemeClr w14:val="tx1"/>
                  </w14:solidFill>
                </w14:textFill>
              </w:rPr>
              <w:t>，</w:t>
            </w:r>
            <w:r>
              <w:rPr>
                <w:rFonts w:hint="eastAsia" w:cs="Times New Roman"/>
                <w:color w:val="000000" w:themeColor="text1"/>
                <w:sz w:val="24"/>
                <w:szCs w:val="24"/>
                <w:highlight w:val="green"/>
                <w:lang w:val="en-US" w:eastAsia="zh-CN"/>
                <w14:textFill>
                  <w14:solidFill>
                    <w14:schemeClr w14:val="tx1"/>
                  </w14:solidFill>
                </w14:textFill>
              </w:rPr>
              <w:t>成品堆场设置围挡（160×6m）且覆盖防尘网，</w:t>
            </w:r>
            <w:r>
              <w:rPr>
                <w:rFonts w:hint="default" w:cs="Times New Roman"/>
                <w:color w:val="000000" w:themeColor="text1"/>
                <w:sz w:val="24"/>
                <w:szCs w:val="24"/>
                <w:highlight w:val="none"/>
                <w:lang w:val="en-US" w:eastAsia="zh-CN"/>
                <w14:textFill>
                  <w14:solidFill>
                    <w14:schemeClr w14:val="tx1"/>
                  </w14:solidFill>
                </w14:textFill>
              </w:rPr>
              <w:t>定期洒水降尘；</w:t>
            </w:r>
            <w:r>
              <w:rPr>
                <w:rFonts w:hint="eastAsia" w:cs="Times New Roman"/>
                <w:color w:val="000000" w:themeColor="text1"/>
                <w:sz w:val="24"/>
                <w:szCs w:val="24"/>
                <w:highlight w:val="none"/>
                <w:lang w:val="en-US" w:eastAsia="zh-CN"/>
                <w14:textFill>
                  <w14:solidFill>
                    <w14:schemeClr w14:val="tx1"/>
                  </w14:solidFill>
                </w14:textFill>
              </w:rPr>
              <w:t>车间内</w:t>
            </w:r>
            <w:r>
              <w:rPr>
                <w:rFonts w:hint="default" w:cs="Times New Roman"/>
                <w:color w:val="000000" w:themeColor="text1"/>
                <w:sz w:val="24"/>
                <w:szCs w:val="24"/>
                <w:highlight w:val="none"/>
                <w:lang w:val="en-US" w:eastAsia="zh-CN"/>
                <w14:textFill>
                  <w14:solidFill>
                    <w14:schemeClr w14:val="tx1"/>
                  </w14:solidFill>
                </w14:textFill>
              </w:rPr>
              <w:t>采取喷淋降尘</w:t>
            </w:r>
            <w:r>
              <w:rPr>
                <w:rFonts w:hint="eastAsia" w:cs="Times New Roman"/>
                <w:color w:val="000000" w:themeColor="text1"/>
                <w:sz w:val="24"/>
                <w:szCs w:val="24"/>
                <w:highlight w:val="none"/>
                <w:lang w:val="en-US" w:eastAsia="zh-CN"/>
                <w14:textFill>
                  <w14:solidFill>
                    <w14:schemeClr w14:val="tx1"/>
                  </w14:solidFill>
                </w14:textFill>
              </w:rPr>
              <w:t>；</w:t>
            </w:r>
            <w:r>
              <w:rPr>
                <w:rFonts w:hint="default" w:cs="Times New Roman"/>
                <w:color w:val="000000" w:themeColor="text1"/>
                <w:sz w:val="24"/>
                <w:szCs w:val="24"/>
                <w:highlight w:val="none"/>
                <w:lang w:val="en-US" w:eastAsia="zh-CN"/>
                <w14:textFill>
                  <w14:solidFill>
                    <w14:schemeClr w14:val="tx1"/>
                  </w14:solidFill>
                </w14:textFill>
              </w:rPr>
              <w:t>在</w:t>
            </w:r>
            <w:r>
              <w:rPr>
                <w:rFonts w:hint="eastAsia" w:cs="Times New Roman"/>
                <w:color w:val="000000" w:themeColor="text1"/>
                <w:sz w:val="24"/>
                <w:szCs w:val="24"/>
                <w:highlight w:val="none"/>
                <w:lang w:val="en-US" w:eastAsia="zh-CN"/>
                <w14:textFill>
                  <w14:solidFill>
                    <w14:schemeClr w14:val="tx1"/>
                  </w14:solidFill>
                </w14:textFill>
              </w:rPr>
              <w:t>各个</w:t>
            </w:r>
            <w:r>
              <w:rPr>
                <w:rFonts w:hint="default" w:cs="Times New Roman"/>
                <w:color w:val="000000" w:themeColor="text1"/>
                <w:sz w:val="24"/>
                <w:szCs w:val="24"/>
                <w:highlight w:val="none"/>
                <w:lang w:val="en-US" w:eastAsia="zh-CN"/>
                <w14:textFill>
                  <w14:solidFill>
                    <w14:schemeClr w14:val="tx1"/>
                  </w14:solidFill>
                </w14:textFill>
              </w:rPr>
              <w:t>破碎、筛分工序</w:t>
            </w:r>
            <w:r>
              <w:rPr>
                <w:rFonts w:hint="eastAsia" w:cs="Times New Roman"/>
                <w:color w:val="000000" w:themeColor="text1"/>
                <w:sz w:val="24"/>
                <w:szCs w:val="24"/>
                <w:highlight w:val="none"/>
                <w:lang w:val="en-US" w:eastAsia="zh-CN"/>
                <w14:textFill>
                  <w14:solidFill>
                    <w14:schemeClr w14:val="tx1"/>
                  </w14:solidFill>
                </w14:textFill>
              </w:rPr>
              <w:t>上方</w:t>
            </w:r>
            <w:r>
              <w:rPr>
                <w:rFonts w:hint="default" w:cs="Times New Roman"/>
                <w:color w:val="000000" w:themeColor="text1"/>
                <w:sz w:val="24"/>
                <w:szCs w:val="24"/>
                <w:highlight w:val="none"/>
                <w:lang w:val="en-US" w:eastAsia="zh-CN"/>
                <w14:textFill>
                  <w14:solidFill>
                    <w14:schemeClr w14:val="tx1"/>
                  </w14:solidFill>
                </w14:textFill>
              </w:rPr>
              <w:t>安装集气罩，收集后的粉尘经布袋除尘器处理后由15m高排气筒排放</w:t>
            </w:r>
            <w:r>
              <w:rPr>
                <w:rFonts w:hint="eastAsia" w:cs="Times New Roman"/>
                <w:color w:val="000000" w:themeColor="text1"/>
                <w:sz w:val="24"/>
                <w:szCs w:val="24"/>
                <w:highlight w:val="none"/>
                <w:lang w:val="en-US" w:eastAsia="zh-CN"/>
                <w14:textFill>
                  <w14:solidFill>
                    <w14:schemeClr w14:val="tx1"/>
                  </w14:solidFill>
                </w14:textFill>
              </w:rPr>
              <w:t>。</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both"/>
              <w:textAlignment w:val="auto"/>
              <w:rPr>
                <w:rFonts w:hint="default" w:cs="Times New Roman"/>
                <w:b/>
                <w:bCs/>
                <w:color w:val="000000" w:themeColor="text1"/>
                <w:sz w:val="24"/>
                <w:szCs w:val="24"/>
                <w:highlight w:val="none"/>
                <w:lang w:val="en-US" w:eastAsia="zh-CN"/>
                <w14:textFill>
                  <w14:solidFill>
                    <w14:schemeClr w14:val="tx1"/>
                  </w14:solidFill>
                </w14:textFill>
              </w:rPr>
            </w:pPr>
            <w:r>
              <w:rPr>
                <w:rFonts w:hint="default" w:cs="Times New Roman"/>
                <w:b/>
                <w:bCs/>
                <w:color w:val="000000" w:themeColor="text1"/>
                <w:sz w:val="24"/>
                <w:szCs w:val="24"/>
                <w:highlight w:val="none"/>
                <w:lang w:val="en-US" w:eastAsia="zh-CN"/>
                <w14:textFill>
                  <w14:solidFill>
                    <w14:schemeClr w14:val="tx1"/>
                  </w14:solidFill>
                </w14:textFill>
              </w:rPr>
              <w:t>4、与《中华人民共和国大气污染防治法》符合性分析</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根据《中华人民共和国大气污染防治法》第二节工业污染防治中第四十八条，钢铁、建材、有色金属、石油、化工、制药、矿产开采等企业，应当加强精细化管理，采取集中收集处理等措施，严格控制粉尘和气态污染物的排放。</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工业生产企业应当采取密闭、围挡、遮盖、清扫、洒水等措施，减少内部物料的堆存、传输、装卸等环节产生的粉尘和气态污染物的排放。</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本项目原料堆场设置</w:t>
            </w:r>
            <w:r>
              <w:rPr>
                <w:rFonts w:hint="eastAsia" w:cs="Times New Roman"/>
                <w:color w:val="000000" w:themeColor="text1"/>
                <w:sz w:val="24"/>
                <w:szCs w:val="24"/>
                <w:highlight w:val="none"/>
                <w:lang w:val="en-US" w:eastAsia="zh-CN"/>
                <w14:textFill>
                  <w14:solidFill>
                    <w14:schemeClr w14:val="tx1"/>
                  </w14:solidFill>
                </w14:textFill>
              </w:rPr>
              <w:t>160×6m防风抑尘网</w:t>
            </w:r>
            <w:r>
              <w:rPr>
                <w:rFonts w:hint="default"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成品堆场设置</w:t>
            </w:r>
            <w:r>
              <w:rPr>
                <w:rFonts w:hint="default" w:cs="Times New Roman"/>
                <w:color w:val="000000" w:themeColor="text1"/>
                <w:sz w:val="24"/>
                <w:szCs w:val="24"/>
                <w:highlight w:val="none"/>
                <w:lang w:val="en-US" w:eastAsia="zh-CN"/>
                <w14:textFill>
                  <w14:solidFill>
                    <w14:schemeClr w14:val="tx1"/>
                  </w14:solidFill>
                </w14:textFill>
              </w:rPr>
              <w:t>定期洒水抑尘</w:t>
            </w:r>
            <w:r>
              <w:rPr>
                <w:rFonts w:hint="eastAsia" w:cs="Times New Roman"/>
                <w:color w:val="000000" w:themeColor="text1"/>
                <w:sz w:val="24"/>
                <w:szCs w:val="24"/>
                <w:highlight w:val="none"/>
                <w:lang w:val="en-US" w:eastAsia="zh-CN"/>
                <w14:textFill>
                  <w14:solidFill>
                    <w14:schemeClr w14:val="tx1"/>
                  </w14:solidFill>
                </w14:textFill>
              </w:rPr>
              <w:t>；传送带密闭；车间内</w:t>
            </w:r>
            <w:r>
              <w:rPr>
                <w:rFonts w:hint="default" w:cs="Times New Roman"/>
                <w:color w:val="000000" w:themeColor="text1"/>
                <w:sz w:val="24"/>
                <w:szCs w:val="24"/>
                <w:highlight w:val="none"/>
                <w:lang w:val="en-US" w:eastAsia="zh-CN"/>
                <w14:textFill>
                  <w14:solidFill>
                    <w14:schemeClr w14:val="tx1"/>
                  </w14:solidFill>
                </w14:textFill>
              </w:rPr>
              <w:t>采取喷淋降尘；在破碎、筛分工序安装集气罩，收集后的粉尘经布袋除尘器处理后由15m高排气筒排放</w:t>
            </w:r>
            <w:r>
              <w:rPr>
                <w:rFonts w:hint="eastAsia" w:cs="Times New Roman"/>
                <w:color w:val="000000" w:themeColor="text1"/>
                <w:sz w:val="24"/>
                <w:szCs w:val="24"/>
                <w:highlight w:val="none"/>
                <w:lang w:val="en-US" w:eastAsia="zh-CN"/>
                <w14:textFill>
                  <w14:solidFill>
                    <w14:schemeClr w14:val="tx1"/>
                  </w14:solidFill>
                </w14:textFill>
              </w:rPr>
              <w:t>，</w:t>
            </w:r>
            <w:r>
              <w:rPr>
                <w:rFonts w:hint="default" w:cs="Times New Roman"/>
                <w:color w:val="000000" w:themeColor="text1"/>
                <w:sz w:val="24"/>
                <w:szCs w:val="24"/>
                <w:highlight w:val="none"/>
                <w:lang w:val="en-US" w:eastAsia="zh-CN"/>
                <w14:textFill>
                  <w14:solidFill>
                    <w14:schemeClr w14:val="tx1"/>
                  </w14:solidFill>
                </w14:textFill>
              </w:rPr>
              <w:t>排放浓度需满足《大气污染物综合排放标准》（GB16297-1996）表2二级标准要求。经采取上述措施，可有效降低废气排放，对周围环境影响较小。</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eastAsia"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根据《中华人民共和国大气污染防治法》</w:t>
            </w:r>
            <w:r>
              <w:rPr>
                <w:rFonts w:hint="eastAsia" w:cs="Times New Roman"/>
                <w:color w:val="000000" w:themeColor="text1"/>
                <w:sz w:val="24"/>
                <w:szCs w:val="24"/>
                <w:highlight w:val="none"/>
                <w:lang w:val="en-US" w:eastAsia="zh-CN"/>
                <w14:textFill>
                  <w14:solidFill>
                    <w14:schemeClr w14:val="tx1"/>
                  </w14:solidFill>
                </w14:textFill>
              </w:rPr>
              <w:t>第四节扬尘污染防治中的第七十二条，贮存煤炭、煤矸石、煤渣、煤灰、水泥、石灰、石膏、砂土等易产生扬尘的物料应当密闭；不能密闭的，应当设置不低于堆放物高度的严密围挡，并采取有效覆盖措施防治扬尘污染。</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eastAsia" w:cs="Times New Roman"/>
                <w:color w:val="000000" w:themeColor="text1"/>
                <w:sz w:val="24"/>
                <w:szCs w:val="24"/>
                <w:highlight w:val="green"/>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本项目</w:t>
            </w:r>
            <w:r>
              <w:rPr>
                <w:rFonts w:hint="default" w:cs="Times New Roman"/>
                <w:color w:val="000000" w:themeColor="text1"/>
                <w:sz w:val="24"/>
                <w:szCs w:val="24"/>
                <w:highlight w:val="green"/>
                <w:lang w:val="en-US" w:eastAsia="zh-CN"/>
                <w14:textFill>
                  <w14:solidFill>
                    <w14:schemeClr w14:val="tx1"/>
                  </w14:solidFill>
                </w14:textFill>
              </w:rPr>
              <w:t>原料堆场设置</w:t>
            </w:r>
            <w:r>
              <w:rPr>
                <w:rFonts w:hint="eastAsia" w:cs="Times New Roman"/>
                <w:color w:val="000000" w:themeColor="text1"/>
                <w:sz w:val="24"/>
                <w:szCs w:val="24"/>
                <w:highlight w:val="green"/>
                <w:lang w:val="en-US" w:eastAsia="zh-CN"/>
                <w14:textFill>
                  <w14:solidFill>
                    <w14:schemeClr w14:val="tx1"/>
                  </w14:solidFill>
                </w14:textFill>
              </w:rPr>
              <w:t>160×6m防风抑尘网</w:t>
            </w:r>
            <w:r>
              <w:rPr>
                <w:rFonts w:hint="default" w:cs="Times New Roman"/>
                <w:color w:val="000000" w:themeColor="text1"/>
                <w:sz w:val="24"/>
                <w:szCs w:val="24"/>
                <w:highlight w:val="green"/>
                <w:lang w:val="en-US" w:eastAsia="zh-CN"/>
                <w14:textFill>
                  <w14:solidFill>
                    <w14:schemeClr w14:val="tx1"/>
                  </w14:solidFill>
                </w14:textFill>
              </w:rPr>
              <w:t>，</w:t>
            </w:r>
            <w:r>
              <w:rPr>
                <w:rFonts w:hint="eastAsia" w:cs="Times New Roman"/>
                <w:color w:val="000000" w:themeColor="text1"/>
                <w:sz w:val="24"/>
                <w:szCs w:val="24"/>
                <w:highlight w:val="green"/>
                <w:lang w:val="en-US" w:eastAsia="zh-CN"/>
                <w14:textFill>
                  <w14:solidFill>
                    <w14:schemeClr w14:val="tx1"/>
                  </w14:solidFill>
                </w14:textFill>
              </w:rPr>
              <w:t>成品堆场设置160×6m围挡且覆盖防尘网，</w:t>
            </w:r>
            <w:r>
              <w:rPr>
                <w:rFonts w:hint="default" w:cs="Times New Roman"/>
                <w:color w:val="000000" w:themeColor="text1"/>
                <w:sz w:val="24"/>
                <w:szCs w:val="24"/>
                <w:highlight w:val="green"/>
                <w:lang w:val="en-US" w:eastAsia="zh-CN"/>
                <w14:textFill>
                  <w14:solidFill>
                    <w14:schemeClr w14:val="tx1"/>
                  </w14:solidFill>
                </w14:textFill>
              </w:rPr>
              <w:t>定期洒水抑尘</w:t>
            </w:r>
            <w:r>
              <w:rPr>
                <w:rFonts w:hint="eastAsia" w:cs="Times New Roman"/>
                <w:color w:val="000000" w:themeColor="text1"/>
                <w:sz w:val="24"/>
                <w:szCs w:val="24"/>
                <w:highlight w:val="green"/>
                <w:lang w:val="en-US" w:eastAsia="zh-CN"/>
                <w14:textFill>
                  <w14:solidFill>
                    <w14:schemeClr w14:val="tx1"/>
                  </w14:solidFill>
                </w14:textFill>
              </w:rPr>
              <w:t>，</w:t>
            </w:r>
            <w:r>
              <w:rPr>
                <w:rFonts w:hint="default" w:cs="Times New Roman"/>
                <w:color w:val="000000" w:themeColor="text1"/>
                <w:sz w:val="24"/>
                <w:szCs w:val="24"/>
                <w:highlight w:val="green"/>
                <w:lang w:val="en-US" w:eastAsia="zh-CN"/>
                <w14:textFill>
                  <w14:solidFill>
                    <w14:schemeClr w14:val="tx1"/>
                  </w14:solidFill>
                </w14:textFill>
              </w:rPr>
              <w:t>经采取上述措施，可有效降低废气排放，对周围环境影响较小。</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both"/>
              <w:textAlignment w:val="auto"/>
              <w:rPr>
                <w:rFonts w:hint="default"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5</w:t>
            </w:r>
            <w:r>
              <w:rPr>
                <w:rFonts w:hint="default" w:cs="Times New Roman"/>
                <w:b/>
                <w:bCs/>
                <w:color w:val="000000" w:themeColor="text1"/>
                <w:sz w:val="24"/>
                <w:szCs w:val="24"/>
                <w:highlight w:val="none"/>
                <w:lang w:val="en-US" w:eastAsia="zh-CN"/>
                <w14:textFill>
                  <w14:solidFill>
                    <w14:schemeClr w14:val="tx1"/>
                  </w14:solidFill>
                </w14:textFill>
              </w:rPr>
              <w:t>、产业政策符合性</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本项目为非金属矿物制品业，不属于《产业结构调整指导目录（2019年本）》（2021年修改）中的鼓励类、限制类、淘汰类项目，符合国家产业政策要求。项目所用设备及产品无《产业结构调整指导目录（2019年本）》中限制类中生产装置设备、淘汰类中落后生产工艺装备、落后产品。项目所用设备及产品无《部分工业行业淘汰落后生产工艺装备和产品指导目录》（2010年本）中淘汰落后生产工艺装备和产品，项目符合国家产业政策及有关部门的相关行业规定，项目的实施可以促进当地经济发展。</w:t>
            </w:r>
          </w:p>
          <w:p>
            <w:pPr>
              <w:pStyle w:val="2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textAlignment w:val="auto"/>
              <w:rPr>
                <w:rFonts w:hint="eastAsia" w:ascii="Times New Roman" w:hAnsi="Times New Roman" w:eastAsia="宋体" w:cs="Times New Roman"/>
                <w:b/>
                <w:bCs/>
                <w:snapToGrid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snapToGrid w:val="0"/>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bCs/>
                <w:snapToGrid w:val="0"/>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bCs/>
                <w:snapToGrid w:val="0"/>
                <w:color w:val="000000" w:themeColor="text1"/>
                <w:kern w:val="2"/>
                <w:sz w:val="24"/>
                <w:szCs w:val="24"/>
                <w:highlight w:val="none"/>
                <w:lang w:val="en-US" w:eastAsia="zh-CN" w:bidi="ar-SA"/>
                <w14:textFill>
                  <w14:solidFill>
                    <w14:schemeClr w14:val="tx1"/>
                  </w14:solidFill>
                </w14:textFill>
              </w:rPr>
              <w:t>与《绥化市“十四五”生态环境保护规划》符合性分析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推进大气污染防治项目实施。持续推动秸秆禁烧自动监控网络建设项目、大气敏感点位 “画像”工程及重污染天气应对后评估、碳强度评估和碳强度控制方案项目和淘汰粮食烘干燃 煤设施清洁能源改造项目，按照国家、省、市招标采购规定，加快推进项目实施。制定实施噪声污染防治行动计划。开展环境功能区评估与调整。市本级在声环境功能区安装噪声自动监测系统。在制定国土空间规划及交通运输等相关规划时，合理划定防噪声距离，明确规划设计要求。因特殊需要必须连续作业的，必须有县级以上政府或者其有关主管部门证明，并公告附近居民。鼓励采用低噪声施工设备和工艺。依法将工业企业噪声纳入排污许可管理，严厉查处工业企业噪声排放超标扰民行为。加强对文化娱乐、商业经营中社会生活噪声热点问题日常监管和集中整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加强土壤污染源头治理。督促企业依法落实主体责任。依据有关法律法规及重点排污单位名录管理规定，将符合条件的排放镉等有毒有害大气、水污染物的企业纳入重点排污单位名录，督促按规定实现在线自动监测。开展涉镉等重金属行业企业排查整治“回头看”，动态更新污染源整治清单。</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堆场、成品放置区域设置防风抑尘网，定期洒水降尘；磨机产生的粉尘、一次筛分产生的粉尘、二次筛分产生的粉尘、整形机产生的粉尘都设置集尘装置，收集后经布袋除尘器处理后，经两根15米高排气筒排放；剩余粉尘经车间喷淋系统处理后无组织排放。本项目各个生产环境精准控制，所以符合黑龙江省“十四五”生态环境保护规划。</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both"/>
              <w:textAlignment w:val="auto"/>
              <w:rPr>
                <w:rFonts w:hint="default"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7、</w:t>
            </w:r>
            <w:r>
              <w:rPr>
                <w:rFonts w:hint="default" w:cs="Times New Roman"/>
                <w:b/>
                <w:bCs/>
                <w:color w:val="000000" w:themeColor="text1"/>
                <w:sz w:val="24"/>
                <w:szCs w:val="24"/>
                <w:highlight w:val="none"/>
                <w:lang w:val="en-US" w:eastAsia="zh-CN"/>
                <w14:textFill>
                  <w14:solidFill>
                    <w14:schemeClr w14:val="tx1"/>
                  </w14:solidFill>
                </w14:textFill>
              </w:rPr>
              <w:t>选址合理性分析</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项目位于</w:t>
            </w:r>
            <w:r>
              <w:rPr>
                <w:rFonts w:hint="eastAsia" w:cs="Times New Roman"/>
                <w:color w:val="000000" w:themeColor="text1"/>
                <w:sz w:val="24"/>
                <w:szCs w:val="24"/>
                <w:highlight w:val="none"/>
                <w:lang w:val="en-US" w:eastAsia="zh-CN"/>
                <w14:textFill>
                  <w14:solidFill>
                    <w14:schemeClr w14:val="tx1"/>
                  </w14:solidFill>
                </w14:textFill>
              </w:rPr>
              <w:t>庆安县同乐乡政府南原同乐制砖厂</w:t>
            </w:r>
            <w:r>
              <w:rPr>
                <w:rFonts w:hint="default"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租赁庆安县同乐制砖厂部分用地，项目四周均为农田。根据附件可知，项目用地为工业用地</w:t>
            </w:r>
            <w:r>
              <w:rPr>
                <w:rFonts w:hint="default" w:cs="Times New Roman"/>
                <w:color w:val="000000" w:themeColor="text1"/>
                <w:sz w:val="24"/>
                <w:szCs w:val="24"/>
                <w:highlight w:val="none"/>
                <w:lang w:val="en-US" w:eastAsia="zh-CN"/>
                <w14:textFill>
                  <w14:solidFill>
                    <w14:schemeClr w14:val="tx1"/>
                  </w14:solidFill>
                </w14:textFill>
              </w:rPr>
              <w:t>，符合土地利用规划</w:t>
            </w:r>
            <w:r>
              <w:rPr>
                <w:rFonts w:hint="eastAsia" w:cs="Times New Roman"/>
                <w:color w:val="000000" w:themeColor="text1"/>
                <w:sz w:val="24"/>
                <w:szCs w:val="24"/>
                <w:highlight w:val="none"/>
                <w:lang w:val="en-US" w:eastAsia="zh-CN"/>
                <w14:textFill>
                  <w14:solidFill>
                    <w14:schemeClr w14:val="tx1"/>
                  </w14:solidFill>
                </w14:textFill>
              </w:rPr>
              <w:t>，</w:t>
            </w:r>
            <w:r>
              <w:rPr>
                <w:rFonts w:hint="default" w:cs="Times New Roman"/>
                <w:color w:val="000000" w:themeColor="text1"/>
                <w:sz w:val="24"/>
                <w:szCs w:val="24"/>
                <w:highlight w:val="none"/>
                <w:lang w:val="en-US" w:eastAsia="zh-CN"/>
                <w14:textFill>
                  <w14:solidFill>
                    <w14:schemeClr w14:val="tx1"/>
                  </w14:solidFill>
                </w14:textFill>
              </w:rPr>
              <w:t>项目区及周围无自然保护区，无风景名胜区，也未发现珍稀保护动植物。本项目生活污水排入防渗旱厕，定期清掏，外运堆肥</w:t>
            </w:r>
            <w:r>
              <w:rPr>
                <w:rFonts w:hint="eastAsia" w:cs="Times New Roman"/>
                <w:color w:val="000000" w:themeColor="text1"/>
                <w:sz w:val="24"/>
                <w:szCs w:val="24"/>
                <w:highlight w:val="none"/>
                <w:lang w:val="en-US" w:eastAsia="zh-CN"/>
                <w14:textFill>
                  <w14:solidFill>
                    <w14:schemeClr w14:val="tx1"/>
                  </w14:solidFill>
                </w14:textFill>
              </w:rPr>
              <w:t>；有组织</w:t>
            </w:r>
            <w:r>
              <w:rPr>
                <w:rFonts w:hint="default" w:cs="Times New Roman"/>
                <w:color w:val="000000" w:themeColor="text1"/>
                <w:sz w:val="24"/>
                <w:szCs w:val="24"/>
                <w:highlight w:val="none"/>
                <w:lang w:val="en-US" w:eastAsia="zh-CN"/>
                <w14:textFill>
                  <w14:solidFill>
                    <w14:schemeClr w14:val="tx1"/>
                  </w14:solidFill>
                </w14:textFill>
              </w:rPr>
              <w:t>废气经布袋除尘器处理后，通过15m高排气筒排放，</w:t>
            </w:r>
            <w:r>
              <w:rPr>
                <w:rFonts w:hint="eastAsia" w:cs="Times New Roman"/>
                <w:color w:val="000000" w:themeColor="text1"/>
                <w:sz w:val="24"/>
                <w:szCs w:val="24"/>
                <w:highlight w:val="none"/>
                <w:lang w:val="en-US" w:eastAsia="zh-CN"/>
                <w14:textFill>
                  <w14:solidFill>
                    <w14:schemeClr w14:val="tx1"/>
                  </w14:solidFill>
                </w14:textFill>
              </w:rPr>
              <w:t>有组织废气能够满足《大气污染物综合排放标准》（GB16297-1996）表2排放标准。原料及成品堆场产生的无组织废气采取洒水降尘、</w:t>
            </w:r>
            <w:r>
              <w:rPr>
                <w:rFonts w:hint="default" w:cs="Times New Roman"/>
                <w:color w:val="000000" w:themeColor="text1"/>
                <w:sz w:val="24"/>
                <w:szCs w:val="24"/>
                <w:highlight w:val="none"/>
                <w:lang w:val="en-US" w:eastAsia="zh-CN"/>
                <w14:textFill>
                  <w14:solidFill>
                    <w14:schemeClr w14:val="tx1"/>
                  </w14:solidFill>
                </w14:textFill>
              </w:rPr>
              <w:t>苫布苫盖</w:t>
            </w:r>
            <w:r>
              <w:rPr>
                <w:rFonts w:hint="eastAsia" w:cs="Times New Roman"/>
                <w:color w:val="000000" w:themeColor="text1"/>
                <w:sz w:val="24"/>
                <w:szCs w:val="24"/>
                <w:highlight w:val="none"/>
                <w:lang w:val="en-US" w:eastAsia="zh-CN"/>
                <w14:textFill>
                  <w14:solidFill>
                    <w14:schemeClr w14:val="tx1"/>
                  </w14:solidFill>
                </w14:textFill>
              </w:rPr>
              <w:t>等方式减少无组织废气的排放；无组织废气能够满足《大气污染物综合排放标准》（GB16297-1996）表2排放标准。</w:t>
            </w:r>
            <w:r>
              <w:rPr>
                <w:rFonts w:hint="default" w:cs="Times New Roman"/>
                <w:color w:val="000000" w:themeColor="text1"/>
                <w:sz w:val="24"/>
                <w:szCs w:val="24"/>
                <w:highlight w:val="none"/>
                <w:lang w:val="en-US" w:eastAsia="zh-CN"/>
                <w14:textFill>
                  <w14:solidFill>
                    <w14:schemeClr w14:val="tx1"/>
                  </w14:solidFill>
                </w14:textFill>
              </w:rPr>
              <w:t>采取选用低噪声设备，通过厂房隔声、基础减振等措施，限制噪声向外传播</w:t>
            </w:r>
            <w:r>
              <w:rPr>
                <w:rFonts w:hint="eastAsia" w:cs="Times New Roman"/>
                <w:color w:val="000000" w:themeColor="text1"/>
                <w:sz w:val="24"/>
                <w:szCs w:val="24"/>
                <w:highlight w:val="none"/>
                <w:lang w:val="en-US" w:eastAsia="zh-CN"/>
                <w14:textFill>
                  <w14:solidFill>
                    <w14:schemeClr w14:val="tx1"/>
                  </w14:solidFill>
                </w14:textFill>
              </w:rPr>
              <w:t>；生活垃圾、除尘器收集的粉尘</w:t>
            </w:r>
            <w:r>
              <w:rPr>
                <w:rFonts w:hint="default" w:cs="Times New Roman"/>
                <w:color w:val="000000" w:themeColor="text1"/>
                <w:sz w:val="24"/>
                <w:szCs w:val="24"/>
                <w:highlight w:val="none"/>
                <w:lang w:val="en-US" w:eastAsia="zh-CN"/>
                <w14:textFill>
                  <w14:solidFill>
                    <w14:schemeClr w14:val="tx1"/>
                  </w14:solidFill>
                </w14:textFill>
              </w:rPr>
              <w:t>等固体废处置率100%</w:t>
            </w:r>
            <w:r>
              <w:rPr>
                <w:rFonts w:hint="eastAsia" w:cs="Times New Roman"/>
                <w:color w:val="000000" w:themeColor="text1"/>
                <w:sz w:val="24"/>
                <w:szCs w:val="24"/>
                <w:highlight w:val="none"/>
                <w:lang w:val="en-US" w:eastAsia="zh-CN"/>
                <w14:textFill>
                  <w14:solidFill>
                    <w14:schemeClr w14:val="tx1"/>
                  </w14:solidFill>
                </w14:textFill>
              </w:rPr>
              <w:t>，</w:t>
            </w:r>
            <w:r>
              <w:rPr>
                <w:rFonts w:hint="default" w:cs="Times New Roman"/>
                <w:color w:val="000000" w:themeColor="text1"/>
                <w:sz w:val="24"/>
                <w:szCs w:val="24"/>
                <w:highlight w:val="none"/>
                <w:lang w:val="en-US" w:eastAsia="zh-CN"/>
                <w14:textFill>
                  <w14:solidFill>
                    <w14:schemeClr w14:val="tx1"/>
                  </w14:solidFill>
                </w14:textFill>
              </w:rPr>
              <w:t>不会对项目区周边环境</w:t>
            </w:r>
            <w:r>
              <w:rPr>
                <w:rFonts w:hint="eastAsia" w:cs="Times New Roman"/>
                <w:color w:val="000000" w:themeColor="text1"/>
                <w:sz w:val="24"/>
                <w:szCs w:val="24"/>
                <w:highlight w:val="none"/>
                <w:lang w:val="en-US" w:eastAsia="zh-CN"/>
                <w14:textFill>
                  <w14:solidFill>
                    <w14:schemeClr w14:val="tx1"/>
                  </w14:solidFill>
                </w14:textFill>
              </w:rPr>
              <w:t>及敏感目标</w:t>
            </w:r>
            <w:r>
              <w:rPr>
                <w:rFonts w:hint="default" w:cs="Times New Roman"/>
                <w:color w:val="000000" w:themeColor="text1"/>
                <w:sz w:val="24"/>
                <w:szCs w:val="24"/>
                <w:highlight w:val="none"/>
                <w:lang w:val="en-US" w:eastAsia="zh-CN"/>
                <w14:textFill>
                  <w14:solidFill>
                    <w14:schemeClr w14:val="tx1"/>
                  </w14:solidFill>
                </w14:textFill>
              </w:rPr>
              <w:t>造成明显影响。本项目建设单位严格落实本环评提出的污染防治措施后可实现废水、废气、噪声的达标排放，固废的合理处置，不会对周边环境产生较大影响。</w:t>
            </w:r>
          </w:p>
          <w:p>
            <w:pPr>
              <w:pStyle w:val="9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rPr>
                <w:bCs/>
                <w:color w:val="000000" w:themeColor="text1"/>
                <w:kern w:val="0"/>
                <w:sz w:val="24"/>
                <w:szCs w:val="21"/>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本项目为碎石加工项目，原料外购，不进行矿石开采，不占用耕地、林地等</w:t>
            </w:r>
            <w:r>
              <w:rPr>
                <w:rFonts w:hint="default" w:cs="Times New Roman"/>
                <w:color w:val="000000" w:themeColor="text1"/>
                <w:sz w:val="24"/>
                <w:szCs w:val="24"/>
                <w:highlight w:val="none"/>
                <w:lang w:val="en-US" w:eastAsia="zh-CN"/>
                <w14:textFill>
                  <w14:solidFill>
                    <w14:schemeClr w14:val="tx1"/>
                  </w14:solidFill>
                </w14:textFill>
              </w:rPr>
              <w:t>，从环境保护角度而言，本项目选址合理</w:t>
            </w:r>
            <w:r>
              <w:rPr>
                <w:rFonts w:hint="eastAsia" w:cs="Times New Roman"/>
                <w:color w:val="000000" w:themeColor="text1"/>
                <w:sz w:val="24"/>
                <w:szCs w:val="24"/>
                <w:highlight w:val="none"/>
                <w:lang w:val="en-US" w:eastAsia="zh-CN"/>
                <w14:textFill>
                  <w14:solidFill>
                    <w14:schemeClr w14:val="tx1"/>
                  </w14:solidFill>
                </w14:textFill>
              </w:rPr>
              <w:t>；项目运输路线选择远离居民、人群等环境敏感区域，符合要求</w:t>
            </w:r>
            <w:r>
              <w:rPr>
                <w:rFonts w:hint="default" w:cs="Times New Roman"/>
                <w:color w:val="000000" w:themeColor="text1"/>
                <w:sz w:val="24"/>
                <w:szCs w:val="24"/>
                <w:highlight w:val="none"/>
                <w:lang w:val="en-US" w:eastAsia="zh-CN"/>
                <w14:textFill>
                  <w14:solidFill>
                    <w14:schemeClr w14:val="tx1"/>
                  </w14:solidFill>
                </w14:textFill>
              </w:rPr>
              <w:t>。</w:t>
            </w:r>
          </w:p>
        </w:tc>
      </w:tr>
    </w:tbl>
    <w:p>
      <w:pPr>
        <w:spacing w:line="360" w:lineRule="auto"/>
        <w:outlineLvl w:val="9"/>
        <w:rPr>
          <w:rFonts w:eastAsia="黑体"/>
          <w:color w:val="000000" w:themeColor="text1"/>
          <w:sz w:val="30"/>
          <w:highlight w:val="red"/>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6"/>
        <w:jc w:val="center"/>
        <w:outlineLvl w:val="0"/>
        <w:rPr>
          <w:rFonts w:hint="eastAsia" w:ascii="黑体" w:hAnsi="黑体" w:eastAsia="黑体" w:cs="Times New Roman"/>
          <w:snapToGrid w:val="0"/>
          <w:color w:val="000000" w:themeColor="text1"/>
          <w:sz w:val="30"/>
          <w:szCs w:val="30"/>
          <w:highlight w:val="none"/>
          <w14:textFill>
            <w14:solidFill>
              <w14:schemeClr w14:val="tx1"/>
            </w14:solidFill>
          </w14:textFill>
        </w:rPr>
      </w:pPr>
      <w:bookmarkStart w:id="26" w:name="_Toc68775753"/>
      <w:bookmarkStart w:id="27" w:name="_Toc19638"/>
      <w:bookmarkStart w:id="28" w:name="_Toc23990"/>
      <w:r>
        <w:rPr>
          <w:rFonts w:hint="eastAsia" w:ascii="黑体" w:hAnsi="黑体" w:eastAsia="黑体" w:cs="Times New Roman"/>
          <w:snapToGrid w:val="0"/>
          <w:color w:val="000000" w:themeColor="text1"/>
          <w:sz w:val="30"/>
          <w:szCs w:val="30"/>
          <w:highlight w:val="none"/>
          <w14:textFill>
            <w14:solidFill>
              <w14:schemeClr w14:val="tx1"/>
            </w14:solidFill>
          </w14:textFill>
        </w:rPr>
        <w:t>二、建设项目工程分析</w:t>
      </w:r>
      <w:bookmarkEnd w:id="26"/>
      <w:bookmarkEnd w:id="27"/>
      <w:bookmarkEnd w:id="28"/>
    </w:p>
    <w:tbl>
      <w:tblPr>
        <w:tblStyle w:val="30"/>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1" w:type="dxa"/>
            <w:vAlign w:val="center"/>
          </w:tcPr>
          <w:p>
            <w:pPr>
              <w:pStyle w:val="26"/>
              <w:adjustRightInd w:val="0"/>
              <w:snapToGrid w:val="0"/>
              <w:spacing w:before="0" w:beforeAutospacing="0" w:after="0" w:afterAutospacing="0"/>
              <w:jc w:val="center"/>
              <w:rPr>
                <w:rFonts w:cs="宋体"/>
                <w:color w:val="000000" w:themeColor="text1"/>
                <w:szCs w:val="24"/>
                <w:highlight w:val="red"/>
                <w14:textFill>
                  <w14:solidFill>
                    <w14:schemeClr w14:val="tx1"/>
                  </w14:solidFill>
                </w14:textFill>
              </w:rPr>
            </w:pPr>
            <w:r>
              <w:rPr>
                <w:rFonts w:hint="eastAsia" w:cs="宋体"/>
                <w:color w:val="000000" w:themeColor="text1"/>
                <w:szCs w:val="24"/>
                <w:highlight w:val="none"/>
                <w14:textFill>
                  <w14:solidFill>
                    <w14:schemeClr w14:val="tx1"/>
                  </w14:solidFill>
                </w14:textFill>
              </w:rPr>
              <w:t>建设内容</w:t>
            </w:r>
          </w:p>
        </w:tc>
        <w:tc>
          <w:tcPr>
            <w:tcW w:w="8609" w:type="dxa"/>
          </w:tcPr>
          <w:p>
            <w:pPr>
              <w:pStyle w:val="68"/>
              <w:spacing w:line="360" w:lineRule="auto"/>
              <w:ind w:left="0" w:leftChars="0" w:firstLine="0" w:firstLineChars="0"/>
              <w:contextualSpacing/>
              <w:rPr>
                <w:b/>
                <w:color w:val="000000" w:themeColor="text1"/>
                <w:kern w:val="0"/>
                <w:sz w:val="24"/>
                <w:highlight w:val="none"/>
                <w14:textFill>
                  <w14:solidFill>
                    <w14:schemeClr w14:val="tx1"/>
                  </w14:solidFill>
                </w14:textFill>
              </w:rPr>
            </w:pPr>
            <w:r>
              <w:rPr>
                <w:rFonts w:hint="eastAsia"/>
                <w:b/>
                <w:color w:val="000000" w:themeColor="text1"/>
                <w:kern w:val="0"/>
                <w:sz w:val="24"/>
                <w:highlight w:val="none"/>
                <w14:textFill>
                  <w14:solidFill>
                    <w14:schemeClr w14:val="tx1"/>
                  </w14:solidFill>
                </w14:textFill>
              </w:rPr>
              <w:t>一、</w:t>
            </w:r>
            <w:r>
              <w:rPr>
                <w:b/>
                <w:bCs/>
                <w:color w:val="000000" w:themeColor="text1"/>
                <w:sz w:val="24"/>
                <w:szCs w:val="24"/>
                <w:highlight w:val="none"/>
                <w14:textFill>
                  <w14:solidFill>
                    <w14:schemeClr w14:val="tx1"/>
                  </w14:solidFill>
                </w14:textFill>
              </w:rPr>
              <w:t>项目</w:t>
            </w:r>
            <w:r>
              <w:rPr>
                <w:rFonts w:hint="eastAsia"/>
                <w:b/>
                <w:color w:val="000000" w:themeColor="text1"/>
                <w:kern w:val="0"/>
                <w:sz w:val="24"/>
                <w:highlight w:val="none"/>
                <w14:textFill>
                  <w14:solidFill>
                    <w14:schemeClr w14:val="tx1"/>
                  </w14:solidFill>
                </w14:textFill>
              </w:rPr>
              <w:t>建设内容及规模</w:t>
            </w:r>
          </w:p>
          <w:p>
            <w:pPr>
              <w:spacing w:line="360" w:lineRule="auto"/>
              <w:ind w:firstLine="480" w:firstLineChars="200"/>
              <w:contextualSpacing/>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r>
              <w:rPr>
                <w:rFonts w:hint="default" w:ascii="Times New Roman" w:hAnsi="宋体" w:eastAsia="宋体" w:cs="Times New Roman"/>
                <w:bCs/>
                <w:color w:val="000000" w:themeColor="text1"/>
                <w:sz w:val="24"/>
                <w:highlight w:val="none"/>
                <w:lang w:eastAsia="zh-CN"/>
                <w14:textFill>
                  <w14:solidFill>
                    <w14:schemeClr w14:val="tx1"/>
                  </w14:solidFill>
                </w14:textFill>
              </w:rPr>
              <w:t>本项目</w:t>
            </w:r>
            <w:r>
              <w:rPr>
                <w:rFonts w:hint="default" w:ascii="Times New Roman" w:hAnsi="宋体" w:eastAsia="宋体" w:cs="Times New Roman"/>
                <w:bCs/>
                <w:color w:val="000000" w:themeColor="text1"/>
                <w:sz w:val="24"/>
                <w:highlight w:val="none"/>
                <w:lang w:val="en-US" w:eastAsia="zh-CN"/>
                <w14:textFill>
                  <w14:solidFill>
                    <w14:schemeClr w14:val="tx1"/>
                  </w14:solidFill>
                </w14:textFill>
              </w:rPr>
              <w:t>位于</w:t>
            </w:r>
            <w:r>
              <w:rPr>
                <w:rFonts w:hint="eastAsia" w:hAnsi="宋体" w:cs="Times New Roman"/>
                <w:bCs/>
                <w:color w:val="000000" w:themeColor="text1"/>
                <w:sz w:val="24"/>
                <w:highlight w:val="none"/>
                <w:lang w:val="en-US" w:eastAsia="zh-CN"/>
                <w14:textFill>
                  <w14:solidFill>
                    <w14:schemeClr w14:val="tx1"/>
                  </w14:solidFill>
                </w14:textFill>
              </w:rPr>
              <w:t>庆安县同乐乡政府南原同乐制砖厂</w:t>
            </w:r>
            <w:r>
              <w:rPr>
                <w:rFonts w:hint="default" w:ascii="Times New Roman" w:hAnsi="宋体" w:eastAsia="宋体" w:cs="Times New Roman"/>
                <w:bCs/>
                <w:color w:val="000000" w:themeColor="text1"/>
                <w:sz w:val="24"/>
                <w:highlight w:val="none"/>
                <w:lang w:val="en-US" w:eastAsia="zh-CN"/>
                <w14:textFill>
                  <w14:solidFill>
                    <w14:schemeClr w14:val="tx1"/>
                  </w14:solidFill>
                </w14:textFill>
              </w:rPr>
              <w:t>，</w:t>
            </w:r>
            <w:r>
              <w:rPr>
                <w:rFonts w:hint="eastAsia" w:ascii="Times New Roman" w:hAnsi="宋体" w:eastAsia="宋体" w:cs="Times New Roman"/>
                <w:bCs/>
                <w:color w:val="000000" w:themeColor="text1"/>
                <w:sz w:val="24"/>
                <w:highlight w:val="none"/>
                <w:lang w:val="en-US" w:eastAsia="zh-CN"/>
                <w14:textFill>
                  <w14:solidFill>
                    <w14:schemeClr w14:val="tx1"/>
                  </w14:solidFill>
                </w14:textFill>
              </w:rPr>
              <w:t>租赁</w:t>
            </w:r>
            <w:r>
              <w:rPr>
                <w:rFonts w:hint="eastAsia" w:hAnsi="宋体" w:cs="Times New Roman"/>
                <w:bCs/>
                <w:color w:val="000000" w:themeColor="text1"/>
                <w:sz w:val="24"/>
                <w:highlight w:val="none"/>
                <w:lang w:val="en-US" w:eastAsia="zh-CN"/>
                <w14:textFill>
                  <w14:solidFill>
                    <w14:schemeClr w14:val="tx1"/>
                  </w14:solidFill>
                </w14:textFill>
              </w:rPr>
              <w:t>庆安县同乐制砖厂</w:t>
            </w:r>
            <w:r>
              <w:rPr>
                <w:rFonts w:hint="eastAsia" w:ascii="Times New Roman" w:hAnsi="宋体" w:eastAsia="宋体" w:cs="Times New Roman"/>
                <w:bCs/>
                <w:color w:val="000000" w:themeColor="text1"/>
                <w:sz w:val="24"/>
                <w:highlight w:val="none"/>
                <w:lang w:val="en-US" w:eastAsia="zh-CN"/>
                <w14:textFill>
                  <w14:solidFill>
                    <w14:schemeClr w14:val="tx1"/>
                  </w14:solidFill>
                </w14:textFill>
              </w:rPr>
              <w:t>用地，本项目</w:t>
            </w:r>
            <w:r>
              <w:rPr>
                <w:rFonts w:hint="default" w:ascii="Times New Roman" w:hAnsi="宋体" w:eastAsia="宋体" w:cs="Times New Roman"/>
                <w:bCs/>
                <w:color w:val="000000" w:themeColor="text1"/>
                <w:sz w:val="24"/>
                <w:highlight w:val="none"/>
                <w:lang w:eastAsia="zh-CN"/>
                <w14:textFill>
                  <w14:solidFill>
                    <w14:schemeClr w14:val="tx1"/>
                  </w14:solidFill>
                </w14:textFill>
              </w:rPr>
              <w:t>占地面积为</w:t>
            </w:r>
            <w:r>
              <w:rPr>
                <w:rFonts w:hint="eastAsia" w:hAnsi="宋体" w:cs="Times New Roman"/>
                <w:bCs/>
                <w:color w:val="000000" w:themeColor="text1"/>
                <w:sz w:val="24"/>
                <w:highlight w:val="none"/>
                <w:lang w:val="en-US" w:eastAsia="zh-CN"/>
                <w14:textFill>
                  <w14:solidFill>
                    <w14:schemeClr w14:val="tx1"/>
                  </w14:solidFill>
                </w14:textFill>
              </w:rPr>
              <w:t>37500</w:t>
            </w:r>
            <w:r>
              <w:rPr>
                <w:rFonts w:hint="default" w:ascii="Times New Roman" w:hAnsi="宋体" w:eastAsia="宋体" w:cs="Times New Roman"/>
                <w:bCs/>
                <w:color w:val="000000" w:themeColor="text1"/>
                <w:sz w:val="24"/>
                <w:highlight w:val="none"/>
                <w:lang w:eastAsia="zh-CN"/>
                <w14:textFill>
                  <w14:solidFill>
                    <w14:schemeClr w14:val="tx1"/>
                  </w14:solidFill>
                </w14:textFill>
              </w:rPr>
              <w:t>m</w:t>
            </w:r>
            <w:r>
              <w:rPr>
                <w:rFonts w:hint="default" w:ascii="Times New Roman" w:hAnsi="宋体" w:eastAsia="宋体" w:cs="Times New Roman"/>
                <w:bCs/>
                <w:color w:val="000000" w:themeColor="text1"/>
                <w:sz w:val="24"/>
                <w:highlight w:val="none"/>
                <w:vertAlign w:val="superscript"/>
                <w:lang w:val="en-US" w:eastAsia="zh-CN"/>
                <w14:textFill>
                  <w14:solidFill>
                    <w14:schemeClr w14:val="tx1"/>
                  </w14:solidFill>
                </w14:textFill>
              </w:rPr>
              <w:t>2</w:t>
            </w:r>
            <w:r>
              <w:rPr>
                <w:rFonts w:hint="default" w:ascii="Times New Roman" w:hAnsi="宋体" w:eastAsia="宋体" w:cs="Times New Roman"/>
                <w:bCs/>
                <w:color w:val="000000" w:themeColor="text1"/>
                <w:sz w:val="24"/>
                <w:highlight w:val="none"/>
                <w:lang w:eastAsia="zh-CN"/>
                <w14:textFill>
                  <w14:solidFill>
                    <w14:schemeClr w14:val="tx1"/>
                  </w14:solidFill>
                </w14:textFill>
              </w:rPr>
              <w:t>，建筑面积为</w:t>
            </w:r>
            <w:r>
              <w:rPr>
                <w:rFonts w:hint="eastAsia" w:hAnsi="宋体" w:cs="Times New Roman"/>
                <w:bCs/>
                <w:color w:val="000000" w:themeColor="text1"/>
                <w:sz w:val="24"/>
                <w:highlight w:val="none"/>
                <w:lang w:val="en-US" w:eastAsia="zh-CN"/>
                <w14:textFill>
                  <w14:solidFill>
                    <w14:schemeClr w14:val="tx1"/>
                  </w14:solidFill>
                </w14:textFill>
              </w:rPr>
              <w:t>5370</w:t>
            </w:r>
            <w:r>
              <w:rPr>
                <w:rFonts w:hint="default" w:ascii="Times New Roman" w:hAnsi="宋体" w:eastAsia="宋体" w:cs="Times New Roman"/>
                <w:bCs/>
                <w:color w:val="000000" w:themeColor="text1"/>
                <w:sz w:val="24"/>
                <w:highlight w:val="none"/>
                <w:lang w:eastAsia="zh-CN"/>
                <w14:textFill>
                  <w14:solidFill>
                    <w14:schemeClr w14:val="tx1"/>
                  </w14:solidFill>
                </w14:textFill>
              </w:rPr>
              <w:t>m</w:t>
            </w:r>
            <w:r>
              <w:rPr>
                <w:rFonts w:hint="default" w:ascii="Times New Roman" w:hAnsi="宋体" w:eastAsia="宋体" w:cs="Times New Roman"/>
                <w:bCs/>
                <w:color w:val="000000" w:themeColor="text1"/>
                <w:sz w:val="24"/>
                <w:highlight w:val="none"/>
                <w:vertAlign w:val="superscript"/>
                <w:lang w:val="en-US" w:eastAsia="zh-CN"/>
                <w14:textFill>
                  <w14:solidFill>
                    <w14:schemeClr w14:val="tx1"/>
                  </w14:solidFill>
                </w14:textFill>
              </w:rPr>
              <w:t>2</w:t>
            </w:r>
            <w:r>
              <w:rPr>
                <w:rFonts w:hint="default" w:ascii="Times New Roman" w:hAnsi="宋体" w:eastAsia="宋体" w:cs="Times New Roman"/>
                <w:bCs/>
                <w:color w:val="000000" w:themeColor="text1"/>
                <w:sz w:val="24"/>
                <w:highlight w:val="none"/>
                <w:lang w:val="en-US" w:eastAsia="zh-CN"/>
                <w14:textFill>
                  <w14:solidFill>
                    <w14:schemeClr w14:val="tx1"/>
                  </w14:solidFill>
                </w14:textFill>
              </w:rPr>
              <w:t>，</w:t>
            </w:r>
            <w:r>
              <w:rPr>
                <w:rFonts w:hint="default" w:ascii="Times New Roman" w:hAnsi="宋体" w:eastAsia="宋体" w:cs="Times New Roman"/>
                <w:bCs/>
                <w:color w:val="000000" w:themeColor="text1"/>
                <w:sz w:val="24"/>
                <w:highlight w:val="none"/>
                <w:lang w:eastAsia="zh-CN"/>
                <w14:textFill>
                  <w14:solidFill>
                    <w14:schemeClr w14:val="tx1"/>
                  </w14:solidFill>
                </w14:textFill>
              </w:rPr>
              <w:t>年</w:t>
            </w:r>
            <w:r>
              <w:rPr>
                <w:rFonts w:hint="eastAsia" w:ascii="Times New Roman" w:hAnsi="宋体" w:eastAsia="宋体" w:cs="Times New Roman"/>
                <w:bCs/>
                <w:color w:val="000000" w:themeColor="text1"/>
                <w:sz w:val="24"/>
                <w:highlight w:val="none"/>
                <w:lang w:eastAsia="zh-CN"/>
                <w14:textFill>
                  <w14:solidFill>
                    <w14:schemeClr w14:val="tx1"/>
                  </w14:solidFill>
                </w14:textFill>
              </w:rPr>
              <w:t>加工</w:t>
            </w:r>
            <w:r>
              <w:rPr>
                <w:rFonts w:hint="default" w:ascii="Times New Roman" w:hAnsi="宋体" w:eastAsia="宋体" w:cs="Times New Roman"/>
                <w:bCs/>
                <w:color w:val="000000" w:themeColor="text1"/>
                <w:sz w:val="24"/>
                <w:highlight w:val="none"/>
                <w:lang w:eastAsia="zh-CN"/>
                <w14:textFill>
                  <w14:solidFill>
                    <w14:schemeClr w14:val="tx1"/>
                  </w14:solidFill>
                </w14:textFill>
              </w:rPr>
              <w:t>碎石</w:t>
            </w:r>
            <w:r>
              <w:rPr>
                <w:rFonts w:hint="eastAsia" w:hAnsi="宋体" w:cs="Times New Roman"/>
                <w:bCs/>
                <w:color w:val="000000" w:themeColor="text1"/>
                <w:sz w:val="24"/>
                <w:highlight w:val="none"/>
                <w:lang w:val="en-US" w:eastAsia="zh-CN"/>
                <w14:textFill>
                  <w14:solidFill>
                    <w14:schemeClr w14:val="tx1"/>
                  </w14:solidFill>
                </w14:textFill>
              </w:rPr>
              <w:t>15.2万</w:t>
            </w:r>
            <w:r>
              <w:rPr>
                <w:rFonts w:hint="default" w:ascii="Times New Roman" w:hAnsi="宋体" w:eastAsia="宋体" w:cs="Times New Roman"/>
                <w:bCs/>
                <w:color w:val="000000" w:themeColor="text1"/>
                <w:sz w:val="24"/>
                <w:highlight w:val="none"/>
                <w:lang w:val="en-US" w:eastAsia="zh-CN"/>
                <w14:textFill>
                  <w14:solidFill>
                    <w14:schemeClr w14:val="tx1"/>
                  </w14:solidFill>
                </w14:textFill>
              </w:rPr>
              <w:t>吨</w:t>
            </w:r>
            <w:r>
              <w:rPr>
                <w:rFonts w:hint="eastAsia" w:ascii="Times New Roman" w:hAnsi="宋体" w:eastAsia="宋体" w:cs="Times New Roman"/>
                <w:bCs/>
                <w:color w:val="000000" w:themeColor="text1"/>
                <w:sz w:val="24"/>
                <w:highlight w:val="none"/>
                <w:lang w:val="en-US" w:eastAsia="zh-CN"/>
                <w14:textFill>
                  <w14:solidFill>
                    <w14:schemeClr w14:val="tx1"/>
                  </w14:solidFill>
                </w14:textFill>
              </w:rPr>
              <w:t>。本项目为碎石加工项目，原料碎石外购于石场。</w:t>
            </w:r>
            <w:r>
              <w:rPr>
                <w:rFonts w:hint="default" w:ascii="Times New Roman" w:hAnsi="宋体" w:eastAsia="宋体" w:cs="Times New Roman"/>
                <w:bCs/>
                <w:color w:val="000000" w:themeColor="text1"/>
                <w:sz w:val="24"/>
                <w:highlight w:val="none"/>
                <w:lang w:eastAsia="zh-CN"/>
                <w14:textFill>
                  <w14:solidFill>
                    <w14:schemeClr w14:val="tx1"/>
                  </w14:solidFill>
                </w14:textFill>
              </w:rPr>
              <w:t>项目组成详见表</w:t>
            </w:r>
            <w:r>
              <w:rPr>
                <w:rFonts w:hint="default" w:ascii="Times New Roman" w:hAnsi="宋体" w:eastAsia="宋体" w:cs="Times New Roman"/>
                <w:bCs/>
                <w:color w:val="000000" w:themeColor="text1"/>
                <w:sz w:val="24"/>
                <w:highlight w:val="none"/>
                <w:lang w:val="en-US" w:eastAsia="zh-CN"/>
                <w14:textFill>
                  <w14:solidFill>
                    <w14:schemeClr w14:val="tx1"/>
                  </w14:solidFill>
                </w14:textFill>
              </w:rPr>
              <w:t>2-1。</w:t>
            </w:r>
          </w:p>
          <w:p>
            <w:pPr>
              <w:spacing w:line="240" w:lineRule="auto"/>
              <w:ind w:firstLine="482" w:firstLineChars="200"/>
              <w:jc w:val="center"/>
              <w:rPr>
                <w:b/>
                <w:bCs w:val="0"/>
                <w:color w:val="000000" w:themeColor="text1"/>
                <w:sz w:val="24"/>
                <w:szCs w:val="24"/>
                <w:highlight w:val="none"/>
                <w14:textFill>
                  <w14:solidFill>
                    <w14:schemeClr w14:val="tx1"/>
                  </w14:solidFill>
                </w14:textFill>
              </w:rPr>
            </w:pPr>
            <w:r>
              <w:rPr>
                <w:b/>
                <w:bCs w:val="0"/>
                <w:color w:val="000000" w:themeColor="text1"/>
                <w:sz w:val="24"/>
                <w:szCs w:val="24"/>
                <w:highlight w:val="none"/>
                <w14:textFill>
                  <w14:solidFill>
                    <w14:schemeClr w14:val="tx1"/>
                  </w14:solidFill>
                </w14:textFill>
              </w:rPr>
              <w:t>表</w:t>
            </w:r>
            <w:r>
              <w:rPr>
                <w:rFonts w:hint="eastAsia"/>
                <w:b/>
                <w:bCs w:val="0"/>
                <w:color w:val="000000" w:themeColor="text1"/>
                <w:sz w:val="24"/>
                <w:szCs w:val="24"/>
                <w:highlight w:val="none"/>
                <w14:textFill>
                  <w14:solidFill>
                    <w14:schemeClr w14:val="tx1"/>
                  </w14:solidFill>
                </w14:textFill>
              </w:rPr>
              <w:t>2-1</w:t>
            </w:r>
            <w:r>
              <w:rPr>
                <w:rFonts w:hint="eastAsia"/>
                <w:b/>
                <w:bCs w:val="0"/>
                <w:color w:val="000000" w:themeColor="text1"/>
                <w:sz w:val="24"/>
                <w:szCs w:val="24"/>
                <w:highlight w:val="none"/>
                <w:lang w:val="en-US" w:eastAsia="zh-CN"/>
                <w14:textFill>
                  <w14:solidFill>
                    <w14:schemeClr w14:val="tx1"/>
                  </w14:solidFill>
                </w14:textFill>
              </w:rPr>
              <w:t xml:space="preserve"> </w:t>
            </w:r>
            <w:r>
              <w:rPr>
                <w:rFonts w:hint="eastAsia"/>
                <w:b/>
                <w:bCs w:val="0"/>
                <w:color w:val="000000" w:themeColor="text1"/>
                <w:sz w:val="24"/>
                <w:szCs w:val="24"/>
                <w:highlight w:val="none"/>
                <w14:textFill>
                  <w14:solidFill>
                    <w14:schemeClr w14:val="tx1"/>
                  </w14:solidFill>
                </w14:textFill>
              </w:rPr>
              <w:t>本</w:t>
            </w:r>
            <w:r>
              <w:rPr>
                <w:rFonts w:hint="eastAsia"/>
                <w:b/>
                <w:bCs w:val="0"/>
                <w:color w:val="000000" w:themeColor="text1"/>
                <w:sz w:val="24"/>
                <w:szCs w:val="24"/>
                <w:highlight w:val="none"/>
                <w:lang w:eastAsia="zh-CN"/>
                <w14:textFill>
                  <w14:solidFill>
                    <w14:schemeClr w14:val="tx1"/>
                  </w14:solidFill>
                </w14:textFill>
              </w:rPr>
              <w:t>项目</w:t>
            </w:r>
            <w:r>
              <w:rPr>
                <w:b/>
                <w:bCs w:val="0"/>
                <w:color w:val="000000" w:themeColor="text1"/>
                <w:sz w:val="24"/>
                <w:szCs w:val="24"/>
                <w:highlight w:val="none"/>
                <w14:textFill>
                  <w14:solidFill>
                    <w14:schemeClr w14:val="tx1"/>
                  </w14:solidFill>
                </w14:textFill>
              </w:rPr>
              <w:t>组成一览表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003"/>
              <w:gridCol w:w="6002"/>
              <w:gridCol w:w="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4" w:type="dxa"/>
                  <w:gridSpan w:val="2"/>
                  <w:tcBorders>
                    <w:tl2br w:val="nil"/>
                    <w:tr2bl w:val="nil"/>
                  </w:tcBorders>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项目类别</w:t>
                  </w:r>
                </w:p>
              </w:tc>
              <w:tc>
                <w:tcPr>
                  <w:tcW w:w="6004" w:type="dxa"/>
                  <w:tcBorders>
                    <w:tl2br w:val="nil"/>
                    <w:tr2bl w:val="nil"/>
                  </w:tcBorders>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建设规模与内容</w:t>
                  </w:r>
                </w:p>
              </w:tc>
              <w:tc>
                <w:tcPr>
                  <w:tcW w:w="663" w:type="dxa"/>
                  <w:tcBorders>
                    <w:tl2br w:val="nil"/>
                    <w:tr2bl w:val="nil"/>
                  </w:tcBorders>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721" w:type="dxa"/>
                  <w:tcBorders>
                    <w:tl2br w:val="nil"/>
                    <w:tr2bl w:val="nil"/>
                  </w:tcBorders>
                  <w:vAlign w:val="center"/>
                </w:tcPr>
                <w:p>
                  <w:pPr>
                    <w:spacing w:line="240" w:lineRule="auto"/>
                    <w:jc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主体工程</w:t>
                  </w:r>
                </w:p>
              </w:tc>
              <w:tc>
                <w:tcPr>
                  <w:tcW w:w="1003"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生产厂房</w:t>
                  </w:r>
                </w:p>
              </w:tc>
              <w:tc>
                <w:tcPr>
                  <w:tcW w:w="6004" w:type="dxa"/>
                  <w:tcBorders>
                    <w:tl2br w:val="nil"/>
                    <w:tr2bl w:val="nil"/>
                  </w:tcBorders>
                  <w:vAlign w:val="center"/>
                </w:tcPr>
                <w:p>
                  <w:pPr>
                    <w:spacing w:line="240" w:lineRule="auto"/>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占地面积</w:t>
                  </w:r>
                  <w:r>
                    <w:rPr>
                      <w:rFonts w:hint="eastAsia" w:cs="Times New Roman"/>
                      <w:bCs/>
                      <w:color w:val="000000" w:themeColor="text1"/>
                      <w:sz w:val="21"/>
                      <w:szCs w:val="21"/>
                      <w:highlight w:val="none"/>
                      <w:lang w:val="en-US" w:eastAsia="zh-CN"/>
                      <w14:textFill>
                        <w14:solidFill>
                          <w14:schemeClr w14:val="tx1"/>
                        </w14:solidFill>
                      </w14:textFill>
                    </w:rPr>
                    <w:t>约</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为</w:t>
                  </w:r>
                  <w:r>
                    <w:rPr>
                      <w:rFonts w:hint="eastAsia" w:cs="Times New Roman"/>
                      <w:bCs/>
                      <w:color w:val="000000" w:themeColor="text1"/>
                      <w:sz w:val="21"/>
                      <w:szCs w:val="21"/>
                      <w:highlight w:val="none"/>
                      <w:lang w:val="en-US" w:eastAsia="zh-CN"/>
                      <w14:textFill>
                        <w14:solidFill>
                          <w14:schemeClr w14:val="tx1"/>
                        </w14:solidFill>
                      </w14:textFill>
                    </w:rPr>
                    <w:t>5000</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H=9m，位于场地中部，设有2台磨机、2台振动筛、1台整形机。年加工狗头石15.2万t；</w:t>
                  </w:r>
                  <w:r>
                    <w:rPr>
                      <w:rFonts w:hint="eastAsia" w:cs="Times New Roman"/>
                      <w:bCs/>
                      <w:color w:val="000000" w:themeColor="text1"/>
                      <w:sz w:val="21"/>
                      <w:szCs w:val="21"/>
                      <w:highlight w:val="green"/>
                      <w:lang w:val="en-US" w:eastAsia="zh-CN"/>
                      <w14:textFill>
                        <w14:solidFill>
                          <w14:schemeClr w14:val="tx1"/>
                        </w14:solidFill>
                      </w14:textFill>
                    </w:rPr>
                    <w:t>厂房设置两个排气筒DA001与DA002,排气筒间隔距离20m。</w:t>
                  </w:r>
                </w:p>
              </w:tc>
              <w:tc>
                <w:tcPr>
                  <w:tcW w:w="663" w:type="dxa"/>
                  <w:tcBorders>
                    <w:tl2br w:val="nil"/>
                    <w:tr2bl w:val="nil"/>
                  </w:tcBorders>
                  <w:vAlign w:val="center"/>
                </w:tcPr>
                <w:p>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21" w:type="dxa"/>
                  <w:vMerge w:val="restart"/>
                  <w:tcBorders>
                    <w:tl2br w:val="nil"/>
                    <w:tr2bl w:val="nil"/>
                  </w:tcBorders>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储运工程</w:t>
                  </w:r>
                </w:p>
              </w:tc>
              <w:tc>
                <w:tcPr>
                  <w:tcW w:w="1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原料堆场</w:t>
                  </w:r>
                </w:p>
              </w:tc>
              <w:tc>
                <w:tcPr>
                  <w:tcW w:w="60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占地面积8000m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，设置</w:t>
                  </w:r>
                  <w:r>
                    <w:rPr>
                      <w:rFonts w:hint="eastAsia"/>
                      <w:color w:val="000000" w:themeColor="text1"/>
                      <w:lang w:val="en-US" w:eastAsia="zh-CN"/>
                      <w14:textFill>
                        <w14:solidFill>
                          <w14:schemeClr w14:val="tx1"/>
                        </w14:solidFill>
                      </w14:textFill>
                    </w:rPr>
                    <w:t>防风抑尘网</w:t>
                  </w:r>
                  <w:r>
                    <w:rPr>
                      <w:rFonts w:hint="eastAsia"/>
                      <w:color w:val="000000" w:themeColor="text1"/>
                      <w:highlight w:val="none"/>
                      <w:lang w:val="en-US" w:eastAsia="zh-CN"/>
                      <w14:textFill>
                        <w14:solidFill>
                          <w14:schemeClr w14:val="tx1"/>
                        </w14:solidFill>
                      </w14:textFill>
                    </w:rPr>
                    <w:t>（长度160m、高度6m）且覆盖防尘网，地面硬化。可堆放</w:t>
                  </w:r>
                  <w:r>
                    <w:rPr>
                      <w:rFonts w:hint="eastAsia" w:cs="Times New Roman"/>
                      <w:bCs/>
                      <w:color w:val="000000" w:themeColor="text1"/>
                      <w:sz w:val="21"/>
                      <w:szCs w:val="21"/>
                      <w:highlight w:val="none"/>
                      <w:lang w:val="en-US" w:eastAsia="zh-CN"/>
                      <w14:textFill>
                        <w14:solidFill>
                          <w14:schemeClr w14:val="tx1"/>
                        </w14:solidFill>
                      </w14:textFill>
                    </w:rPr>
                    <w:t>狗头石16000</w:t>
                  </w:r>
                  <w:r>
                    <w:rPr>
                      <w:rFonts w:hint="eastAsia"/>
                      <w:color w:val="000000" w:themeColor="text1"/>
                      <w:highlight w:val="none"/>
                      <w:lang w:val="en-US" w:eastAsia="zh-CN"/>
                      <w14:textFill>
                        <w14:solidFill>
                          <w14:schemeClr w14:val="tx1"/>
                        </w14:solidFill>
                      </w14:textFill>
                    </w:rPr>
                    <w:t>吨，堆放高度为5m，定期转运。</w:t>
                  </w:r>
                </w:p>
                <w:p>
                  <w:pPr>
                    <w:pStyle w:val="2"/>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lang w:val="en-US" w:eastAsia="zh-CN"/>
                    </w:rPr>
                  </w:pPr>
                  <w:r>
                    <w:rPr>
                      <w:rFonts w:hint="eastAsia"/>
                      <w:highlight w:val="green"/>
                      <w:lang w:val="en-US" w:eastAsia="zh-CN"/>
                    </w:rPr>
                    <w:t>采用一般防渗，等效黏土防渗层Mb≥1.5m，K≤1.0×10</w:t>
                  </w:r>
                  <w:r>
                    <w:rPr>
                      <w:rFonts w:hint="eastAsia"/>
                      <w:highlight w:val="green"/>
                      <w:vertAlign w:val="superscript"/>
                      <w:lang w:val="en-US" w:eastAsia="zh-CN"/>
                    </w:rPr>
                    <w:t>-7</w:t>
                  </w:r>
                  <w:r>
                    <w:rPr>
                      <w:rFonts w:hint="eastAsia"/>
                      <w:highlight w:val="green"/>
                      <w:lang w:val="en-US" w:eastAsia="zh-CN"/>
                    </w:rPr>
                    <w:t>cm/s；</w:t>
                  </w:r>
                </w:p>
              </w:tc>
              <w:tc>
                <w:tcPr>
                  <w:tcW w:w="663" w:type="dxa"/>
                  <w:tcBorders>
                    <w:tl2br w:val="nil"/>
                    <w:tr2bl w:val="nil"/>
                  </w:tcBorders>
                  <w:vAlign w:val="center"/>
                </w:tcPr>
                <w:p>
                  <w:pP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21" w:type="dxa"/>
                  <w:vMerge w:val="continue"/>
                  <w:tcBorders>
                    <w:tl2br w:val="nil"/>
                    <w:tr2bl w:val="nil"/>
                  </w:tcBorders>
                  <w:vAlign w:val="center"/>
                </w:tcPr>
                <w:p>
                  <w:pPr>
                    <w:adjustRightInd w:val="0"/>
                    <w:snapToGrid w:val="0"/>
                    <w:jc w:val="center"/>
                    <w:rPr>
                      <w:rFonts w:hint="eastAsia"/>
                      <w:color w:val="000000" w:themeColor="text1"/>
                      <w:sz w:val="21"/>
                      <w:szCs w:val="21"/>
                      <w:highlight w:val="none"/>
                      <w14:textFill>
                        <w14:solidFill>
                          <w14:schemeClr w14:val="tx1"/>
                        </w14:solidFill>
                      </w14:textFill>
                    </w:rPr>
                  </w:pPr>
                </w:p>
              </w:tc>
              <w:tc>
                <w:tcPr>
                  <w:tcW w:w="1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成品堆场</w:t>
                  </w:r>
                </w:p>
              </w:tc>
              <w:tc>
                <w:tcPr>
                  <w:tcW w:w="60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占地面积8000m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，设置防风抑尘网（长度160m、高度6m）且覆盖防尘网，地面硬化。可堆放成品碎石16000吨，堆放高度为5m，每周转运。</w:t>
                  </w:r>
                </w:p>
                <w:p>
                  <w:pPr>
                    <w:pStyle w:val="2"/>
                    <w:rPr>
                      <w:rFonts w:hint="default"/>
                      <w:lang w:val="en-US" w:eastAsia="zh-CN"/>
                    </w:rPr>
                  </w:pPr>
                  <w:r>
                    <w:rPr>
                      <w:rFonts w:hint="default"/>
                      <w:highlight w:val="green"/>
                      <w:lang w:val="en-US" w:eastAsia="zh-CN"/>
                    </w:rPr>
                    <w:t>采用一般防渗，等效黏土防渗层Mb≥1.5m，K≤1.0×10</w:t>
                  </w:r>
                  <w:r>
                    <w:rPr>
                      <w:rFonts w:hint="default"/>
                      <w:highlight w:val="green"/>
                      <w:vertAlign w:val="superscript"/>
                      <w:lang w:val="en-US" w:eastAsia="zh-CN"/>
                    </w:rPr>
                    <w:t>-7</w:t>
                  </w:r>
                  <w:r>
                    <w:rPr>
                      <w:rFonts w:hint="default"/>
                      <w:highlight w:val="green"/>
                      <w:lang w:val="en-US" w:eastAsia="zh-CN"/>
                    </w:rPr>
                    <w:t>cm/s；</w:t>
                  </w:r>
                </w:p>
              </w:tc>
              <w:tc>
                <w:tcPr>
                  <w:tcW w:w="663" w:type="dxa"/>
                  <w:tcBorders>
                    <w:tl2br w:val="nil"/>
                    <w:tr2bl w:val="nil"/>
                  </w:tcBorders>
                  <w:vAlign w:val="center"/>
                </w:tcPr>
                <w:p>
                  <w:pPr>
                    <w:spacing w:line="240" w:lineRule="auto"/>
                    <w:jc w:val="center"/>
                    <w:rPr>
                      <w:rFonts w:hint="eastAsia" w:cs="Times New Roman"/>
                      <w:bCs/>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21" w:type="dxa"/>
                  <w:tcBorders>
                    <w:tl2br w:val="nil"/>
                    <w:tr2bl w:val="nil"/>
                  </w:tcBorders>
                  <w:vAlign w:val="center"/>
                </w:tcPr>
                <w:p>
                  <w:pPr>
                    <w:adjustRightInd w:val="0"/>
                    <w:snapToGrid w:val="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辅助工程</w:t>
                  </w:r>
                </w:p>
              </w:tc>
              <w:tc>
                <w:tcPr>
                  <w:tcW w:w="1003" w:type="dxa"/>
                  <w:tcBorders>
                    <w:tl2br w:val="nil"/>
                    <w:tr2bl w:val="nil"/>
                  </w:tcBorders>
                  <w:vAlign w:val="center"/>
                </w:tcPr>
                <w:p>
                  <w:pPr>
                    <w:spacing w:line="240" w:lineRule="auto"/>
                    <w:jc w:val="center"/>
                    <w:rPr>
                      <w:rFonts w:hint="eastAsia"/>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办公室</w:t>
                  </w:r>
                </w:p>
              </w:tc>
              <w:tc>
                <w:tcPr>
                  <w:tcW w:w="6004" w:type="dxa"/>
                  <w:tcBorders>
                    <w:tl2br w:val="nil"/>
                    <w:tr2bl w:val="nil"/>
                  </w:tcBorders>
                  <w:vAlign w:val="center"/>
                </w:tcPr>
                <w:p>
                  <w:pPr>
                    <w:pStyle w:val="94"/>
                    <w:spacing w:line="240" w:lineRule="auto"/>
                    <w:ind w:firstLine="0" w:firstLineChars="0"/>
                    <w:jc w:val="left"/>
                    <w:rPr>
                      <w:rFonts w:hint="eastAsia"/>
                      <w:color w:val="000000" w:themeColor="text1"/>
                      <w:sz w:val="2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占地面积约为35m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，建筑面积35m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，高3m，位于场地南侧，供员工工作使用。</w:t>
                  </w:r>
                </w:p>
              </w:tc>
              <w:tc>
                <w:tcPr>
                  <w:tcW w:w="663" w:type="dxa"/>
                  <w:tcBorders>
                    <w:tl2br w:val="nil"/>
                    <w:tr2bl w:val="nil"/>
                  </w:tcBorders>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vMerge w:val="restart"/>
                  <w:tcBorders>
                    <w:tl2br w:val="nil"/>
                    <w:tr2bl w:val="nil"/>
                  </w:tcBorders>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公用工程</w:t>
                  </w:r>
                </w:p>
              </w:tc>
              <w:tc>
                <w:tcPr>
                  <w:tcW w:w="1003" w:type="dxa"/>
                  <w:tcBorders>
                    <w:tl2br w:val="nil"/>
                    <w:tr2bl w:val="nil"/>
                  </w:tcBorders>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供水</w:t>
                  </w:r>
                </w:p>
              </w:tc>
              <w:tc>
                <w:tcPr>
                  <w:tcW w:w="6004" w:type="dxa"/>
                  <w:tcBorders>
                    <w:tl2br w:val="nil"/>
                    <w:tr2bl w:val="nil"/>
                  </w:tcBorders>
                  <w:vAlign w:val="center"/>
                </w:tcPr>
                <w:p>
                  <w:pPr>
                    <w:adjustRightInd w:val="0"/>
                    <w:snapToGrid w:val="0"/>
                    <w:jc w:val="left"/>
                    <w:rPr>
                      <w:rFonts w:hint="default" w:eastAsia="宋体"/>
                      <w:color w:val="000000" w:themeColor="text1"/>
                      <w:sz w:val="21"/>
                      <w:szCs w:val="21"/>
                      <w:highlight w:val="red"/>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市政供水</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作为生活用水和生产抑尘用水。用水量为</w:t>
                  </w:r>
                  <w:r>
                    <w:rPr>
                      <w:rFonts w:hint="eastAsia" w:cs="Times New Roman"/>
                      <w:color w:val="000000" w:themeColor="text1"/>
                      <w:sz w:val="21"/>
                      <w:szCs w:val="21"/>
                      <w:highlight w:val="none"/>
                      <w:lang w:val="en-US" w:eastAsia="zh-CN"/>
                      <w14:textFill>
                        <w14:solidFill>
                          <w14:schemeClr w14:val="tx1"/>
                        </w14:solidFill>
                      </w14:textFill>
                    </w:rPr>
                    <w:t>2.96</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w:t>
                  </w:r>
                  <w:r>
                    <w:rPr>
                      <w:rFonts w:hint="eastAsia" w:cs="Times New Roman"/>
                      <w:color w:val="000000" w:themeColor="text1"/>
                      <w:sz w:val="21"/>
                      <w:szCs w:val="21"/>
                      <w:highlight w:val="none"/>
                      <w:lang w:val="en-US" w:eastAsia="zh-CN"/>
                      <w14:textFill>
                        <w14:solidFill>
                          <w14:schemeClr w14:val="tx1"/>
                        </w14:solidFill>
                      </w14:textFill>
                    </w:rPr>
                    <w:t>592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663" w:type="dxa"/>
                  <w:tcBorders>
                    <w:tl2br w:val="nil"/>
                    <w:tr2bl w:val="nil"/>
                  </w:tcBorders>
                  <w:vAlign w:val="center"/>
                </w:tcPr>
                <w:p>
                  <w:pPr>
                    <w:adjustRightInd w:val="0"/>
                    <w:snapToGrid w:val="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21" w:type="dxa"/>
                  <w:vMerge w:val="continue"/>
                  <w:tcBorders>
                    <w:tl2br w:val="nil"/>
                    <w:tr2bl w:val="nil"/>
                  </w:tcBorders>
                  <w:vAlign w:val="center"/>
                </w:tcPr>
                <w:p>
                  <w:pPr>
                    <w:widowControl/>
                    <w:jc w:val="left"/>
                    <w:rPr>
                      <w:color w:val="000000" w:themeColor="text1"/>
                      <w:sz w:val="21"/>
                      <w:szCs w:val="21"/>
                      <w:highlight w:val="none"/>
                      <w14:textFill>
                        <w14:solidFill>
                          <w14:schemeClr w14:val="tx1"/>
                        </w14:solidFill>
                      </w14:textFill>
                    </w:rPr>
                  </w:pPr>
                </w:p>
              </w:tc>
              <w:tc>
                <w:tcPr>
                  <w:tcW w:w="1003" w:type="dxa"/>
                  <w:tcBorders>
                    <w:tl2br w:val="nil"/>
                    <w:tr2bl w:val="nil"/>
                  </w:tcBorders>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排水</w:t>
                  </w:r>
                </w:p>
              </w:tc>
              <w:tc>
                <w:tcPr>
                  <w:tcW w:w="6004" w:type="dxa"/>
                  <w:tcBorders>
                    <w:tl2br w:val="nil"/>
                    <w:tr2bl w:val="nil"/>
                  </w:tcBorders>
                  <w:vAlign w:val="center"/>
                </w:tcPr>
                <w:p>
                  <w:pPr>
                    <w:adjustRightInd w:val="0"/>
                    <w:snapToGrid w:val="0"/>
                    <w:rPr>
                      <w:rFonts w:hint="default" w:eastAsia="宋体"/>
                      <w:color w:val="000000" w:themeColor="text1"/>
                      <w:sz w:val="21"/>
                      <w:szCs w:val="21"/>
                      <w:highlight w:val="red"/>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生活污水排水量为</w:t>
                  </w:r>
                  <w:r>
                    <w:rPr>
                      <w:rFonts w:hint="eastAsia"/>
                      <w:color w:val="000000" w:themeColor="text1"/>
                      <w:sz w:val="21"/>
                      <w:szCs w:val="21"/>
                      <w:highlight w:val="none"/>
                      <w:lang w:val="en-US" w:eastAsia="zh-CN"/>
                      <w14:textFill>
                        <w14:solidFill>
                          <w14:schemeClr w14:val="tx1"/>
                        </w14:solidFill>
                      </w14:textFill>
                    </w:rPr>
                    <w:t>0.768</w:t>
                  </w:r>
                  <w:r>
                    <w:rPr>
                      <w:rFonts w:hint="eastAsia"/>
                      <w:color w:val="000000" w:themeColor="text1"/>
                      <w:sz w:val="21"/>
                      <w:szCs w:val="21"/>
                      <w:highlight w:val="none"/>
                      <w:lang w:eastAsia="zh-CN"/>
                      <w14:textFill>
                        <w14:solidFill>
                          <w14:schemeClr w14:val="tx1"/>
                        </w14:solidFill>
                      </w14:textFill>
                    </w:rPr>
                    <w:t>m</w:t>
                  </w:r>
                  <w:r>
                    <w:rPr>
                      <w:rFonts w:hint="eastAsia"/>
                      <w:color w:val="000000" w:themeColor="text1"/>
                      <w:sz w:val="21"/>
                      <w:szCs w:val="21"/>
                      <w:highlight w:val="none"/>
                      <w:vertAlign w:val="superscript"/>
                      <w:lang w:eastAsia="zh-CN"/>
                      <w14:textFill>
                        <w14:solidFill>
                          <w14:schemeClr w14:val="tx1"/>
                        </w14:solidFill>
                      </w14:textFill>
                    </w:rPr>
                    <w:t>3</w:t>
                  </w:r>
                  <w:r>
                    <w:rPr>
                      <w:rFonts w:hint="eastAsia"/>
                      <w:color w:val="000000" w:themeColor="text1"/>
                      <w:sz w:val="21"/>
                      <w:szCs w:val="21"/>
                      <w:highlight w:val="none"/>
                      <w:lang w:eastAsia="zh-CN"/>
                      <w14:textFill>
                        <w14:solidFill>
                          <w14:schemeClr w14:val="tx1"/>
                        </w14:solidFill>
                      </w14:textFill>
                    </w:rPr>
                    <w:t>/d（</w:t>
                  </w:r>
                  <w:r>
                    <w:rPr>
                      <w:rFonts w:hint="eastAsia"/>
                      <w:color w:val="000000" w:themeColor="text1"/>
                      <w:sz w:val="21"/>
                      <w:szCs w:val="21"/>
                      <w:highlight w:val="none"/>
                      <w:lang w:val="en-US" w:eastAsia="zh-CN"/>
                      <w14:textFill>
                        <w14:solidFill>
                          <w14:schemeClr w14:val="tx1"/>
                        </w14:solidFill>
                      </w14:textFill>
                    </w:rPr>
                    <w:t>153.6</w:t>
                  </w:r>
                  <w:r>
                    <w:rPr>
                      <w:rFonts w:hint="eastAsia"/>
                      <w:color w:val="000000" w:themeColor="text1"/>
                      <w:sz w:val="21"/>
                      <w:szCs w:val="21"/>
                      <w:highlight w:val="none"/>
                      <w:lang w:eastAsia="zh-CN"/>
                      <w14:textFill>
                        <w14:solidFill>
                          <w14:schemeClr w14:val="tx1"/>
                        </w14:solidFill>
                      </w14:textFill>
                    </w:rPr>
                    <w:t>m</w:t>
                  </w:r>
                  <w:r>
                    <w:rPr>
                      <w:rFonts w:hint="eastAsia"/>
                      <w:color w:val="000000" w:themeColor="text1"/>
                      <w:sz w:val="21"/>
                      <w:szCs w:val="21"/>
                      <w:highlight w:val="none"/>
                      <w:vertAlign w:val="superscript"/>
                      <w:lang w:eastAsia="zh-CN"/>
                      <w14:textFill>
                        <w14:solidFill>
                          <w14:schemeClr w14:val="tx1"/>
                        </w14:solidFill>
                      </w14:textFill>
                    </w:rPr>
                    <w:t>3</w:t>
                  </w:r>
                  <w:r>
                    <w:rPr>
                      <w:rFonts w:hint="eastAsia"/>
                      <w:color w:val="000000" w:themeColor="text1"/>
                      <w:sz w:val="21"/>
                      <w:szCs w:val="21"/>
                      <w:highlight w:val="none"/>
                      <w:lang w:eastAsia="zh-CN"/>
                      <w14:textFill>
                        <w14:solidFill>
                          <w14:schemeClr w14:val="tx1"/>
                        </w14:solidFill>
                      </w14:textFill>
                    </w:rPr>
                    <w:t>/a），排入防渗旱厕，定期清掏，外运堆肥。抑尘用水全部蒸发，不外排。本项目</w:t>
                  </w:r>
                  <w:r>
                    <w:rPr>
                      <w:rFonts w:hint="eastAsia"/>
                      <w:color w:val="000000" w:themeColor="text1"/>
                      <w:sz w:val="21"/>
                      <w:szCs w:val="21"/>
                      <w:highlight w:val="none"/>
                      <w:lang w:val="en-US" w:eastAsia="zh-CN"/>
                      <w14:textFill>
                        <w14:solidFill>
                          <w14:schemeClr w14:val="tx1"/>
                        </w14:solidFill>
                      </w14:textFill>
                    </w:rPr>
                    <w:t>厂区</w:t>
                  </w:r>
                  <w:r>
                    <w:rPr>
                      <w:rFonts w:hint="eastAsia"/>
                      <w:color w:val="000000" w:themeColor="text1"/>
                      <w:sz w:val="21"/>
                      <w:szCs w:val="21"/>
                      <w:highlight w:val="none"/>
                      <w:lang w:eastAsia="zh-CN"/>
                      <w14:textFill>
                        <w14:solidFill>
                          <w14:schemeClr w14:val="tx1"/>
                        </w14:solidFill>
                      </w14:textFill>
                    </w:rPr>
                    <w:t>边界设置</w:t>
                  </w:r>
                  <w:r>
                    <w:rPr>
                      <w:rFonts w:hint="eastAsia"/>
                      <w:color w:val="000000" w:themeColor="text1"/>
                      <w:sz w:val="21"/>
                      <w:szCs w:val="21"/>
                      <w:highlight w:val="none"/>
                      <w:lang w:val="en-US" w:eastAsia="zh-CN"/>
                      <w14:textFill>
                        <w14:solidFill>
                          <w14:schemeClr w14:val="tx1"/>
                        </w14:solidFill>
                      </w14:textFill>
                    </w:rPr>
                    <w:t>导流渠</w:t>
                  </w:r>
                  <w:r>
                    <w:rPr>
                      <w:rFonts w:hint="eastAsia"/>
                      <w:color w:val="000000" w:themeColor="text1"/>
                      <w:sz w:val="21"/>
                      <w:szCs w:val="21"/>
                      <w:highlight w:val="none"/>
                      <w:lang w:eastAsia="zh-CN"/>
                      <w14:textFill>
                        <w14:solidFill>
                          <w14:schemeClr w14:val="tx1"/>
                        </w14:solidFill>
                      </w14:textFill>
                    </w:rPr>
                    <w:t>，防止外界雨水进入厂区，</w:t>
                  </w:r>
                  <w:r>
                    <w:rPr>
                      <w:rFonts w:hint="eastAsia"/>
                      <w:color w:val="000000" w:themeColor="text1"/>
                      <w:sz w:val="21"/>
                      <w:szCs w:val="21"/>
                      <w:highlight w:val="none"/>
                      <w:lang w:val="en-US" w:eastAsia="zh-CN"/>
                      <w14:textFill>
                        <w14:solidFill>
                          <w14:schemeClr w14:val="tx1"/>
                        </w14:solidFill>
                      </w14:textFill>
                    </w:rPr>
                    <w:t>初期雨水汇入雨水池。</w:t>
                  </w:r>
                </w:p>
              </w:tc>
              <w:tc>
                <w:tcPr>
                  <w:tcW w:w="663" w:type="dxa"/>
                  <w:tcBorders>
                    <w:tl2br w:val="nil"/>
                    <w:tr2bl w:val="nil"/>
                  </w:tcBorders>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21" w:type="dxa"/>
                  <w:vMerge w:val="continue"/>
                  <w:tcBorders>
                    <w:tl2br w:val="nil"/>
                    <w:tr2bl w:val="nil"/>
                  </w:tcBorders>
                  <w:vAlign w:val="center"/>
                </w:tcPr>
                <w:p>
                  <w:pPr>
                    <w:widowControl/>
                    <w:jc w:val="left"/>
                    <w:rPr>
                      <w:color w:val="000000" w:themeColor="text1"/>
                      <w:sz w:val="21"/>
                      <w:szCs w:val="21"/>
                      <w:highlight w:val="none"/>
                      <w14:textFill>
                        <w14:solidFill>
                          <w14:schemeClr w14:val="tx1"/>
                        </w14:solidFill>
                      </w14:textFill>
                    </w:rPr>
                  </w:pPr>
                </w:p>
              </w:tc>
              <w:tc>
                <w:tcPr>
                  <w:tcW w:w="1003" w:type="dxa"/>
                  <w:tcBorders>
                    <w:tl2br w:val="nil"/>
                    <w:tr2bl w:val="nil"/>
                  </w:tcBorders>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供电</w:t>
                  </w:r>
                </w:p>
              </w:tc>
              <w:tc>
                <w:tcPr>
                  <w:tcW w:w="6004" w:type="dxa"/>
                  <w:tcBorders>
                    <w:tl2br w:val="nil"/>
                    <w:tr2bl w:val="nil"/>
                  </w:tcBorders>
                  <w:vAlign w:val="center"/>
                </w:tcPr>
                <w:p>
                  <w:pPr>
                    <w:adjustRightInd w:val="0"/>
                    <w:snapToGrid w:val="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本项目用电由当地电网供给。</w:t>
                  </w:r>
                </w:p>
              </w:tc>
              <w:tc>
                <w:tcPr>
                  <w:tcW w:w="663" w:type="dxa"/>
                  <w:tcBorders>
                    <w:tl2br w:val="nil"/>
                    <w:tr2bl w:val="nil"/>
                  </w:tcBorders>
                  <w:vAlign w:val="center"/>
                </w:tcPr>
                <w:p>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21" w:type="dxa"/>
                  <w:vMerge w:val="continue"/>
                  <w:tcBorders>
                    <w:tl2br w:val="nil"/>
                    <w:tr2bl w:val="nil"/>
                  </w:tcBorders>
                  <w:vAlign w:val="center"/>
                </w:tcPr>
                <w:p>
                  <w:pPr>
                    <w:widowControl/>
                    <w:jc w:val="left"/>
                    <w:rPr>
                      <w:color w:val="000000" w:themeColor="text1"/>
                      <w:sz w:val="21"/>
                      <w:szCs w:val="21"/>
                      <w:highlight w:val="none"/>
                      <w14:textFill>
                        <w14:solidFill>
                          <w14:schemeClr w14:val="tx1"/>
                        </w14:solidFill>
                      </w14:textFill>
                    </w:rPr>
                  </w:pPr>
                </w:p>
              </w:tc>
              <w:tc>
                <w:tcPr>
                  <w:tcW w:w="1003" w:type="dxa"/>
                  <w:tcBorders>
                    <w:tl2br w:val="nil"/>
                    <w:tr2bl w:val="nil"/>
                  </w:tcBorders>
                  <w:vAlign w:val="center"/>
                </w:tcPr>
                <w:p>
                  <w:pPr>
                    <w:adjustRightInd w:val="0"/>
                    <w:snapToGrid w:val="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供</w:t>
                  </w:r>
                  <w:r>
                    <w:rPr>
                      <w:rFonts w:hint="eastAsia"/>
                      <w:color w:val="000000" w:themeColor="text1"/>
                      <w:sz w:val="21"/>
                      <w:szCs w:val="21"/>
                      <w:highlight w:val="none"/>
                      <w:lang w:eastAsia="zh-CN"/>
                      <w14:textFill>
                        <w14:solidFill>
                          <w14:schemeClr w14:val="tx1"/>
                        </w14:solidFill>
                      </w14:textFill>
                    </w:rPr>
                    <w:t>热</w:t>
                  </w:r>
                </w:p>
              </w:tc>
              <w:tc>
                <w:tcPr>
                  <w:tcW w:w="6004" w:type="dxa"/>
                  <w:tcBorders>
                    <w:tl2br w:val="nil"/>
                    <w:tr2bl w:val="nil"/>
                  </w:tcBorders>
                  <w:vAlign w:val="center"/>
                </w:tcPr>
                <w:p>
                  <w:pPr>
                    <w:spacing w:line="240" w:lineRule="auto"/>
                    <w:jc w:val="left"/>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电采暖</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663" w:type="dxa"/>
                  <w:tcBorders>
                    <w:tl2br w:val="nil"/>
                    <w:tr2bl w:val="nil"/>
                  </w:tcBorders>
                  <w:vAlign w:val="center"/>
                </w:tcPr>
                <w:p>
                  <w:pPr>
                    <w:adjustRightInd w:val="0"/>
                    <w:snapToGrid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21" w:type="dxa"/>
                  <w:vMerge w:val="restart"/>
                  <w:tcBorders>
                    <w:tl2br w:val="nil"/>
                    <w:tr2bl w:val="nil"/>
                  </w:tcBorders>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环保工程</w:t>
                  </w:r>
                </w:p>
              </w:tc>
              <w:tc>
                <w:tcPr>
                  <w:tcW w:w="1003" w:type="dxa"/>
                  <w:tcBorders>
                    <w:tl2br w:val="nil"/>
                    <w:tr2bl w:val="nil"/>
                  </w:tcBorders>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废水</w:t>
                  </w:r>
                </w:p>
              </w:tc>
              <w:tc>
                <w:tcPr>
                  <w:tcW w:w="6004" w:type="dxa"/>
                  <w:tcBorders>
                    <w:tl2br w:val="nil"/>
                    <w:tr2bl w:val="nil"/>
                  </w:tcBorders>
                  <w:vAlign w:val="center"/>
                </w:tcPr>
                <w:p>
                  <w:pPr>
                    <w:adjustRightInd w:val="0"/>
                    <w:snapToGrid w:val="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本项目无生产废水，</w:t>
                  </w:r>
                  <w:r>
                    <w:rPr>
                      <w:rFonts w:hint="default" w:ascii="Times New Roman" w:hAnsi="Times New Roman" w:cs="Times New Roman"/>
                      <w:color w:val="000000" w:themeColor="text1"/>
                      <w:sz w:val="21"/>
                      <w:szCs w:val="21"/>
                      <w:highlight w:val="none"/>
                      <w14:textFill>
                        <w14:solidFill>
                          <w14:schemeClr w14:val="tx1"/>
                        </w14:solidFill>
                      </w14:textFill>
                    </w:rPr>
                    <w:t>生活污水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排入</w:t>
                  </w:r>
                  <w:r>
                    <w:rPr>
                      <w:rFonts w:hint="default" w:ascii="Times New Roman" w:hAnsi="Times New Roman" w:cs="Times New Roman"/>
                      <w:color w:val="000000" w:themeColor="text1"/>
                      <w:sz w:val="21"/>
                      <w:szCs w:val="21"/>
                      <w:highlight w:val="none"/>
                      <w14:textFill>
                        <w14:solidFill>
                          <w14:schemeClr w14:val="tx1"/>
                        </w14:solidFill>
                      </w14:textFill>
                    </w:rPr>
                    <w:t>厂区内防渗旱厕，定期清掏</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外运堆肥</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处置</w:t>
                  </w:r>
                  <w:r>
                    <w:rPr>
                      <w:rFonts w:hint="default" w:ascii="Times New Roman" w:hAnsi="Times New Roman" w:cs="Times New Roman"/>
                      <w:color w:val="000000" w:themeColor="text1"/>
                      <w:sz w:val="21"/>
                      <w:szCs w:val="21"/>
                      <w:highlight w:val="none"/>
                      <w14:textFill>
                        <w14:solidFill>
                          <w14:schemeClr w14:val="tx1"/>
                        </w14:solidFill>
                      </w14:textFill>
                    </w:rPr>
                    <w:t>，不外排</w:t>
                  </w:r>
                  <w:r>
                    <w:rPr>
                      <w:rFonts w:hint="eastAsia" w:cs="Times New Roman"/>
                      <w:color w:val="000000" w:themeColor="text1"/>
                      <w:sz w:val="21"/>
                      <w:szCs w:val="21"/>
                      <w:highlight w:val="none"/>
                      <w:lang w:eastAsia="zh-CN"/>
                      <w14:textFill>
                        <w14:solidFill>
                          <w14:schemeClr w14:val="tx1"/>
                        </w14:solidFill>
                      </w14:textFill>
                    </w:rPr>
                    <w:t>。本项目</w:t>
                  </w:r>
                  <w:r>
                    <w:rPr>
                      <w:rFonts w:hint="eastAsia" w:cs="Times New Roman"/>
                      <w:color w:val="000000" w:themeColor="text1"/>
                      <w:sz w:val="21"/>
                      <w:szCs w:val="21"/>
                      <w:highlight w:val="none"/>
                      <w:lang w:val="en-US" w:eastAsia="zh-CN"/>
                      <w14:textFill>
                        <w14:solidFill>
                          <w14:schemeClr w14:val="tx1"/>
                        </w14:solidFill>
                      </w14:textFill>
                    </w:rPr>
                    <w:t>厂区</w:t>
                  </w:r>
                  <w:r>
                    <w:rPr>
                      <w:rFonts w:hint="eastAsia" w:cs="Times New Roman"/>
                      <w:color w:val="000000" w:themeColor="text1"/>
                      <w:sz w:val="21"/>
                      <w:szCs w:val="21"/>
                      <w:highlight w:val="none"/>
                      <w:lang w:eastAsia="zh-CN"/>
                      <w14:textFill>
                        <w14:solidFill>
                          <w14:schemeClr w14:val="tx1"/>
                        </w14:solidFill>
                      </w14:textFill>
                    </w:rPr>
                    <w:t>边界设置</w:t>
                  </w:r>
                  <w:r>
                    <w:rPr>
                      <w:rFonts w:hint="eastAsia" w:cs="Times New Roman"/>
                      <w:color w:val="000000" w:themeColor="text1"/>
                      <w:sz w:val="21"/>
                      <w:szCs w:val="21"/>
                      <w:highlight w:val="none"/>
                      <w:lang w:val="en-US" w:eastAsia="zh-CN"/>
                      <w14:textFill>
                        <w14:solidFill>
                          <w14:schemeClr w14:val="tx1"/>
                        </w14:solidFill>
                      </w14:textFill>
                    </w:rPr>
                    <w:t>导流渠</w:t>
                  </w:r>
                  <w:r>
                    <w:rPr>
                      <w:rFonts w:hint="eastAsia" w:cs="Times New Roman"/>
                      <w:color w:val="000000" w:themeColor="text1"/>
                      <w:sz w:val="21"/>
                      <w:szCs w:val="21"/>
                      <w:highlight w:val="none"/>
                      <w:lang w:eastAsia="zh-CN"/>
                      <w14:textFill>
                        <w14:solidFill>
                          <w14:schemeClr w14:val="tx1"/>
                        </w14:solidFill>
                      </w14:textFill>
                    </w:rPr>
                    <w:t>，防止外界雨水进入厂区，</w:t>
                  </w:r>
                  <w:r>
                    <w:rPr>
                      <w:rFonts w:hint="eastAsia" w:cs="Times New Roman"/>
                      <w:color w:val="000000" w:themeColor="text1"/>
                      <w:sz w:val="21"/>
                      <w:szCs w:val="21"/>
                      <w:highlight w:val="none"/>
                      <w:lang w:val="en-US" w:eastAsia="zh-CN"/>
                      <w14:textFill>
                        <w14:solidFill>
                          <w14:schemeClr w14:val="tx1"/>
                        </w14:solidFill>
                      </w14:textFill>
                    </w:rPr>
                    <w:t>初期雨水汇入雨水池，</w:t>
                  </w:r>
                  <w:r>
                    <w:rPr>
                      <w:rFonts w:hint="eastAsia" w:cs="Times New Roman"/>
                      <w:color w:val="000000" w:themeColor="text1"/>
                      <w:sz w:val="21"/>
                      <w:szCs w:val="21"/>
                      <w:highlight w:val="none"/>
                      <w:lang w:eastAsia="zh-CN"/>
                      <w14:textFill>
                        <w14:solidFill>
                          <w14:schemeClr w14:val="tx1"/>
                        </w14:solidFill>
                      </w14:textFill>
                    </w:rPr>
                    <w:t>收集至</w:t>
                  </w:r>
                  <w:r>
                    <w:rPr>
                      <w:rFonts w:hint="eastAsia" w:cs="Times New Roman"/>
                      <w:color w:val="000000" w:themeColor="text1"/>
                      <w:sz w:val="21"/>
                      <w:szCs w:val="21"/>
                      <w:highlight w:val="none"/>
                      <w:lang w:val="en-US" w:eastAsia="zh-CN"/>
                      <w14:textFill>
                        <w14:solidFill>
                          <w14:schemeClr w14:val="tx1"/>
                        </w14:solidFill>
                      </w14:textFill>
                    </w:rPr>
                    <w:t>初期雨水池700立方米</w:t>
                  </w:r>
                  <w:r>
                    <w:rPr>
                      <w:rFonts w:hint="eastAsia" w:cs="Times New Roman"/>
                      <w:color w:val="000000" w:themeColor="text1"/>
                      <w:sz w:val="21"/>
                      <w:szCs w:val="21"/>
                      <w:highlight w:val="none"/>
                      <w:lang w:eastAsia="zh-CN"/>
                      <w14:textFill>
                        <w14:solidFill>
                          <w14:schemeClr w14:val="tx1"/>
                        </w14:solidFill>
                      </w14:textFill>
                    </w:rPr>
                    <w:t>，回用于项目抑尘等用水，不外排。</w:t>
                  </w:r>
                </w:p>
              </w:tc>
              <w:tc>
                <w:tcPr>
                  <w:tcW w:w="663" w:type="dxa"/>
                  <w:tcBorders>
                    <w:tl2br w:val="nil"/>
                    <w:tr2bl w:val="nil"/>
                  </w:tcBorders>
                  <w:vAlign w:val="center"/>
                </w:tcPr>
                <w:p>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vMerge w:val="continue"/>
                  <w:tcBorders>
                    <w:tl2br w:val="nil"/>
                    <w:tr2bl w:val="nil"/>
                  </w:tcBorders>
                  <w:vAlign w:val="center"/>
                </w:tcPr>
                <w:p>
                  <w:pPr>
                    <w:widowControl/>
                    <w:jc w:val="left"/>
                    <w:rPr>
                      <w:color w:val="000000" w:themeColor="text1"/>
                      <w:sz w:val="21"/>
                      <w:szCs w:val="21"/>
                      <w:highlight w:val="red"/>
                      <w14:textFill>
                        <w14:solidFill>
                          <w14:schemeClr w14:val="tx1"/>
                        </w14:solidFill>
                      </w14:textFill>
                    </w:rPr>
                  </w:pPr>
                </w:p>
              </w:tc>
              <w:tc>
                <w:tcPr>
                  <w:tcW w:w="1003" w:type="dxa"/>
                  <w:tcBorders>
                    <w:tl2br w:val="nil"/>
                    <w:tr2bl w:val="nil"/>
                  </w:tcBorders>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废气</w:t>
                  </w:r>
                </w:p>
              </w:tc>
              <w:tc>
                <w:tcPr>
                  <w:tcW w:w="6004" w:type="dxa"/>
                  <w:tcBorders>
                    <w:tl2br w:val="nil"/>
                    <w:tr2bl w:val="nil"/>
                  </w:tcBorders>
                  <w:vAlign w:val="center"/>
                </w:tcPr>
                <w:p>
                  <w:pPr>
                    <w:pStyle w:val="2"/>
                    <w:ind w:left="0" w:leftChars="0" w:firstLine="0" w:firstLineChars="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营期主要废气为运营期废气主要为破碎、整形和筛分工序等产生的粉尘，堆场粉尘、成品放置区粉尘，厂区地埋硬化，车辆运输过程道路适时洒水降尘，输送物料的传送带进行密闭，产尘较小，主要产尘环节如下：</w:t>
                  </w:r>
                </w:p>
                <w:p>
                  <w:pPr>
                    <w:pStyle w:val="2"/>
                    <w:ind w:left="0" w:leftChars="0" w:firstLine="0" w:firstLineChars="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 1 \* GB3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①</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堆场粉尘</w:t>
                  </w:r>
                </w:p>
                <w:p>
                  <w:pPr>
                    <w:pStyle w:val="2"/>
                    <w:ind w:left="0" w:leftChars="0" w:firstLine="0" w:firstLineChars="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原料堆场设置防风抑尘网（长度160m、高度6m），定期洒水抑尘。满足《大气污染物综合排放标准》（GB16297-1996）表2中无组织排放浓度限值。</w:t>
                  </w:r>
                </w:p>
                <w:p>
                  <w:pPr>
                    <w:pStyle w:val="2"/>
                    <w:ind w:left="0" w:leftChars="0" w:firstLine="0" w:firstLineChars="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②一次筛分、磨机、二次筛分粉尘</w:t>
                  </w:r>
                </w:p>
                <w:p>
                  <w:pPr>
                    <w:pStyle w:val="2"/>
                    <w:ind w:left="0" w:leftChars="0" w:firstLine="0" w:firstLineChars="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次筛分、磨机、二次筛分机产尘部位设置集尘装置（收集效率90%），收集的废气经布袋除尘器净化处理后，经15米高排气筒排放（DA001），满足《大气污染物综合排放标准》（GB16297-1996）中表2二级标准15m高排气筒最高允许排放速率及浓度（120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，3.5kg/h）。</w:t>
                  </w:r>
                </w:p>
                <w:p>
                  <w:pPr>
                    <w:pStyle w:val="2"/>
                    <w:ind w:left="0" w:leftChars="0" w:firstLine="0" w:firstLineChars="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③整形及三次筛分粉尘</w:t>
                  </w:r>
                </w:p>
                <w:p>
                  <w:pPr>
                    <w:pStyle w:val="2"/>
                    <w:ind w:left="0" w:leftChars="0" w:firstLine="0" w:firstLineChars="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整形及三次筛分机产尘部位设置集尘装置（收集效率90%），收集的废气经布袋除尘器净化处理后，经15米高排气筒排放（DA002），满足《大气污染物综合排放标准》（GB16297-1996）中表2二级标准15m高排气筒最高允许排放速率及浓度（120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，3.5kg/h）。</w:t>
                  </w:r>
                </w:p>
                <w:p>
                  <w:pPr>
                    <w:pStyle w:val="2"/>
                    <w:ind w:left="0" w:leftChars="0" w:firstLine="0" w:firstLineChars="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④成品放置区粉尘</w:t>
                  </w:r>
                </w:p>
                <w:p>
                  <w:pPr>
                    <w:pStyle w:val="2"/>
                    <w:ind w:left="0" w:leftChars="0" w:firstLine="0" w:firstLineChars="0"/>
                    <w:jc w:val="both"/>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成品堆场设置围挡（长度160m、高度6m）且覆盖防尘网，定期洒水抑尘。满足《大气污染物综合排放标准》（GB16297-1996）表2中无组织排放浓度限值。</w:t>
                  </w:r>
                </w:p>
              </w:tc>
              <w:tc>
                <w:tcPr>
                  <w:tcW w:w="663" w:type="dxa"/>
                  <w:tcBorders>
                    <w:tl2br w:val="nil"/>
                    <w:tr2bl w:val="nil"/>
                  </w:tcBorders>
                  <w:vAlign w:val="center"/>
                </w:tcPr>
                <w:p>
                  <w:pPr>
                    <w:adjustRightInd w:val="0"/>
                    <w:snapToGrid w:val="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vMerge w:val="continue"/>
                  <w:tcBorders>
                    <w:tl2br w:val="nil"/>
                    <w:tr2bl w:val="nil"/>
                  </w:tcBorders>
                  <w:vAlign w:val="center"/>
                </w:tcPr>
                <w:p>
                  <w:pPr>
                    <w:widowControl/>
                    <w:jc w:val="left"/>
                    <w:rPr>
                      <w:color w:val="000000" w:themeColor="text1"/>
                      <w:sz w:val="21"/>
                      <w:szCs w:val="21"/>
                      <w:highlight w:val="red"/>
                      <w14:textFill>
                        <w14:solidFill>
                          <w14:schemeClr w14:val="tx1"/>
                        </w14:solidFill>
                      </w14:textFill>
                    </w:rPr>
                  </w:pPr>
                </w:p>
              </w:tc>
              <w:tc>
                <w:tcPr>
                  <w:tcW w:w="1003" w:type="dxa"/>
                  <w:tcBorders>
                    <w:tl2br w:val="nil"/>
                    <w:tr2bl w:val="nil"/>
                  </w:tcBorders>
                  <w:vAlign w:val="center"/>
                </w:tcPr>
                <w:p>
                  <w:pPr>
                    <w:adjustRightInd w:val="0"/>
                    <w:snapToGrid w:val="0"/>
                    <w:jc w:val="center"/>
                    <w:rPr>
                      <w:color w:val="000000" w:themeColor="text1"/>
                      <w:spacing w:val="0"/>
                      <w:sz w:val="21"/>
                      <w:szCs w:val="21"/>
                      <w:highlight w:val="none"/>
                      <w14:textFill>
                        <w14:solidFill>
                          <w14:schemeClr w14:val="tx1"/>
                        </w14:solidFill>
                      </w14:textFill>
                    </w:rPr>
                  </w:pPr>
                  <w:r>
                    <w:rPr>
                      <w:rFonts w:hint="eastAsia"/>
                      <w:color w:val="000000" w:themeColor="text1"/>
                      <w:spacing w:val="0"/>
                      <w:sz w:val="21"/>
                      <w:szCs w:val="21"/>
                      <w:highlight w:val="none"/>
                      <w14:textFill>
                        <w14:solidFill>
                          <w14:schemeClr w14:val="tx1"/>
                        </w14:solidFill>
                      </w14:textFill>
                    </w:rPr>
                    <w:t>噪声</w:t>
                  </w:r>
                </w:p>
              </w:tc>
              <w:tc>
                <w:tcPr>
                  <w:tcW w:w="6004" w:type="dxa"/>
                  <w:tcBorders>
                    <w:tl2br w:val="nil"/>
                    <w:tr2bl w:val="nil"/>
                  </w:tcBorders>
                  <w:vAlign w:val="center"/>
                </w:tcPr>
                <w:p>
                  <w:pPr>
                    <w:adjustRightInd w:val="0"/>
                    <w:snapToGrid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选用低噪声设备，基础减振等降噪措施。厂界噪声均能够达到《工业企业厂界环境噪声排放标准》（GB12348-2008）表1中2类标准。</w:t>
                  </w:r>
                </w:p>
              </w:tc>
              <w:tc>
                <w:tcPr>
                  <w:tcW w:w="663" w:type="dxa"/>
                  <w:tcBorders>
                    <w:tl2br w:val="nil"/>
                    <w:tr2bl w:val="nil"/>
                  </w:tcBorders>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Merge w:val="continue"/>
                  <w:tcBorders>
                    <w:tl2br w:val="nil"/>
                    <w:tr2bl w:val="nil"/>
                  </w:tcBorders>
                  <w:vAlign w:val="center"/>
                </w:tcPr>
                <w:p>
                  <w:pPr>
                    <w:widowControl/>
                    <w:jc w:val="left"/>
                    <w:rPr>
                      <w:color w:val="000000" w:themeColor="text1"/>
                      <w:sz w:val="21"/>
                      <w:szCs w:val="21"/>
                      <w:highlight w:val="red"/>
                      <w14:textFill>
                        <w14:solidFill>
                          <w14:schemeClr w14:val="tx1"/>
                        </w14:solidFill>
                      </w14:textFill>
                    </w:rPr>
                  </w:pPr>
                </w:p>
              </w:tc>
              <w:tc>
                <w:tcPr>
                  <w:tcW w:w="1003" w:type="dxa"/>
                  <w:tcBorders>
                    <w:tl2br w:val="nil"/>
                    <w:tr2bl w:val="nil"/>
                  </w:tcBorders>
                  <w:vAlign w:val="center"/>
                </w:tcPr>
                <w:p>
                  <w:pPr>
                    <w:adjustRightInd w:val="0"/>
                    <w:snapToGrid w:val="0"/>
                    <w:jc w:val="center"/>
                    <w:rPr>
                      <w:color w:val="000000" w:themeColor="text1"/>
                      <w:spacing w:val="0"/>
                      <w:sz w:val="21"/>
                      <w:szCs w:val="21"/>
                      <w:highlight w:val="none"/>
                      <w14:textFill>
                        <w14:solidFill>
                          <w14:schemeClr w14:val="tx1"/>
                        </w14:solidFill>
                      </w14:textFill>
                    </w:rPr>
                  </w:pPr>
                  <w:r>
                    <w:rPr>
                      <w:rFonts w:hint="eastAsia"/>
                      <w:color w:val="000000" w:themeColor="text1"/>
                      <w:spacing w:val="0"/>
                      <w:sz w:val="21"/>
                      <w:szCs w:val="21"/>
                      <w:highlight w:val="none"/>
                      <w14:textFill>
                        <w14:solidFill>
                          <w14:schemeClr w14:val="tx1"/>
                        </w14:solidFill>
                      </w14:textFill>
                    </w:rPr>
                    <w:t>固体废物</w:t>
                  </w:r>
                </w:p>
              </w:tc>
              <w:tc>
                <w:tcPr>
                  <w:tcW w:w="6004" w:type="dxa"/>
                  <w:tcBorders>
                    <w:tl2br w:val="nil"/>
                    <w:tr2bl w:val="nil"/>
                  </w:tcBorders>
                  <w:vAlign w:val="center"/>
                </w:tcPr>
                <w:p>
                  <w:pPr>
                    <w:rPr>
                      <w:rFonts w:hint="eastAsia"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生活垃圾、废布袋由市政部门定期清运处理</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筛分出来的</w:t>
                  </w:r>
                  <w:r>
                    <w:rPr>
                      <w:rFonts w:hint="eastAsia" w:cs="Times New Roman"/>
                      <w:color w:val="000000" w:themeColor="text1"/>
                      <w:sz w:val="21"/>
                      <w:szCs w:val="21"/>
                      <w:highlight w:val="none"/>
                      <w:lang w:val="en-US" w:eastAsia="zh-CN"/>
                      <w14:textFill>
                        <w14:solidFill>
                          <w14:schemeClr w14:val="tx1"/>
                        </w14:solidFill>
                      </w14:textFill>
                    </w:rPr>
                    <w:t>不合格的产品集中收集外售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；除尘器收集的粉尘外售综合利用。车间沉降粉</w:t>
                  </w:r>
                  <w:r>
                    <w:rPr>
                      <w:rFonts w:hint="eastAsia" w:cs="Times New Roman"/>
                      <w:color w:val="000000" w:themeColor="text1"/>
                      <w:sz w:val="21"/>
                      <w:szCs w:val="21"/>
                      <w:highlight w:val="none"/>
                      <w:lang w:val="en-US" w:eastAsia="zh-CN"/>
                      <w14:textFill>
                        <w14:solidFill>
                          <w14:schemeClr w14:val="tx1"/>
                        </w14:solidFill>
                      </w14:textFill>
                    </w:rPr>
                    <w:t>尘集中收集后外售。废机油与润滑油收集后暂存在危险废物暂存间，交由有资质的单位回收处置。</w:t>
                  </w:r>
                </w:p>
              </w:tc>
              <w:tc>
                <w:tcPr>
                  <w:tcW w:w="663" w:type="dxa"/>
                  <w:tcBorders>
                    <w:tl2br w:val="nil"/>
                    <w:tr2bl w:val="nil"/>
                  </w:tcBorders>
                  <w:vAlign w:val="center"/>
                </w:tcPr>
                <w:p>
                  <w:pPr>
                    <w:adjustRightInd w:val="0"/>
                    <w:snapToGrid w:val="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Merge w:val="continue"/>
                  <w:tcBorders>
                    <w:tl2br w:val="nil"/>
                    <w:tr2bl w:val="nil"/>
                  </w:tcBorders>
                  <w:vAlign w:val="center"/>
                </w:tcPr>
                <w:p>
                  <w:pPr>
                    <w:widowControl/>
                    <w:jc w:val="left"/>
                    <w:rPr>
                      <w:color w:val="000000" w:themeColor="text1"/>
                      <w:sz w:val="21"/>
                      <w:szCs w:val="21"/>
                      <w:highlight w:val="red"/>
                      <w14:textFill>
                        <w14:solidFill>
                          <w14:schemeClr w14:val="tx1"/>
                        </w14:solidFill>
                      </w14:textFill>
                    </w:rPr>
                  </w:pPr>
                </w:p>
              </w:tc>
              <w:tc>
                <w:tcPr>
                  <w:tcW w:w="1003" w:type="dxa"/>
                  <w:tcBorders>
                    <w:tl2br w:val="nil"/>
                    <w:tr2bl w:val="nil"/>
                  </w:tcBorders>
                  <w:vAlign w:val="center"/>
                </w:tcPr>
                <w:p>
                  <w:pPr>
                    <w:adjustRightInd w:val="0"/>
                    <w:snapToGrid w:val="0"/>
                    <w:jc w:val="center"/>
                    <w:rPr>
                      <w:rFonts w:hint="eastAsia" w:eastAsia="宋体"/>
                      <w:color w:val="000000" w:themeColor="text1"/>
                      <w:spacing w:val="0"/>
                      <w:sz w:val="21"/>
                      <w:szCs w:val="21"/>
                      <w:highlight w:val="none"/>
                      <w:lang w:eastAsia="zh-CN"/>
                      <w14:textFill>
                        <w14:solidFill>
                          <w14:schemeClr w14:val="tx1"/>
                        </w14:solidFill>
                      </w14:textFill>
                    </w:rPr>
                  </w:pPr>
                  <w:r>
                    <w:rPr>
                      <w:rFonts w:hint="eastAsia"/>
                      <w:color w:val="000000" w:themeColor="text1"/>
                      <w:spacing w:val="0"/>
                      <w:sz w:val="21"/>
                      <w:szCs w:val="21"/>
                      <w:highlight w:val="none"/>
                      <w:lang w:eastAsia="zh-CN"/>
                      <w14:textFill>
                        <w14:solidFill>
                          <w14:schemeClr w14:val="tx1"/>
                        </w14:solidFill>
                      </w14:textFill>
                    </w:rPr>
                    <w:t>危险废物</w:t>
                  </w:r>
                </w:p>
              </w:tc>
              <w:tc>
                <w:tcPr>
                  <w:tcW w:w="6004" w:type="dxa"/>
                  <w:tcBorders>
                    <w:tl2br w:val="nil"/>
                    <w:tr2bl w:val="nil"/>
                  </w:tcBorders>
                  <w:vAlign w:val="center"/>
                </w:tcPr>
                <w:p>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设备</w:t>
                  </w:r>
                  <w:r>
                    <w:rPr>
                      <w:rFonts w:hint="eastAsia"/>
                      <w:color w:val="000000" w:themeColor="text1"/>
                      <w:szCs w:val="21"/>
                      <w:highlight w:val="none"/>
                      <w14:textFill>
                        <w14:solidFill>
                          <w14:schemeClr w14:val="tx1"/>
                        </w14:solidFill>
                      </w14:textFill>
                    </w:rPr>
                    <w:t>保养维修产生</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机</w:t>
                  </w:r>
                  <w:r>
                    <w:rPr>
                      <w:color w:val="000000" w:themeColor="text1"/>
                      <w14:textFill>
                        <w14:solidFill>
                          <w14:schemeClr w14:val="tx1"/>
                        </w14:solidFill>
                      </w14:textFill>
                    </w:rPr>
                    <w:t>油</w:t>
                  </w:r>
                  <w:r>
                    <w:rPr>
                      <w:rFonts w:hint="eastAsia"/>
                      <w:color w:val="000000" w:themeColor="text1"/>
                      <w:lang w:eastAsia="zh-CN"/>
                      <w14:textFill>
                        <w14:solidFill>
                          <w14:schemeClr w14:val="tx1"/>
                        </w14:solidFill>
                      </w14:textFill>
                    </w:rPr>
                    <w:t>、润滑油</w:t>
                  </w:r>
                  <w:r>
                    <w:rPr>
                      <w:rFonts w:hint="eastAsia"/>
                      <w:color w:val="000000" w:themeColor="text1"/>
                      <w:szCs w:val="21"/>
                      <w:highlight w:val="none"/>
                      <w:lang w:eastAsia="zh-CN"/>
                      <w14:textFill>
                        <w14:solidFill>
                          <w14:schemeClr w14:val="tx1"/>
                        </w14:solidFill>
                      </w14:textFill>
                    </w:rPr>
                    <w:t>为危险废物，</w:t>
                  </w:r>
                  <w:r>
                    <w:rPr>
                      <w:rFonts w:hint="eastAsia"/>
                      <w:color w:val="000000" w:themeColor="text1"/>
                      <w:szCs w:val="21"/>
                      <w:highlight w:val="none"/>
                      <w14:textFill>
                        <w14:solidFill>
                          <w14:schemeClr w14:val="tx1"/>
                        </w14:solidFill>
                      </w14:textFill>
                    </w:rPr>
                    <w:t>暂存于危废</w:t>
                  </w:r>
                  <w:r>
                    <w:rPr>
                      <w:rFonts w:hint="eastAsia"/>
                      <w:color w:val="000000" w:themeColor="text1"/>
                      <w:szCs w:val="21"/>
                      <w:highlight w:val="none"/>
                      <w:lang w:eastAsia="zh-CN"/>
                      <w14:textFill>
                        <w14:solidFill>
                          <w14:schemeClr w14:val="tx1"/>
                        </w14:solidFill>
                      </w14:textFill>
                    </w:rPr>
                    <w:t>贮存库</w:t>
                  </w:r>
                  <w:r>
                    <w:rPr>
                      <w:rFonts w:hint="eastAsia"/>
                      <w:color w:val="000000" w:themeColor="text1"/>
                      <w:szCs w:val="21"/>
                      <w:highlight w:val="none"/>
                      <w14:textFill>
                        <w14:solidFill>
                          <w14:schemeClr w14:val="tx1"/>
                        </w14:solidFill>
                      </w14:textFill>
                    </w:rPr>
                    <w:t>，定期委托有资质单位处置</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危险废物暂存间5m</w:t>
                  </w:r>
                  <w:r>
                    <w:rPr>
                      <w:rFonts w:hint="eastAsia"/>
                      <w:color w:val="000000" w:themeColor="text1"/>
                      <w:szCs w:val="21"/>
                      <w:highlight w:val="none"/>
                      <w:vertAlign w:val="superscript"/>
                      <w:lang w:val="en-US" w:eastAsia="zh-CN"/>
                      <w14:textFill>
                        <w14:solidFill>
                          <w14:schemeClr w14:val="tx1"/>
                        </w14:solidFill>
                      </w14:textFill>
                    </w:rPr>
                    <w:t>2</w:t>
                  </w:r>
                  <w:r>
                    <w:rPr>
                      <w:rFonts w:hint="eastAsia"/>
                      <w:color w:val="000000" w:themeColor="text1"/>
                      <w:szCs w:val="21"/>
                      <w:highlight w:val="none"/>
                      <w:vertAlign w:val="baseline"/>
                      <w:lang w:val="en-US" w:eastAsia="zh-CN"/>
                      <w14:textFill>
                        <w14:solidFill>
                          <w14:schemeClr w14:val="tx1"/>
                        </w14:solidFill>
                      </w14:textFill>
                    </w:rPr>
                    <w:t>，位于生产厂房内，</w:t>
                  </w:r>
                  <w:r>
                    <w:rPr>
                      <w:rFonts w:hint="eastAsia"/>
                      <w:color w:val="000000" w:themeColor="text1"/>
                      <w:szCs w:val="21"/>
                      <w:highlight w:val="none"/>
                      <w14:textFill>
                        <w14:solidFill>
                          <w14:schemeClr w14:val="tx1"/>
                        </w14:solidFill>
                      </w14:textFill>
                    </w:rPr>
                    <w:t>危废间满足“</w:t>
                  </w:r>
                  <w:r>
                    <w:rPr>
                      <w:rFonts w:hint="eastAsia"/>
                      <w:color w:val="000000" w:themeColor="text1"/>
                      <w:szCs w:val="21"/>
                      <w:highlight w:val="none"/>
                      <w:lang w:val="en-US" w:eastAsia="zh-CN"/>
                      <w14:textFill>
                        <w14:solidFill>
                          <w14:schemeClr w14:val="tx1"/>
                        </w14:solidFill>
                      </w14:textFill>
                    </w:rPr>
                    <w:t>六</w:t>
                  </w:r>
                  <w:r>
                    <w:rPr>
                      <w:rFonts w:hint="eastAsia"/>
                      <w:color w:val="000000" w:themeColor="text1"/>
                      <w:szCs w:val="21"/>
                      <w:highlight w:val="none"/>
                      <w14:textFill>
                        <w14:solidFill>
                          <w14:schemeClr w14:val="tx1"/>
                        </w14:solidFill>
                      </w14:textFill>
                    </w:rPr>
                    <w:t>防”（</w:t>
                  </w:r>
                  <w:r>
                    <w:rPr>
                      <w:rFonts w:hint="eastAsia"/>
                      <w:color w:val="000000" w:themeColor="text1"/>
                      <w:szCs w:val="21"/>
                      <w:highlight w:val="none"/>
                      <w:lang w:val="en-US" w:eastAsia="zh-CN"/>
                      <w14:textFill>
                        <w14:solidFill>
                          <w14:schemeClr w14:val="tx1"/>
                        </w14:solidFill>
                      </w14:textFill>
                    </w:rPr>
                    <w:t>防风、防晒、防雨、防漏、防渗、防腐以及其他环境污染防治措施，不应露天堆放危险废物</w:t>
                  </w:r>
                  <w:r>
                    <w:rPr>
                      <w:rFonts w:hint="eastAsia"/>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贮存设施应根据危险废物的类别、数量、形态、物理化学性质和污染防治等要求设置必要的贮存分区，避免不相容的危险废物接触、混合。贮存设施或贮存分区内地面、墙面裙脚、堵截泄漏的围堰、接触危险废物的隔板和墙体等应采用坚固的材料建造，表面无裂缝。</w:t>
                  </w:r>
                </w:p>
                <w:p>
                  <w:pP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olor w:val="000000" w:themeColor="text1"/>
                      <w:szCs w:val="21"/>
                      <w:highlight w:val="none"/>
                      <w:vertAlign w:val="superscript"/>
                      <w:lang w:val="en-US" w:eastAsia="zh-CN"/>
                      <w14:textFill>
                        <w14:solidFill>
                          <w14:schemeClr w14:val="tx1"/>
                        </w14:solidFill>
                      </w14:textFill>
                    </w:rPr>
                    <w:t xml:space="preserve">-7 </w:t>
                  </w:r>
                  <w:r>
                    <w:rPr>
                      <w:rFonts w:hint="eastAsia"/>
                      <w:color w:val="000000" w:themeColor="text1"/>
                      <w:szCs w:val="21"/>
                      <w:highlight w:val="none"/>
                      <w:lang w:val="en-US" w:eastAsia="zh-CN"/>
                      <w14:textFill>
                        <w14:solidFill>
                          <w14:schemeClr w14:val="tx1"/>
                        </w14:solidFill>
                      </w14:textFill>
                    </w:rPr>
                    <w:t>cm/s），或至少2mm厚高密度聚乙烯膜等人工防渗材料（渗透系数不大于10</w:t>
                  </w:r>
                  <w:r>
                    <w:rPr>
                      <w:rFonts w:hint="eastAsia"/>
                      <w:color w:val="000000" w:themeColor="text1"/>
                      <w:szCs w:val="21"/>
                      <w:highlight w:val="none"/>
                      <w:vertAlign w:val="superscript"/>
                      <w:lang w:val="en-US" w:eastAsia="zh-CN"/>
                      <w14:textFill>
                        <w14:solidFill>
                          <w14:schemeClr w14:val="tx1"/>
                        </w14:solidFill>
                      </w14:textFill>
                    </w:rPr>
                    <w:t>-10</w:t>
                  </w:r>
                  <w:r>
                    <w:rPr>
                      <w:rFonts w:hint="eastAsia"/>
                      <w:color w:val="000000" w:themeColor="text1"/>
                      <w:szCs w:val="21"/>
                      <w:highlight w:val="none"/>
                      <w:lang w:val="en-US" w:eastAsia="zh-CN"/>
                      <w14:textFill>
                        <w14:solidFill>
                          <w14:schemeClr w14:val="tx1"/>
                        </w14:solidFill>
                      </w14:textFill>
                    </w:rPr>
                    <w:t>cm/s），或其他防渗性能等效的材料。同一贮存设施宜采用相同的防渗、防腐工艺（包括防渗、防腐结构或材料），防渗、防腐材料应覆盖所有可能与废物及其渗滤液、渗漏液等接触的构筑物表面；采用不同防渗、防腐工艺应分别建设贮存分区。贮存设施应采取技术和管理措施防止无关人员进入。</w:t>
                  </w:r>
                </w:p>
                <w:p>
                  <w:pPr>
                    <w:pStyle w:val="2"/>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rPr>
                  </w:pPr>
                  <w:r>
                    <w:rPr>
                      <w:rFonts w:hint="eastAsia"/>
                      <w:color w:val="000000" w:themeColor="text1"/>
                      <w:szCs w:val="21"/>
                      <w:highlight w:val="green"/>
                      <w:lang w:val="en-US" w:eastAsia="zh-CN"/>
                      <w14:textFill>
                        <w14:solidFill>
                          <w14:schemeClr w14:val="tx1"/>
                        </w14:solidFill>
                      </w14:textFill>
                    </w:rPr>
                    <w:t>危废库设置围堰以及导流槽，放置液体泄露造成污染，连接事故池。</w:t>
                  </w:r>
                </w:p>
              </w:tc>
              <w:tc>
                <w:tcPr>
                  <w:tcW w:w="663" w:type="dxa"/>
                  <w:tcBorders>
                    <w:tl2br w:val="nil"/>
                    <w:tr2bl w:val="nil"/>
                  </w:tcBorders>
                  <w:vAlign w:val="center"/>
                </w:tcPr>
                <w:p>
                  <w:pPr>
                    <w:adjustRightInd w:val="0"/>
                    <w:snapToGrid w:val="0"/>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Merge w:val="continue"/>
                  <w:tcBorders>
                    <w:tl2br w:val="nil"/>
                    <w:tr2bl w:val="nil"/>
                  </w:tcBorders>
                  <w:vAlign w:val="center"/>
                </w:tcPr>
                <w:p>
                  <w:pPr>
                    <w:widowControl/>
                    <w:jc w:val="left"/>
                    <w:rPr>
                      <w:color w:val="000000" w:themeColor="text1"/>
                      <w:sz w:val="21"/>
                      <w:szCs w:val="21"/>
                      <w:highlight w:val="red"/>
                      <w14:textFill>
                        <w14:solidFill>
                          <w14:schemeClr w14:val="tx1"/>
                        </w14:solidFill>
                      </w14:textFill>
                    </w:rPr>
                  </w:pPr>
                </w:p>
              </w:tc>
              <w:tc>
                <w:tcPr>
                  <w:tcW w:w="1003" w:type="dxa"/>
                  <w:tcBorders>
                    <w:tl2br w:val="nil"/>
                    <w:tr2bl w:val="nil"/>
                  </w:tcBorders>
                  <w:vAlign w:val="center"/>
                </w:tcPr>
                <w:p>
                  <w:pPr>
                    <w:adjustRightInd w:val="0"/>
                    <w:snapToGrid w:val="0"/>
                    <w:jc w:val="center"/>
                    <w:rPr>
                      <w:rFonts w:hint="eastAsia"/>
                      <w:color w:val="000000" w:themeColor="text1"/>
                      <w:spacing w:val="0"/>
                      <w:sz w:val="21"/>
                      <w:szCs w:val="21"/>
                      <w:highlight w:val="none"/>
                      <w:lang w:eastAsia="zh-CN"/>
                      <w14:textFill>
                        <w14:solidFill>
                          <w14:schemeClr w14:val="tx1"/>
                        </w14:solidFill>
                      </w14:textFill>
                    </w:rPr>
                  </w:pPr>
                  <w:r>
                    <w:rPr>
                      <w:rFonts w:hint="eastAsia"/>
                      <w:color w:val="000000" w:themeColor="text1"/>
                      <w:spacing w:val="0"/>
                      <w:sz w:val="21"/>
                      <w:szCs w:val="21"/>
                      <w:highlight w:val="none"/>
                      <w:lang w:eastAsia="zh-CN"/>
                      <w14:textFill>
                        <w14:solidFill>
                          <w14:schemeClr w14:val="tx1"/>
                        </w14:solidFill>
                      </w14:textFill>
                    </w:rPr>
                    <w:t>厂区</w:t>
                  </w:r>
                </w:p>
              </w:tc>
              <w:tc>
                <w:tcPr>
                  <w:tcW w:w="6004" w:type="dxa"/>
                  <w:tcBorders>
                    <w:tl2br w:val="nil"/>
                    <w:tr2bl w:val="nil"/>
                  </w:tcBorders>
                  <w:vAlign w:val="center"/>
                </w:tcPr>
                <w:p>
                  <w:pP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厂区道路硬化采用简单防渗、一般硬化；</w:t>
                  </w:r>
                </w:p>
              </w:tc>
              <w:tc>
                <w:tcPr>
                  <w:tcW w:w="663" w:type="dxa"/>
                  <w:tcBorders>
                    <w:tl2br w:val="nil"/>
                    <w:tr2bl w:val="nil"/>
                  </w:tcBorders>
                  <w:vAlign w:val="center"/>
                </w:tcPr>
                <w:p>
                  <w:pPr>
                    <w:adjustRightInd w:val="0"/>
                    <w:snapToGrid w:val="0"/>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Merge w:val="continue"/>
                  <w:tcBorders>
                    <w:tl2br w:val="nil"/>
                    <w:tr2bl w:val="nil"/>
                  </w:tcBorders>
                  <w:vAlign w:val="center"/>
                </w:tcPr>
                <w:p>
                  <w:pPr>
                    <w:widowControl/>
                    <w:jc w:val="left"/>
                    <w:rPr>
                      <w:color w:val="000000" w:themeColor="text1"/>
                      <w:sz w:val="21"/>
                      <w:szCs w:val="21"/>
                      <w:highlight w:val="red"/>
                      <w14:textFill>
                        <w14:solidFill>
                          <w14:schemeClr w14:val="tx1"/>
                        </w14:solidFill>
                      </w14:textFill>
                    </w:rPr>
                  </w:pPr>
                </w:p>
              </w:tc>
              <w:tc>
                <w:tcPr>
                  <w:tcW w:w="1003" w:type="dxa"/>
                  <w:tcBorders>
                    <w:tl2br w:val="nil"/>
                    <w:tr2bl w:val="nil"/>
                  </w:tcBorders>
                  <w:vAlign w:val="center"/>
                </w:tcPr>
                <w:p>
                  <w:pPr>
                    <w:adjustRightInd w:val="0"/>
                    <w:snapToGrid w:val="0"/>
                    <w:jc w:val="center"/>
                    <w:rPr>
                      <w:rFonts w:hint="eastAsia"/>
                      <w:color w:val="000000" w:themeColor="text1"/>
                      <w:spacing w:val="0"/>
                      <w:sz w:val="21"/>
                      <w:szCs w:val="21"/>
                      <w:highlight w:val="none"/>
                      <w:lang w:eastAsia="zh-CN"/>
                      <w14:textFill>
                        <w14:solidFill>
                          <w14:schemeClr w14:val="tx1"/>
                        </w14:solidFill>
                      </w14:textFill>
                    </w:rPr>
                  </w:pPr>
                  <w:r>
                    <w:rPr>
                      <w:rFonts w:hint="eastAsia"/>
                      <w:color w:val="000000" w:themeColor="text1"/>
                      <w:spacing w:val="0"/>
                      <w:sz w:val="21"/>
                      <w:szCs w:val="21"/>
                      <w:highlight w:val="none"/>
                      <w:lang w:eastAsia="zh-CN"/>
                      <w14:textFill>
                        <w14:solidFill>
                          <w14:schemeClr w14:val="tx1"/>
                        </w14:solidFill>
                      </w14:textFill>
                    </w:rPr>
                    <w:t>风险防范措施</w:t>
                  </w:r>
                </w:p>
              </w:tc>
              <w:tc>
                <w:tcPr>
                  <w:tcW w:w="60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按要求严格落实危险废物储存，确定指定地点存放；厂区内制定安全操作管理规程，每日安排专人对废机油的安全存放、使用进行检查；强对厂区人员的环境安全宣传教育，严格按操作规程操作；废机油储存区域远离明火；严格落实各项消防措施；危废暂存间按要求严格进行防渗措施布置。</w:t>
                  </w:r>
                </w:p>
              </w:tc>
              <w:tc>
                <w:tcPr>
                  <w:tcW w:w="663" w:type="dxa"/>
                  <w:tcBorders>
                    <w:tl2br w:val="nil"/>
                    <w:tr2bl w:val="nil"/>
                  </w:tcBorders>
                  <w:vAlign w:val="center"/>
                </w:tcPr>
                <w:p>
                  <w:pPr>
                    <w:adjustRightInd w:val="0"/>
                    <w:snapToGrid w:val="0"/>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新建</w:t>
                  </w:r>
                </w:p>
              </w:tc>
            </w:tr>
          </w:tbl>
          <w:p>
            <w:pPr>
              <w:numPr>
                <w:ilvl w:val="0"/>
                <w:numId w:val="0"/>
              </w:numPr>
              <w:spacing w:line="360" w:lineRule="auto"/>
              <w:contextualSpacing/>
              <w:jc w:val="left"/>
              <w:rPr>
                <w:b/>
                <w:color w:val="000000" w:themeColor="text1"/>
                <w:kern w:val="0"/>
                <w:sz w:val="24"/>
                <w:highlight w:val="none"/>
                <w14:textFill>
                  <w14:solidFill>
                    <w14:schemeClr w14:val="tx1"/>
                  </w14:solidFill>
                </w14:textFill>
              </w:rPr>
            </w:pPr>
            <w:r>
              <w:rPr>
                <w:rFonts w:hint="eastAsia"/>
                <w:b/>
                <w:color w:val="000000" w:themeColor="text1"/>
                <w:kern w:val="0"/>
                <w:sz w:val="24"/>
                <w:highlight w:val="none"/>
                <w:lang w:val="en-US" w:eastAsia="zh-CN"/>
                <w14:textFill>
                  <w14:solidFill>
                    <w14:schemeClr w14:val="tx1"/>
                  </w14:solidFill>
                </w14:textFill>
              </w:rPr>
              <w:t>二</w:t>
            </w:r>
            <w:r>
              <w:rPr>
                <w:rFonts w:hint="eastAsia"/>
                <w:b/>
                <w:color w:val="000000" w:themeColor="text1"/>
                <w:kern w:val="0"/>
                <w:sz w:val="24"/>
                <w:highlight w:val="none"/>
                <w:lang w:eastAsia="zh-CN"/>
                <w14:textFill>
                  <w14:solidFill>
                    <w14:schemeClr w14:val="tx1"/>
                  </w14:solidFill>
                </w14:textFill>
              </w:rPr>
              <w:t>、</w:t>
            </w:r>
            <w:r>
              <w:rPr>
                <w:rFonts w:hint="eastAsia"/>
                <w:b/>
                <w:color w:val="000000" w:themeColor="text1"/>
                <w:kern w:val="0"/>
                <w:sz w:val="24"/>
                <w:highlight w:val="none"/>
                <w14:textFill>
                  <w14:solidFill>
                    <w14:schemeClr w14:val="tx1"/>
                  </w14:solidFill>
                </w14:textFill>
              </w:rPr>
              <w:t>主要设备</w:t>
            </w:r>
          </w:p>
          <w:p>
            <w:pPr>
              <w:widowControl/>
              <w:spacing w:line="360" w:lineRule="auto"/>
              <w:ind w:firstLine="480" w:firstLineChars="200"/>
              <w:contextualSpacing/>
              <w:jc w:val="left"/>
              <w:rPr>
                <w:b w:val="0"/>
                <w:bCs w:val="0"/>
                <w:color w:val="000000" w:themeColor="text1"/>
                <w:kern w:val="0"/>
                <w:sz w:val="24"/>
                <w:highlight w:val="none"/>
                <w14:textFill>
                  <w14:solidFill>
                    <w14:schemeClr w14:val="tx1"/>
                  </w14:solidFill>
                </w14:textFill>
              </w:rPr>
            </w:pPr>
            <w:r>
              <w:rPr>
                <w:rFonts w:hint="eastAsia"/>
                <w:color w:val="000000" w:themeColor="text1"/>
                <w:kern w:val="0"/>
                <w:sz w:val="24"/>
                <w:highlight w:val="none"/>
                <w:lang w:eastAsia="zh-CN"/>
                <w14:textFill>
                  <w14:solidFill>
                    <w14:schemeClr w14:val="tx1"/>
                  </w14:solidFill>
                </w14:textFill>
              </w:rPr>
              <w:t>本项目</w:t>
            </w:r>
            <w:r>
              <w:rPr>
                <w:color w:val="000000" w:themeColor="text1"/>
                <w:kern w:val="0"/>
                <w:sz w:val="24"/>
                <w:highlight w:val="none"/>
                <w14:textFill>
                  <w14:solidFill>
                    <w14:schemeClr w14:val="tx1"/>
                  </w14:solidFill>
                </w14:textFill>
              </w:rPr>
              <w:t>主要设备见</w:t>
            </w:r>
            <w:r>
              <w:rPr>
                <w:rFonts w:hint="eastAsia"/>
                <w:color w:val="000000" w:themeColor="text1"/>
                <w:kern w:val="0"/>
                <w:sz w:val="24"/>
                <w:highlight w:val="none"/>
                <w:lang w:eastAsia="zh-CN"/>
                <w14:textFill>
                  <w14:solidFill>
                    <w14:schemeClr w14:val="tx1"/>
                  </w14:solidFill>
                </w14:textFill>
              </w:rPr>
              <w:t>表</w:t>
            </w:r>
            <w:r>
              <w:rPr>
                <w:rFonts w:hint="eastAsia"/>
                <w:color w:val="000000" w:themeColor="text1"/>
                <w:kern w:val="0"/>
                <w:sz w:val="24"/>
                <w:highlight w:val="none"/>
                <w:lang w:val="en-US" w:eastAsia="zh-CN"/>
                <w14:textFill>
                  <w14:solidFill>
                    <w14:schemeClr w14:val="tx1"/>
                  </w14:solidFill>
                </w14:textFill>
              </w:rPr>
              <w:t>2-2</w:t>
            </w:r>
            <w:r>
              <w:rPr>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val="0"/>
                <w:color w:val="000000" w:themeColor="text1"/>
                <w:sz w:val="24"/>
                <w:szCs w:val="24"/>
                <w:highlight w:val="none"/>
                <w14:textFill>
                  <w14:solidFill>
                    <w14:schemeClr w14:val="tx1"/>
                  </w14:solidFill>
                </w14:textFill>
              </w:rPr>
              <w:t>表2-</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 xml:space="preserve">2 </w:t>
            </w:r>
            <w:r>
              <w:rPr>
                <w:rFonts w:hint="eastAsia" w:ascii="Times New Roman" w:hAnsi="Times New Roman" w:eastAsia="宋体" w:cs="Times New Roman"/>
                <w:b/>
                <w:bCs w:val="0"/>
                <w:color w:val="000000" w:themeColor="text1"/>
                <w:sz w:val="24"/>
                <w:szCs w:val="24"/>
                <w:highlight w:val="none"/>
                <w14:textFill>
                  <w14:solidFill>
                    <w14:schemeClr w14:val="tx1"/>
                  </w14:solidFill>
                </w14:textFill>
              </w:rPr>
              <w:t>主要设备一览表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1767"/>
              <w:gridCol w:w="1928"/>
              <w:gridCol w:w="1567"/>
              <w:gridCol w:w="975"/>
              <w:gridCol w:w="11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97"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1053" w:type="pct"/>
                  <w:tcBorders>
                    <w:righ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设备名称</w:t>
                  </w:r>
                </w:p>
              </w:tc>
              <w:tc>
                <w:tcPr>
                  <w:tcW w:w="1149" w:type="pct"/>
                  <w:tcBorders>
                    <w:lef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规格</w:t>
                  </w:r>
                </w:p>
              </w:tc>
              <w:tc>
                <w:tcPr>
                  <w:tcW w:w="934"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数量</w:t>
                  </w:r>
                </w:p>
              </w:tc>
              <w:tc>
                <w:tcPr>
                  <w:tcW w:w="581"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单位</w:t>
                  </w:r>
                </w:p>
              </w:tc>
              <w:tc>
                <w:tcPr>
                  <w:tcW w:w="683" w:type="pct"/>
                  <w:tcBorders>
                    <w:tl2br w:val="nil"/>
                    <w:tr2bl w:val="nil"/>
                  </w:tcBorders>
                  <w:noWrap w:val="0"/>
                  <w:vAlign w:val="center"/>
                </w:tcPr>
                <w:p>
                  <w:pPr>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97"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53" w:type="pct"/>
                  <w:tcBorders>
                    <w:righ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除尘器</w:t>
                  </w:r>
                </w:p>
              </w:tc>
              <w:tc>
                <w:tcPr>
                  <w:tcW w:w="1149" w:type="pct"/>
                  <w:tcBorders>
                    <w:lef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BD100</w:t>
                  </w:r>
                </w:p>
              </w:tc>
              <w:tc>
                <w:tcPr>
                  <w:tcW w:w="934"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581"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683"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97"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053" w:type="pct"/>
                  <w:tcBorders>
                    <w:righ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振动筛</w:t>
                  </w:r>
                </w:p>
              </w:tc>
              <w:tc>
                <w:tcPr>
                  <w:tcW w:w="1149" w:type="pct"/>
                  <w:tcBorders>
                    <w:lef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3075-</w:t>
                  </w:r>
                  <w:r>
                    <w:rPr>
                      <w:rFonts w:hint="eastAsia" w:cs="Times New Roman"/>
                      <w:color w:val="000000" w:themeColor="text1"/>
                      <w:sz w:val="21"/>
                      <w:szCs w:val="21"/>
                      <w:lang w:val="en-US" w:eastAsia="zh-CN"/>
                      <w14:textFill>
                        <w14:solidFill>
                          <w14:schemeClr w14:val="tx1"/>
                        </w14:solidFill>
                      </w14:textFill>
                    </w:rPr>
                    <w:t>1</w:t>
                  </w:r>
                </w:p>
              </w:tc>
              <w:tc>
                <w:tcPr>
                  <w:tcW w:w="934"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81"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683"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97"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768" w:type="dxa"/>
                  <w:tcBorders>
                    <w:righ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振动筛</w:t>
                  </w:r>
                </w:p>
              </w:tc>
              <w:tc>
                <w:tcPr>
                  <w:tcW w:w="1929" w:type="dxa"/>
                  <w:tcBorders>
                    <w:lef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3075-2</w:t>
                  </w:r>
                </w:p>
              </w:tc>
              <w:tc>
                <w:tcPr>
                  <w:tcW w:w="934"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81"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683"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97"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768" w:type="dxa"/>
                  <w:tcBorders>
                    <w:righ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振动筛</w:t>
                  </w:r>
                </w:p>
              </w:tc>
              <w:tc>
                <w:tcPr>
                  <w:tcW w:w="1929" w:type="dxa"/>
                  <w:tcBorders>
                    <w:lef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3075-3</w:t>
                  </w:r>
                </w:p>
              </w:tc>
              <w:tc>
                <w:tcPr>
                  <w:tcW w:w="934"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81"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683"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97"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768" w:type="dxa"/>
                  <w:tcBorders>
                    <w:righ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磨机</w:t>
                  </w:r>
                </w:p>
              </w:tc>
              <w:tc>
                <w:tcPr>
                  <w:tcW w:w="1929" w:type="dxa"/>
                  <w:tcBorders>
                    <w:lef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鼎力</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300</w:t>
                  </w:r>
                </w:p>
              </w:tc>
              <w:tc>
                <w:tcPr>
                  <w:tcW w:w="934"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81"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683"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97"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768" w:type="dxa"/>
                  <w:tcBorders>
                    <w:righ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磨机</w:t>
                  </w:r>
                </w:p>
              </w:tc>
              <w:tc>
                <w:tcPr>
                  <w:tcW w:w="1929" w:type="dxa"/>
                  <w:tcBorders>
                    <w:lef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鼎力</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500</w:t>
                  </w:r>
                </w:p>
              </w:tc>
              <w:tc>
                <w:tcPr>
                  <w:tcW w:w="934"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81"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683"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97"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768" w:type="dxa"/>
                  <w:tcBorders>
                    <w:righ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整形机</w:t>
                  </w:r>
                </w:p>
              </w:tc>
              <w:tc>
                <w:tcPr>
                  <w:tcW w:w="1929" w:type="dxa"/>
                  <w:tcBorders>
                    <w:lef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黎明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6X1040</w:t>
                  </w:r>
                </w:p>
              </w:tc>
              <w:tc>
                <w:tcPr>
                  <w:tcW w:w="934"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581"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683"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97"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1768" w:type="dxa"/>
                  <w:tcBorders>
                    <w:right w:val="single" w:color="000000" w:sz="2" w:space="0"/>
                    <w:tl2br w:val="nil"/>
                    <w:tr2bl w:val="nil"/>
                  </w:tcBorders>
                  <w:noWrap w:val="0"/>
                  <w:vAlign w:val="center"/>
                </w:tcPr>
                <w:p>
                  <w:pPr>
                    <w:jc w:val="center"/>
                    <w:textAlignment w:val="baseline"/>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给料机</w:t>
                  </w:r>
                </w:p>
              </w:tc>
              <w:tc>
                <w:tcPr>
                  <w:tcW w:w="1929" w:type="dxa"/>
                  <w:tcBorders>
                    <w:left w:val="single" w:color="000000" w:sz="2" w:space="0"/>
                    <w:tl2br w:val="nil"/>
                    <w:tr2bl w:val="nil"/>
                  </w:tcBorders>
                  <w:noWrap w:val="0"/>
                  <w:vAlign w:val="center"/>
                </w:tcPr>
                <w:p>
                  <w:pPr>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1360</w:t>
                  </w:r>
                </w:p>
              </w:tc>
              <w:tc>
                <w:tcPr>
                  <w:tcW w:w="934"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975" w:type="dxa"/>
                  <w:tcBorders>
                    <w:tl2br w:val="nil"/>
                    <w:tr2bl w:val="nil"/>
                  </w:tcBorders>
                  <w:noWrap w:val="0"/>
                  <w:vAlign w:val="center"/>
                </w:tcPr>
                <w:p>
                  <w:pPr>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1146" w:type="dxa"/>
                  <w:tcBorders>
                    <w:tl2br w:val="nil"/>
                    <w:tr2bl w:val="nil"/>
                  </w:tcBorders>
                  <w:noWrap w:val="0"/>
                  <w:vAlign w:val="center"/>
                </w:tcPr>
                <w:p>
                  <w:pPr>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97" w:type="pct"/>
                  <w:tcBorders>
                    <w:tl2br w:val="nil"/>
                    <w:tr2bl w:val="nil"/>
                  </w:tcBorders>
                  <w:noWrap w:val="0"/>
                  <w:vAlign w:val="center"/>
                </w:tcPr>
                <w:p>
                  <w:pPr>
                    <w:jc w:val="center"/>
                    <w:textAlignment w:val="baseline"/>
                    <w:rPr>
                      <w:rFonts w:hint="default"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9</w:t>
                  </w:r>
                </w:p>
              </w:tc>
              <w:tc>
                <w:tcPr>
                  <w:tcW w:w="1768" w:type="dxa"/>
                  <w:tcBorders>
                    <w:right w:val="single" w:color="000000" w:sz="2" w:space="0"/>
                    <w:tl2br w:val="nil"/>
                    <w:tr2bl w:val="nil"/>
                  </w:tcBorders>
                  <w:noWrap w:val="0"/>
                  <w:vAlign w:val="center"/>
                </w:tcPr>
                <w:p>
                  <w:pPr>
                    <w:jc w:val="center"/>
                    <w:textAlignment w:val="baseline"/>
                    <w:rPr>
                      <w:rFonts w:hint="eastAsia"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颚式破碎机</w:t>
                  </w:r>
                </w:p>
              </w:tc>
              <w:tc>
                <w:tcPr>
                  <w:tcW w:w="1929" w:type="dxa"/>
                  <w:tcBorders>
                    <w:left w:val="single" w:color="000000" w:sz="2" w:space="0"/>
                    <w:tl2br w:val="nil"/>
                    <w:tr2bl w:val="nil"/>
                  </w:tcBorders>
                  <w:noWrap w:val="0"/>
                  <w:vAlign w:val="center"/>
                </w:tcPr>
                <w:p>
                  <w:pPr>
                    <w:jc w:val="center"/>
                    <w:textAlignment w:val="baseline"/>
                    <w:rPr>
                      <w:rFonts w:hint="eastAsia"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yellow"/>
                      <w:lang w:val="en-US" w:eastAsia="zh-CN"/>
                      <w14:textFill>
                        <w14:solidFill>
                          <w14:schemeClr w14:val="tx1"/>
                        </w14:solidFill>
                      </w14:textFill>
                    </w:rPr>
                    <w:t>PVE950</w:t>
                  </w:r>
                  <w:r>
                    <w:rPr>
                      <w:rFonts w:hint="eastAsia" w:cs="Times New Roman"/>
                      <w:color w:val="000000" w:themeColor="text1"/>
                      <w:sz w:val="21"/>
                      <w:szCs w:val="21"/>
                      <w:highlight w:val="yellow"/>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yellow"/>
                      <w:lang w:val="en-US" w:eastAsia="zh-CN"/>
                      <w14:textFill>
                        <w14:solidFill>
                          <w14:schemeClr w14:val="tx1"/>
                        </w14:solidFill>
                      </w14:textFill>
                    </w:rPr>
                    <w:t>1250</w:t>
                  </w:r>
                </w:p>
              </w:tc>
              <w:tc>
                <w:tcPr>
                  <w:tcW w:w="934" w:type="pct"/>
                  <w:tcBorders>
                    <w:tl2br w:val="nil"/>
                    <w:tr2bl w:val="nil"/>
                  </w:tcBorders>
                  <w:noWrap w:val="0"/>
                  <w:vAlign w:val="center"/>
                </w:tcPr>
                <w:p>
                  <w:pPr>
                    <w:jc w:val="center"/>
                    <w:textAlignment w:val="baseline"/>
                    <w:rPr>
                      <w:rFonts w:hint="default"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1</w:t>
                  </w:r>
                </w:p>
              </w:tc>
              <w:tc>
                <w:tcPr>
                  <w:tcW w:w="975" w:type="dxa"/>
                  <w:tcBorders>
                    <w:tl2br w:val="nil"/>
                    <w:tr2bl w:val="nil"/>
                  </w:tcBorders>
                  <w:noWrap w:val="0"/>
                  <w:vAlign w:val="center"/>
                </w:tcPr>
                <w:p>
                  <w:pPr>
                    <w:jc w:val="center"/>
                    <w:textAlignment w:val="baseline"/>
                    <w:rPr>
                      <w:rFonts w:hint="eastAsia"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台</w:t>
                  </w:r>
                </w:p>
              </w:tc>
              <w:tc>
                <w:tcPr>
                  <w:tcW w:w="1146" w:type="dxa"/>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97" w:type="pct"/>
                  <w:tcBorders>
                    <w:tl2br w:val="nil"/>
                    <w:tr2bl w:val="nil"/>
                  </w:tcBorders>
                  <w:noWrap w:val="0"/>
                  <w:vAlign w:val="center"/>
                </w:tcPr>
                <w:p>
                  <w:pPr>
                    <w:jc w:val="center"/>
                    <w:textAlignment w:val="baseline"/>
                    <w:rPr>
                      <w:rFonts w:hint="default"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10</w:t>
                  </w:r>
                </w:p>
              </w:tc>
              <w:tc>
                <w:tcPr>
                  <w:tcW w:w="1768" w:type="dxa"/>
                  <w:tcBorders>
                    <w:right w:val="single" w:color="000000" w:sz="2" w:space="0"/>
                    <w:tl2br w:val="nil"/>
                    <w:tr2bl w:val="nil"/>
                  </w:tcBorders>
                  <w:noWrap w:val="0"/>
                  <w:vAlign w:val="center"/>
                </w:tcPr>
                <w:p>
                  <w:pPr>
                    <w:jc w:val="center"/>
                    <w:textAlignment w:val="baseline"/>
                    <w:rPr>
                      <w:rFonts w:hint="eastAsia"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给料机</w:t>
                  </w:r>
                </w:p>
              </w:tc>
              <w:tc>
                <w:tcPr>
                  <w:tcW w:w="1929" w:type="dxa"/>
                  <w:tcBorders>
                    <w:lef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YA1330</w:t>
                  </w:r>
                </w:p>
              </w:tc>
              <w:tc>
                <w:tcPr>
                  <w:tcW w:w="934" w:type="pct"/>
                  <w:tcBorders>
                    <w:tl2br w:val="nil"/>
                    <w:tr2bl w:val="nil"/>
                  </w:tcBorders>
                  <w:noWrap w:val="0"/>
                  <w:vAlign w:val="center"/>
                </w:tcPr>
                <w:p>
                  <w:pPr>
                    <w:jc w:val="center"/>
                    <w:textAlignment w:val="baseline"/>
                    <w:rPr>
                      <w:rFonts w:hint="default"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1</w:t>
                  </w:r>
                </w:p>
              </w:tc>
              <w:tc>
                <w:tcPr>
                  <w:tcW w:w="975" w:type="dxa"/>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 xml:space="preserve">台  </w:t>
                  </w:r>
                </w:p>
              </w:tc>
              <w:tc>
                <w:tcPr>
                  <w:tcW w:w="1146" w:type="dxa"/>
                  <w:tcBorders>
                    <w:tl2br w:val="nil"/>
                    <w:tr2bl w:val="nil"/>
                  </w:tcBorders>
                  <w:noWrap w:val="0"/>
                  <w:vAlign w:val="center"/>
                </w:tcPr>
                <w:p>
                  <w:pPr>
                    <w:jc w:val="center"/>
                    <w:textAlignment w:val="baseline"/>
                    <w:rPr>
                      <w:rFonts w:hint="eastAsia"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97" w:type="pct"/>
                  <w:tcBorders>
                    <w:tl2br w:val="nil"/>
                    <w:tr2bl w:val="nil"/>
                  </w:tcBorders>
                  <w:noWrap w:val="0"/>
                  <w:vAlign w:val="center"/>
                </w:tcPr>
                <w:p>
                  <w:pPr>
                    <w:jc w:val="center"/>
                    <w:textAlignment w:val="baseline"/>
                    <w:rPr>
                      <w:rFonts w:hint="default"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11</w:t>
                  </w:r>
                </w:p>
              </w:tc>
              <w:tc>
                <w:tcPr>
                  <w:tcW w:w="1768" w:type="dxa"/>
                  <w:tcBorders>
                    <w:right w:val="single" w:color="000000" w:sz="2" w:space="0"/>
                    <w:tl2br w:val="nil"/>
                    <w:tr2bl w:val="nil"/>
                  </w:tcBorders>
                  <w:noWrap w:val="0"/>
                  <w:vAlign w:val="center"/>
                </w:tcPr>
                <w:p>
                  <w:pPr>
                    <w:jc w:val="center"/>
                    <w:textAlignment w:val="baseline"/>
                    <w:rPr>
                      <w:rFonts w:hint="eastAsia"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圆锥式破碎机</w:t>
                  </w:r>
                </w:p>
              </w:tc>
              <w:tc>
                <w:tcPr>
                  <w:tcW w:w="1929" w:type="dxa"/>
                  <w:tcBorders>
                    <w:left w:val="single" w:color="000000" w:sz="2" w:space="0"/>
                    <w:tl2br w:val="nil"/>
                    <w:tr2bl w:val="nil"/>
                  </w:tcBorders>
                  <w:noWrap w:val="0"/>
                  <w:vAlign w:val="center"/>
                </w:tcPr>
                <w:p>
                  <w:pPr>
                    <w:jc w:val="center"/>
                    <w:textAlignment w:val="baseline"/>
                    <w:rPr>
                      <w:rFonts w:hint="eastAsia"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yellow"/>
                      <w:lang w:val="en-US" w:eastAsia="zh-CN"/>
                      <w14:textFill>
                        <w14:solidFill>
                          <w14:schemeClr w14:val="tx1"/>
                        </w14:solidFill>
                      </w14:textFill>
                    </w:rPr>
                    <w:t>DGP300S</w:t>
                  </w:r>
                </w:p>
              </w:tc>
              <w:tc>
                <w:tcPr>
                  <w:tcW w:w="934" w:type="pct"/>
                  <w:tcBorders>
                    <w:tl2br w:val="nil"/>
                    <w:tr2bl w:val="nil"/>
                  </w:tcBorders>
                  <w:noWrap w:val="0"/>
                  <w:vAlign w:val="center"/>
                </w:tcPr>
                <w:p>
                  <w:pPr>
                    <w:jc w:val="center"/>
                    <w:textAlignment w:val="baseline"/>
                    <w:rPr>
                      <w:rFonts w:hint="default"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1</w:t>
                  </w:r>
                </w:p>
              </w:tc>
              <w:tc>
                <w:tcPr>
                  <w:tcW w:w="975" w:type="dxa"/>
                  <w:tcBorders>
                    <w:tl2br w:val="nil"/>
                    <w:tr2bl w:val="nil"/>
                  </w:tcBorders>
                  <w:noWrap w:val="0"/>
                  <w:vAlign w:val="center"/>
                </w:tcPr>
                <w:p>
                  <w:pPr>
                    <w:jc w:val="center"/>
                    <w:textAlignment w:val="baseline"/>
                    <w:rPr>
                      <w:rFonts w:hint="eastAsia"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台</w:t>
                  </w:r>
                </w:p>
              </w:tc>
              <w:tc>
                <w:tcPr>
                  <w:tcW w:w="1146" w:type="dxa"/>
                  <w:tcBorders>
                    <w:tl2br w:val="nil"/>
                    <w:tr2bl w:val="nil"/>
                  </w:tcBorders>
                  <w:noWrap w:val="0"/>
                  <w:vAlign w:val="center"/>
                </w:tcPr>
                <w:p>
                  <w:pPr>
                    <w:jc w:val="center"/>
                    <w:textAlignment w:val="baseline"/>
                    <w:rPr>
                      <w:rFonts w:hint="eastAsia"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97" w:type="pct"/>
                  <w:tcBorders>
                    <w:tl2br w:val="nil"/>
                    <w:tr2bl w:val="nil"/>
                  </w:tcBorders>
                  <w:noWrap w:val="0"/>
                  <w:vAlign w:val="center"/>
                </w:tcPr>
                <w:p>
                  <w:pPr>
                    <w:jc w:val="center"/>
                    <w:textAlignment w:val="baseline"/>
                    <w:rPr>
                      <w:rFonts w:hint="default"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12</w:t>
                  </w:r>
                </w:p>
              </w:tc>
              <w:tc>
                <w:tcPr>
                  <w:tcW w:w="1768" w:type="dxa"/>
                  <w:tcBorders>
                    <w:right w:val="single" w:color="000000" w:sz="2" w:space="0"/>
                    <w:tl2br w:val="nil"/>
                    <w:tr2bl w:val="nil"/>
                  </w:tcBorders>
                  <w:noWrap w:val="0"/>
                  <w:vAlign w:val="center"/>
                </w:tcPr>
                <w:p>
                  <w:pPr>
                    <w:jc w:val="center"/>
                    <w:textAlignment w:val="baseline"/>
                    <w:rPr>
                      <w:rFonts w:hint="eastAsia"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圆锥式破碎机</w:t>
                  </w:r>
                </w:p>
              </w:tc>
              <w:tc>
                <w:tcPr>
                  <w:tcW w:w="1929" w:type="dxa"/>
                  <w:tcBorders>
                    <w:left w:val="single" w:color="000000" w:sz="2" w:space="0"/>
                    <w:tl2br w:val="nil"/>
                    <w:tr2bl w:val="nil"/>
                  </w:tcBorders>
                  <w:noWrap w:val="0"/>
                  <w:vAlign w:val="center"/>
                </w:tcPr>
                <w:p>
                  <w:pPr>
                    <w:jc w:val="center"/>
                    <w:textAlignment w:val="baseline"/>
                    <w:rPr>
                      <w:rFonts w:hint="eastAsia"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yellow"/>
                      <w:lang w:val="en-US" w:eastAsia="zh-CN"/>
                      <w14:textFill>
                        <w14:solidFill>
                          <w14:schemeClr w14:val="tx1"/>
                        </w14:solidFill>
                      </w14:textFill>
                    </w:rPr>
                    <w:t>DGP600</w:t>
                  </w:r>
                </w:p>
              </w:tc>
              <w:tc>
                <w:tcPr>
                  <w:tcW w:w="934" w:type="pct"/>
                  <w:tcBorders>
                    <w:tl2br w:val="nil"/>
                    <w:tr2bl w:val="nil"/>
                  </w:tcBorders>
                  <w:noWrap w:val="0"/>
                  <w:vAlign w:val="center"/>
                </w:tcPr>
                <w:p>
                  <w:pPr>
                    <w:jc w:val="center"/>
                    <w:textAlignment w:val="baseline"/>
                    <w:rPr>
                      <w:rFonts w:hint="default"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1</w:t>
                  </w:r>
                </w:p>
              </w:tc>
              <w:tc>
                <w:tcPr>
                  <w:tcW w:w="975" w:type="dxa"/>
                  <w:tcBorders>
                    <w:tl2br w:val="nil"/>
                    <w:tr2bl w:val="nil"/>
                  </w:tcBorders>
                  <w:noWrap w:val="0"/>
                  <w:vAlign w:val="center"/>
                </w:tcPr>
                <w:p>
                  <w:pPr>
                    <w:jc w:val="center"/>
                    <w:textAlignment w:val="baseline"/>
                    <w:rPr>
                      <w:rFonts w:hint="eastAsia"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台</w:t>
                  </w:r>
                </w:p>
              </w:tc>
              <w:tc>
                <w:tcPr>
                  <w:tcW w:w="1146" w:type="dxa"/>
                  <w:tcBorders>
                    <w:tl2br w:val="nil"/>
                    <w:tr2bl w:val="nil"/>
                  </w:tcBorders>
                  <w:noWrap w:val="0"/>
                  <w:vAlign w:val="center"/>
                </w:tcPr>
                <w:p>
                  <w:pPr>
                    <w:jc w:val="center"/>
                    <w:textAlignment w:val="baseline"/>
                    <w:rPr>
                      <w:rFonts w:hint="eastAsia"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97" w:type="pct"/>
                  <w:tcBorders>
                    <w:tl2br w:val="nil"/>
                    <w:tr2bl w:val="nil"/>
                  </w:tcBorders>
                  <w:noWrap w:val="0"/>
                  <w:vAlign w:val="center"/>
                </w:tcPr>
                <w:p>
                  <w:pPr>
                    <w:jc w:val="center"/>
                    <w:textAlignment w:val="baseline"/>
                    <w:rPr>
                      <w:rFonts w:hint="default"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13</w:t>
                  </w:r>
                </w:p>
              </w:tc>
              <w:tc>
                <w:tcPr>
                  <w:tcW w:w="1768" w:type="dxa"/>
                  <w:tcBorders>
                    <w:right w:val="single" w:color="000000" w:sz="2" w:space="0"/>
                    <w:tl2br w:val="nil"/>
                    <w:tr2bl w:val="nil"/>
                  </w:tcBorders>
                  <w:noWrap w:val="0"/>
                  <w:vAlign w:val="center"/>
                </w:tcPr>
                <w:p>
                  <w:pPr>
                    <w:jc w:val="center"/>
                    <w:textAlignment w:val="baseline"/>
                    <w:rPr>
                      <w:rFonts w:hint="eastAsia"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圆振动筛</w:t>
                  </w:r>
                </w:p>
              </w:tc>
              <w:tc>
                <w:tcPr>
                  <w:tcW w:w="1929" w:type="dxa"/>
                  <w:tcBorders>
                    <w:left w:val="single" w:color="000000" w:sz="2" w:space="0"/>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YA3075</w:t>
                  </w:r>
                </w:p>
              </w:tc>
              <w:tc>
                <w:tcPr>
                  <w:tcW w:w="934" w:type="pct"/>
                  <w:tcBorders>
                    <w:tl2br w:val="nil"/>
                    <w:tr2bl w:val="nil"/>
                  </w:tcBorders>
                  <w:noWrap w:val="0"/>
                  <w:vAlign w:val="center"/>
                </w:tcPr>
                <w:p>
                  <w:pPr>
                    <w:jc w:val="center"/>
                    <w:textAlignment w:val="baseline"/>
                    <w:rPr>
                      <w:rFonts w:hint="default"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3</w:t>
                  </w:r>
                </w:p>
              </w:tc>
              <w:tc>
                <w:tcPr>
                  <w:tcW w:w="975" w:type="dxa"/>
                  <w:tcBorders>
                    <w:tl2br w:val="nil"/>
                    <w:tr2bl w:val="nil"/>
                  </w:tcBorders>
                  <w:noWrap w:val="0"/>
                  <w:vAlign w:val="center"/>
                </w:tcPr>
                <w:p>
                  <w:pPr>
                    <w:jc w:val="center"/>
                    <w:textAlignment w:val="baseline"/>
                    <w:rPr>
                      <w:rFonts w:hint="eastAsia"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yellow"/>
                      <w:lang w:val="en-US" w:eastAsia="zh-CN"/>
                      <w14:textFill>
                        <w14:solidFill>
                          <w14:schemeClr w14:val="tx1"/>
                        </w14:solidFill>
                      </w14:textFill>
                    </w:rPr>
                    <w:t>台</w:t>
                  </w:r>
                </w:p>
              </w:tc>
              <w:tc>
                <w:tcPr>
                  <w:tcW w:w="1146" w:type="dxa"/>
                  <w:tcBorders>
                    <w:tl2br w:val="nil"/>
                    <w:tr2bl w:val="nil"/>
                  </w:tcBorders>
                  <w:noWrap w:val="0"/>
                  <w:vAlign w:val="center"/>
                </w:tcPr>
                <w:p>
                  <w:pPr>
                    <w:jc w:val="center"/>
                    <w:textAlignment w:val="baseline"/>
                    <w:rPr>
                      <w:rFonts w:hint="eastAsia"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r>
          </w:tbl>
          <w:p>
            <w:pPr>
              <w:numPr>
                <w:ilvl w:val="0"/>
                <w:numId w:val="0"/>
              </w:numPr>
              <w:spacing w:line="360" w:lineRule="auto"/>
              <w:contextualSpacing/>
              <w:jc w:val="left"/>
              <w:rPr>
                <w:b/>
                <w:color w:val="000000" w:themeColor="text1"/>
                <w:kern w:val="0"/>
                <w:sz w:val="24"/>
                <w:highlight w:val="none"/>
                <w14:textFill>
                  <w14:solidFill>
                    <w14:schemeClr w14:val="tx1"/>
                  </w14:solidFill>
                </w14:textFill>
              </w:rPr>
            </w:pPr>
            <w:r>
              <w:rPr>
                <w:rFonts w:hint="eastAsia"/>
                <w:b/>
                <w:color w:val="000000" w:themeColor="text1"/>
                <w:kern w:val="0"/>
                <w:sz w:val="24"/>
                <w:highlight w:val="yellow"/>
                <w:lang w:val="en-US" w:eastAsia="zh-CN"/>
                <w14:textFill>
                  <w14:solidFill>
                    <w14:schemeClr w14:val="tx1"/>
                  </w14:solidFill>
                </w14:textFill>
              </w:rPr>
              <w:t>三</w:t>
            </w:r>
            <w:r>
              <w:rPr>
                <w:rFonts w:hint="eastAsia"/>
                <w:b/>
                <w:color w:val="000000" w:themeColor="text1"/>
                <w:kern w:val="0"/>
                <w:sz w:val="24"/>
                <w:highlight w:val="yellow"/>
                <w:lang w:eastAsia="zh-CN"/>
                <w14:textFill>
                  <w14:solidFill>
                    <w14:schemeClr w14:val="tx1"/>
                  </w14:solidFill>
                </w14:textFill>
              </w:rPr>
              <w:t>、</w:t>
            </w:r>
            <w:r>
              <w:rPr>
                <w:rFonts w:hint="eastAsia"/>
                <w:b/>
                <w:color w:val="000000" w:themeColor="text1"/>
                <w:kern w:val="0"/>
                <w:sz w:val="24"/>
                <w:highlight w:val="yellow"/>
                <w14:textFill>
                  <w14:solidFill>
                    <w14:schemeClr w14:val="tx1"/>
                  </w14:solidFill>
                </w14:textFill>
              </w:rPr>
              <w:t>主要原辅材料</w:t>
            </w:r>
          </w:p>
          <w:p>
            <w:pPr>
              <w:spacing w:line="360" w:lineRule="auto"/>
              <w:ind w:firstLine="480" w:firstLineChars="200"/>
              <w:contextualSpacing/>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本项目建成后主要业务为接受外部公司委托进行</w:t>
            </w:r>
            <w:r>
              <w:rPr>
                <w:rFonts w:hint="eastAsia"/>
                <w:color w:val="000000" w:themeColor="text1"/>
                <w:sz w:val="24"/>
                <w:highlight w:val="none"/>
                <w:lang w:val="en-US" w:eastAsia="zh-CN"/>
                <w14:textFill>
                  <w14:solidFill>
                    <w14:schemeClr w14:val="tx1"/>
                  </w14:solidFill>
                </w14:textFill>
              </w:rPr>
              <w:t>狗头石</w:t>
            </w:r>
            <w:r>
              <w:rPr>
                <w:rFonts w:hint="eastAsia"/>
                <w:color w:val="000000" w:themeColor="text1"/>
                <w:sz w:val="24"/>
                <w:highlight w:val="none"/>
                <w:lang w:eastAsia="zh-CN"/>
                <w14:textFill>
                  <w14:solidFill>
                    <w14:schemeClr w14:val="tx1"/>
                  </w14:solidFill>
                </w14:textFill>
              </w:rPr>
              <w:t>加工，</w:t>
            </w:r>
            <w:r>
              <w:rPr>
                <w:rFonts w:hint="eastAsia"/>
                <w:color w:val="000000" w:themeColor="text1"/>
                <w:sz w:val="24"/>
                <w:highlight w:val="none"/>
                <w:lang w:val="en-US" w:eastAsia="zh-CN"/>
                <w14:textFill>
                  <w14:solidFill>
                    <w14:schemeClr w14:val="tx1"/>
                  </w14:solidFill>
                </w14:textFill>
              </w:rPr>
              <w:t>年加工石料量可达15.2万t</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主要原辅材料见</w:t>
            </w:r>
            <w:r>
              <w:rPr>
                <w:rFonts w:hint="eastAsia"/>
                <w:color w:val="000000" w:themeColor="text1"/>
                <w:sz w:val="24"/>
                <w:highlight w:val="none"/>
                <w:lang w:eastAsia="zh-CN"/>
                <w14:textFill>
                  <w14:solidFill>
                    <w14:schemeClr w14:val="tx1"/>
                  </w14:solidFill>
                </w14:textFill>
              </w:rPr>
              <w:t>表</w:t>
            </w:r>
            <w:r>
              <w:rPr>
                <w:rFonts w:hint="eastAsia"/>
                <w:color w:val="000000" w:themeColor="text1"/>
                <w:sz w:val="24"/>
                <w:highlight w:val="none"/>
                <w:lang w:val="en-US" w:eastAsia="zh-CN"/>
                <w14:textFill>
                  <w14:solidFill>
                    <w14:schemeClr w14:val="tx1"/>
                  </w14:solidFill>
                </w14:textFill>
              </w:rPr>
              <w:t>2-3</w:t>
            </w:r>
            <w:r>
              <w:rPr>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val="0"/>
                <w:color w:val="000000" w:themeColor="text1"/>
                <w:sz w:val="24"/>
                <w:szCs w:val="24"/>
                <w:highlight w:val="none"/>
                <w14:textFill>
                  <w14:solidFill>
                    <w14:schemeClr w14:val="tx1"/>
                  </w14:solidFill>
                </w14:textFill>
              </w:rPr>
              <w:t>表2-</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b/>
                <w:bCs w:val="0"/>
                <w:color w:val="000000" w:themeColor="text1"/>
                <w:sz w:val="24"/>
                <w:szCs w:val="24"/>
                <w:highlight w:val="none"/>
                <w14:textFill>
                  <w14:solidFill>
                    <w14:schemeClr w14:val="tx1"/>
                  </w14:solidFill>
                </w14:textFill>
              </w:rPr>
              <w:t xml:space="preserve"> 原辅材料一览表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2336"/>
              <w:gridCol w:w="1864"/>
              <w:gridCol w:w="2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210" w:type="pct"/>
                  <w:vAlign w:val="center"/>
                </w:tcPr>
                <w:p>
                  <w:pPr>
                    <w:contextualSpacing/>
                    <w:jc w:val="center"/>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名称</w:t>
                  </w:r>
                </w:p>
              </w:tc>
              <w:tc>
                <w:tcPr>
                  <w:tcW w:w="1392" w:type="pct"/>
                  <w:vAlign w:val="center"/>
                </w:tcPr>
                <w:p>
                  <w:pPr>
                    <w:contextualSpacing/>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本工程</w:t>
                  </w:r>
                  <w:r>
                    <w:rPr>
                      <w:color w:val="000000" w:themeColor="text1"/>
                      <w:kern w:val="0"/>
                      <w:szCs w:val="21"/>
                      <w:highlight w:val="none"/>
                      <w14:textFill>
                        <w14:solidFill>
                          <w14:schemeClr w14:val="tx1"/>
                        </w14:solidFill>
                      </w14:textFill>
                    </w:rPr>
                    <w:t>数量</w:t>
                  </w:r>
                </w:p>
              </w:tc>
              <w:tc>
                <w:tcPr>
                  <w:tcW w:w="1111" w:type="pct"/>
                  <w:vAlign w:val="center"/>
                </w:tcPr>
                <w:p>
                  <w:pPr>
                    <w:contextualSpacing/>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单位</w:t>
                  </w:r>
                </w:p>
              </w:tc>
              <w:tc>
                <w:tcPr>
                  <w:tcW w:w="1284" w:type="pct"/>
                  <w:vAlign w:val="center"/>
                </w:tcPr>
                <w:p>
                  <w:pPr>
                    <w:contextualSpacing/>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210" w:type="pct"/>
                  <w:vAlign w:val="center"/>
                </w:tcPr>
                <w:p>
                  <w:pPr>
                    <w:contextualSpacing/>
                    <w:jc w:val="center"/>
                    <w:rPr>
                      <w:rFonts w:hint="eastAsia"/>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狗头石</w:t>
                  </w:r>
                </w:p>
              </w:tc>
              <w:tc>
                <w:tcPr>
                  <w:tcW w:w="1392" w:type="pct"/>
                  <w:vAlign w:val="center"/>
                </w:tcPr>
                <w:p>
                  <w:pPr>
                    <w:contextualSpacing/>
                    <w:jc w:val="center"/>
                    <w:rPr>
                      <w:rFonts w:hint="default"/>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15.2</w:t>
                  </w:r>
                </w:p>
              </w:tc>
              <w:tc>
                <w:tcPr>
                  <w:tcW w:w="1111" w:type="pct"/>
                  <w:vAlign w:val="center"/>
                </w:tcPr>
                <w:p>
                  <w:pPr>
                    <w:contextualSpacing/>
                    <w:jc w:val="center"/>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万t/a</w:t>
                  </w:r>
                </w:p>
              </w:tc>
              <w:tc>
                <w:tcPr>
                  <w:tcW w:w="1284" w:type="pct"/>
                  <w:vAlign w:val="center"/>
                </w:tcPr>
                <w:p>
                  <w:pPr>
                    <w:contextualSpacing/>
                    <w:jc w:val="center"/>
                    <w:rPr>
                      <w:rFonts w:hint="default"/>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eastAsia="zh-CN"/>
                      <w14:textFill>
                        <w14:solidFill>
                          <w14:schemeClr w14:val="tx1"/>
                        </w14:solidFill>
                      </w14:textFill>
                    </w:rPr>
                    <w:t>外</w:t>
                  </w:r>
                  <w:r>
                    <w:rPr>
                      <w:rFonts w:hint="eastAsia"/>
                      <w:color w:val="000000" w:themeColor="text1"/>
                      <w:kern w:val="0"/>
                      <w:szCs w:val="21"/>
                      <w:highlight w:val="none"/>
                      <w:lang w:val="en-US" w:eastAsia="zh-CN"/>
                      <w14:textFill>
                        <w14:solidFill>
                          <w14:schemeClr w14:val="tx1"/>
                        </w14:solidFill>
                      </w14:textFill>
                    </w:rPr>
                    <w:t>运</w:t>
                  </w:r>
                </w:p>
              </w:tc>
            </w:tr>
          </w:tbl>
          <w:p>
            <w:pPr>
              <w:numPr>
                <w:ilvl w:val="0"/>
                <w:numId w:val="0"/>
              </w:numPr>
              <w:spacing w:line="360" w:lineRule="auto"/>
              <w:contextualSpacing/>
              <w:jc w:val="left"/>
              <w:rPr>
                <w:b/>
                <w:color w:val="000000" w:themeColor="text1"/>
                <w:kern w:val="0"/>
                <w:sz w:val="24"/>
                <w:highlight w:val="none"/>
                <w14:textFill>
                  <w14:solidFill>
                    <w14:schemeClr w14:val="tx1"/>
                  </w14:solidFill>
                </w14:textFill>
              </w:rPr>
            </w:pPr>
            <w:r>
              <w:rPr>
                <w:rFonts w:hint="eastAsia"/>
                <w:b/>
                <w:color w:val="000000" w:themeColor="text1"/>
                <w:kern w:val="0"/>
                <w:sz w:val="24"/>
                <w:highlight w:val="none"/>
                <w:lang w:val="en-US" w:eastAsia="zh-CN"/>
                <w14:textFill>
                  <w14:solidFill>
                    <w14:schemeClr w14:val="tx1"/>
                  </w14:solidFill>
                </w14:textFill>
              </w:rPr>
              <w:t>四</w:t>
            </w:r>
            <w:r>
              <w:rPr>
                <w:rFonts w:hint="eastAsia"/>
                <w:b/>
                <w:color w:val="000000" w:themeColor="text1"/>
                <w:kern w:val="0"/>
                <w:sz w:val="24"/>
                <w:highlight w:val="none"/>
                <w:lang w:eastAsia="zh-CN"/>
                <w14:textFill>
                  <w14:solidFill>
                    <w14:schemeClr w14:val="tx1"/>
                  </w14:solidFill>
                </w14:textFill>
              </w:rPr>
              <w:t>、</w:t>
            </w:r>
            <w:r>
              <w:rPr>
                <w:rFonts w:hint="eastAsia"/>
                <w:b/>
                <w:color w:val="000000" w:themeColor="text1"/>
                <w:kern w:val="0"/>
                <w:sz w:val="24"/>
                <w:highlight w:val="none"/>
                <w14:textFill>
                  <w14:solidFill>
                    <w14:schemeClr w14:val="tx1"/>
                  </w14:solidFill>
                </w14:textFill>
              </w:rPr>
              <w:t>产品方案</w:t>
            </w:r>
          </w:p>
          <w:p>
            <w:pPr>
              <w:spacing w:line="360" w:lineRule="auto"/>
              <w:ind w:firstLine="480" w:firstLineChars="200"/>
              <w:contextualSpacing/>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年</w:t>
            </w:r>
            <w:r>
              <w:rPr>
                <w:rFonts w:hint="eastAsia" w:hAnsi="宋体"/>
                <w:bCs/>
                <w:color w:val="000000" w:themeColor="text1"/>
                <w:sz w:val="24"/>
                <w:highlight w:val="none"/>
                <w14:textFill>
                  <w14:solidFill>
                    <w14:schemeClr w14:val="tx1"/>
                  </w14:solidFill>
                </w14:textFill>
              </w:rPr>
              <w:t>产</w:t>
            </w:r>
            <w:r>
              <w:rPr>
                <w:rFonts w:hint="eastAsia" w:hAnsi="宋体"/>
                <w:bCs/>
                <w:color w:val="000000" w:themeColor="text1"/>
                <w:sz w:val="24"/>
                <w:highlight w:val="none"/>
                <w:lang w:eastAsia="zh-CN"/>
                <w14:textFill>
                  <w14:solidFill>
                    <w14:schemeClr w14:val="tx1"/>
                  </w14:solidFill>
                </w14:textFill>
              </w:rPr>
              <w:t>建筑石料</w:t>
            </w:r>
            <w:r>
              <w:rPr>
                <w:rFonts w:hint="eastAsia" w:hAnsi="宋体"/>
                <w:bCs/>
                <w:color w:val="000000" w:themeColor="text1"/>
                <w:sz w:val="24"/>
                <w:highlight w:val="none"/>
                <w:lang w:val="en-US" w:eastAsia="zh-CN"/>
                <w14:textFill>
                  <w14:solidFill>
                    <w14:schemeClr w14:val="tx1"/>
                  </w14:solidFill>
                </w14:textFill>
              </w:rPr>
              <w:t>15万吨，具体见表2-4。</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val="0"/>
                <w:color w:val="000000" w:themeColor="text1"/>
                <w:sz w:val="24"/>
                <w:szCs w:val="24"/>
                <w:highlight w:val="none"/>
                <w14:textFill>
                  <w14:solidFill>
                    <w14:schemeClr w14:val="tx1"/>
                  </w14:solidFill>
                </w14:textFill>
              </w:rPr>
              <w:t>表2-</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bCs w:val="0"/>
                <w:color w:val="000000" w:themeColor="text1"/>
                <w:sz w:val="24"/>
                <w:szCs w:val="24"/>
                <w:highlight w:val="none"/>
                <w14:textFill>
                  <w14:solidFill>
                    <w14:schemeClr w14:val="tx1"/>
                  </w14:solidFill>
                </w14:textFill>
              </w:rPr>
              <w:t xml:space="preserve"> 产品方案一览表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17"/>
              <w:gridCol w:w="1523"/>
              <w:gridCol w:w="2164"/>
              <w:gridCol w:w="358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666"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908"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产品名称</w:t>
                  </w:r>
                </w:p>
              </w:tc>
              <w:tc>
                <w:tcPr>
                  <w:tcW w:w="1289"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规格</w:t>
                  </w:r>
                </w:p>
              </w:tc>
              <w:tc>
                <w:tcPr>
                  <w:tcW w:w="2135"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产量</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（万t）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666" w:type="pct"/>
                  <w:vMerge w:val="restar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08" w:type="pct"/>
                  <w:vMerge w:val="restar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基层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碎石</w:t>
                  </w:r>
                </w:p>
              </w:tc>
              <w:tc>
                <w:tcPr>
                  <w:tcW w:w="1289"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石屑</w:t>
                  </w:r>
                </w:p>
              </w:tc>
              <w:tc>
                <w:tcPr>
                  <w:tcW w:w="2135"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2.85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5" w:hRule="atLeast"/>
                <w:jc w:val="center"/>
              </w:trPr>
              <w:tc>
                <w:tcPr>
                  <w:tcW w:w="666" w:type="pct"/>
                  <w:vMerge w:val="continue"/>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08" w:type="pct"/>
                  <w:vMerge w:val="continue"/>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289"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直径5</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mm</w:t>
                  </w:r>
                </w:p>
              </w:tc>
              <w:tc>
                <w:tcPr>
                  <w:tcW w:w="2135"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666" w:type="pct"/>
                  <w:vMerge w:val="continue"/>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08" w:type="pct"/>
                  <w:vMerge w:val="continue"/>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289"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直径1</w:t>
                  </w:r>
                  <w:r>
                    <w:rPr>
                      <w:rFonts w:hint="eastAsia"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mm</w:t>
                  </w:r>
                </w:p>
              </w:tc>
              <w:tc>
                <w:tcPr>
                  <w:tcW w:w="2135"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666" w:type="pct"/>
                  <w:vMerge w:val="continue"/>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08" w:type="pct"/>
                  <w:vMerge w:val="continue"/>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289"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直径2</w:t>
                  </w:r>
                  <w:r>
                    <w:rPr>
                      <w:rFonts w:hint="eastAsia"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mm</w:t>
                  </w:r>
                </w:p>
              </w:tc>
              <w:tc>
                <w:tcPr>
                  <w:tcW w:w="2135"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666" w:type="pct"/>
                  <w:vMerge w:val="continue"/>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08" w:type="pct"/>
                  <w:vMerge w:val="continue"/>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289"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毛石</w:t>
                  </w:r>
                </w:p>
              </w:tc>
              <w:tc>
                <w:tcPr>
                  <w:tcW w:w="2135" w:type="pct"/>
                  <w:tcBorders>
                    <w:tl2br w:val="nil"/>
                    <w:tr2bl w:val="nil"/>
                  </w:tcBorders>
                  <w:noWrap w:val="0"/>
                  <w:vAlign w:val="center"/>
                </w:tcPr>
                <w:p>
                  <w:pPr>
                    <w:jc w:val="center"/>
                    <w:textAlignment w:val="baseline"/>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0.75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2864" w:type="pct"/>
                  <w:gridSpan w:val="3"/>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合计</w:t>
                  </w:r>
                </w:p>
              </w:tc>
              <w:tc>
                <w:tcPr>
                  <w:tcW w:w="2135" w:type="pct"/>
                  <w:tcBorders>
                    <w:tl2br w:val="nil"/>
                    <w:tr2bl w:val="nil"/>
                  </w:tcBorders>
                  <w:noWrap w:val="0"/>
                  <w:vAlign w:val="center"/>
                </w:tcPr>
                <w:p>
                  <w:pPr>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r>
          </w:tbl>
          <w:p>
            <w:pPr>
              <w:numPr>
                <w:ilvl w:val="0"/>
                <w:numId w:val="4"/>
              </w:numPr>
              <w:spacing w:line="360" w:lineRule="auto"/>
              <w:contextualSpacing/>
              <w:jc w:val="left"/>
              <w:rPr>
                <w:rFonts w:hint="eastAsia"/>
                <w:b/>
                <w:color w:val="000000" w:themeColor="text1"/>
                <w:kern w:val="0"/>
                <w:sz w:val="24"/>
                <w:highlight w:val="none"/>
                <w:lang w:val="en-US" w:eastAsia="zh-CN"/>
                <w14:textFill>
                  <w14:solidFill>
                    <w14:schemeClr w14:val="tx1"/>
                  </w14:solidFill>
                </w14:textFill>
              </w:rPr>
            </w:pPr>
            <w:r>
              <w:rPr>
                <w:rFonts w:hint="eastAsia"/>
                <w:b/>
                <w:color w:val="000000" w:themeColor="text1"/>
                <w:kern w:val="0"/>
                <w:sz w:val="24"/>
                <w:highlight w:val="none"/>
                <w:lang w:val="en-US" w:eastAsia="zh-CN"/>
                <w14:textFill>
                  <w14:solidFill>
                    <w14:schemeClr w14:val="tx1"/>
                  </w14:solidFill>
                </w14:textFill>
              </w:rPr>
              <w:t>物料平衡</w:t>
            </w:r>
          </w:p>
          <w:p>
            <w:pPr>
              <w:spacing w:line="360" w:lineRule="auto"/>
              <w:ind w:firstLine="480" w:firstLineChars="200"/>
              <w:rPr>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t>本项目物料平衡图见图2-1。</w:t>
            </w:r>
          </w:p>
          <w:p>
            <w:pPr>
              <w:spacing w:after="315" w:afterLines="100" w:afterAutospacing="0"/>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object>
                <v:shape id="_x0000_i1025" o:spt="75" type="#_x0000_t75" style="height:188.25pt;width:410.7pt;" o:ole="t" filled="f" o:preferrelative="t" stroked="f" coordsize="21600,21600">
                  <v:path/>
                  <v:fill on="f" focussize="0,0"/>
                  <v:stroke on="f"/>
                  <v:imagedata r:id="rId9" o:title=""/>
                  <o:lock v:ext="edit" aspectratio="t"/>
                  <w10:wrap type="none"/>
                  <w10:anchorlock/>
                </v:shape>
                <o:OLEObject Type="Embed" ProgID="Visio.Drawing.15" ShapeID="_x0000_i1025" DrawAspect="Content" ObjectID="_1468075725" r:id="rId8">
                  <o:LockedField>false</o:LockedField>
                </o:OLEObject>
              </w:object>
            </w:r>
          </w:p>
          <w:p>
            <w:pPr>
              <w:spacing w:beforeAutospacing="0" w:line="360" w:lineRule="auto"/>
              <w:jc w:val="center"/>
              <w:textAlignment w:val="baseline"/>
              <w:rPr>
                <w:b/>
                <w:bCs/>
                <w:color w:val="000000" w:themeColor="text1"/>
                <w:kern w:val="0"/>
                <w:sz w:val="24"/>
                <w:highlight w:val="none"/>
                <w14:textFill>
                  <w14:solidFill>
                    <w14:schemeClr w14:val="tx1"/>
                  </w14:solidFill>
                </w14:textFill>
              </w:rPr>
            </w:pPr>
            <w:r>
              <w:rPr>
                <w:b/>
                <w:bCs/>
                <w:color w:val="000000" w:themeColor="text1"/>
                <w:kern w:val="0"/>
                <w:sz w:val="24"/>
                <w:highlight w:val="none"/>
                <w14:textFill>
                  <w14:solidFill>
                    <w14:schemeClr w14:val="tx1"/>
                  </w14:solidFill>
                </w14:textFill>
              </w:rPr>
              <w:t>图2-1 本项目物料平衡图（单位：t/a）</w:t>
            </w:r>
          </w:p>
          <w:p>
            <w:pPr>
              <w:numPr>
                <w:ilvl w:val="0"/>
                <w:numId w:val="0"/>
              </w:numPr>
              <w:spacing w:line="360" w:lineRule="auto"/>
              <w:contextualSpacing/>
              <w:jc w:val="left"/>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五</w:t>
            </w:r>
            <w:r>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t>、劳动定员及工作制度</w:t>
            </w:r>
          </w:p>
          <w:p>
            <w:pPr>
              <w:widowControl/>
              <w:spacing w:line="360" w:lineRule="auto"/>
              <w:ind w:firstLine="480" w:firstLineChars="200"/>
              <w:contextualSpacing/>
              <w:jc w:val="left"/>
              <w:rPr>
                <w:rFonts w:hint="default" w:ascii="Times New Roman" w:hAnsi="Times New Roman" w:eastAsia="宋体" w:cs="Times New Roman"/>
                <w:color w:val="000000" w:themeColor="text1"/>
                <w:kern w:val="0"/>
                <w:sz w:val="24"/>
                <w:highlight w:val="green"/>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项目职工人数</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人，</w:t>
            </w:r>
            <w:r>
              <w:rPr>
                <w:rFonts w:hint="eastAsia" w:cs="Times New Roman"/>
                <w:color w:val="000000" w:themeColor="text1"/>
                <w:kern w:val="0"/>
                <w:sz w:val="24"/>
                <w:highlight w:val="none"/>
                <w:lang w:val="en-US" w:eastAsia="zh-CN"/>
                <w14:textFill>
                  <w14:solidFill>
                    <w14:schemeClr w14:val="tx1"/>
                  </w14:solidFill>
                </w14:textFill>
              </w:rPr>
              <w:t>两班制，每班5小时，</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生产200</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天</w:t>
            </w:r>
            <w:r>
              <w:rPr>
                <w:rFonts w:hint="eastAsia" w:cs="Times New Roman"/>
                <w:color w:val="000000" w:themeColor="text1"/>
                <w:kern w:val="0"/>
                <w:sz w:val="24"/>
                <w:highlight w:val="none"/>
                <w:lang w:val="en-US" w:eastAsia="zh-CN"/>
                <w14:textFill>
                  <w14:solidFill>
                    <w14:schemeClr w14:val="tx1"/>
                  </w14:solidFill>
                </w14:textFill>
              </w:rPr>
              <w:t>（5月至11月），</w:t>
            </w:r>
            <w:r>
              <w:rPr>
                <w:rFonts w:hint="eastAsia" w:cs="Times New Roman"/>
                <w:color w:val="000000" w:themeColor="text1"/>
                <w:kern w:val="0"/>
                <w:sz w:val="24"/>
                <w:highlight w:val="green"/>
                <w:lang w:val="en-US" w:eastAsia="zh-CN"/>
                <w14:textFill>
                  <w14:solidFill>
                    <w14:schemeClr w14:val="tx1"/>
                  </w14:solidFill>
                </w14:textFill>
              </w:rPr>
              <w:t>夜间不生产</w:t>
            </w:r>
            <w:r>
              <w:rPr>
                <w:rFonts w:hint="default" w:ascii="Times New Roman" w:hAnsi="Times New Roman" w:eastAsia="宋体" w:cs="Times New Roman"/>
                <w:color w:val="000000" w:themeColor="text1"/>
                <w:kern w:val="0"/>
                <w:sz w:val="24"/>
                <w:highlight w:val="green"/>
                <w:lang w:val="en-US" w:eastAsia="zh-CN"/>
                <w14:textFill>
                  <w14:solidFill>
                    <w14:schemeClr w14:val="tx1"/>
                  </w14:solidFill>
                </w14:textFill>
              </w:rPr>
              <w:t>。</w:t>
            </w:r>
          </w:p>
          <w:p>
            <w:pPr>
              <w:numPr>
                <w:ilvl w:val="0"/>
                <w:numId w:val="0"/>
              </w:numPr>
              <w:spacing w:line="360" w:lineRule="auto"/>
              <w:contextualSpacing/>
              <w:jc w:val="left"/>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六</w:t>
            </w:r>
            <w:r>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t>、</w:t>
            </w:r>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公用工程</w:t>
            </w:r>
          </w:p>
          <w:p>
            <w:pPr>
              <w:spacing w:line="360" w:lineRule="auto"/>
              <w:ind w:firstLine="480" w:firstLineChars="200"/>
              <w:contextualSpacing/>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1、给水</w:t>
            </w:r>
          </w:p>
          <w:p>
            <w:pPr>
              <w:spacing w:line="360" w:lineRule="auto"/>
              <w:ind w:firstLine="480" w:firstLineChars="200"/>
              <w:contextualSpacing/>
              <w:rPr>
                <w:rFonts w:hint="eastAsia" w:ascii="Times New Roman" w:hAnsi="Times New Roman" w:eastAsia="宋体" w:cs="Times New Roman"/>
                <w:color w:val="000000" w:themeColor="text1"/>
                <w:sz w:val="24"/>
                <w:highlight w:val="red"/>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本项目生产用水与生活用水均采用井水。生产用水堆场内的抑尘用水，用水量为</w:t>
            </w:r>
            <w:r>
              <w:rPr>
                <w:rFonts w:hint="eastAsia" w:cs="Times New Roman"/>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/d（</w:t>
            </w:r>
            <w:r>
              <w:rPr>
                <w:rFonts w:hint="eastAsia" w:cs="Times New Roman"/>
                <w:color w:val="000000" w:themeColor="text1"/>
                <w:sz w:val="24"/>
                <w:highlight w:val="none"/>
                <w:lang w:val="en-US" w:eastAsia="zh-CN"/>
                <w14:textFill>
                  <w14:solidFill>
                    <w14:schemeClr w14:val="tx1"/>
                  </w14:solidFill>
                </w14:textFill>
              </w:rPr>
              <w:t>400</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/a）</w:t>
            </w:r>
            <w:bookmarkStart w:id="29" w:name="OLE_LINK3"/>
            <w:r>
              <w:rPr>
                <w:rFonts w:hint="eastAsia" w:ascii="Times New Roman" w:hAnsi="Times New Roman" w:eastAsia="宋体" w:cs="Times New Roman"/>
                <w:color w:val="000000" w:themeColor="text1"/>
                <w:sz w:val="24"/>
                <w:highlight w:val="none"/>
                <w:lang w:eastAsia="zh-CN"/>
                <w14:textFill>
                  <w14:solidFill>
                    <w14:schemeClr w14:val="tx1"/>
                  </w14:solidFill>
                </w14:textFill>
              </w:rPr>
              <w:t>抑尘用水全部蒸发，不外排</w:t>
            </w:r>
            <w:bookmarkEnd w:id="29"/>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本项目职工人数</w:t>
            </w:r>
            <w:r>
              <w:rPr>
                <w:rFonts w:hint="eastAsia" w:cs="Times New Roman"/>
                <w:color w:val="000000" w:themeColor="text1"/>
                <w:sz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《黑龙江省地方标准 用水定额》（DB23/T727-2021）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U983</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，项目职工用水量按</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80</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L/人·d计，职工年工作时间2</w:t>
            </w:r>
            <w:r>
              <w:rPr>
                <w:rFonts w:hint="eastAsia" w:cs="Times New Roman"/>
                <w:color w:val="000000" w:themeColor="text1"/>
                <w:sz w:val="24"/>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0d计，则生活用水量为</w:t>
            </w:r>
            <w:r>
              <w:rPr>
                <w:rFonts w:hint="eastAsia" w:cs="Times New Roman"/>
                <w:color w:val="000000" w:themeColor="text1"/>
                <w:sz w:val="24"/>
                <w:highlight w:val="none"/>
                <w:lang w:val="en-US" w:eastAsia="zh-CN"/>
                <w14:textFill>
                  <w14:solidFill>
                    <w14:schemeClr w14:val="tx1"/>
                  </w14:solidFill>
                </w14:textFill>
              </w:rPr>
              <w:t>0.96</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/d（</w:t>
            </w:r>
            <w:r>
              <w:rPr>
                <w:rFonts w:hint="eastAsia" w:cs="Times New Roman"/>
                <w:color w:val="000000" w:themeColor="text1"/>
                <w:sz w:val="24"/>
                <w:highlight w:val="none"/>
                <w:lang w:val="en-US" w:eastAsia="zh-CN"/>
                <w14:textFill>
                  <w14:solidFill>
                    <w14:schemeClr w14:val="tx1"/>
                  </w14:solidFill>
                </w14:textFill>
              </w:rPr>
              <w:t>192</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/a）。</w:t>
            </w:r>
          </w:p>
          <w:p>
            <w:pPr>
              <w:spacing w:line="360" w:lineRule="auto"/>
              <w:ind w:firstLine="480" w:firstLineChars="200"/>
              <w:contextualSpacing/>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排水</w:t>
            </w:r>
          </w:p>
          <w:p>
            <w:pPr>
              <w:spacing w:line="360" w:lineRule="auto"/>
              <w:ind w:firstLine="480" w:firstLineChars="200"/>
              <w:contextualSpacing/>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生活污水排水量为用水量的80%，</w:t>
            </w:r>
            <w:r>
              <w:rPr>
                <w:rFonts w:hint="eastAsia" w:cs="Times New Roman"/>
                <w:color w:val="000000" w:themeColor="text1"/>
                <w:sz w:val="24"/>
                <w:highlight w:val="none"/>
                <w:lang w:val="en-US" w:eastAsia="zh-CN"/>
                <w14:textFill>
                  <w14:solidFill>
                    <w14:schemeClr w14:val="tx1"/>
                  </w14:solidFill>
                </w14:textFill>
              </w:rPr>
              <w:t>0.768</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/d（</w:t>
            </w:r>
            <w:r>
              <w:rPr>
                <w:rFonts w:hint="eastAsia" w:cs="Times New Roman"/>
                <w:color w:val="000000" w:themeColor="text1"/>
                <w:sz w:val="24"/>
                <w:highlight w:val="none"/>
                <w:lang w:val="en-US" w:eastAsia="zh-CN"/>
                <w14:textFill>
                  <w14:solidFill>
                    <w14:schemeClr w14:val="tx1"/>
                  </w14:solidFill>
                </w14:textFill>
              </w:rPr>
              <w:t>153.6</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/a），排入防渗旱厕。抑尘用水全部蒸发，不外排</w:t>
            </w:r>
            <w:r>
              <w:rPr>
                <w:rFonts w:hint="eastAsia" w:cs="Times New Roman"/>
                <w:color w:val="000000" w:themeColor="text1"/>
                <w:sz w:val="24"/>
                <w:highlight w:val="none"/>
                <w:lang w:val="en-US" w:eastAsia="zh-CN"/>
                <w14:textFill>
                  <w14:solidFill>
                    <w14:schemeClr w14:val="tx1"/>
                  </w14:solidFill>
                </w14:textFill>
              </w:rPr>
              <w:t>。</w:t>
            </w:r>
          </w:p>
          <w:p>
            <w:pPr>
              <w:spacing w:line="360" w:lineRule="auto"/>
              <w:ind w:firstLine="480" w:firstLineChars="200"/>
              <w:contextualSpacing/>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本项目矿区汇集雨水主要污染因子为SS，类比调查平均SS浓度为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120</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mg/L，本项目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厂区</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边界设置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导流渠</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，防止外界雨水进入厂区，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初期雨水汇入雨水池，</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收集至</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初期雨水池</w:t>
            </w:r>
            <w:r>
              <w:rPr>
                <w:rFonts w:hint="eastAsia" w:cs="Times New Roman"/>
                <w:color w:val="000000" w:themeColor="text1"/>
                <w:sz w:val="24"/>
                <w:highlight w:val="none"/>
                <w:lang w:val="en-US" w:eastAsia="zh-CN"/>
                <w14:textFill>
                  <w14:solidFill>
                    <w14:schemeClr w14:val="tx1"/>
                  </w14:solidFill>
                </w14:textFill>
              </w:rPr>
              <w:t>700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立方米</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，回用于项目抑尘等用水，不外排。</w:t>
            </w:r>
          </w:p>
          <w:p>
            <w:pPr>
              <w:pStyle w:val="2"/>
              <w:spacing w:after="315" w:afterLines="100" w:afterAutospacing="0"/>
              <w:rPr>
                <w:rFonts w:hint="eastAsia"/>
                <w:highlight w:val="none"/>
                <w:lang w:eastAsia="zh-CN"/>
              </w:rPr>
            </w:pPr>
            <w:r>
              <w:rPr>
                <w:rFonts w:hint="eastAsia"/>
                <w:highlight w:val="none"/>
                <w:lang w:eastAsia="zh-CN"/>
              </w:rPr>
              <w:object>
                <v:shape id="_x0000_i1026" o:spt="75" type="#_x0000_t75" style="height:264.9pt;width:378.2pt;" o:ole="t" filled="f" o:preferrelative="t" stroked="f" coordsize="21600,21600">
                  <v:path/>
                  <v:fill on="f" focussize="0,0"/>
                  <v:stroke on="f"/>
                  <v:imagedata r:id="rId11" o:title=""/>
                  <o:lock v:ext="edit" aspectratio="t"/>
                  <w10:wrap type="none"/>
                  <w10:anchorlock/>
                </v:shape>
                <o:OLEObject Type="Embed" ProgID="Visio.Drawing.15" ShapeID="_x0000_i1026" DrawAspect="Content" ObjectID="_1468075726" r:id="rId10">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图2-</w:t>
            </w:r>
            <w:r>
              <w:rPr>
                <w:rFonts w:hint="eastAsia" w:cs="Times New Roman"/>
                <w:b/>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 xml:space="preserve"> 本项目水量平衡图（m</w:t>
            </w:r>
            <w:r>
              <w:rPr>
                <w:rFonts w:hint="default" w:ascii="Times New Roman" w:hAnsi="Times New Roman" w:eastAsia="宋体" w:cs="Times New Roman"/>
                <w:b/>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w:t>
            </w:r>
            <w:r>
              <w:rPr>
                <w:rFonts w:hint="eastAsia" w:cs="Times New Roman"/>
                <w:b/>
                <w:bCs w:val="0"/>
                <w:color w:val="000000" w:themeColor="text1"/>
                <w:sz w:val="24"/>
                <w:szCs w:val="24"/>
                <w:highlight w:val="none"/>
                <w:lang w:val="en-US" w:eastAsia="zh-CN"/>
                <w14:textFill>
                  <w14:solidFill>
                    <w14:schemeClr w14:val="tx1"/>
                  </w14:solidFill>
                </w14:textFill>
              </w:rPr>
              <w:t>d</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w:t>
            </w:r>
          </w:p>
          <w:p>
            <w:pPr>
              <w:spacing w:line="360" w:lineRule="auto"/>
              <w:ind w:firstLine="480" w:firstLineChars="200"/>
              <w:contextualSpacing/>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3、供电</w:t>
            </w:r>
          </w:p>
          <w:p>
            <w:pPr>
              <w:spacing w:line="360" w:lineRule="auto"/>
              <w:ind w:firstLine="480" w:firstLineChars="200"/>
              <w:contextualSpacing/>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本项目供电接入当地市政电网。</w:t>
            </w:r>
          </w:p>
          <w:p>
            <w:pPr>
              <w:spacing w:line="360" w:lineRule="auto"/>
              <w:ind w:firstLine="480" w:firstLineChars="200"/>
              <w:contextualSpacing/>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4、供热系统</w:t>
            </w:r>
          </w:p>
          <w:p>
            <w:pPr>
              <w:spacing w:line="360" w:lineRule="auto"/>
              <w:ind w:firstLine="480" w:firstLineChars="200"/>
              <w:contextualSpacing/>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厂区冬季</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采用电暖气供暖。</w:t>
            </w:r>
          </w:p>
          <w:p>
            <w:pPr>
              <w:numPr>
                <w:ilvl w:val="0"/>
                <w:numId w:val="0"/>
              </w:numPr>
              <w:spacing w:line="360" w:lineRule="auto"/>
              <w:contextualSpacing/>
              <w:jc w:val="left"/>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七</w:t>
            </w:r>
            <w:r>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t>、平面布置</w:t>
            </w:r>
          </w:p>
          <w:p>
            <w:pPr>
              <w:spacing w:line="360" w:lineRule="auto"/>
              <w:ind w:firstLine="480" w:firstLineChars="200"/>
              <w:contextualSpacing/>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项目</w:t>
            </w:r>
            <w:r>
              <w:rPr>
                <w:rFonts w:hint="eastAsia" w:cs="Times New Roman"/>
                <w:color w:val="000000" w:themeColor="text1"/>
                <w:sz w:val="24"/>
                <w:highlight w:val="none"/>
                <w:lang w:val="en-US" w:eastAsia="zh-CN"/>
                <w14:textFill>
                  <w14:solidFill>
                    <w14:schemeClr w14:val="tx1"/>
                  </w14:solidFill>
                </w14:textFill>
              </w:rPr>
              <w:t>生产厂房位于厂区东侧</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厂区北</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侧</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原料堆场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中间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为成品</w:t>
            </w:r>
            <w:r>
              <w:rPr>
                <w:rFonts w:hint="eastAsia" w:cs="Times New Roman"/>
                <w:color w:val="000000" w:themeColor="text1"/>
                <w:sz w:val="24"/>
                <w:highlight w:val="none"/>
                <w:lang w:val="en-US" w:eastAsia="zh-CN"/>
                <w14:textFill>
                  <w14:solidFill>
                    <w14:schemeClr w14:val="tx1"/>
                  </w14:solidFill>
                </w14:textFill>
              </w:rPr>
              <w:t>堆场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厂区南侧为宿舍</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本项目布局合理，便于原辅材料周转，并</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综合考虑厂区供电等基础设施的建设，建筑物布置满足消防安全等要求。项目平面布置功能区明确，交通便利，建构筑物布置规范，因此，本项目平面布置合理，平面布置图见附图。</w:t>
            </w:r>
          </w:p>
          <w:p>
            <w:pPr>
              <w:numPr>
                <w:ilvl w:val="0"/>
                <w:numId w:val="0"/>
              </w:numPr>
              <w:spacing w:line="360" w:lineRule="auto"/>
              <w:contextualSpacing/>
              <w:jc w:val="left"/>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pPr>
            <w:r>
              <w:rPr>
                <w:rFonts w:hint="eastAsia" w:cs="Times New Roman"/>
                <w:b/>
                <w:color w:val="000000" w:themeColor="text1"/>
                <w:kern w:val="0"/>
                <w:sz w:val="24"/>
                <w:highlight w:val="none"/>
                <w:lang w:val="en-US" w:eastAsia="zh-CN"/>
                <w14:textFill>
                  <w14:solidFill>
                    <w14:schemeClr w14:val="tx1"/>
                  </w14:solidFill>
                </w14:textFill>
              </w:rPr>
              <w:t>八</w:t>
            </w:r>
            <w:r>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t>、环保投资</w:t>
            </w:r>
          </w:p>
          <w:p>
            <w:pPr>
              <w:bidi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yellow"/>
                <w14:textFill>
                  <w14:solidFill>
                    <w14:schemeClr w14:val="tx1"/>
                  </w14:solidFill>
                </w14:textFill>
              </w:rPr>
              <w:t>总投资</w:t>
            </w:r>
            <w:r>
              <w:rPr>
                <w:rFonts w:hint="eastAsia" w:cs="Times New Roman"/>
                <w:color w:val="000000" w:themeColor="text1"/>
                <w:sz w:val="24"/>
                <w:szCs w:val="24"/>
                <w:highlight w:val="yellow"/>
                <w:lang w:val="en-US" w:eastAsia="zh-CN"/>
                <w14:textFill>
                  <w14:solidFill>
                    <w14:schemeClr w14:val="tx1"/>
                  </w14:solidFill>
                </w14:textFill>
              </w:rPr>
              <w:t>180</w:t>
            </w:r>
            <w:r>
              <w:rPr>
                <w:rFonts w:hint="default" w:ascii="Times New Roman" w:hAnsi="Times New Roman" w:eastAsia="宋体" w:cs="Times New Roman"/>
                <w:color w:val="000000" w:themeColor="text1"/>
                <w:sz w:val="24"/>
                <w:szCs w:val="24"/>
                <w:highlight w:val="yellow"/>
                <w14:textFill>
                  <w14:solidFill>
                    <w14:schemeClr w14:val="tx1"/>
                  </w14:solidFill>
                </w14:textFill>
              </w:rPr>
              <w:t>万元，其中环保投资</w:t>
            </w:r>
            <w:r>
              <w:rPr>
                <w:rFonts w:hint="eastAsia" w:cs="Times New Roman"/>
                <w:color w:val="000000" w:themeColor="text1"/>
                <w:sz w:val="24"/>
                <w:szCs w:val="24"/>
                <w:highlight w:val="yellow"/>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yellow"/>
                <w14:textFill>
                  <w14:solidFill>
                    <w14:schemeClr w14:val="tx1"/>
                  </w14:solidFill>
                </w14:textFill>
              </w:rPr>
              <w:t>万元，占总投资的</w:t>
            </w:r>
            <w:r>
              <w:rPr>
                <w:rFonts w:hint="eastAsia" w:cs="Times New Roman"/>
                <w:color w:val="000000" w:themeColor="text1"/>
                <w:sz w:val="24"/>
                <w:szCs w:val="24"/>
                <w:highlight w:val="yellow"/>
                <w:lang w:val="en-US" w:eastAsia="zh-CN"/>
                <w14:textFill>
                  <w14:solidFill>
                    <w14:schemeClr w14:val="tx1"/>
                  </w14:solidFill>
                </w14:textFill>
              </w:rPr>
              <w:t>13.89</w:t>
            </w:r>
            <w:r>
              <w:rPr>
                <w:rFonts w:hint="default" w:ascii="Times New Roman" w:hAnsi="Times New Roman" w:eastAsia="宋体" w:cs="Times New Roman"/>
                <w:color w:val="000000" w:themeColor="text1"/>
                <w:sz w:val="24"/>
                <w:szCs w:val="24"/>
                <w:highlight w:val="yellow"/>
                <w14:textFill>
                  <w14:solidFill>
                    <w14:schemeClr w14:val="tx1"/>
                  </w14:solidFill>
                </w14:textFill>
              </w:rPr>
              <w:t>%。</w:t>
            </w:r>
          </w:p>
          <w:p>
            <w:pPr>
              <w:bidi w:val="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eastAsia" w:cs="Times New Roman"/>
                <w:b/>
                <w:bCs/>
                <w:color w:val="000000" w:themeColor="text1"/>
                <w:sz w:val="24"/>
                <w:szCs w:val="24"/>
                <w:lang w:val="en-US" w:eastAsia="zh-CN"/>
                <w14:textFill>
                  <w14:solidFill>
                    <w14:schemeClr w14:val="tx1"/>
                  </w14:solidFill>
                </w14:textFill>
              </w:rPr>
              <w:t xml:space="preserve">18  </w:t>
            </w:r>
            <w:r>
              <w:rPr>
                <w:rFonts w:hint="default" w:ascii="Times New Roman" w:hAnsi="Times New Roman" w:eastAsia="宋体" w:cs="Times New Roman"/>
                <w:b/>
                <w:bCs/>
                <w:color w:val="000000" w:themeColor="text1"/>
                <w:sz w:val="24"/>
                <w:szCs w:val="24"/>
                <w14:textFill>
                  <w14:solidFill>
                    <w14:schemeClr w14:val="tx1"/>
                  </w14:solidFill>
                </w14:textFill>
              </w:rPr>
              <w:t>环保投资一览表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495"/>
              <w:gridCol w:w="623"/>
              <w:gridCol w:w="5074"/>
              <w:gridCol w:w="15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序号</w:t>
                  </w:r>
                </w:p>
              </w:tc>
              <w:tc>
                <w:tcPr>
                  <w:tcW w:w="66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处理项目</w:t>
                  </w:r>
                </w:p>
              </w:tc>
              <w:tc>
                <w:tcPr>
                  <w:tcW w:w="30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处理措施</w:t>
                  </w:r>
                </w:p>
              </w:tc>
              <w:tc>
                <w:tcPr>
                  <w:tcW w:w="8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29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施工期</w:t>
                  </w:r>
                </w:p>
              </w:tc>
              <w:tc>
                <w:tcPr>
                  <w:tcW w:w="3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大气污染</w:t>
                  </w:r>
                </w:p>
              </w:tc>
              <w:tc>
                <w:tcPr>
                  <w:tcW w:w="30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施工现场应设置围栏或部分围栏，遇大风天气营业塑料膜将水泥、白灰、沙堆覆盖；</w:t>
                  </w:r>
                  <w:r>
                    <w:rPr>
                      <w:rFonts w:hint="eastAsia" w:cs="Times New Roman"/>
                      <w:b w:val="0"/>
                      <w:bCs w:val="0"/>
                      <w:color w:val="000000" w:themeColor="text1"/>
                      <w:sz w:val="21"/>
                      <w:szCs w:val="21"/>
                      <w:lang w:val="en-US" w:eastAsia="zh-CN"/>
                      <w14:textFill>
                        <w14:solidFill>
                          <w14:schemeClr w14:val="tx1"/>
                        </w14:solidFill>
                      </w14:textFill>
                    </w:rPr>
                    <w:t>干燥天气洒水降尘</w:t>
                  </w:r>
                </w:p>
              </w:tc>
              <w:tc>
                <w:tcPr>
                  <w:tcW w:w="8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w:t>
                  </w:r>
                </w:p>
              </w:tc>
              <w:tc>
                <w:tcPr>
                  <w:tcW w:w="29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水污染</w:t>
                  </w:r>
                </w:p>
              </w:tc>
              <w:tc>
                <w:tcPr>
                  <w:tcW w:w="30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施工人员生活污水排入防渗旱厕，定期清掏，外运堆肥</w:t>
                  </w:r>
                </w:p>
              </w:tc>
              <w:tc>
                <w:tcPr>
                  <w:tcW w:w="8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3</w:t>
                  </w:r>
                </w:p>
              </w:tc>
              <w:tc>
                <w:tcPr>
                  <w:tcW w:w="29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噪声</w:t>
                  </w:r>
                </w:p>
              </w:tc>
              <w:tc>
                <w:tcPr>
                  <w:tcW w:w="30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合理安排作业时间，低噪声设备，在高噪声设备周围设置屏蔽，加强运输车辆管理</w:t>
                  </w:r>
                </w:p>
              </w:tc>
              <w:tc>
                <w:tcPr>
                  <w:tcW w:w="8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4</w:t>
                  </w:r>
                </w:p>
              </w:tc>
              <w:tc>
                <w:tcPr>
                  <w:tcW w:w="29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固体废物</w:t>
                  </w:r>
                </w:p>
              </w:tc>
              <w:tc>
                <w:tcPr>
                  <w:tcW w:w="30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本项目生活垃圾做到日产日清，定时收集清运垃圾，能够回收利用的</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委托市政环卫部门处置</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。本项目产生的建筑垃圾应及时清运至</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建筑垃圾收纳点</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处置</w:t>
                  </w:r>
                </w:p>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w:t>
                  </w:r>
                </w:p>
              </w:tc>
              <w:tc>
                <w:tcPr>
                  <w:tcW w:w="29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运营期</w:t>
                  </w:r>
                </w:p>
              </w:tc>
              <w:tc>
                <w:tcPr>
                  <w:tcW w:w="3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大气污染</w:t>
                  </w:r>
                </w:p>
              </w:tc>
              <w:tc>
                <w:tcPr>
                  <w:tcW w:w="30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highlight w:val="green"/>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highlight w:val="green"/>
                      <w:lang w:val="en-US" w:eastAsia="zh-CN"/>
                      <w14:textFill>
                        <w14:solidFill>
                          <w14:schemeClr w14:val="tx1"/>
                        </w14:solidFill>
                      </w14:textFill>
                    </w:rPr>
                    <w:t>个</w:t>
                  </w:r>
                  <w:r>
                    <w:rPr>
                      <w:rFonts w:hint="default" w:ascii="Times New Roman" w:hAnsi="Times New Roman" w:eastAsia="宋体" w:cs="Times New Roman"/>
                      <w:b w:val="0"/>
                      <w:bCs w:val="0"/>
                      <w:color w:val="000000" w:themeColor="text1"/>
                      <w:sz w:val="21"/>
                      <w:szCs w:val="21"/>
                      <w:highlight w:val="green"/>
                      <w:lang w:val="en-US" w:eastAsia="zh-CN"/>
                      <w14:textFill>
                        <w14:solidFill>
                          <w14:schemeClr w14:val="tx1"/>
                        </w14:solidFill>
                      </w14:textFill>
                    </w:rPr>
                    <w:t>布袋除尘器、</w:t>
                  </w:r>
                  <w:r>
                    <w:rPr>
                      <w:rFonts w:hint="eastAsia" w:cs="Times New Roman"/>
                      <w:b w:val="0"/>
                      <w:bCs w:val="0"/>
                      <w:color w:val="000000" w:themeColor="text1"/>
                      <w:sz w:val="21"/>
                      <w:szCs w:val="21"/>
                      <w:highlight w:val="green"/>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highlight w:val="green"/>
                      <w:lang w:val="en-US" w:eastAsia="zh-CN"/>
                      <w14:textFill>
                        <w14:solidFill>
                          <w14:schemeClr w14:val="tx1"/>
                        </w14:solidFill>
                      </w14:textFill>
                    </w:rPr>
                    <w:t>个</w:t>
                  </w:r>
                  <w:r>
                    <w:rPr>
                      <w:rFonts w:hint="default" w:ascii="Times New Roman" w:hAnsi="Times New Roman" w:eastAsia="宋体" w:cs="Times New Roman"/>
                      <w:b w:val="0"/>
                      <w:bCs w:val="0"/>
                      <w:color w:val="000000" w:themeColor="text1"/>
                      <w:sz w:val="21"/>
                      <w:szCs w:val="21"/>
                      <w:highlight w:val="green"/>
                      <w:lang w:val="en-US" w:eastAsia="zh-CN"/>
                      <w14:textFill>
                        <w14:solidFill>
                          <w14:schemeClr w14:val="tx1"/>
                        </w14:solidFill>
                      </w14:textFill>
                    </w:rPr>
                    <w:t>15m高排气筒</w:t>
                  </w:r>
                  <w:r>
                    <w:rPr>
                      <w:rFonts w:hint="eastAsia" w:cs="Times New Roman"/>
                      <w:b w:val="0"/>
                      <w:bCs w:val="0"/>
                      <w:color w:val="000000" w:themeColor="text1"/>
                      <w:sz w:val="21"/>
                      <w:szCs w:val="21"/>
                      <w:highlight w:val="green"/>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green"/>
                      <w:lang w:val="en-US" w:eastAsia="zh-CN"/>
                      <w14:textFill>
                        <w14:solidFill>
                          <w14:schemeClr w14:val="tx1"/>
                        </w14:solidFill>
                      </w14:textFill>
                    </w:rPr>
                    <w:t>苫</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布遮盖、喷淋设施</w:t>
                  </w:r>
                  <w:r>
                    <w:rPr>
                      <w:rFonts w:hint="eastAsia" w:cs="Times New Roman"/>
                      <w:b w:val="0"/>
                      <w:bCs w:val="0"/>
                      <w:color w:val="000000" w:themeColor="text1"/>
                      <w:sz w:val="21"/>
                      <w:szCs w:val="21"/>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成品堆场设置围挡（长度95m、高度6m、宽度70m）且覆盖防尘网；原料堆场设置防风抑尘网（长度160m、高度1m、宽度2.5m），定期洒水抑尘</w:t>
                  </w:r>
                </w:p>
              </w:tc>
              <w:tc>
                <w:tcPr>
                  <w:tcW w:w="8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6</w:t>
                  </w:r>
                </w:p>
              </w:tc>
              <w:tc>
                <w:tcPr>
                  <w:tcW w:w="29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水污染</w:t>
                  </w:r>
                </w:p>
              </w:tc>
              <w:tc>
                <w:tcPr>
                  <w:tcW w:w="30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防渗旱厕</w:t>
                  </w:r>
                  <w:r>
                    <w:rPr>
                      <w:rFonts w:hint="eastAsia" w:cs="Times New Roman"/>
                      <w:b w:val="0"/>
                      <w:bCs w:val="0"/>
                      <w:color w:val="000000" w:themeColor="text1"/>
                      <w:sz w:val="21"/>
                      <w:szCs w:val="21"/>
                      <w:highlight w:val="none"/>
                      <w:lang w:val="en-US" w:eastAsia="zh-CN"/>
                      <w14:textFill>
                        <w14:solidFill>
                          <w14:schemeClr w14:val="tx1"/>
                        </w14:solidFill>
                      </w14:textFill>
                    </w:rPr>
                    <w:t>。导流渠，雨水池</w:t>
                  </w:r>
                </w:p>
              </w:tc>
              <w:tc>
                <w:tcPr>
                  <w:tcW w:w="8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7</w:t>
                  </w:r>
                </w:p>
              </w:tc>
              <w:tc>
                <w:tcPr>
                  <w:tcW w:w="29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噪声</w:t>
                  </w:r>
                </w:p>
              </w:tc>
              <w:tc>
                <w:tcPr>
                  <w:tcW w:w="30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减振、隔声</w:t>
                  </w:r>
                </w:p>
              </w:tc>
              <w:tc>
                <w:tcPr>
                  <w:tcW w:w="8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8</w:t>
                  </w:r>
                </w:p>
              </w:tc>
              <w:tc>
                <w:tcPr>
                  <w:tcW w:w="29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固体废物</w:t>
                  </w:r>
                </w:p>
              </w:tc>
              <w:tc>
                <w:tcPr>
                  <w:tcW w:w="30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一般固废</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垃圾收集装置</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垃圾桶</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；危险废物专用收集装置，危险废物暂存间</w:t>
                  </w:r>
                </w:p>
              </w:tc>
              <w:tc>
                <w:tcPr>
                  <w:tcW w:w="8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9</w:t>
                  </w:r>
                </w:p>
              </w:tc>
              <w:tc>
                <w:tcPr>
                  <w:tcW w:w="29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71" w:type="pct"/>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olor w:val="000000" w:themeColor="text1"/>
                      <w:spacing w:val="0"/>
                      <w:sz w:val="21"/>
                      <w:szCs w:val="21"/>
                      <w:highlight w:val="none"/>
                      <w:lang w:eastAsia="zh-CN"/>
                      <w14:textFill>
                        <w14:solidFill>
                          <w14:schemeClr w14:val="tx1"/>
                        </w14:solidFill>
                      </w14:textFill>
                    </w:rPr>
                    <w:t>危险废物</w:t>
                  </w:r>
                </w:p>
              </w:tc>
              <w:tc>
                <w:tcPr>
                  <w:tcW w:w="3023" w:type="pct"/>
                  <w:noWrap w:val="0"/>
                  <w:vAlign w:val="center"/>
                </w:tcPr>
                <w:p>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设备</w:t>
                  </w:r>
                  <w:r>
                    <w:rPr>
                      <w:rFonts w:hint="eastAsia"/>
                      <w:color w:val="000000" w:themeColor="text1"/>
                      <w:szCs w:val="21"/>
                      <w:highlight w:val="none"/>
                      <w14:textFill>
                        <w14:solidFill>
                          <w14:schemeClr w14:val="tx1"/>
                        </w14:solidFill>
                      </w14:textFill>
                    </w:rPr>
                    <w:t>保养维修产生</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机</w:t>
                  </w:r>
                  <w:r>
                    <w:rPr>
                      <w:color w:val="000000" w:themeColor="text1"/>
                      <w14:textFill>
                        <w14:solidFill>
                          <w14:schemeClr w14:val="tx1"/>
                        </w14:solidFill>
                      </w14:textFill>
                    </w:rPr>
                    <w:t>油</w:t>
                  </w:r>
                  <w:r>
                    <w:rPr>
                      <w:rFonts w:hint="eastAsia"/>
                      <w:color w:val="000000" w:themeColor="text1"/>
                      <w:lang w:eastAsia="zh-CN"/>
                      <w14:textFill>
                        <w14:solidFill>
                          <w14:schemeClr w14:val="tx1"/>
                        </w14:solidFill>
                      </w14:textFill>
                    </w:rPr>
                    <w:t>、润滑油</w:t>
                  </w:r>
                  <w:r>
                    <w:rPr>
                      <w:rFonts w:hint="eastAsia"/>
                      <w:color w:val="000000" w:themeColor="text1"/>
                      <w:szCs w:val="21"/>
                      <w:highlight w:val="none"/>
                      <w:lang w:eastAsia="zh-CN"/>
                      <w14:textFill>
                        <w14:solidFill>
                          <w14:schemeClr w14:val="tx1"/>
                        </w14:solidFill>
                      </w14:textFill>
                    </w:rPr>
                    <w:t>为危险废物，</w:t>
                  </w:r>
                  <w:r>
                    <w:rPr>
                      <w:rFonts w:hint="eastAsia"/>
                      <w:color w:val="000000" w:themeColor="text1"/>
                      <w:szCs w:val="21"/>
                      <w:highlight w:val="none"/>
                      <w14:textFill>
                        <w14:solidFill>
                          <w14:schemeClr w14:val="tx1"/>
                        </w14:solidFill>
                      </w14:textFill>
                    </w:rPr>
                    <w:t>暂存于危废暂存间内，定期委托有资质单位处置</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危险废物暂存间5m</w:t>
                  </w:r>
                  <w:r>
                    <w:rPr>
                      <w:rFonts w:hint="eastAsia"/>
                      <w:color w:val="000000" w:themeColor="text1"/>
                      <w:szCs w:val="21"/>
                      <w:highlight w:val="none"/>
                      <w:vertAlign w:val="superscript"/>
                      <w:lang w:val="en-US" w:eastAsia="zh-CN"/>
                      <w14:textFill>
                        <w14:solidFill>
                          <w14:schemeClr w14:val="tx1"/>
                        </w14:solidFill>
                      </w14:textFill>
                    </w:rPr>
                    <w:t>2</w:t>
                  </w:r>
                  <w:r>
                    <w:rPr>
                      <w:rFonts w:hint="eastAsia"/>
                      <w:color w:val="000000" w:themeColor="text1"/>
                      <w:szCs w:val="21"/>
                      <w:highlight w:val="none"/>
                      <w:vertAlign w:val="baseline"/>
                      <w:lang w:val="en-US" w:eastAsia="zh-CN"/>
                      <w14:textFill>
                        <w14:solidFill>
                          <w14:schemeClr w14:val="tx1"/>
                        </w14:solidFill>
                      </w14:textFill>
                    </w:rPr>
                    <w:t>，位于生产厂房内，</w:t>
                  </w:r>
                  <w:r>
                    <w:rPr>
                      <w:rFonts w:hint="eastAsia"/>
                      <w:color w:val="000000" w:themeColor="text1"/>
                      <w:szCs w:val="21"/>
                      <w:highlight w:val="none"/>
                      <w14:textFill>
                        <w14:solidFill>
                          <w14:schemeClr w14:val="tx1"/>
                        </w14:solidFill>
                      </w14:textFill>
                    </w:rPr>
                    <w:t>危废间满足“</w:t>
                  </w:r>
                  <w:r>
                    <w:rPr>
                      <w:rFonts w:hint="eastAsia"/>
                      <w:color w:val="000000" w:themeColor="text1"/>
                      <w:szCs w:val="21"/>
                      <w:highlight w:val="none"/>
                      <w:lang w:val="en-US" w:eastAsia="zh-CN"/>
                      <w14:textFill>
                        <w14:solidFill>
                          <w14:schemeClr w14:val="tx1"/>
                        </w14:solidFill>
                      </w14:textFill>
                    </w:rPr>
                    <w:t>六</w:t>
                  </w:r>
                  <w:r>
                    <w:rPr>
                      <w:rFonts w:hint="eastAsia"/>
                      <w:color w:val="000000" w:themeColor="text1"/>
                      <w:szCs w:val="21"/>
                      <w:highlight w:val="none"/>
                      <w14:textFill>
                        <w14:solidFill>
                          <w14:schemeClr w14:val="tx1"/>
                        </w14:solidFill>
                      </w14:textFill>
                    </w:rPr>
                    <w:t>防”（</w:t>
                  </w:r>
                  <w:r>
                    <w:rPr>
                      <w:rFonts w:hint="eastAsia"/>
                      <w:color w:val="000000" w:themeColor="text1"/>
                      <w:szCs w:val="21"/>
                      <w:highlight w:val="none"/>
                      <w:lang w:val="en-US" w:eastAsia="zh-CN"/>
                      <w14:textFill>
                        <w14:solidFill>
                          <w14:schemeClr w14:val="tx1"/>
                        </w14:solidFill>
                      </w14:textFill>
                    </w:rPr>
                    <w:t>防风、防晒、防雨、防漏、防渗、防腐以及其他环境污染防治措施，不应露天堆放危险废物</w:t>
                  </w:r>
                  <w:r>
                    <w:rPr>
                      <w:rFonts w:hint="eastAsia"/>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贮存设施应根据危险废物的类别、数量、形态、物理化学性质和污染防治等要求设置必要的贮存分区，避免不相容的危险废物接触、混合。贮存设施或贮存分区内地面、墙面裙脚、堵截泄漏的围堰、接触危险废物的隔板和墙体等应采用坚固的材料建造，表面无裂缝。</w:t>
                  </w:r>
                </w:p>
                <w:p>
                  <w:pPr>
                    <w:rPr>
                      <w:rFonts w:hint="eastAsia"/>
                      <w:color w:val="000000" w:themeColor="text1"/>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olor w:val="000000" w:themeColor="text1"/>
                      <w:szCs w:val="21"/>
                      <w:highlight w:val="none"/>
                      <w:vertAlign w:val="superscript"/>
                      <w:lang w:val="en-US" w:eastAsia="zh-CN"/>
                      <w14:textFill>
                        <w14:solidFill>
                          <w14:schemeClr w14:val="tx1"/>
                        </w14:solidFill>
                      </w14:textFill>
                    </w:rPr>
                    <w:t xml:space="preserve">-7 </w:t>
                  </w:r>
                  <w:r>
                    <w:rPr>
                      <w:rFonts w:hint="eastAsia"/>
                      <w:color w:val="000000" w:themeColor="text1"/>
                      <w:szCs w:val="21"/>
                      <w:highlight w:val="none"/>
                      <w:lang w:val="en-US" w:eastAsia="zh-CN"/>
                      <w14:textFill>
                        <w14:solidFill>
                          <w14:schemeClr w14:val="tx1"/>
                        </w14:solidFill>
                      </w14:textFill>
                    </w:rPr>
                    <w:t>cm/s），或至少2mm厚高密度聚乙烯膜等人工防渗材料（渗透系数不大于10</w:t>
                  </w:r>
                  <w:r>
                    <w:rPr>
                      <w:rFonts w:hint="eastAsia"/>
                      <w:color w:val="000000" w:themeColor="text1"/>
                      <w:szCs w:val="21"/>
                      <w:highlight w:val="none"/>
                      <w:vertAlign w:val="superscript"/>
                      <w:lang w:val="en-US" w:eastAsia="zh-CN"/>
                      <w14:textFill>
                        <w14:solidFill>
                          <w14:schemeClr w14:val="tx1"/>
                        </w14:solidFill>
                      </w14:textFill>
                    </w:rPr>
                    <w:t>-10</w:t>
                  </w:r>
                  <w:r>
                    <w:rPr>
                      <w:rFonts w:hint="eastAsia"/>
                      <w:color w:val="000000" w:themeColor="text1"/>
                      <w:szCs w:val="21"/>
                      <w:highlight w:val="none"/>
                      <w:lang w:val="en-US" w:eastAsia="zh-CN"/>
                      <w14:textFill>
                        <w14:solidFill>
                          <w14:schemeClr w14:val="tx1"/>
                        </w14:solidFill>
                      </w14:textFill>
                    </w:rPr>
                    <w:t>cm/s），或其他防渗性能等效的材料。同一贮存设施宜采用相同的防渗、防腐工艺（包括防渗、防腐结构或材料），防渗、防腐材料应覆盖所有可能与废物及其渗滤液、渗漏液等接触的构筑物表面；采用不同防渗、防腐工艺应分别建设贮存分区。贮存设施应采取技术和管理措施防止无关人员进入。</w:t>
                  </w:r>
                </w:p>
              </w:tc>
              <w:tc>
                <w:tcPr>
                  <w:tcW w:w="8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10</w:t>
                  </w:r>
                </w:p>
              </w:tc>
              <w:tc>
                <w:tcPr>
                  <w:tcW w:w="3690"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环保设施运行维护费用</w:t>
                  </w:r>
                </w:p>
              </w:tc>
              <w:tc>
                <w:tcPr>
                  <w:tcW w:w="8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11</w:t>
                  </w:r>
                </w:p>
              </w:tc>
              <w:tc>
                <w:tcPr>
                  <w:tcW w:w="3690"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green"/>
                      <w:lang w:val="en-US" w:eastAsia="zh-CN"/>
                      <w14:textFill>
                        <w14:solidFill>
                          <w14:schemeClr w14:val="tx1"/>
                        </w14:solidFill>
                      </w14:textFill>
                    </w:rPr>
                  </w:pPr>
                  <w:r>
                    <w:rPr>
                      <w:rFonts w:hint="eastAsia" w:cs="Times New Roman"/>
                      <w:b w:val="0"/>
                      <w:bCs w:val="0"/>
                      <w:color w:val="000000" w:themeColor="text1"/>
                      <w:sz w:val="21"/>
                      <w:szCs w:val="21"/>
                      <w:highlight w:val="green"/>
                      <w:lang w:val="en-US" w:eastAsia="zh-CN"/>
                      <w14:textFill>
                        <w14:solidFill>
                          <w14:schemeClr w14:val="tx1"/>
                        </w14:solidFill>
                      </w14:textFill>
                    </w:rPr>
                    <w:t>监测费用</w:t>
                  </w:r>
                </w:p>
              </w:tc>
              <w:tc>
                <w:tcPr>
                  <w:tcW w:w="8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green"/>
                      <w:lang w:val="en-US" w:eastAsia="zh-CN"/>
                      <w14:textFill>
                        <w14:solidFill>
                          <w14:schemeClr w14:val="tx1"/>
                        </w14:solidFill>
                      </w14:textFill>
                    </w:rPr>
                  </w:pPr>
                  <w:r>
                    <w:rPr>
                      <w:rFonts w:hint="eastAsia" w:cs="Times New Roman"/>
                      <w:b w:val="0"/>
                      <w:bCs w:val="0"/>
                      <w:color w:val="000000" w:themeColor="text1"/>
                      <w:sz w:val="21"/>
                      <w:szCs w:val="21"/>
                      <w:highlight w:val="green"/>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w:t>
                  </w:r>
                </w:p>
              </w:tc>
              <w:tc>
                <w:tcPr>
                  <w:tcW w:w="3690"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总计</w:t>
                  </w:r>
                </w:p>
              </w:tc>
              <w:tc>
                <w:tcPr>
                  <w:tcW w:w="8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25</w:t>
                  </w:r>
                </w:p>
              </w:tc>
            </w:tr>
          </w:tbl>
          <w:p>
            <w:pPr>
              <w:pStyle w:val="14"/>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51" w:type="dxa"/>
            <w:vAlign w:val="center"/>
          </w:tcPr>
          <w:p>
            <w:pPr>
              <w:pStyle w:val="26"/>
              <w:adjustRightInd w:val="0"/>
              <w:snapToGrid w:val="0"/>
              <w:spacing w:before="0" w:beforeAutospacing="0" w:after="0" w:afterAutospacing="0"/>
              <w:jc w:val="center"/>
              <w:rPr>
                <w:rFonts w:cs="宋体"/>
                <w:color w:val="000000" w:themeColor="text1"/>
                <w:szCs w:val="24"/>
                <w:highlight w:val="red"/>
                <w14:textFill>
                  <w14:solidFill>
                    <w14:schemeClr w14:val="tx1"/>
                  </w14:solidFill>
                </w14:textFill>
              </w:rPr>
            </w:pPr>
            <w:r>
              <w:rPr>
                <w:rFonts w:hint="eastAsia" w:cs="宋体"/>
                <w:color w:val="000000" w:themeColor="text1"/>
                <w:szCs w:val="24"/>
                <w:highlight w:val="none"/>
                <w14:textFill>
                  <w14:solidFill>
                    <w14:schemeClr w14:val="tx1"/>
                  </w14:solidFill>
                </w14:textFill>
              </w:rPr>
              <w:t>工艺流程和产排污环节</w:t>
            </w:r>
          </w:p>
        </w:tc>
        <w:tc>
          <w:tcPr>
            <w:tcW w:w="8609" w:type="dxa"/>
          </w:tcPr>
          <w:p>
            <w:pPr>
              <w:spacing w:line="360" w:lineRule="auto"/>
              <w:contextualSpacing/>
              <w:rPr>
                <w:b/>
                <w:bCs/>
                <w:color w:val="000000" w:themeColor="text1"/>
                <w:sz w:val="24"/>
                <w:szCs w:val="22"/>
                <w:highlight w:val="none"/>
                <w14:textFill>
                  <w14:solidFill>
                    <w14:schemeClr w14:val="tx1"/>
                  </w14:solidFill>
                </w14:textFill>
              </w:rPr>
            </w:pPr>
            <w:r>
              <w:rPr>
                <w:rFonts w:hint="eastAsia"/>
                <w:b/>
                <w:bCs/>
                <w:color w:val="000000" w:themeColor="text1"/>
                <w:sz w:val="24"/>
                <w:szCs w:val="22"/>
                <w:highlight w:val="none"/>
                <w:lang w:eastAsia="zh-CN"/>
                <w14:textFill>
                  <w14:solidFill>
                    <w14:schemeClr w14:val="tx1"/>
                  </w14:solidFill>
                </w14:textFill>
              </w:rPr>
              <w:t>运营</w:t>
            </w:r>
            <w:r>
              <w:rPr>
                <w:b/>
                <w:bCs/>
                <w:color w:val="000000" w:themeColor="text1"/>
                <w:sz w:val="24"/>
                <w:szCs w:val="22"/>
                <w:highlight w:val="none"/>
                <w14:textFill>
                  <w14:solidFill>
                    <w14:schemeClr w14:val="tx1"/>
                  </w14:solidFill>
                </w14:textFill>
              </w:rPr>
              <w:t>期工程分析</w:t>
            </w:r>
          </w:p>
          <w:p>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本项目工艺流程及产污节点如下图：</w:t>
            </w:r>
          </w:p>
          <w:p>
            <w:pPr>
              <w:spacing w:line="360" w:lineRule="auto"/>
              <w:contextualSpacing/>
              <w:jc w:val="center"/>
              <w:rPr>
                <w:b/>
                <w:bCs/>
                <w:color w:val="000000" w:themeColor="text1"/>
                <w:sz w:val="24"/>
                <w:highlight w:val="none"/>
                <w14:textFill>
                  <w14:solidFill>
                    <w14:schemeClr w14:val="tx1"/>
                  </w14:solidFill>
                </w14:textFill>
              </w:rPr>
            </w:pPr>
            <w:r>
              <w:rPr>
                <w:rFonts w:hint="default"/>
                <w:color w:val="000000" w:themeColor="text1"/>
                <w14:textFill>
                  <w14:solidFill>
                    <w14:schemeClr w14:val="tx1"/>
                  </w14:solidFill>
                </w14:textFill>
              </w:rPr>
              <w:object>
                <v:shape id="_x0000_i1027" o:spt="75" type="#_x0000_t75" style="height:146.8pt;width:409.1pt;" o:ole="t" filled="f" o:preferrelative="t" stroked="f" coordsize="21600,21600">
                  <v:path/>
                  <v:fill on="f" focussize="0,0"/>
                  <v:stroke on="f"/>
                  <v:imagedata r:id="rId13" o:title=""/>
                  <o:lock v:ext="edit" aspectratio="t"/>
                  <w10:wrap type="none"/>
                  <w10:anchorlock/>
                </v:shape>
                <o:OLEObject Type="Embed" ProgID="Visio.Drawing.11" ShapeID="_x0000_i1027" DrawAspect="Content" ObjectID="_1468075727" r:id="rId12">
                  <o:LockedField>false</o:LockedField>
                </o:OLEObject>
              </w:object>
            </w:r>
            <w:r>
              <w:rPr>
                <w:rFonts w:hAnsi="宋体"/>
                <w:b/>
                <w:bCs/>
                <w:color w:val="000000" w:themeColor="text1"/>
                <w:sz w:val="24"/>
                <w:highlight w:val="none"/>
                <w14:textFill>
                  <w14:solidFill>
                    <w14:schemeClr w14:val="tx1"/>
                  </w14:solidFill>
                </w14:textFill>
              </w:rPr>
              <w:t>图</w:t>
            </w:r>
            <w:r>
              <w:rPr>
                <w:b/>
                <w:bCs/>
                <w:color w:val="000000" w:themeColor="text1"/>
                <w:sz w:val="24"/>
                <w:highlight w:val="none"/>
                <w14:textFill>
                  <w14:solidFill>
                    <w14:schemeClr w14:val="tx1"/>
                  </w14:solidFill>
                </w14:textFill>
              </w:rPr>
              <w:t>2-</w:t>
            </w:r>
            <w:r>
              <w:rPr>
                <w:rFonts w:hint="eastAsia"/>
                <w:b/>
                <w:bCs/>
                <w:color w:val="000000" w:themeColor="text1"/>
                <w:sz w:val="24"/>
                <w:highlight w:val="none"/>
                <w:lang w:val="en-US" w:eastAsia="zh-CN"/>
                <w14:textFill>
                  <w14:solidFill>
                    <w14:schemeClr w14:val="tx1"/>
                  </w14:solidFill>
                </w14:textFill>
              </w:rPr>
              <w:t xml:space="preserve">3 </w:t>
            </w:r>
            <w:r>
              <w:rPr>
                <w:rFonts w:hint="eastAsia"/>
                <w:b/>
                <w:bCs/>
                <w:color w:val="000000" w:themeColor="text1"/>
                <w:sz w:val="24"/>
                <w:highlight w:val="none"/>
                <w14:textFill>
                  <w14:solidFill>
                    <w14:schemeClr w14:val="tx1"/>
                  </w14:solidFill>
                </w14:textFill>
              </w:rPr>
              <w:t>石材</w:t>
            </w:r>
            <w:r>
              <w:rPr>
                <w:b/>
                <w:bCs/>
                <w:color w:val="000000" w:themeColor="text1"/>
                <w:sz w:val="24"/>
                <w:highlight w:val="none"/>
                <w14:textFill>
                  <w14:solidFill>
                    <w14:schemeClr w14:val="tx1"/>
                  </w14:solidFill>
                </w14:textFill>
              </w:rPr>
              <w:t>加工工艺</w:t>
            </w:r>
            <w:r>
              <w:rPr>
                <w:rFonts w:hAnsi="宋体"/>
                <w:b/>
                <w:bCs/>
                <w:color w:val="000000" w:themeColor="text1"/>
                <w:sz w:val="24"/>
                <w:highlight w:val="none"/>
                <w14:textFill>
                  <w14:solidFill>
                    <w14:schemeClr w14:val="tx1"/>
                  </w14:solidFill>
                </w14:textFill>
              </w:rPr>
              <w:t>流程及产排污节点图</w:t>
            </w:r>
          </w:p>
          <w:p>
            <w:pPr>
              <w:spacing w:line="360" w:lineRule="auto"/>
              <w:ind w:firstLine="480" w:firstLineChars="200"/>
              <w:contextualSpacing/>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工艺流程简述：</w:t>
            </w:r>
          </w:p>
          <w:p>
            <w:pPr>
              <w:spacing w:line="360" w:lineRule="auto"/>
              <w:ind w:firstLine="480" w:firstLineChars="200"/>
              <w:contextualSpacing/>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块石用机械上料至进料口进入投料仓内，经过输送带输送至磨机，破碎后的石料经过输送带进入震动筛，经过筛分经输送带至出料口，剩余的石料经输送带输送至磨机，加工粉碎后的石料再次经过输送带进入整形机，整形出各种规格的产品，之后产品在次进入振动筛后，经过输送带传至各个出料口，产品直接落地，再用机械运送至料场。</w:t>
            </w:r>
          </w:p>
          <w:p>
            <w:pPr>
              <w:spacing w:line="360" w:lineRule="auto"/>
              <w:ind w:firstLine="480" w:firstLineChars="200"/>
              <w:contextualSpacing/>
              <w:rPr>
                <w:b w:val="0"/>
                <w:bCs w:val="0"/>
                <w:color w:val="000000" w:themeColor="text1"/>
                <w:sz w:val="24"/>
                <w:highlight w:val="none"/>
                <w14:textFill>
                  <w14:solidFill>
                    <w14:schemeClr w14:val="tx1"/>
                  </w14:solidFill>
                </w14:textFill>
              </w:rPr>
            </w:pPr>
            <w:r>
              <w:rPr>
                <w:rFonts w:hAnsi="宋体"/>
                <w:b w:val="0"/>
                <w:bCs w:val="0"/>
                <w:color w:val="000000" w:themeColor="text1"/>
                <w:sz w:val="24"/>
                <w:highlight w:val="none"/>
                <w14:textFill>
                  <w14:solidFill>
                    <w14:schemeClr w14:val="tx1"/>
                  </w14:solidFill>
                </w14:textFill>
              </w:rPr>
              <w:t>产排污环节分析：</w:t>
            </w:r>
          </w:p>
          <w:p>
            <w:pPr>
              <w:spacing w:line="360" w:lineRule="auto"/>
              <w:ind w:firstLine="480" w:firstLineChars="200"/>
              <w:contextualSpacing/>
              <w:rPr>
                <w:bCs/>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w:t>
            </w:r>
            <w:r>
              <w:rPr>
                <w:rFonts w:hint="eastAsia"/>
                <w:color w:val="000000" w:themeColor="text1"/>
                <w:sz w:val="24"/>
                <w:highlight w:val="none"/>
                <w14:textFill>
                  <w14:solidFill>
                    <w14:schemeClr w14:val="tx1"/>
                  </w14:solidFill>
                </w14:textFill>
              </w:rPr>
              <w:t>污染物</w:t>
            </w:r>
            <w:r>
              <w:rPr>
                <w:color w:val="000000" w:themeColor="text1"/>
                <w:sz w:val="24"/>
                <w:highlight w:val="none"/>
                <w14:textFill>
                  <w14:solidFill>
                    <w14:schemeClr w14:val="tx1"/>
                  </w14:solidFill>
                </w14:textFill>
              </w:rPr>
              <w:t>主要为</w:t>
            </w:r>
            <w:r>
              <w:rPr>
                <w:rFonts w:hint="eastAsia" w:hAnsi="宋体"/>
                <w:bCs/>
                <w:color w:val="000000" w:themeColor="text1"/>
                <w:sz w:val="24"/>
                <w:highlight w:val="none"/>
                <w:lang w:eastAsia="zh-CN"/>
                <w14:textFill>
                  <w14:solidFill>
                    <w14:schemeClr w14:val="tx1"/>
                  </w14:solidFill>
                </w14:textFill>
              </w:rPr>
              <w:t>石料破碎、筛分、</w:t>
            </w:r>
            <w:r>
              <w:rPr>
                <w:rFonts w:hint="eastAsia" w:hAnsi="宋体"/>
                <w:bCs/>
                <w:color w:val="000000" w:themeColor="text1"/>
                <w:sz w:val="24"/>
                <w:highlight w:val="none"/>
                <w:lang w:val="en-US" w:eastAsia="zh-CN"/>
                <w14:textFill>
                  <w14:solidFill>
                    <w14:schemeClr w14:val="tx1"/>
                  </w14:solidFill>
                </w14:textFill>
              </w:rPr>
              <w:t>整形、</w:t>
            </w:r>
            <w:r>
              <w:rPr>
                <w:rFonts w:hint="eastAsia" w:hAnsi="宋体"/>
                <w:bCs/>
                <w:color w:val="000000" w:themeColor="text1"/>
                <w:sz w:val="24"/>
                <w:highlight w:val="none"/>
                <w:lang w:eastAsia="zh-CN"/>
                <w14:textFill>
                  <w14:solidFill>
                    <w14:schemeClr w14:val="tx1"/>
                  </w14:solidFill>
                </w14:textFill>
              </w:rPr>
              <w:t>运输过程中产生的颗粒物</w:t>
            </w:r>
            <w:r>
              <w:rPr>
                <w:rFonts w:hint="eastAsia"/>
                <w:color w:val="000000" w:themeColor="text1"/>
                <w:sz w:val="24"/>
                <w:highlight w:val="none"/>
                <w14:textFill>
                  <w14:solidFill>
                    <w14:schemeClr w14:val="tx1"/>
                  </w14:solidFill>
                </w14:textFill>
              </w:rPr>
              <w:t>；设备噪声；</w:t>
            </w:r>
            <w:r>
              <w:rPr>
                <w:color w:val="000000" w:themeColor="text1"/>
                <w:sz w:val="24"/>
                <w:highlight w:val="none"/>
                <w14:textFill>
                  <w14:solidFill>
                    <w14:schemeClr w14:val="tx1"/>
                  </w14:solidFill>
                </w14:textFill>
              </w:rPr>
              <w:t>除尘器收集的粉尘</w:t>
            </w:r>
            <w:r>
              <w:rPr>
                <w:rFonts w:hint="eastAsia"/>
                <w:color w:val="000000" w:themeColor="text1"/>
                <w:sz w:val="24"/>
                <w:highlight w:val="none"/>
                <w14:textFill>
                  <w14:solidFill>
                    <w14:schemeClr w14:val="tx1"/>
                  </w14:solidFill>
                </w14:textFill>
              </w:rPr>
              <w:t>、废布袋</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筛分出来的不合格的产品</w:t>
            </w:r>
            <w:r>
              <w:rPr>
                <w:rFonts w:hint="eastAsia"/>
                <w:color w:val="000000" w:themeColor="text1"/>
                <w:sz w:val="24"/>
                <w:highlight w:val="none"/>
                <w:lang w:eastAsia="zh-CN"/>
                <w14:textFill>
                  <w14:solidFill>
                    <w14:schemeClr w14:val="tx1"/>
                  </w14:solidFill>
                </w14:textFill>
              </w:rPr>
              <w:t>，机械设备维修保养产生的废机油</w:t>
            </w:r>
            <w:r>
              <w:rPr>
                <w:rFonts w:hAnsi="宋体"/>
                <w:bCs/>
                <w:color w:val="000000" w:themeColor="text1"/>
                <w:sz w:val="24"/>
                <w:highlight w:val="none"/>
                <w14:textFill>
                  <w14:solidFill>
                    <w14:schemeClr w14:val="tx1"/>
                  </w14:solidFill>
                </w14:textFill>
              </w:rPr>
              <w:t>。</w:t>
            </w:r>
          </w:p>
          <w:p>
            <w:pPr>
              <w:spacing w:line="360" w:lineRule="auto"/>
              <w:ind w:firstLine="480" w:firstLineChars="200"/>
              <w:contextualSpacing/>
              <w:rPr>
                <w:rFonts w:hint="default" w:hAnsi="宋体" w:eastAsia="宋体"/>
                <w:bCs/>
                <w:color w:val="000000" w:themeColor="text1"/>
                <w:sz w:val="24"/>
                <w:highlight w:val="none"/>
                <w:lang w:val="en-US" w:eastAsia="zh-CN"/>
                <w14:textFill>
                  <w14:solidFill>
                    <w14:schemeClr w14:val="tx1"/>
                  </w14:solidFill>
                </w14:textFill>
              </w:rPr>
            </w:pPr>
            <w:r>
              <w:rPr>
                <w:bCs/>
                <w:color w:val="000000" w:themeColor="text1"/>
                <w:sz w:val="24"/>
                <w:highlight w:val="none"/>
                <w14:textFill>
                  <w14:solidFill>
                    <w14:schemeClr w14:val="tx1"/>
                  </w14:solidFill>
                </w14:textFill>
              </w:rPr>
              <w:t>1</w:t>
            </w:r>
            <w:r>
              <w:rPr>
                <w:rFonts w:hint="eastAsia" w:hAnsi="宋体"/>
                <w:bCs/>
                <w:color w:val="000000" w:themeColor="text1"/>
                <w:sz w:val="24"/>
                <w:highlight w:val="none"/>
                <w:lang w:eastAsia="zh-CN"/>
                <w14:textFill>
                  <w14:solidFill>
                    <w14:schemeClr w14:val="tx1"/>
                  </w14:solidFill>
                </w14:textFill>
              </w:rPr>
              <w:t>.</w:t>
            </w:r>
            <w:r>
              <w:rPr>
                <w:rFonts w:hAnsi="宋体"/>
                <w:bCs/>
                <w:color w:val="000000" w:themeColor="text1"/>
                <w:sz w:val="24"/>
                <w:highlight w:val="none"/>
                <w14:textFill>
                  <w14:solidFill>
                    <w14:schemeClr w14:val="tx1"/>
                  </w14:solidFill>
                </w14:textFill>
              </w:rPr>
              <w:t>废气：</w:t>
            </w:r>
            <w:r>
              <w:rPr>
                <w:rFonts w:hint="eastAsia" w:hAnsi="宋体"/>
                <w:bCs/>
                <w:color w:val="000000" w:themeColor="text1"/>
                <w:sz w:val="24"/>
                <w:highlight w:val="none"/>
                <w:lang w:eastAsia="zh-CN"/>
                <w14:textFill>
                  <w14:solidFill>
                    <w14:schemeClr w14:val="tx1"/>
                  </w14:solidFill>
                </w14:textFill>
              </w:rPr>
              <w:t>石料破碎、筛分、</w:t>
            </w:r>
            <w:r>
              <w:rPr>
                <w:rFonts w:hint="eastAsia" w:hAnsi="宋体"/>
                <w:bCs/>
                <w:color w:val="000000" w:themeColor="text1"/>
                <w:sz w:val="24"/>
                <w:highlight w:val="none"/>
                <w:lang w:val="en-US" w:eastAsia="zh-CN"/>
                <w14:textFill>
                  <w14:solidFill>
                    <w14:schemeClr w14:val="tx1"/>
                  </w14:solidFill>
                </w14:textFill>
              </w:rPr>
              <w:t>整形、</w:t>
            </w:r>
            <w:r>
              <w:rPr>
                <w:rFonts w:hint="eastAsia" w:hAnsi="宋体"/>
                <w:bCs/>
                <w:color w:val="000000" w:themeColor="text1"/>
                <w:sz w:val="24"/>
                <w:highlight w:val="none"/>
                <w:lang w:eastAsia="zh-CN"/>
                <w14:textFill>
                  <w14:solidFill>
                    <w14:schemeClr w14:val="tx1"/>
                  </w14:solidFill>
                </w14:textFill>
              </w:rPr>
              <w:t>运输过程中产生的颗粒物</w:t>
            </w:r>
            <w:r>
              <w:rPr>
                <w:rFonts w:hint="eastAsia" w:hAnsi="宋体"/>
                <w:bCs/>
                <w:color w:val="000000" w:themeColor="text1"/>
                <w:sz w:val="24"/>
                <w:highlight w:val="none"/>
                <w:lang w:val="en-US" w:eastAsia="zh-CN"/>
                <w14:textFill>
                  <w14:solidFill>
                    <w14:schemeClr w14:val="tx1"/>
                  </w14:solidFill>
                </w14:textFill>
              </w:rPr>
              <w:t>。</w:t>
            </w:r>
          </w:p>
          <w:p>
            <w:pPr>
              <w:spacing w:line="360" w:lineRule="auto"/>
              <w:ind w:firstLine="480" w:firstLineChars="200"/>
              <w:contextualSpacing/>
              <w:rPr>
                <w:rFonts w:hAnsi="宋体"/>
                <w:bCs/>
                <w:color w:val="000000" w:themeColor="text1"/>
                <w:sz w:val="24"/>
                <w:highlight w:val="none"/>
                <w14:textFill>
                  <w14:solidFill>
                    <w14:schemeClr w14:val="tx1"/>
                  </w14:solidFill>
                </w14:textFill>
              </w:rPr>
            </w:pPr>
            <w:r>
              <w:rPr>
                <w:rFonts w:hint="eastAsia" w:hAnsi="宋体"/>
                <w:bCs/>
                <w:color w:val="000000" w:themeColor="text1"/>
                <w:sz w:val="24"/>
                <w:highlight w:val="none"/>
                <w14:textFill>
                  <w14:solidFill>
                    <w14:schemeClr w14:val="tx1"/>
                  </w14:solidFill>
                </w14:textFill>
              </w:rPr>
              <w:t>2</w:t>
            </w:r>
            <w:r>
              <w:rPr>
                <w:rFonts w:hint="eastAsia" w:hAnsi="宋体"/>
                <w:bCs/>
                <w:color w:val="000000" w:themeColor="text1"/>
                <w:sz w:val="24"/>
                <w:highlight w:val="none"/>
                <w:lang w:eastAsia="zh-CN"/>
                <w14:textFill>
                  <w14:solidFill>
                    <w14:schemeClr w14:val="tx1"/>
                  </w14:solidFill>
                </w14:textFill>
              </w:rPr>
              <w:t>.</w:t>
            </w:r>
            <w:r>
              <w:rPr>
                <w:rFonts w:hint="eastAsia" w:hAnsi="宋体"/>
                <w:bCs/>
                <w:color w:val="000000" w:themeColor="text1"/>
                <w:sz w:val="24"/>
                <w:highlight w:val="none"/>
                <w14:textFill>
                  <w14:solidFill>
                    <w14:schemeClr w14:val="tx1"/>
                  </w14:solidFill>
                </w14:textFill>
              </w:rPr>
              <w:t>噪声：主要噪声</w:t>
            </w:r>
            <w:r>
              <w:rPr>
                <w:rFonts w:hint="eastAsia" w:hAnsi="宋体"/>
                <w:bCs/>
                <w:color w:val="000000" w:themeColor="text1"/>
                <w:sz w:val="24"/>
                <w:highlight w:val="none"/>
                <w:lang w:eastAsia="zh-CN"/>
                <w14:textFill>
                  <w14:solidFill>
                    <w14:schemeClr w14:val="tx1"/>
                  </w14:solidFill>
                </w14:textFill>
              </w:rPr>
              <w:t>来自</w:t>
            </w:r>
            <w:r>
              <w:rPr>
                <w:rFonts w:hint="eastAsia" w:hAnsi="宋体"/>
                <w:bCs/>
                <w:color w:val="000000" w:themeColor="text1"/>
                <w:sz w:val="24"/>
                <w:highlight w:val="none"/>
                <w14:textFill>
                  <w14:solidFill>
                    <w14:schemeClr w14:val="tx1"/>
                  </w14:solidFill>
                </w14:textFill>
              </w:rPr>
              <w:t>振动</w:t>
            </w:r>
            <w:r>
              <w:rPr>
                <w:rFonts w:hint="eastAsia" w:hAnsi="宋体"/>
                <w:bCs/>
                <w:color w:val="000000" w:themeColor="text1"/>
                <w:sz w:val="24"/>
                <w:highlight w:val="none"/>
                <w:lang w:val="en-US" w:eastAsia="zh-CN"/>
                <w14:textFill>
                  <w14:solidFill>
                    <w14:schemeClr w14:val="tx1"/>
                  </w14:solidFill>
                </w14:textFill>
              </w:rPr>
              <w:t>磨机、振动筛、整形机</w:t>
            </w:r>
            <w:r>
              <w:rPr>
                <w:color w:val="000000" w:themeColor="text1"/>
                <w:sz w:val="24"/>
                <w:highlight w:val="none"/>
                <w14:textFill>
                  <w14:solidFill>
                    <w14:schemeClr w14:val="tx1"/>
                  </w14:solidFill>
                </w14:textFill>
              </w:rPr>
              <w:t>等设备</w:t>
            </w:r>
            <w:r>
              <w:rPr>
                <w:rFonts w:hint="eastAsia" w:hAnsi="宋体"/>
                <w:bCs/>
                <w:color w:val="000000" w:themeColor="text1"/>
                <w:sz w:val="24"/>
                <w:highlight w:val="none"/>
                <w14:textFill>
                  <w14:solidFill>
                    <w14:schemeClr w14:val="tx1"/>
                  </w14:solidFill>
                </w14:textFill>
              </w:rPr>
              <w:t>。</w:t>
            </w:r>
          </w:p>
          <w:p>
            <w:pPr>
              <w:spacing w:line="360" w:lineRule="auto"/>
              <w:ind w:firstLine="480" w:firstLineChars="200"/>
              <w:contextualSpacing/>
              <w:rPr>
                <w:rFonts w:hAnsi="宋体"/>
                <w:bCs/>
                <w:color w:val="000000" w:themeColor="text1"/>
                <w:sz w:val="24"/>
                <w:highlight w:val="none"/>
                <w14:textFill>
                  <w14:solidFill>
                    <w14:schemeClr w14:val="tx1"/>
                  </w14:solidFill>
                </w14:textFill>
              </w:rPr>
            </w:pPr>
            <w:r>
              <w:rPr>
                <w:rFonts w:hint="eastAsia" w:hAnsi="宋体"/>
                <w:bCs/>
                <w:color w:val="000000" w:themeColor="text1"/>
                <w:sz w:val="24"/>
                <w:highlight w:val="none"/>
                <w14:textFill>
                  <w14:solidFill>
                    <w14:schemeClr w14:val="tx1"/>
                  </w14:solidFill>
                </w14:textFill>
              </w:rPr>
              <w:t>3</w:t>
            </w:r>
            <w:r>
              <w:rPr>
                <w:rFonts w:hint="eastAsia" w:hAnsi="宋体"/>
                <w:bCs/>
                <w:color w:val="000000" w:themeColor="text1"/>
                <w:sz w:val="24"/>
                <w:highlight w:val="none"/>
                <w:lang w:eastAsia="zh-CN"/>
                <w14:textFill>
                  <w14:solidFill>
                    <w14:schemeClr w14:val="tx1"/>
                  </w14:solidFill>
                </w14:textFill>
              </w:rPr>
              <w:t>.</w:t>
            </w:r>
            <w:r>
              <w:rPr>
                <w:rFonts w:hint="eastAsia" w:hAnsi="宋体"/>
                <w:bCs/>
                <w:color w:val="000000" w:themeColor="text1"/>
                <w:sz w:val="24"/>
                <w:highlight w:val="none"/>
                <w14:textFill>
                  <w14:solidFill>
                    <w14:schemeClr w14:val="tx1"/>
                  </w14:solidFill>
                </w14:textFill>
              </w:rPr>
              <w:t>废水：</w:t>
            </w:r>
            <w:r>
              <w:rPr>
                <w:rFonts w:hint="eastAsia" w:hAnsi="宋体"/>
                <w:bCs/>
                <w:color w:val="000000" w:themeColor="text1"/>
                <w:sz w:val="24"/>
                <w:highlight w:val="none"/>
                <w:lang w:eastAsia="zh-CN"/>
                <w14:textFill>
                  <w14:solidFill>
                    <w14:schemeClr w14:val="tx1"/>
                  </w14:solidFill>
                </w14:textFill>
              </w:rPr>
              <w:t>生产过程中不产生废水</w:t>
            </w:r>
            <w:r>
              <w:rPr>
                <w:rFonts w:hint="eastAsia" w:hAnsi="宋体"/>
                <w:bCs/>
                <w:color w:val="000000" w:themeColor="text1"/>
                <w:sz w:val="24"/>
                <w:highlight w:val="none"/>
                <w14:textFill>
                  <w14:solidFill>
                    <w14:schemeClr w14:val="tx1"/>
                  </w14:solidFill>
                </w14:textFill>
              </w:rPr>
              <w:t>。</w:t>
            </w:r>
          </w:p>
          <w:p>
            <w:pPr>
              <w:spacing w:line="360" w:lineRule="auto"/>
              <w:ind w:firstLine="480" w:firstLineChars="200"/>
              <w:contextualSpacing/>
              <w:rPr>
                <w:rFonts w:hint="default" w:hAnsi="宋体"/>
                <w:bCs/>
                <w:color w:val="000000" w:themeColor="text1"/>
                <w:sz w:val="24"/>
                <w:highlight w:val="none"/>
                <w:lang w:val="en-US"/>
                <w14:textFill>
                  <w14:solidFill>
                    <w14:schemeClr w14:val="tx1"/>
                  </w14:solidFill>
                </w14:textFill>
              </w:rPr>
            </w:pPr>
            <w:r>
              <w:rPr>
                <w:rFonts w:hAnsi="宋体"/>
                <w:bCs/>
                <w:color w:val="000000" w:themeColor="text1"/>
                <w:sz w:val="24"/>
                <w:highlight w:val="none"/>
                <w14:textFill>
                  <w14:solidFill>
                    <w14:schemeClr w14:val="tx1"/>
                  </w14:solidFill>
                </w14:textFill>
              </w:rPr>
              <w:t>4</w:t>
            </w:r>
            <w:r>
              <w:rPr>
                <w:rFonts w:hint="eastAsia" w:hAnsi="宋体"/>
                <w:bCs/>
                <w:color w:val="000000" w:themeColor="text1"/>
                <w:sz w:val="24"/>
                <w:highlight w:val="none"/>
                <w:lang w:eastAsia="zh-CN"/>
                <w14:textFill>
                  <w14:solidFill>
                    <w14:schemeClr w14:val="tx1"/>
                  </w14:solidFill>
                </w14:textFill>
              </w:rPr>
              <w:t>.固体废物</w:t>
            </w:r>
            <w:r>
              <w:rPr>
                <w:rFonts w:hint="eastAsia" w:hAnsi="宋体"/>
                <w:bCs/>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生产线布袋</w:t>
            </w:r>
            <w:r>
              <w:rPr>
                <w:color w:val="000000" w:themeColor="text1"/>
                <w:sz w:val="24"/>
                <w:highlight w:val="none"/>
                <w14:textFill>
                  <w14:solidFill>
                    <w14:schemeClr w14:val="tx1"/>
                  </w14:solidFill>
                </w14:textFill>
              </w:rPr>
              <w:t>除尘器收集的粉尘</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废布袋</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筛分出来的不合格的产品。</w:t>
            </w:r>
          </w:p>
          <w:p>
            <w:pPr>
              <w:spacing w:line="360" w:lineRule="auto"/>
              <w:ind w:firstLine="480" w:firstLineChars="200"/>
              <w:contextualSpacing/>
              <w:rPr>
                <w:rFonts w:hAnsi="宋体"/>
                <w:bCs/>
                <w:color w:val="000000" w:themeColor="text1"/>
                <w:sz w:val="24"/>
                <w:highlight w:val="red"/>
                <w14:textFill>
                  <w14:solidFill>
                    <w14:schemeClr w14:val="tx1"/>
                  </w14:solidFill>
                </w14:textFill>
              </w:rPr>
            </w:pPr>
            <w:r>
              <w:rPr>
                <w:rFonts w:hint="eastAsia" w:hAnsi="宋体"/>
                <w:bCs/>
                <w:color w:val="000000" w:themeColor="text1"/>
                <w:sz w:val="24"/>
                <w:highlight w:val="none"/>
                <w:lang w:val="en-US" w:eastAsia="zh-CN"/>
                <w14:textFill>
                  <w14:solidFill>
                    <w14:schemeClr w14:val="tx1"/>
                  </w14:solidFill>
                </w14:textFill>
              </w:rPr>
              <w:t>5.危险废物：机械设备维修保养产生的废机油。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5" w:hRule="atLeast"/>
          <w:jc w:val="center"/>
        </w:trPr>
        <w:tc>
          <w:tcPr>
            <w:tcW w:w="451" w:type="dxa"/>
            <w:vAlign w:val="center"/>
          </w:tcPr>
          <w:p>
            <w:pPr>
              <w:pStyle w:val="26"/>
              <w:adjustRightInd w:val="0"/>
              <w:snapToGrid w:val="0"/>
              <w:spacing w:before="0" w:beforeAutospacing="0" w:after="0" w:afterAutospacing="0"/>
              <w:jc w:val="both"/>
              <w:rPr>
                <w:rFonts w:cs="宋体"/>
                <w:color w:val="000000" w:themeColor="text1"/>
                <w:szCs w:val="24"/>
                <w:highlight w:val="none"/>
                <w14:textFill>
                  <w14:solidFill>
                    <w14:schemeClr w14:val="tx1"/>
                  </w14:solidFill>
                </w14:textFill>
              </w:rPr>
            </w:pPr>
            <w:r>
              <w:rPr>
                <w:rFonts w:hint="eastAsia" w:cs="宋体"/>
                <w:bCs/>
                <w:color w:val="000000" w:themeColor="text1"/>
                <w:kern w:val="2"/>
                <w:szCs w:val="24"/>
                <w:highlight w:val="none"/>
                <w14:textFill>
                  <w14:solidFill>
                    <w14:schemeClr w14:val="tx1"/>
                  </w14:solidFill>
                </w14:textFill>
              </w:rPr>
              <w:t>与项目有关的原有环境污染问题</w:t>
            </w:r>
          </w:p>
        </w:tc>
        <w:tc>
          <w:tcPr>
            <w:tcW w:w="8609"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r>
              <w:rPr>
                <w:rFonts w:hint="default" w:ascii="Times New Roman" w:hAnsi="宋体" w:eastAsia="宋体" w:cs="Times New Roman"/>
                <w:bCs/>
                <w:color w:val="000000" w:themeColor="text1"/>
                <w:sz w:val="24"/>
                <w:highlight w:val="none"/>
                <w:lang w:val="en-US" w:eastAsia="zh-CN"/>
                <w14:textFill>
                  <w14:solidFill>
                    <w14:schemeClr w14:val="tx1"/>
                  </w14:solidFill>
                </w14:textFill>
              </w:rPr>
              <w:t>本项目为新建项目，</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租赁</w:t>
            </w:r>
            <w:r>
              <w:rPr>
                <w:rFonts w:hint="eastAsia" w:cs="Times New Roman"/>
                <w:color w:val="000000" w:themeColor="text1"/>
                <w:sz w:val="24"/>
                <w:szCs w:val="24"/>
                <w:vertAlign w:val="baseline"/>
                <w:lang w:val="en-US" w:eastAsia="zh-CN"/>
                <w14:textFill>
                  <w14:solidFill>
                    <w14:schemeClr w14:val="tx1"/>
                  </w14:solidFill>
                </w14:textFill>
              </w:rPr>
              <w:t>庆安县同乐制砖厂</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闲置厂房，所以</w:t>
            </w:r>
            <w:r>
              <w:rPr>
                <w:rFonts w:hint="default" w:ascii="Times New Roman" w:hAnsi="宋体" w:eastAsia="宋体" w:cs="Times New Roman"/>
                <w:bCs/>
                <w:color w:val="000000" w:themeColor="text1"/>
                <w:sz w:val="24"/>
                <w:highlight w:val="none"/>
                <w:lang w:val="en-US" w:eastAsia="zh-CN"/>
                <w14:textFill>
                  <w14:solidFill>
                    <w14:schemeClr w14:val="tx1"/>
                  </w14:solidFill>
                </w14:textFill>
              </w:rPr>
              <w:t>无原有环境污染情况。</w:t>
            </w:r>
          </w:p>
          <w:p>
            <w:pPr>
              <w:pStyle w:val="3"/>
              <w:outlineLvl w:val="9"/>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3"/>
              <w:outlineLvl w:val="9"/>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3"/>
              <w:outlineLvl w:val="9"/>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3"/>
              <w:outlineLvl w:val="9"/>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40"/>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40"/>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40"/>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40"/>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40"/>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40"/>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40"/>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40"/>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40"/>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40"/>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40"/>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40"/>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40"/>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40"/>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40"/>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40"/>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2"/>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2"/>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pStyle w:val="2"/>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p>
          <w:p>
            <w:pPr>
              <w:spacing w:line="360" w:lineRule="auto"/>
              <w:contextualSpacing/>
              <w:jc w:val="both"/>
              <w:rPr>
                <w:bCs/>
                <w:color w:val="000000" w:themeColor="text1"/>
                <w:sz w:val="24"/>
                <w:highlight w:val="none"/>
                <w14:textFill>
                  <w14:solidFill>
                    <w14:schemeClr w14:val="tx1"/>
                  </w14:solidFill>
                </w14:textFill>
              </w:rPr>
            </w:pPr>
          </w:p>
        </w:tc>
      </w:tr>
    </w:tbl>
    <w:p>
      <w:pPr>
        <w:pStyle w:val="26"/>
        <w:jc w:val="center"/>
        <w:rPr>
          <w:rFonts w:ascii="黑体" w:hAnsi="黑体" w:eastAsia="黑体"/>
          <w:snapToGrid w:val="0"/>
          <w:color w:val="000000" w:themeColor="text1"/>
          <w:sz w:val="36"/>
          <w:szCs w:val="36"/>
          <w:highlight w:val="red"/>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6"/>
        <w:jc w:val="center"/>
        <w:outlineLvl w:val="0"/>
        <w:rPr>
          <w:rFonts w:ascii="黑体" w:hAnsi="黑体" w:eastAsia="黑体"/>
          <w:snapToGrid w:val="0"/>
          <w:color w:val="000000" w:themeColor="text1"/>
          <w:sz w:val="30"/>
          <w:szCs w:val="30"/>
          <w:highlight w:val="none"/>
          <w14:textFill>
            <w14:solidFill>
              <w14:schemeClr w14:val="tx1"/>
            </w14:solidFill>
          </w14:textFill>
        </w:rPr>
      </w:pPr>
      <w:bookmarkStart w:id="30" w:name="_Toc68775754"/>
      <w:bookmarkStart w:id="31" w:name="_Toc16010"/>
      <w:bookmarkStart w:id="32" w:name="_Toc7639"/>
      <w:bookmarkStart w:id="33" w:name="_Toc68775755"/>
      <w:r>
        <w:rPr>
          <w:rFonts w:hint="eastAsia" w:ascii="黑体" w:hAnsi="黑体" w:eastAsia="黑体" w:cs="Times New Roman"/>
          <w:snapToGrid w:val="0"/>
          <w:color w:val="000000" w:themeColor="text1"/>
          <w:sz w:val="30"/>
          <w:szCs w:val="30"/>
          <w:highlight w:val="none"/>
          <w14:textFill>
            <w14:solidFill>
              <w14:schemeClr w14:val="tx1"/>
            </w14:solidFill>
          </w14:textFill>
        </w:rPr>
        <w:t>三、区域环境质量现状、环境保护目标及评价标准</w:t>
      </w:r>
      <w:bookmarkEnd w:id="30"/>
      <w:bookmarkEnd w:id="31"/>
      <w:bookmarkEnd w:id="32"/>
    </w:p>
    <w:tbl>
      <w:tblPr>
        <w:tblStyle w:val="30"/>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2"/>
        <w:gridCol w:w="82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92" w:type="dxa"/>
            <w:vAlign w:val="center"/>
          </w:tcPr>
          <w:p>
            <w:pPr>
              <w:adjustRightInd w:val="0"/>
              <w:snapToGrid w:val="0"/>
              <w:jc w:val="center"/>
              <w:rPr>
                <w:rFonts w:ascii="宋体" w:hAnsi="宋体" w:cs="宋体"/>
                <w:color w:val="000000" w:themeColor="text1"/>
                <w:kern w:val="0"/>
                <w:sz w:val="24"/>
                <w:highlight w:val="red"/>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区域环境质量现状</w:t>
            </w:r>
          </w:p>
        </w:tc>
        <w:tc>
          <w:tcPr>
            <w:tcW w:w="8269" w:type="dxa"/>
            <w:vAlign w:val="center"/>
          </w:tcPr>
          <w:p>
            <w:pPr>
              <w:pStyle w:val="67"/>
              <w:numPr>
                <w:ilvl w:val="0"/>
                <w:numId w:val="5"/>
              </w:numPr>
              <w:spacing w:beforeLines="0" w:afterLines="0" w:line="360" w:lineRule="auto"/>
              <w:ind w:left="0" w:leftChars="0" w:firstLine="0" w:firstLineChars="0"/>
              <w:contextualSpacing/>
              <w:rPr>
                <w:rFonts w:hint="eastAsia"/>
                <w:b/>
                <w:color w:val="000000" w:themeColor="text1"/>
                <w:highlight w:val="none"/>
                <w:lang w:eastAsia="zh-CN"/>
                <w14:textFill>
                  <w14:solidFill>
                    <w14:schemeClr w14:val="tx1"/>
                  </w14:solidFill>
                </w14:textFill>
              </w:rPr>
            </w:pPr>
            <w:r>
              <w:rPr>
                <w:b/>
                <w:bCs/>
                <w:color w:val="000000" w:themeColor="text1"/>
                <w:sz w:val="24"/>
                <w:szCs w:val="24"/>
                <w:highlight w:val="none"/>
                <w14:textFill>
                  <w14:solidFill>
                    <w14:schemeClr w14:val="tx1"/>
                  </w14:solidFill>
                </w14:textFill>
              </w:rPr>
              <w:t>环境质量现状评价</w:t>
            </w:r>
          </w:p>
          <w:p>
            <w:pPr>
              <w:pStyle w:val="67"/>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Chars="0" w:firstLine="482" w:firstLineChars="200"/>
              <w:contextualSpacing/>
              <w:textAlignment w:val="auto"/>
              <w:rPr>
                <w:rFonts w:hint="eastAsia"/>
                <w:b/>
                <w:color w:val="000000" w:themeColor="text1"/>
                <w:highlight w:val="none"/>
                <w:lang w:eastAsia="zh-CN"/>
                <w14:textFill>
                  <w14:solidFill>
                    <w14:schemeClr w14:val="tx1"/>
                  </w14:solidFill>
                </w14:textFill>
              </w:rPr>
            </w:pPr>
            <w:r>
              <w:rPr>
                <w:rFonts w:hint="eastAsia"/>
                <w:b/>
                <w:color w:val="000000" w:themeColor="text1"/>
                <w:highlight w:val="none"/>
                <w:lang w:eastAsia="zh-CN"/>
                <w14:textFill>
                  <w14:solidFill>
                    <w14:schemeClr w14:val="tx1"/>
                  </w14:solidFill>
                </w14:textFill>
              </w:rPr>
              <w:t>（一）空气环境质量现状评价</w:t>
            </w:r>
          </w:p>
          <w:p>
            <w:pPr>
              <w:pStyle w:val="67"/>
              <w:keepNext w:val="0"/>
              <w:keepLines w:val="0"/>
              <w:pageBreakBefore w:val="0"/>
              <w:widowControl w:val="0"/>
              <w:numPr>
                <w:ilvl w:val="0"/>
                <w:numId w:val="6"/>
              </w:numPr>
              <w:kinsoku/>
              <w:wordWrap/>
              <w:overflowPunct/>
              <w:topLinePunct w:val="0"/>
              <w:autoSpaceDE/>
              <w:autoSpaceDN/>
              <w:bidi w:val="0"/>
              <w:adjustRightInd/>
              <w:snapToGrid/>
              <w:spacing w:beforeLines="0" w:afterLines="0" w:line="360" w:lineRule="auto"/>
              <w:ind w:leftChars="0" w:firstLine="482" w:firstLineChars="200"/>
              <w:contextualSpacing/>
              <w:textAlignment w:val="auto"/>
              <w:rPr>
                <w:rFonts w:hint="eastAsia"/>
                <w:b/>
                <w:color w:val="000000" w:themeColor="text1"/>
                <w:highlight w:val="none"/>
                <w:lang w:val="en-US" w:eastAsia="zh-CN"/>
                <w14:textFill>
                  <w14:solidFill>
                    <w14:schemeClr w14:val="tx1"/>
                  </w14:solidFill>
                </w14:textFill>
              </w:rPr>
            </w:pPr>
            <w:r>
              <w:rPr>
                <w:rFonts w:hint="eastAsia"/>
                <w:b/>
                <w:color w:val="000000" w:themeColor="text1"/>
                <w:highlight w:val="none"/>
                <w:lang w:val="en-US" w:eastAsia="zh-CN"/>
                <w14:textFill>
                  <w14:solidFill>
                    <w14:schemeClr w14:val="tx1"/>
                  </w14:solidFill>
                </w14:textFill>
              </w:rPr>
              <w:t>基本污染物环境质量现状</w:t>
            </w:r>
          </w:p>
          <w:p>
            <w:pPr>
              <w:spacing w:line="360" w:lineRule="auto"/>
              <w:ind w:firstLine="482"/>
              <w:rPr>
                <w:rFonts w:hint="default" w:ascii="Times New Roman" w:hAnsi="Times New Roman" w:eastAsia="宋体" w:cs="Times New Roman"/>
                <w:snapToGrid w:val="0"/>
                <w:color w:val="auto"/>
                <w:kern w:val="0"/>
                <w:sz w:val="24"/>
                <w:szCs w:val="24"/>
                <w:lang w:val="en-GB"/>
              </w:rPr>
            </w:pPr>
            <w:r>
              <w:rPr>
                <w:rFonts w:hint="default" w:ascii="Times New Roman" w:hAnsi="Times New Roman" w:eastAsia="宋体" w:cs="Times New Roman"/>
                <w:snapToGrid w:val="0"/>
                <w:color w:val="auto"/>
                <w:kern w:val="0"/>
                <w:sz w:val="24"/>
                <w:szCs w:val="24"/>
                <w:lang w:val="en-GB"/>
              </w:rPr>
              <w:t>根据《</w:t>
            </w:r>
            <w:r>
              <w:rPr>
                <w:rFonts w:hint="eastAsia" w:ascii="Times New Roman" w:hAnsi="Times New Roman" w:eastAsia="宋体" w:cs="Times New Roman"/>
                <w:snapToGrid w:val="0"/>
                <w:color w:val="auto"/>
                <w:kern w:val="0"/>
                <w:sz w:val="24"/>
                <w:szCs w:val="24"/>
                <w:lang w:val="en-GB" w:eastAsia="zh-CN"/>
              </w:rPr>
              <w:t>202</w:t>
            </w:r>
            <w:r>
              <w:rPr>
                <w:rFonts w:hint="eastAsia" w:ascii="Times New Roman" w:hAnsi="Times New Roman" w:eastAsia="宋体" w:cs="Times New Roman"/>
                <w:snapToGrid w:val="0"/>
                <w:color w:val="auto"/>
                <w:kern w:val="0"/>
                <w:sz w:val="24"/>
                <w:szCs w:val="24"/>
                <w:lang w:val="en-US" w:eastAsia="zh-CN"/>
              </w:rPr>
              <w:t>1</w:t>
            </w:r>
            <w:r>
              <w:rPr>
                <w:rFonts w:hint="eastAsia" w:ascii="Times New Roman" w:hAnsi="Times New Roman" w:eastAsia="宋体" w:cs="Times New Roman"/>
                <w:snapToGrid w:val="0"/>
                <w:color w:val="auto"/>
                <w:kern w:val="0"/>
                <w:sz w:val="24"/>
                <w:szCs w:val="24"/>
                <w:lang w:val="en-GB" w:eastAsia="zh-CN"/>
              </w:rPr>
              <w:t>年绥化市环境质量年报</w:t>
            </w:r>
            <w:r>
              <w:rPr>
                <w:rFonts w:hint="default" w:ascii="Times New Roman" w:hAnsi="Times New Roman" w:eastAsia="宋体" w:cs="Times New Roman"/>
                <w:snapToGrid w:val="0"/>
                <w:color w:val="auto"/>
                <w:kern w:val="0"/>
                <w:sz w:val="24"/>
                <w:szCs w:val="24"/>
                <w:lang w:val="en-GB"/>
              </w:rPr>
              <w:t>》，</w:t>
            </w:r>
            <w:bookmarkStart w:id="34" w:name="_Hlk35598730"/>
            <w:r>
              <w:rPr>
                <w:rFonts w:hint="default" w:ascii="Times New Roman" w:hAnsi="Times New Roman" w:eastAsia="宋体" w:cs="Times New Roman"/>
                <w:snapToGrid w:val="0"/>
                <w:color w:val="auto"/>
                <w:kern w:val="0"/>
                <w:sz w:val="24"/>
                <w:szCs w:val="24"/>
                <w:lang w:val="en-GB"/>
              </w:rPr>
              <w:t>202</w:t>
            </w:r>
            <w:r>
              <w:rPr>
                <w:rFonts w:hint="eastAsia" w:ascii="Times New Roman" w:hAnsi="Times New Roman" w:eastAsia="宋体" w:cs="Times New Roman"/>
                <w:snapToGrid w:val="0"/>
                <w:color w:val="auto"/>
                <w:kern w:val="0"/>
                <w:sz w:val="24"/>
                <w:szCs w:val="24"/>
                <w:lang w:val="en-US" w:eastAsia="zh-CN"/>
              </w:rPr>
              <w:t>1</w:t>
            </w:r>
            <w:r>
              <w:rPr>
                <w:rFonts w:hint="default" w:ascii="Times New Roman" w:hAnsi="Times New Roman" w:eastAsia="宋体" w:cs="Times New Roman"/>
                <w:snapToGrid w:val="0"/>
                <w:color w:val="auto"/>
                <w:kern w:val="0"/>
                <w:sz w:val="24"/>
                <w:szCs w:val="24"/>
                <w:lang w:val="en-GB"/>
              </w:rPr>
              <w:t>年绥化市细颗粒物（PM</w:t>
            </w:r>
            <w:r>
              <w:rPr>
                <w:rFonts w:hint="default" w:ascii="Times New Roman" w:hAnsi="Times New Roman" w:eastAsia="宋体" w:cs="Times New Roman"/>
                <w:snapToGrid w:val="0"/>
                <w:color w:val="auto"/>
                <w:kern w:val="0"/>
                <w:sz w:val="24"/>
                <w:szCs w:val="24"/>
                <w:vertAlign w:val="subscript"/>
                <w:lang w:val="en-GB"/>
              </w:rPr>
              <w:t>2.5</w:t>
            </w:r>
            <w:r>
              <w:rPr>
                <w:rFonts w:hint="default" w:ascii="Times New Roman" w:hAnsi="Times New Roman" w:eastAsia="宋体" w:cs="Times New Roman"/>
                <w:snapToGrid w:val="0"/>
                <w:color w:val="auto"/>
                <w:kern w:val="0"/>
                <w:sz w:val="24"/>
                <w:szCs w:val="24"/>
                <w:lang w:val="en-GB"/>
              </w:rPr>
              <w:t>）年均值为41μg/m</w:t>
            </w:r>
            <w:r>
              <w:rPr>
                <w:rFonts w:hint="default" w:ascii="Times New Roman" w:hAnsi="Times New Roman" w:eastAsia="宋体" w:cs="Times New Roman"/>
                <w:snapToGrid w:val="0"/>
                <w:color w:val="auto"/>
                <w:kern w:val="0"/>
                <w:sz w:val="24"/>
                <w:szCs w:val="24"/>
                <w:vertAlign w:val="superscript"/>
                <w:lang w:val="en-GB"/>
              </w:rPr>
              <w:t>3</w:t>
            </w:r>
            <w:r>
              <w:rPr>
                <w:rFonts w:hint="default" w:ascii="Times New Roman" w:hAnsi="Times New Roman" w:eastAsia="宋体" w:cs="Times New Roman"/>
                <w:snapToGrid w:val="0"/>
                <w:color w:val="auto"/>
                <w:kern w:val="0"/>
                <w:sz w:val="24"/>
                <w:szCs w:val="24"/>
                <w:lang w:val="en-GB"/>
              </w:rPr>
              <w:t>，可吸入颗粒物（PM</w:t>
            </w:r>
            <w:r>
              <w:rPr>
                <w:rFonts w:hint="default" w:ascii="Times New Roman" w:hAnsi="Times New Roman" w:eastAsia="宋体" w:cs="Times New Roman"/>
                <w:snapToGrid w:val="0"/>
                <w:color w:val="auto"/>
                <w:kern w:val="0"/>
                <w:sz w:val="24"/>
                <w:szCs w:val="24"/>
                <w:vertAlign w:val="subscript"/>
                <w:lang w:val="en-GB"/>
              </w:rPr>
              <w:t>10</w:t>
            </w:r>
            <w:r>
              <w:rPr>
                <w:rFonts w:hint="default" w:ascii="Times New Roman" w:hAnsi="Times New Roman" w:eastAsia="宋体" w:cs="Times New Roman"/>
                <w:snapToGrid w:val="0"/>
                <w:color w:val="auto"/>
                <w:kern w:val="0"/>
                <w:sz w:val="24"/>
                <w:szCs w:val="24"/>
                <w:lang w:val="en-GB"/>
              </w:rPr>
              <w:t>）年均值为57μg/m</w:t>
            </w:r>
            <w:r>
              <w:rPr>
                <w:rFonts w:hint="default" w:ascii="Times New Roman" w:hAnsi="Times New Roman" w:eastAsia="宋体" w:cs="Times New Roman"/>
                <w:snapToGrid w:val="0"/>
                <w:color w:val="auto"/>
                <w:kern w:val="0"/>
                <w:sz w:val="24"/>
                <w:szCs w:val="24"/>
                <w:vertAlign w:val="superscript"/>
                <w:lang w:val="en-GB"/>
              </w:rPr>
              <w:t>3</w:t>
            </w:r>
            <w:r>
              <w:rPr>
                <w:rFonts w:hint="default" w:ascii="Times New Roman" w:hAnsi="Times New Roman" w:eastAsia="宋体" w:cs="Times New Roman"/>
                <w:snapToGrid w:val="0"/>
                <w:color w:val="auto"/>
                <w:kern w:val="0"/>
                <w:sz w:val="24"/>
                <w:szCs w:val="24"/>
                <w:lang w:val="en-GB"/>
              </w:rPr>
              <w:t>，二氧化硫年均值为10μg/m</w:t>
            </w:r>
            <w:r>
              <w:rPr>
                <w:rFonts w:hint="default" w:ascii="Times New Roman" w:hAnsi="Times New Roman" w:eastAsia="宋体" w:cs="Times New Roman"/>
                <w:snapToGrid w:val="0"/>
                <w:color w:val="auto"/>
                <w:kern w:val="0"/>
                <w:sz w:val="24"/>
                <w:szCs w:val="24"/>
                <w:vertAlign w:val="superscript"/>
                <w:lang w:val="en-GB"/>
              </w:rPr>
              <w:t>3</w:t>
            </w:r>
            <w:r>
              <w:rPr>
                <w:rFonts w:hint="default" w:ascii="Times New Roman" w:hAnsi="Times New Roman" w:eastAsia="宋体" w:cs="Times New Roman"/>
                <w:snapToGrid w:val="0"/>
                <w:color w:val="auto"/>
                <w:kern w:val="0"/>
                <w:sz w:val="24"/>
                <w:szCs w:val="24"/>
                <w:lang w:val="en-GB"/>
              </w:rPr>
              <w:t>，二氧化氮年均值为19μg/m</w:t>
            </w:r>
            <w:r>
              <w:rPr>
                <w:rFonts w:hint="default" w:ascii="Times New Roman" w:hAnsi="Times New Roman" w:eastAsia="宋体" w:cs="Times New Roman"/>
                <w:snapToGrid w:val="0"/>
                <w:color w:val="auto"/>
                <w:kern w:val="0"/>
                <w:sz w:val="24"/>
                <w:szCs w:val="24"/>
                <w:vertAlign w:val="superscript"/>
                <w:lang w:val="en-GB"/>
              </w:rPr>
              <w:t>3</w:t>
            </w:r>
            <w:r>
              <w:rPr>
                <w:rFonts w:hint="default" w:ascii="Times New Roman" w:hAnsi="Times New Roman" w:eastAsia="宋体" w:cs="Times New Roman"/>
                <w:snapToGrid w:val="0"/>
                <w:color w:val="auto"/>
                <w:kern w:val="0"/>
                <w:sz w:val="24"/>
                <w:szCs w:val="24"/>
                <w:lang w:val="en-GB"/>
              </w:rPr>
              <w:t>，CO24小时平均第95百分位数为1.2mg/m</w:t>
            </w:r>
            <w:r>
              <w:rPr>
                <w:rFonts w:hint="default" w:ascii="Times New Roman" w:hAnsi="Times New Roman" w:eastAsia="宋体" w:cs="Times New Roman"/>
                <w:snapToGrid w:val="0"/>
                <w:color w:val="auto"/>
                <w:kern w:val="0"/>
                <w:sz w:val="24"/>
                <w:szCs w:val="24"/>
                <w:vertAlign w:val="superscript"/>
                <w:lang w:val="en-GB"/>
              </w:rPr>
              <w:t>3</w:t>
            </w:r>
            <w:r>
              <w:rPr>
                <w:rFonts w:hint="default" w:ascii="Times New Roman" w:hAnsi="Times New Roman" w:eastAsia="宋体" w:cs="Times New Roman"/>
                <w:snapToGrid w:val="0"/>
                <w:color w:val="auto"/>
                <w:kern w:val="0"/>
                <w:sz w:val="24"/>
                <w:szCs w:val="24"/>
                <w:lang w:val="en-GB"/>
              </w:rPr>
              <w:t>，臭氧日最大8小时平均第90百分位数为118μg/m</w:t>
            </w:r>
            <w:r>
              <w:rPr>
                <w:rFonts w:hint="default" w:ascii="Times New Roman" w:hAnsi="Times New Roman" w:eastAsia="宋体" w:cs="Times New Roman"/>
                <w:snapToGrid w:val="0"/>
                <w:color w:val="auto"/>
                <w:kern w:val="0"/>
                <w:sz w:val="24"/>
                <w:szCs w:val="24"/>
                <w:vertAlign w:val="superscript"/>
                <w:lang w:val="en-GB"/>
              </w:rPr>
              <w:t>3</w:t>
            </w:r>
            <w:r>
              <w:rPr>
                <w:rFonts w:hint="default" w:ascii="Times New Roman" w:hAnsi="Times New Roman" w:eastAsia="宋体" w:cs="Times New Roman"/>
                <w:snapToGrid w:val="0"/>
                <w:color w:val="auto"/>
                <w:kern w:val="0"/>
                <w:sz w:val="24"/>
                <w:szCs w:val="24"/>
                <w:lang w:val="en-GB"/>
              </w:rPr>
              <w:t>。超过《环境空气质量标准》（GB3095-2012）中二级标准限值的污染物为PM</w:t>
            </w:r>
            <w:r>
              <w:rPr>
                <w:rFonts w:hint="default" w:ascii="Times New Roman" w:hAnsi="Times New Roman" w:eastAsia="宋体" w:cs="Times New Roman"/>
                <w:snapToGrid w:val="0"/>
                <w:color w:val="auto"/>
                <w:kern w:val="0"/>
                <w:sz w:val="24"/>
                <w:szCs w:val="24"/>
                <w:vertAlign w:val="subscript"/>
                <w:lang w:val="en-GB"/>
              </w:rPr>
              <w:t>2.5</w:t>
            </w:r>
            <w:r>
              <w:rPr>
                <w:rFonts w:hint="default" w:ascii="Times New Roman" w:hAnsi="Times New Roman" w:eastAsia="宋体" w:cs="Times New Roman"/>
                <w:snapToGrid w:val="0"/>
                <w:color w:val="auto"/>
                <w:kern w:val="0"/>
                <w:sz w:val="24"/>
                <w:szCs w:val="24"/>
                <w:lang w:val="en-GB"/>
              </w:rPr>
              <w:t>。</w:t>
            </w:r>
            <w:bookmarkEnd w:id="34"/>
          </w:p>
          <w:p>
            <w:pPr>
              <w:adjustRightInd w:val="0"/>
              <w:snapToGrid w:val="0"/>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cs="Times New Roman"/>
                <w:b/>
                <w:bCs/>
                <w:color w:val="auto"/>
                <w:sz w:val="24"/>
                <w:szCs w:val="24"/>
                <w:lang w:val="en-US" w:eastAsia="zh-CN"/>
              </w:rPr>
              <w:t>3-1</w:t>
            </w:r>
            <w:r>
              <w:rPr>
                <w:rFonts w:hint="default" w:ascii="Times New Roman" w:hAnsi="Times New Roman" w:eastAsia="宋体" w:cs="Times New Roman"/>
                <w:b/>
                <w:bCs/>
                <w:color w:val="auto"/>
                <w:sz w:val="24"/>
                <w:szCs w:val="24"/>
              </w:rPr>
              <w:t>区域环境质量现状评价表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918"/>
              <w:gridCol w:w="1725"/>
              <w:gridCol w:w="1187"/>
              <w:gridCol w:w="1221"/>
              <w:gridCol w:w="947"/>
              <w:gridCol w:w="105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0" w:hRule="atLeast"/>
                <w:jc w:val="center"/>
              </w:trPr>
              <w:tc>
                <w:tcPr>
                  <w:tcW w:w="1191"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污染物</w:t>
                  </w:r>
                </w:p>
              </w:tc>
              <w:tc>
                <w:tcPr>
                  <w:tcW w:w="1071"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年评价指标</w:t>
                  </w:r>
                </w:p>
              </w:tc>
              <w:tc>
                <w:tcPr>
                  <w:tcW w:w="737"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现状浓度/</w:t>
                  </w:r>
                </w:p>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（μg/m</w:t>
                  </w:r>
                  <w:r>
                    <w:rPr>
                      <w:color w:val="auto"/>
                      <w:sz w:val="21"/>
                      <w:szCs w:val="21"/>
                      <w:vertAlign w:val="superscript"/>
                    </w:rPr>
                    <w:t>3</w:t>
                  </w:r>
                  <w:r>
                    <w:rPr>
                      <w:color w:val="auto"/>
                      <w:sz w:val="21"/>
                      <w:szCs w:val="21"/>
                    </w:rPr>
                    <w:t>）</w:t>
                  </w:r>
                </w:p>
              </w:tc>
              <w:tc>
                <w:tcPr>
                  <w:tcW w:w="758"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标准值/</w:t>
                  </w:r>
                </w:p>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（μg/m</w:t>
                  </w:r>
                  <w:r>
                    <w:rPr>
                      <w:color w:val="auto"/>
                      <w:sz w:val="21"/>
                      <w:szCs w:val="21"/>
                      <w:vertAlign w:val="superscript"/>
                    </w:rPr>
                    <w:t>3</w:t>
                  </w:r>
                  <w:r>
                    <w:rPr>
                      <w:color w:val="auto"/>
                      <w:sz w:val="21"/>
                      <w:szCs w:val="21"/>
                    </w:rPr>
                    <w:t>）</w:t>
                  </w:r>
                </w:p>
              </w:tc>
              <w:tc>
                <w:tcPr>
                  <w:tcW w:w="588"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占标率/</w:t>
                  </w:r>
                </w:p>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w:t>
                  </w:r>
                </w:p>
              </w:tc>
              <w:tc>
                <w:tcPr>
                  <w:tcW w:w="655"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 w:hRule="atLeast"/>
                <w:jc w:val="center"/>
              </w:trPr>
              <w:tc>
                <w:tcPr>
                  <w:tcW w:w="1191"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细颗粒物（PM</w:t>
                  </w:r>
                  <w:r>
                    <w:rPr>
                      <w:color w:val="auto"/>
                      <w:sz w:val="21"/>
                      <w:szCs w:val="21"/>
                      <w:vertAlign w:val="subscript"/>
                    </w:rPr>
                    <w:t>2.5</w:t>
                  </w:r>
                  <w:r>
                    <w:rPr>
                      <w:color w:val="auto"/>
                      <w:sz w:val="21"/>
                      <w:szCs w:val="21"/>
                    </w:rPr>
                    <w:t>）</w:t>
                  </w:r>
                </w:p>
              </w:tc>
              <w:tc>
                <w:tcPr>
                  <w:tcW w:w="1071"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年平均质量浓度</w:t>
                  </w:r>
                </w:p>
              </w:tc>
              <w:tc>
                <w:tcPr>
                  <w:tcW w:w="737"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rFonts w:hint="default" w:eastAsia="宋体"/>
                      <w:color w:val="auto"/>
                      <w:sz w:val="21"/>
                      <w:szCs w:val="21"/>
                      <w:lang w:val="en-US" w:eastAsia="zh-CN"/>
                    </w:rPr>
                  </w:pPr>
                  <w:r>
                    <w:rPr>
                      <w:rFonts w:hint="eastAsia"/>
                      <w:color w:val="auto"/>
                      <w:sz w:val="21"/>
                      <w:szCs w:val="21"/>
                      <w:lang w:val="en-US" w:eastAsia="zh-CN"/>
                    </w:rPr>
                    <w:t>33</w:t>
                  </w:r>
                </w:p>
              </w:tc>
              <w:tc>
                <w:tcPr>
                  <w:tcW w:w="758"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35</w:t>
                  </w:r>
                </w:p>
              </w:tc>
              <w:tc>
                <w:tcPr>
                  <w:tcW w:w="588"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rFonts w:hint="default" w:eastAsia="宋体"/>
                      <w:color w:val="auto"/>
                      <w:sz w:val="21"/>
                      <w:szCs w:val="21"/>
                      <w:lang w:val="en-US" w:eastAsia="zh-CN"/>
                    </w:rPr>
                  </w:pPr>
                  <w:r>
                    <w:rPr>
                      <w:rFonts w:hint="eastAsia"/>
                      <w:color w:val="auto"/>
                      <w:sz w:val="21"/>
                      <w:szCs w:val="21"/>
                      <w:lang w:val="en-US" w:eastAsia="zh-CN"/>
                    </w:rPr>
                    <w:t>94.29</w:t>
                  </w:r>
                </w:p>
              </w:tc>
              <w:tc>
                <w:tcPr>
                  <w:tcW w:w="655"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5" w:hRule="atLeast"/>
                <w:jc w:val="center"/>
              </w:trPr>
              <w:tc>
                <w:tcPr>
                  <w:tcW w:w="1191"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可吸入颗粒物（PM</w:t>
                  </w:r>
                  <w:r>
                    <w:rPr>
                      <w:color w:val="auto"/>
                      <w:sz w:val="21"/>
                      <w:szCs w:val="21"/>
                      <w:vertAlign w:val="subscript"/>
                    </w:rPr>
                    <w:t>10</w:t>
                  </w:r>
                  <w:r>
                    <w:rPr>
                      <w:color w:val="auto"/>
                      <w:sz w:val="21"/>
                      <w:szCs w:val="21"/>
                    </w:rPr>
                    <w:t>）</w:t>
                  </w:r>
                </w:p>
              </w:tc>
              <w:tc>
                <w:tcPr>
                  <w:tcW w:w="1071"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年平均质量浓度</w:t>
                  </w:r>
                </w:p>
              </w:tc>
              <w:tc>
                <w:tcPr>
                  <w:tcW w:w="737"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rFonts w:hint="default" w:eastAsia="宋体"/>
                      <w:color w:val="auto"/>
                      <w:sz w:val="21"/>
                      <w:szCs w:val="21"/>
                      <w:lang w:val="en-US" w:eastAsia="zh-CN"/>
                    </w:rPr>
                  </w:pPr>
                  <w:r>
                    <w:rPr>
                      <w:rFonts w:hint="eastAsia"/>
                      <w:color w:val="auto"/>
                      <w:sz w:val="21"/>
                      <w:szCs w:val="21"/>
                      <w:lang w:val="en-US" w:eastAsia="zh-CN"/>
                    </w:rPr>
                    <w:t>49</w:t>
                  </w:r>
                </w:p>
              </w:tc>
              <w:tc>
                <w:tcPr>
                  <w:tcW w:w="758"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70</w:t>
                  </w:r>
                </w:p>
              </w:tc>
              <w:tc>
                <w:tcPr>
                  <w:tcW w:w="588"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rFonts w:hint="default" w:eastAsia="宋体"/>
                      <w:color w:val="auto"/>
                      <w:sz w:val="21"/>
                      <w:szCs w:val="21"/>
                      <w:lang w:val="en-US" w:eastAsia="zh-CN"/>
                    </w:rPr>
                  </w:pPr>
                  <w:r>
                    <w:rPr>
                      <w:rFonts w:hint="eastAsia"/>
                      <w:color w:val="auto"/>
                      <w:sz w:val="21"/>
                      <w:szCs w:val="21"/>
                      <w:lang w:val="en-US" w:eastAsia="zh-CN"/>
                    </w:rPr>
                    <w:t>70.00</w:t>
                  </w:r>
                </w:p>
              </w:tc>
              <w:tc>
                <w:tcPr>
                  <w:tcW w:w="655" w:type="pct"/>
                  <w:tcBorders>
                    <w:tl2br w:val="nil"/>
                    <w:tr2bl w:val="nil"/>
                  </w:tcBorders>
                  <w:noWrap w:val="0"/>
                  <w:vAlign w:val="center"/>
                </w:tcPr>
                <w:p>
                  <w:pPr>
                    <w:jc w:val="center"/>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 w:hRule="atLeast"/>
                <w:jc w:val="center"/>
              </w:trPr>
              <w:tc>
                <w:tcPr>
                  <w:tcW w:w="1191"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二氧化氮</w:t>
                  </w:r>
                </w:p>
              </w:tc>
              <w:tc>
                <w:tcPr>
                  <w:tcW w:w="1071"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年平均质量浓度</w:t>
                  </w:r>
                </w:p>
              </w:tc>
              <w:tc>
                <w:tcPr>
                  <w:tcW w:w="737"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rFonts w:hint="default" w:eastAsia="宋体"/>
                      <w:color w:val="auto"/>
                      <w:sz w:val="21"/>
                      <w:szCs w:val="21"/>
                      <w:lang w:val="en-US" w:eastAsia="zh-CN"/>
                    </w:rPr>
                  </w:pPr>
                  <w:r>
                    <w:rPr>
                      <w:rFonts w:hint="eastAsia"/>
                      <w:color w:val="auto"/>
                      <w:sz w:val="21"/>
                      <w:szCs w:val="21"/>
                      <w:lang w:val="en-US" w:eastAsia="zh-CN"/>
                    </w:rPr>
                    <w:t>18</w:t>
                  </w:r>
                </w:p>
              </w:tc>
              <w:tc>
                <w:tcPr>
                  <w:tcW w:w="758"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40</w:t>
                  </w:r>
                </w:p>
              </w:tc>
              <w:tc>
                <w:tcPr>
                  <w:tcW w:w="588"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rFonts w:hint="default" w:eastAsia="宋体"/>
                      <w:color w:val="auto"/>
                      <w:sz w:val="21"/>
                      <w:szCs w:val="21"/>
                      <w:lang w:val="en-US" w:eastAsia="zh-CN"/>
                    </w:rPr>
                  </w:pPr>
                  <w:r>
                    <w:rPr>
                      <w:rFonts w:hint="eastAsia"/>
                      <w:color w:val="auto"/>
                      <w:sz w:val="21"/>
                      <w:szCs w:val="21"/>
                      <w:lang w:val="en-US" w:eastAsia="zh-CN"/>
                    </w:rPr>
                    <w:t>45.00</w:t>
                  </w:r>
                </w:p>
              </w:tc>
              <w:tc>
                <w:tcPr>
                  <w:tcW w:w="655" w:type="pct"/>
                  <w:tcBorders>
                    <w:tl2br w:val="nil"/>
                    <w:tr2bl w:val="nil"/>
                  </w:tcBorders>
                  <w:noWrap w:val="0"/>
                  <w:vAlign w:val="center"/>
                </w:tcPr>
                <w:p>
                  <w:pPr>
                    <w:jc w:val="center"/>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 w:hRule="atLeast"/>
                <w:jc w:val="center"/>
              </w:trPr>
              <w:tc>
                <w:tcPr>
                  <w:tcW w:w="1191"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二氧化硫</w:t>
                  </w:r>
                </w:p>
              </w:tc>
              <w:tc>
                <w:tcPr>
                  <w:tcW w:w="1071"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年平均质量浓度</w:t>
                  </w:r>
                </w:p>
              </w:tc>
              <w:tc>
                <w:tcPr>
                  <w:tcW w:w="737"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rFonts w:hint="eastAsia" w:eastAsia="宋体"/>
                      <w:color w:val="auto"/>
                      <w:sz w:val="21"/>
                      <w:szCs w:val="21"/>
                      <w:lang w:val="en-US" w:eastAsia="zh-CN"/>
                    </w:rPr>
                  </w:pPr>
                  <w:r>
                    <w:rPr>
                      <w:rFonts w:hint="eastAsia"/>
                      <w:color w:val="auto"/>
                      <w:sz w:val="21"/>
                      <w:szCs w:val="21"/>
                      <w:lang w:val="en-US" w:eastAsia="zh-CN"/>
                    </w:rPr>
                    <w:t>8</w:t>
                  </w:r>
                </w:p>
              </w:tc>
              <w:tc>
                <w:tcPr>
                  <w:tcW w:w="758"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60</w:t>
                  </w:r>
                </w:p>
              </w:tc>
              <w:tc>
                <w:tcPr>
                  <w:tcW w:w="588"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rFonts w:hint="default" w:eastAsia="宋体"/>
                      <w:color w:val="auto"/>
                      <w:sz w:val="21"/>
                      <w:szCs w:val="21"/>
                      <w:lang w:val="en-US" w:eastAsia="zh-CN"/>
                    </w:rPr>
                  </w:pPr>
                  <w:r>
                    <w:rPr>
                      <w:rFonts w:hint="eastAsia"/>
                      <w:color w:val="auto"/>
                      <w:sz w:val="21"/>
                      <w:szCs w:val="21"/>
                      <w:lang w:val="en-US" w:eastAsia="zh-CN"/>
                    </w:rPr>
                    <w:t>13.33</w:t>
                  </w:r>
                </w:p>
              </w:tc>
              <w:tc>
                <w:tcPr>
                  <w:tcW w:w="655"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 w:hRule="atLeast"/>
                <w:jc w:val="center"/>
              </w:trPr>
              <w:tc>
                <w:tcPr>
                  <w:tcW w:w="1191"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一氧化碳</w:t>
                  </w:r>
                </w:p>
              </w:tc>
              <w:tc>
                <w:tcPr>
                  <w:tcW w:w="1071"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百分位数日平均</w:t>
                  </w:r>
                </w:p>
              </w:tc>
              <w:tc>
                <w:tcPr>
                  <w:tcW w:w="737"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rFonts w:hint="default" w:eastAsia="宋体"/>
                      <w:color w:val="auto"/>
                      <w:sz w:val="21"/>
                      <w:szCs w:val="21"/>
                      <w:lang w:val="en-US" w:eastAsia="zh-CN"/>
                    </w:rPr>
                  </w:pPr>
                  <w:r>
                    <w:rPr>
                      <w:rFonts w:hint="eastAsia"/>
                      <w:color w:val="auto"/>
                      <w:sz w:val="21"/>
                      <w:szCs w:val="21"/>
                      <w:lang w:val="en-US" w:eastAsia="zh-CN"/>
                    </w:rPr>
                    <w:t>1000</w:t>
                  </w:r>
                </w:p>
              </w:tc>
              <w:tc>
                <w:tcPr>
                  <w:tcW w:w="758"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4000</w:t>
                  </w:r>
                </w:p>
              </w:tc>
              <w:tc>
                <w:tcPr>
                  <w:tcW w:w="588"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rFonts w:hint="default" w:eastAsia="宋体"/>
                      <w:color w:val="auto"/>
                      <w:sz w:val="21"/>
                      <w:szCs w:val="21"/>
                      <w:lang w:val="en-US" w:eastAsia="zh-CN"/>
                    </w:rPr>
                  </w:pPr>
                  <w:r>
                    <w:rPr>
                      <w:rFonts w:hint="eastAsia"/>
                      <w:color w:val="auto"/>
                      <w:sz w:val="21"/>
                      <w:szCs w:val="21"/>
                      <w:lang w:val="en-US" w:eastAsia="zh-CN"/>
                    </w:rPr>
                    <w:t>25.00</w:t>
                  </w:r>
                </w:p>
              </w:tc>
              <w:tc>
                <w:tcPr>
                  <w:tcW w:w="655"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 w:hRule="atLeast"/>
                <w:jc w:val="center"/>
              </w:trPr>
              <w:tc>
                <w:tcPr>
                  <w:tcW w:w="1191"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臭氧</w:t>
                  </w:r>
                </w:p>
              </w:tc>
              <w:tc>
                <w:tcPr>
                  <w:tcW w:w="1071"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8h平均质量浓度</w:t>
                  </w:r>
                </w:p>
              </w:tc>
              <w:tc>
                <w:tcPr>
                  <w:tcW w:w="737"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rFonts w:hint="default" w:eastAsia="宋体"/>
                      <w:color w:val="auto"/>
                      <w:sz w:val="21"/>
                      <w:szCs w:val="21"/>
                      <w:lang w:val="en-US" w:eastAsia="zh-CN"/>
                    </w:rPr>
                  </w:pPr>
                  <w:r>
                    <w:rPr>
                      <w:rFonts w:hint="eastAsia"/>
                      <w:color w:val="auto"/>
                      <w:sz w:val="21"/>
                      <w:szCs w:val="21"/>
                      <w:lang w:val="en-US" w:eastAsia="zh-CN"/>
                    </w:rPr>
                    <w:t>121</w:t>
                  </w:r>
                </w:p>
              </w:tc>
              <w:tc>
                <w:tcPr>
                  <w:tcW w:w="758"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160</w:t>
                  </w:r>
                </w:p>
              </w:tc>
              <w:tc>
                <w:tcPr>
                  <w:tcW w:w="588"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rFonts w:hint="default" w:eastAsia="宋体"/>
                      <w:color w:val="auto"/>
                      <w:sz w:val="21"/>
                      <w:szCs w:val="21"/>
                      <w:lang w:val="en-US" w:eastAsia="zh-CN"/>
                    </w:rPr>
                  </w:pPr>
                  <w:r>
                    <w:rPr>
                      <w:rFonts w:hint="eastAsia"/>
                      <w:color w:val="auto"/>
                      <w:sz w:val="21"/>
                      <w:szCs w:val="21"/>
                      <w:lang w:val="en-US" w:eastAsia="zh-CN"/>
                    </w:rPr>
                    <w:t>75.63</w:t>
                  </w:r>
                </w:p>
              </w:tc>
              <w:tc>
                <w:tcPr>
                  <w:tcW w:w="655" w:type="pct"/>
                  <w:tcBorders>
                    <w:tl2br w:val="nil"/>
                    <w:tr2bl w:val="nil"/>
                  </w:tcBorders>
                  <w:noWrap w:val="0"/>
                  <w:vAlign w:val="center"/>
                </w:tcPr>
                <w:p>
                  <w:pPr>
                    <w:pStyle w:val="67"/>
                    <w:tabs>
                      <w:tab w:val="center" w:pos="4153"/>
                      <w:tab w:val="right" w:pos="8306"/>
                    </w:tabs>
                    <w:snapToGrid w:val="0"/>
                    <w:spacing w:beforeLines="0" w:afterLines="0"/>
                    <w:ind w:firstLine="0" w:firstLineChars="0"/>
                    <w:jc w:val="center"/>
                    <w:rPr>
                      <w:color w:val="auto"/>
                      <w:sz w:val="21"/>
                      <w:szCs w:val="21"/>
                    </w:rPr>
                  </w:pPr>
                  <w:r>
                    <w:rPr>
                      <w:color w:val="auto"/>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lang w:val="en-US" w:eastAsia="zh-CN" w:bidi="ar-SA"/>
              </w:rPr>
              <w:t>根据《2021年绥化市环境质量年报》结果，绥化市</w:t>
            </w:r>
            <w:r>
              <w:rPr>
                <w:rFonts w:hint="eastAsia" w:ascii="Times New Roman" w:hAnsi="Times New Roman" w:eastAsia="宋体" w:cs="Times New Roman"/>
                <w:b w:val="0"/>
                <w:bCs/>
                <w:color w:val="auto"/>
                <w:kern w:val="0"/>
                <w:sz w:val="24"/>
                <w:szCs w:val="24"/>
                <w:highlight w:val="none"/>
                <w:lang w:val="en-US" w:eastAsia="zh-CN" w:bidi="ar-SA"/>
              </w:rPr>
              <w:t>基本大气污染物</w:t>
            </w:r>
            <w:r>
              <w:rPr>
                <w:rFonts w:hint="default" w:ascii="Times New Roman" w:hAnsi="Times New Roman" w:eastAsia="宋体" w:cs="Times New Roman"/>
                <w:b w:val="0"/>
                <w:bCs/>
                <w:color w:val="auto"/>
                <w:kern w:val="0"/>
                <w:sz w:val="24"/>
                <w:szCs w:val="24"/>
                <w:highlight w:val="none"/>
                <w:lang w:val="en-US" w:eastAsia="zh-CN" w:bidi="ar-SA"/>
              </w:rPr>
              <w:t>满足《环境空气质量标准》（GB3095-2012）及修改单中二级限值要求，判定本项目区域属于环境空气质量达标区域。</w:t>
            </w:r>
          </w:p>
          <w:p>
            <w:pPr>
              <w:pStyle w:val="67"/>
              <w:keepNext w:val="0"/>
              <w:keepLines w:val="0"/>
              <w:pageBreakBefore w:val="0"/>
              <w:widowControl w:val="0"/>
              <w:numPr>
                <w:ilvl w:val="0"/>
                <w:numId w:val="6"/>
              </w:numPr>
              <w:kinsoku/>
              <w:wordWrap/>
              <w:overflowPunct/>
              <w:topLinePunct w:val="0"/>
              <w:autoSpaceDE/>
              <w:autoSpaceDN/>
              <w:bidi w:val="0"/>
              <w:adjustRightInd/>
              <w:snapToGrid/>
              <w:spacing w:beforeLines="0" w:afterLines="0" w:line="360" w:lineRule="auto"/>
              <w:ind w:leftChars="0" w:firstLine="482" w:firstLineChars="200"/>
              <w:contextualSpacing/>
              <w:textAlignment w:val="auto"/>
              <w:rPr>
                <w:rFonts w:hint="default"/>
                <w:b/>
                <w:color w:val="000000" w:themeColor="text1"/>
                <w:highlight w:val="none"/>
                <w:lang w:val="en-US" w:eastAsia="zh-CN"/>
                <w14:textFill>
                  <w14:solidFill>
                    <w14:schemeClr w14:val="tx1"/>
                  </w14:solidFill>
                </w14:textFill>
              </w:rPr>
            </w:pPr>
            <w:r>
              <w:rPr>
                <w:rFonts w:hint="default"/>
                <w:b/>
                <w:color w:val="000000" w:themeColor="text1"/>
                <w:highlight w:val="none"/>
                <w:lang w:val="en-US" w:eastAsia="zh-CN"/>
                <w14:textFill>
                  <w14:solidFill>
                    <w14:schemeClr w14:val="tx1"/>
                  </w14:solidFill>
                </w14:textFill>
              </w:rPr>
              <w:t>其他污染物环境质量现状评价</w:t>
            </w:r>
          </w:p>
          <w:p>
            <w:pPr>
              <w:pStyle w:val="67"/>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firstLine="480" w:firstLineChars="200"/>
              <w:contextualSpacing/>
              <w:textAlignment w:val="auto"/>
              <w:rPr>
                <w:rFonts w:hint="default"/>
                <w:b w:val="0"/>
                <w:bCs/>
                <w:color w:val="000000" w:themeColor="text1"/>
                <w:highlight w:val="none"/>
                <w:lang w:val="en-US" w:eastAsia="zh-CN"/>
                <w14:textFill>
                  <w14:solidFill>
                    <w14:schemeClr w14:val="tx1"/>
                  </w14:solidFill>
                </w14:textFill>
              </w:rPr>
            </w:pPr>
            <w:r>
              <w:rPr>
                <w:rFonts w:hint="eastAsia"/>
                <w:color w:val="auto"/>
                <w:kern w:val="0"/>
                <w:szCs w:val="21"/>
                <w:highlight w:val="none"/>
              </w:rPr>
              <w:t>本项目的特征污染物为TSP，项目委托黑龙江</w:t>
            </w:r>
            <w:r>
              <w:rPr>
                <w:rFonts w:hint="eastAsia"/>
                <w:lang w:eastAsia="zh-CN"/>
              </w:rPr>
              <w:t>泓泽</w:t>
            </w:r>
            <w:r>
              <w:rPr>
                <w:rFonts w:hint="eastAsia"/>
                <w:color w:val="auto"/>
                <w:kern w:val="0"/>
                <w:szCs w:val="21"/>
                <w:highlight w:val="none"/>
                <w:lang w:eastAsia="zh-CN"/>
              </w:rPr>
              <w:t>检测评价有限公司</w:t>
            </w:r>
            <w:r>
              <w:rPr>
                <w:rFonts w:hint="eastAsia"/>
                <w:color w:val="auto"/>
                <w:kern w:val="0"/>
                <w:szCs w:val="21"/>
                <w:highlight w:val="none"/>
              </w:rPr>
              <w:t>于202</w:t>
            </w:r>
            <w:r>
              <w:rPr>
                <w:rFonts w:hint="eastAsia"/>
                <w:color w:val="auto"/>
                <w:kern w:val="0"/>
                <w:szCs w:val="21"/>
                <w:highlight w:val="none"/>
                <w:lang w:val="en-US" w:eastAsia="zh-CN"/>
              </w:rPr>
              <w:t>3</w:t>
            </w:r>
            <w:r>
              <w:rPr>
                <w:rFonts w:hint="eastAsia"/>
                <w:color w:val="auto"/>
                <w:kern w:val="0"/>
                <w:szCs w:val="21"/>
                <w:highlight w:val="none"/>
              </w:rPr>
              <w:t>年</w:t>
            </w:r>
            <w:r>
              <w:rPr>
                <w:rFonts w:hint="eastAsia"/>
                <w:color w:val="auto"/>
                <w:kern w:val="0"/>
                <w:szCs w:val="21"/>
                <w:highlight w:val="none"/>
                <w:lang w:val="en-US" w:eastAsia="zh-CN"/>
              </w:rPr>
              <w:t>9</w:t>
            </w:r>
            <w:r>
              <w:rPr>
                <w:rFonts w:hint="eastAsia"/>
                <w:color w:val="auto"/>
                <w:kern w:val="0"/>
                <w:szCs w:val="21"/>
                <w:highlight w:val="none"/>
              </w:rPr>
              <w:t>月</w:t>
            </w:r>
            <w:r>
              <w:rPr>
                <w:rFonts w:hint="eastAsia"/>
                <w:color w:val="auto"/>
                <w:kern w:val="0"/>
                <w:szCs w:val="21"/>
                <w:highlight w:val="none"/>
                <w:lang w:val="en-US" w:eastAsia="zh-CN"/>
              </w:rPr>
              <w:t>8</w:t>
            </w:r>
            <w:r>
              <w:rPr>
                <w:rFonts w:hint="eastAsia"/>
                <w:color w:val="auto"/>
                <w:kern w:val="0"/>
                <w:szCs w:val="21"/>
                <w:highlight w:val="none"/>
              </w:rPr>
              <w:t>日~</w:t>
            </w:r>
            <w:r>
              <w:rPr>
                <w:rFonts w:hint="eastAsia"/>
                <w:color w:val="auto"/>
                <w:kern w:val="0"/>
                <w:szCs w:val="21"/>
                <w:highlight w:val="none"/>
                <w:lang w:val="en-US" w:eastAsia="zh-CN"/>
              </w:rPr>
              <w:t>9</w:t>
            </w:r>
            <w:r>
              <w:rPr>
                <w:rFonts w:hint="eastAsia"/>
                <w:color w:val="auto"/>
                <w:kern w:val="0"/>
                <w:szCs w:val="21"/>
                <w:highlight w:val="none"/>
              </w:rPr>
              <w:t>月</w:t>
            </w:r>
            <w:r>
              <w:rPr>
                <w:rFonts w:hint="eastAsia"/>
                <w:color w:val="auto"/>
                <w:kern w:val="0"/>
                <w:szCs w:val="21"/>
                <w:highlight w:val="none"/>
                <w:lang w:val="en-US" w:eastAsia="zh-CN"/>
              </w:rPr>
              <w:t>10</w:t>
            </w:r>
            <w:r>
              <w:rPr>
                <w:rFonts w:hint="eastAsia"/>
                <w:color w:val="auto"/>
                <w:kern w:val="0"/>
                <w:szCs w:val="21"/>
                <w:highlight w:val="none"/>
              </w:rPr>
              <w:t>日对项目所在区域进行监测，TSP连续监测24小时。在当季主导风向下风向设1个</w:t>
            </w:r>
            <w:r>
              <w:rPr>
                <w:rFonts w:hint="eastAsia"/>
                <w:color w:val="auto"/>
                <w:kern w:val="0"/>
                <w:szCs w:val="21"/>
                <w:highlight w:val="none"/>
                <w:lang w:eastAsia="zh-CN"/>
              </w:rPr>
              <w:t>监</w:t>
            </w:r>
            <w:r>
              <w:rPr>
                <w:rFonts w:hint="eastAsia"/>
                <w:color w:val="auto"/>
                <w:kern w:val="0"/>
                <w:szCs w:val="21"/>
                <w:highlight w:val="none"/>
              </w:rPr>
              <w:t>测点位</w:t>
            </w:r>
            <w:r>
              <w:rPr>
                <w:rFonts w:hint="default"/>
                <w:b w:val="0"/>
                <w:bCs/>
                <w:color w:val="000000" w:themeColor="text1"/>
                <w:highlight w:val="none"/>
                <w:lang w:val="en-US" w:eastAsia="zh-CN"/>
                <w14:textFill>
                  <w14:solidFill>
                    <w14:schemeClr w14:val="tx1"/>
                  </w14:solidFill>
                </w14:textFill>
              </w:rPr>
              <w:t>，检测报告见附件</w:t>
            </w:r>
            <w:r>
              <w:rPr>
                <w:rFonts w:hint="eastAsia"/>
                <w:b w:val="0"/>
                <w:bCs/>
                <w:color w:val="000000" w:themeColor="text1"/>
                <w:highlight w:val="none"/>
                <w:lang w:val="en-US" w:eastAsia="zh-CN"/>
                <w14:textFill>
                  <w14:solidFill>
                    <w14:schemeClr w14:val="tx1"/>
                  </w14:solidFill>
                </w14:textFill>
              </w:rPr>
              <w:t>4</w:t>
            </w:r>
            <w:r>
              <w:rPr>
                <w:rFonts w:hint="default"/>
                <w:b w:val="0"/>
                <w:bCs/>
                <w:color w:val="000000" w:themeColor="text1"/>
                <w:highlight w:val="none"/>
                <w:lang w:val="en-US" w:eastAsia="zh-CN"/>
                <w14:textFill>
                  <w14:solidFill>
                    <w14:schemeClr w14:val="tx1"/>
                  </w14:solidFill>
                </w14:textFill>
              </w:rPr>
              <w:t>。</w:t>
            </w:r>
          </w:p>
          <w:p>
            <w:pPr>
              <w:pStyle w:val="67"/>
              <w:keepNext w:val="0"/>
              <w:keepLines w:val="0"/>
              <w:pageBreakBefore w:val="0"/>
              <w:widowControl w:val="0"/>
              <w:numPr>
                <w:ilvl w:val="0"/>
                <w:numId w:val="7"/>
              </w:numPr>
              <w:kinsoku/>
              <w:wordWrap/>
              <w:overflowPunct/>
              <w:topLinePunct w:val="0"/>
              <w:autoSpaceDE/>
              <w:autoSpaceDN/>
              <w:bidi w:val="0"/>
              <w:adjustRightInd/>
              <w:snapToGrid/>
              <w:spacing w:beforeLines="0" w:afterLines="0" w:line="360" w:lineRule="auto"/>
              <w:ind w:firstLine="480" w:firstLineChars="200"/>
              <w:contextualSpacing/>
              <w:textAlignment w:val="auto"/>
              <w:rPr>
                <w:rFonts w:hint="eastAsia"/>
                <w:b w:val="0"/>
                <w:bCs/>
                <w:color w:val="000000" w:themeColor="text1"/>
                <w:highlight w:val="none"/>
                <w:lang w:val="en-US" w:eastAsia="zh-CN"/>
                <w14:textFill>
                  <w14:solidFill>
                    <w14:schemeClr w14:val="tx1"/>
                  </w14:solidFill>
                </w14:textFill>
              </w:rPr>
            </w:pPr>
            <w:r>
              <w:rPr>
                <w:rFonts w:hint="eastAsia"/>
                <w:b w:val="0"/>
                <w:bCs/>
                <w:color w:val="000000" w:themeColor="text1"/>
                <w:highlight w:val="none"/>
                <w:lang w:val="en-US" w:eastAsia="zh-CN"/>
                <w14:textFill>
                  <w14:solidFill>
                    <w14:schemeClr w14:val="tx1"/>
                  </w14:solidFill>
                </w14:textFill>
              </w:rPr>
              <w:t>监测因子：TSP。</w:t>
            </w:r>
          </w:p>
          <w:p>
            <w:pPr>
              <w:pStyle w:val="67"/>
              <w:keepNext w:val="0"/>
              <w:keepLines w:val="0"/>
              <w:pageBreakBefore w:val="0"/>
              <w:widowControl w:val="0"/>
              <w:numPr>
                <w:ilvl w:val="0"/>
                <w:numId w:val="7"/>
              </w:numPr>
              <w:kinsoku/>
              <w:wordWrap/>
              <w:overflowPunct/>
              <w:topLinePunct w:val="0"/>
              <w:autoSpaceDE/>
              <w:autoSpaceDN/>
              <w:bidi w:val="0"/>
              <w:adjustRightInd/>
              <w:snapToGrid/>
              <w:spacing w:beforeLines="0" w:afterLines="0" w:line="360" w:lineRule="auto"/>
              <w:ind w:firstLine="480" w:firstLineChars="200"/>
              <w:contextualSpacing/>
              <w:textAlignment w:val="auto"/>
              <w:rPr>
                <w:rFonts w:hint="default"/>
                <w:b w:val="0"/>
                <w:bCs/>
                <w:color w:val="000000" w:themeColor="text1"/>
                <w:highlight w:val="none"/>
                <w:lang w:val="en-US" w:eastAsia="zh-CN"/>
                <w14:textFill>
                  <w14:solidFill>
                    <w14:schemeClr w14:val="tx1"/>
                  </w14:solidFill>
                </w14:textFill>
              </w:rPr>
            </w:pPr>
            <w:r>
              <w:rPr>
                <w:rFonts w:hint="default"/>
                <w:b w:val="0"/>
                <w:bCs/>
                <w:color w:val="000000" w:themeColor="text1"/>
                <w:highlight w:val="none"/>
                <w:lang w:val="en-US" w:eastAsia="zh-CN"/>
                <w14:textFill>
                  <w14:solidFill>
                    <w14:schemeClr w14:val="tx1"/>
                  </w14:solidFill>
                </w14:textFill>
              </w:rPr>
              <w:t>监测布点：当季主导风向下风向1个监测点。</w:t>
            </w:r>
          </w:p>
          <w:p>
            <w:pPr>
              <w:pStyle w:val="67"/>
              <w:keepNext w:val="0"/>
              <w:keepLines w:val="0"/>
              <w:pageBreakBefore w:val="0"/>
              <w:widowControl w:val="0"/>
              <w:numPr>
                <w:ilvl w:val="0"/>
                <w:numId w:val="7"/>
              </w:numPr>
              <w:kinsoku/>
              <w:wordWrap/>
              <w:overflowPunct/>
              <w:topLinePunct w:val="0"/>
              <w:autoSpaceDE/>
              <w:autoSpaceDN/>
              <w:bidi w:val="0"/>
              <w:adjustRightInd/>
              <w:snapToGrid/>
              <w:spacing w:beforeLines="0" w:afterLines="0" w:line="360" w:lineRule="auto"/>
              <w:ind w:firstLine="480" w:firstLineChars="200"/>
              <w:contextualSpacing/>
              <w:textAlignment w:val="auto"/>
              <w:rPr>
                <w:rFonts w:hint="default"/>
                <w:b w:val="0"/>
                <w:bCs/>
                <w:color w:val="000000" w:themeColor="text1"/>
                <w:highlight w:val="none"/>
                <w:lang w:val="en-US" w:eastAsia="zh-CN"/>
                <w14:textFill>
                  <w14:solidFill>
                    <w14:schemeClr w14:val="tx1"/>
                  </w14:solidFill>
                </w14:textFill>
              </w:rPr>
            </w:pPr>
            <w:r>
              <w:rPr>
                <w:rFonts w:hint="default"/>
                <w:b w:val="0"/>
                <w:bCs/>
                <w:color w:val="000000" w:themeColor="text1"/>
                <w:highlight w:val="none"/>
                <w:lang w:val="en-US" w:eastAsia="zh-CN"/>
                <w14:textFill>
                  <w14:solidFill>
                    <w14:schemeClr w14:val="tx1"/>
                  </w14:solidFill>
                </w14:textFill>
              </w:rPr>
              <w:t>监测频率：每天监测24小时取平均值，连续监测3天。</w:t>
            </w:r>
          </w:p>
          <w:p>
            <w:pPr>
              <w:pStyle w:val="67"/>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firstLine="480" w:firstLineChars="200"/>
              <w:contextualSpacing/>
              <w:textAlignment w:val="auto"/>
              <w:rPr>
                <w:rFonts w:hint="default"/>
                <w:b w:val="0"/>
                <w:bCs/>
                <w:color w:val="000000" w:themeColor="text1"/>
                <w:highlight w:val="none"/>
                <w:lang w:val="en-US" w:eastAsia="zh-CN"/>
                <w14:textFill>
                  <w14:solidFill>
                    <w14:schemeClr w14:val="tx1"/>
                  </w14:solidFill>
                </w14:textFill>
              </w:rPr>
            </w:pPr>
            <w:r>
              <w:rPr>
                <w:rFonts w:hint="default"/>
                <w:b w:val="0"/>
                <w:bCs/>
                <w:color w:val="000000" w:themeColor="text1"/>
                <w:highlight w:val="none"/>
                <w:lang w:val="en-US" w:eastAsia="zh-CN"/>
                <w14:textFill>
                  <w14:solidFill>
                    <w14:schemeClr w14:val="tx1"/>
                  </w14:solidFill>
                </w14:textFill>
              </w:rPr>
              <w:t>监测点位信息表见表3-2，环境质量现状（监测结果）表见表3-3。</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4"/>
                <w:szCs w:val="24"/>
                <w:highlight w:val="none"/>
                <w:lang w:val="zh-CN"/>
                <w14:textFill>
                  <w14:solidFill>
                    <w14:schemeClr w14:val="tx1"/>
                  </w14:solidFill>
                </w14:textFill>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4"/>
                <w:szCs w:val="24"/>
                <w:highlight w:val="none"/>
                <w:lang w:val="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zh-CN"/>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3-2 补充监测点位信息表</w:t>
            </w:r>
          </w:p>
          <w:tbl>
            <w:tblPr>
              <w:tblStyle w:val="31"/>
              <w:tblW w:w="793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214"/>
              <w:gridCol w:w="1153"/>
              <w:gridCol w:w="947"/>
              <w:gridCol w:w="2406"/>
              <w:gridCol w:w="13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dxa"/>
                  <w:vMerge w:val="restart"/>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监测点名称</w:t>
                  </w:r>
                </w:p>
              </w:tc>
              <w:tc>
                <w:tcPr>
                  <w:tcW w:w="2367" w:type="dxa"/>
                  <w:gridSpan w:val="2"/>
                  <w:tcBorders>
                    <w:tl2br w:val="nil"/>
                    <w:tr2bl w:val="nil"/>
                  </w:tcBorders>
                  <w:vAlign w:val="center"/>
                </w:tcPr>
                <w:p>
                  <w:pPr>
                    <w:adjustRightInd w:val="0"/>
                    <w:snapToGrid w:val="0"/>
                    <w:spacing w:beforeLines="2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监测点坐标/m</w:t>
                  </w:r>
                </w:p>
              </w:tc>
              <w:tc>
                <w:tcPr>
                  <w:tcW w:w="947" w:type="dxa"/>
                  <w:vMerge w:val="restart"/>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监测</w:t>
                  </w:r>
                </w:p>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因子</w:t>
                  </w:r>
                </w:p>
              </w:tc>
              <w:tc>
                <w:tcPr>
                  <w:tcW w:w="2406" w:type="dxa"/>
                  <w:vMerge w:val="restart"/>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监测时段</w:t>
                  </w:r>
                </w:p>
              </w:tc>
              <w:tc>
                <w:tcPr>
                  <w:tcW w:w="1368" w:type="dxa"/>
                  <w:vMerge w:val="restart"/>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相对厂址方位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dxa"/>
                  <w:vMerge w:val="continue"/>
                  <w:tcBorders>
                    <w:tl2br w:val="nil"/>
                    <w:tr2bl w:val="nil"/>
                  </w:tcBorders>
                </w:tcPr>
                <w:p>
                  <w:pPr>
                    <w:spacing w:line="480" w:lineRule="exact"/>
                    <w:jc w:val="center"/>
                    <w:rPr>
                      <w:rFonts w:hint="eastAsia"/>
                      <w:b/>
                      <w:bCs/>
                      <w:color w:val="000000" w:themeColor="text1"/>
                      <w:sz w:val="21"/>
                      <w:szCs w:val="21"/>
                      <w:highlight w:val="none"/>
                      <w:vertAlign w:val="baseline"/>
                      <w14:textFill>
                        <w14:solidFill>
                          <w14:schemeClr w14:val="tx1"/>
                        </w14:solidFill>
                      </w14:textFill>
                    </w:rPr>
                  </w:pPr>
                </w:p>
              </w:tc>
              <w:tc>
                <w:tcPr>
                  <w:tcW w:w="1214" w:type="dxa"/>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经度</w:t>
                  </w:r>
                </w:p>
              </w:tc>
              <w:tc>
                <w:tcPr>
                  <w:tcW w:w="1153" w:type="dxa"/>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纬度</w:t>
                  </w:r>
                </w:p>
              </w:tc>
              <w:tc>
                <w:tcPr>
                  <w:tcW w:w="947" w:type="dxa"/>
                  <w:vMerge w:val="continue"/>
                  <w:tcBorders>
                    <w:tl2br w:val="nil"/>
                    <w:tr2bl w:val="nil"/>
                  </w:tcBorders>
                </w:tcPr>
                <w:p>
                  <w:pPr>
                    <w:spacing w:line="480" w:lineRule="exact"/>
                    <w:jc w:val="center"/>
                    <w:rPr>
                      <w:rFonts w:hint="eastAsia"/>
                      <w:b/>
                      <w:bCs/>
                      <w:color w:val="000000" w:themeColor="text1"/>
                      <w:sz w:val="21"/>
                      <w:szCs w:val="21"/>
                      <w:highlight w:val="none"/>
                      <w:vertAlign w:val="baseline"/>
                      <w14:textFill>
                        <w14:solidFill>
                          <w14:schemeClr w14:val="tx1"/>
                        </w14:solidFill>
                      </w14:textFill>
                    </w:rPr>
                  </w:pPr>
                </w:p>
              </w:tc>
              <w:tc>
                <w:tcPr>
                  <w:tcW w:w="2406" w:type="dxa"/>
                  <w:vMerge w:val="continue"/>
                  <w:tcBorders>
                    <w:tl2br w:val="nil"/>
                    <w:tr2bl w:val="nil"/>
                  </w:tcBorders>
                </w:tcPr>
                <w:p>
                  <w:pPr>
                    <w:spacing w:line="480" w:lineRule="exact"/>
                    <w:jc w:val="center"/>
                    <w:rPr>
                      <w:rFonts w:hint="eastAsia"/>
                      <w:b/>
                      <w:bCs/>
                      <w:color w:val="000000" w:themeColor="text1"/>
                      <w:sz w:val="21"/>
                      <w:szCs w:val="21"/>
                      <w:highlight w:val="none"/>
                      <w:vertAlign w:val="baseline"/>
                      <w14:textFill>
                        <w14:solidFill>
                          <w14:schemeClr w14:val="tx1"/>
                        </w14:solidFill>
                      </w14:textFill>
                    </w:rPr>
                  </w:pPr>
                </w:p>
              </w:tc>
              <w:tc>
                <w:tcPr>
                  <w:tcW w:w="1368" w:type="dxa"/>
                  <w:vMerge w:val="continue"/>
                  <w:tcBorders>
                    <w:tl2br w:val="nil"/>
                    <w:tr2bl w:val="nil"/>
                  </w:tcBorders>
                </w:tcPr>
                <w:p>
                  <w:pPr>
                    <w:spacing w:line="480" w:lineRule="exact"/>
                    <w:jc w:val="center"/>
                    <w:rPr>
                      <w:rFonts w:hint="eastAsia"/>
                      <w:b/>
                      <w:bCs/>
                      <w:color w:val="000000" w:themeColor="text1"/>
                      <w:sz w:val="21"/>
                      <w:szCs w:val="21"/>
                      <w:highlight w:val="none"/>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47" w:type="dxa"/>
                  <w:tcBorders>
                    <w:tl2br w:val="nil"/>
                    <w:tr2bl w:val="nil"/>
                  </w:tcBorders>
                  <w:vAlign w:val="center"/>
                </w:tcPr>
                <w:p>
                  <w:pPr>
                    <w:adjustRightInd w:val="0"/>
                    <w:snapToGrid w:val="0"/>
                    <w:spacing w:beforeLines="2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下风向空气监测点位</w:t>
                  </w:r>
                </w:p>
              </w:tc>
              <w:tc>
                <w:tcPr>
                  <w:tcW w:w="1214" w:type="dxa"/>
                  <w:tcBorders>
                    <w:tl2br w:val="nil"/>
                    <w:tr2bl w:val="nil"/>
                  </w:tcBorders>
                  <w:vAlign w:val="center"/>
                </w:tcPr>
                <w:p>
                  <w:pPr>
                    <w:adjustRightInd w:val="0"/>
                    <w:snapToGrid w:val="0"/>
                    <w:spacing w:beforeLines="2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127.403833</w:t>
                  </w:r>
                </w:p>
              </w:tc>
              <w:tc>
                <w:tcPr>
                  <w:tcW w:w="1153" w:type="dxa"/>
                  <w:tcBorders>
                    <w:tl2br w:val="nil"/>
                    <w:tr2bl w:val="nil"/>
                  </w:tcBorders>
                  <w:vAlign w:val="center"/>
                </w:tcPr>
                <w:p>
                  <w:pPr>
                    <w:adjustRightInd w:val="0"/>
                    <w:snapToGrid w:val="0"/>
                    <w:spacing w:beforeLines="2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47.045335</w:t>
                  </w:r>
                </w:p>
              </w:tc>
              <w:tc>
                <w:tcPr>
                  <w:tcW w:w="947" w:type="dxa"/>
                  <w:tcBorders>
                    <w:tl2br w:val="nil"/>
                    <w:tr2bl w:val="nil"/>
                  </w:tcBorders>
                  <w:vAlign w:val="center"/>
                </w:tcPr>
                <w:p>
                  <w:pPr>
                    <w:adjustRightInd w:val="0"/>
                    <w:snapToGrid w:val="0"/>
                    <w:spacing w:beforeLines="2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TSP</w:t>
                  </w:r>
                </w:p>
              </w:tc>
              <w:tc>
                <w:tcPr>
                  <w:tcW w:w="2406" w:type="dxa"/>
                  <w:tcBorders>
                    <w:tl2br w:val="nil"/>
                    <w:tr2bl w:val="nil"/>
                  </w:tcBorders>
                  <w:vAlign w:val="center"/>
                </w:tcPr>
                <w:p>
                  <w:pPr>
                    <w:adjustRightInd w:val="0"/>
                    <w:snapToGrid w:val="0"/>
                    <w:spacing w:beforeLines="2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14:textFill>
                        <w14:solidFill>
                          <w14:schemeClr w14:val="tx1"/>
                        </w14:solidFill>
                      </w14:textFill>
                    </w:rPr>
                    <w:t>2023.9.8</w:t>
                  </w:r>
                  <w: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t>-</w:t>
                  </w:r>
                  <w:r>
                    <w:rPr>
                      <w:rFonts w:hint="eastAsia" w:cs="Times New Roman"/>
                      <w:bCs/>
                      <w:color w:val="000000" w:themeColor="text1"/>
                      <w:kern w:val="2"/>
                      <w:sz w:val="21"/>
                      <w:szCs w:val="21"/>
                      <w:highlight w:val="none"/>
                      <w:lang w:val="en-US" w:eastAsia="zh-CN"/>
                      <w14:textFill>
                        <w14:solidFill>
                          <w14:schemeClr w14:val="tx1"/>
                        </w14:solidFill>
                      </w14:textFill>
                    </w:rPr>
                    <w:t>2023.9.10</w:t>
                  </w:r>
                </w:p>
              </w:tc>
              <w:tc>
                <w:tcPr>
                  <w:tcW w:w="1368" w:type="dxa"/>
                  <w:tcBorders>
                    <w:tl2br w:val="nil"/>
                    <w:tr2bl w:val="nil"/>
                  </w:tcBorders>
                  <w:vAlign w:val="center"/>
                </w:tcPr>
                <w:p>
                  <w:pPr>
                    <w:adjustRightInd w:val="0"/>
                    <w:snapToGrid w:val="0"/>
                    <w:spacing w:beforeLines="2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NE</w:t>
                  </w:r>
                </w:p>
              </w:tc>
            </w:tr>
          </w:tbl>
          <w:p>
            <w:pPr>
              <w:spacing w:line="240" w:lineRule="auto"/>
              <w:jc w:val="both"/>
              <w:rPr>
                <w:rFonts w:hint="eastAsia"/>
                <w:b/>
                <w:bCs/>
                <w:color w:val="000000" w:themeColor="text1"/>
                <w:sz w:val="24"/>
                <w:szCs w:val="28"/>
                <w:highlight w:val="none"/>
                <w14:textFill>
                  <w14:solidFill>
                    <w14:schemeClr w14:val="tx1"/>
                  </w14:solidFill>
                </w14:textFill>
              </w:rPr>
            </w:pPr>
            <w:r>
              <w:rPr>
                <w:rFonts w:hint="eastAsia"/>
                <w:b w:val="0"/>
                <w:bCs w:val="0"/>
                <w:color w:val="000000" w:themeColor="text1"/>
                <w:sz w:val="21"/>
                <w:szCs w:val="22"/>
                <w:highlight w:val="none"/>
                <w14:textFill>
                  <w14:solidFill>
                    <w14:schemeClr w14:val="tx1"/>
                  </w14:solidFill>
                </w14:textFill>
              </w:rPr>
              <w:t>注：坐标原点位置为厂址中心</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表3-3 环境质量现状（监测结果）表</w:t>
            </w:r>
          </w:p>
          <w:tbl>
            <w:tblPr>
              <w:tblStyle w:val="3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280"/>
              <w:gridCol w:w="1171"/>
              <w:gridCol w:w="609"/>
              <w:gridCol w:w="615"/>
              <w:gridCol w:w="448"/>
              <w:gridCol w:w="1206"/>
              <w:gridCol w:w="1206"/>
              <w:gridCol w:w="615"/>
              <w:gridCol w:w="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78" w:type="pct"/>
                  <w:vMerge w:val="restart"/>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监测点名称</w:t>
                  </w:r>
                </w:p>
              </w:tc>
              <w:tc>
                <w:tcPr>
                  <w:tcW w:w="1522" w:type="pct"/>
                  <w:gridSpan w:val="2"/>
                  <w:tcBorders>
                    <w:tl2br w:val="nil"/>
                    <w:tr2bl w:val="nil"/>
                  </w:tcBorders>
                  <w:vAlign w:val="center"/>
                </w:tcPr>
                <w:p>
                  <w:pPr>
                    <w:adjustRightInd w:val="0"/>
                    <w:snapToGrid w:val="0"/>
                    <w:spacing w:beforeLines="2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监测点坐标</w:t>
                  </w:r>
                </w:p>
              </w:tc>
              <w:tc>
                <w:tcPr>
                  <w:tcW w:w="378" w:type="pct"/>
                  <w:vMerge w:val="restart"/>
                  <w:tcBorders>
                    <w:tl2br w:val="nil"/>
                    <w:tr2bl w:val="nil"/>
                  </w:tcBorders>
                  <w:vAlign w:val="center"/>
                </w:tcPr>
                <w:p>
                  <w:pPr>
                    <w:adjustRightInd w:val="0"/>
                    <w:snapToGrid w:val="0"/>
                    <w:spacing w:beforeLines="2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污染物</w:t>
                  </w:r>
                </w:p>
              </w:tc>
              <w:tc>
                <w:tcPr>
                  <w:tcW w:w="382" w:type="pct"/>
                  <w:vMerge w:val="restart"/>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采样时间</w:t>
                  </w:r>
                </w:p>
              </w:tc>
              <w:tc>
                <w:tcPr>
                  <w:tcW w:w="278" w:type="pct"/>
                  <w:vMerge w:val="restart"/>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平均时间</w:t>
                  </w:r>
                </w:p>
              </w:tc>
              <w:tc>
                <w:tcPr>
                  <w:tcW w:w="749" w:type="pct"/>
                  <w:vMerge w:val="restart"/>
                  <w:tcBorders>
                    <w:tl2br w:val="nil"/>
                    <w:tr2bl w:val="nil"/>
                  </w:tcBorders>
                  <w:vAlign w:val="center"/>
                </w:tcPr>
                <w:p>
                  <w:pPr>
                    <w:adjustRightInd w:val="0"/>
                    <w:snapToGrid w:val="0"/>
                    <w:spacing w:beforeLines="2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评价标准/（μg/m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49" w:type="pct"/>
                  <w:vMerge w:val="restart"/>
                  <w:tcBorders>
                    <w:tl2br w:val="nil"/>
                    <w:tr2bl w:val="nil"/>
                  </w:tcBorders>
                  <w:vAlign w:val="center"/>
                </w:tcPr>
                <w:p>
                  <w:pPr>
                    <w:adjustRightInd w:val="0"/>
                    <w:snapToGrid w:val="0"/>
                    <w:spacing w:beforeLines="2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监测浓度范围/（μg/m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82" w:type="pct"/>
                  <w:vMerge w:val="restart"/>
                  <w:tcBorders>
                    <w:tl2br w:val="nil"/>
                    <w:tr2bl w:val="nil"/>
                  </w:tcBorders>
                  <w:vAlign w:val="center"/>
                </w:tcPr>
                <w:p>
                  <w:pPr>
                    <w:adjustRightInd w:val="0"/>
                    <w:snapToGrid w:val="0"/>
                    <w:spacing w:beforeLines="2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最大浓度占标率/%</w:t>
                  </w:r>
                </w:p>
              </w:tc>
              <w:tc>
                <w:tcPr>
                  <w:tcW w:w="278" w:type="pct"/>
                  <w:vMerge w:val="restart"/>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78" w:type="pct"/>
                  <w:vMerge w:val="continue"/>
                  <w:tcBorders>
                    <w:tl2br w:val="nil"/>
                    <w:tr2bl w:val="nil"/>
                  </w:tcBorders>
                  <w:vAlign w:val="center"/>
                </w:tcPr>
                <w:p>
                  <w:pPr>
                    <w:spacing w:line="480" w:lineRule="exact"/>
                    <w:jc w:val="center"/>
                    <w:rPr>
                      <w:rFonts w:hint="eastAsia"/>
                      <w:b/>
                      <w:bCs/>
                      <w:color w:val="000000" w:themeColor="text1"/>
                      <w:sz w:val="21"/>
                      <w:szCs w:val="21"/>
                      <w:highlight w:val="none"/>
                      <w:vertAlign w:val="baseline"/>
                      <w14:textFill>
                        <w14:solidFill>
                          <w14:schemeClr w14:val="tx1"/>
                        </w14:solidFill>
                      </w14:textFill>
                    </w:rPr>
                  </w:pPr>
                </w:p>
              </w:tc>
              <w:tc>
                <w:tcPr>
                  <w:tcW w:w="795" w:type="pct"/>
                  <w:tcBorders>
                    <w:tl2br w:val="nil"/>
                    <w:tr2bl w:val="nil"/>
                  </w:tcBorders>
                  <w:vAlign w:val="center"/>
                </w:tcPr>
                <w:p>
                  <w:pPr>
                    <w:adjustRightInd w:val="0"/>
                    <w:snapToGrid w:val="0"/>
                    <w:spacing w:beforeLines="2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经度</w:t>
                  </w:r>
                </w:p>
              </w:tc>
              <w:tc>
                <w:tcPr>
                  <w:tcW w:w="727" w:type="pct"/>
                  <w:tcBorders>
                    <w:tl2br w:val="nil"/>
                    <w:tr2bl w:val="nil"/>
                  </w:tcBorders>
                  <w:vAlign w:val="center"/>
                </w:tcPr>
                <w:p>
                  <w:pPr>
                    <w:adjustRightInd w:val="0"/>
                    <w:snapToGrid w:val="0"/>
                    <w:spacing w:beforeLines="2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纬度</w:t>
                  </w:r>
                </w:p>
              </w:tc>
              <w:tc>
                <w:tcPr>
                  <w:tcW w:w="378" w:type="pct"/>
                  <w:vMerge w:val="continue"/>
                  <w:tcBorders>
                    <w:tl2br w:val="nil"/>
                    <w:tr2bl w:val="nil"/>
                  </w:tcBorders>
                  <w:vAlign w:val="center"/>
                </w:tcPr>
                <w:p>
                  <w:pPr>
                    <w:spacing w:line="480" w:lineRule="exact"/>
                    <w:jc w:val="center"/>
                    <w:rPr>
                      <w:rFonts w:hint="eastAsia"/>
                      <w:b/>
                      <w:bCs/>
                      <w:color w:val="000000" w:themeColor="text1"/>
                      <w:sz w:val="21"/>
                      <w:szCs w:val="21"/>
                      <w:highlight w:val="none"/>
                      <w:vertAlign w:val="baseline"/>
                      <w14:textFill>
                        <w14:solidFill>
                          <w14:schemeClr w14:val="tx1"/>
                        </w14:solidFill>
                      </w14:textFill>
                    </w:rPr>
                  </w:pPr>
                </w:p>
              </w:tc>
              <w:tc>
                <w:tcPr>
                  <w:tcW w:w="382" w:type="pct"/>
                  <w:vMerge w:val="continue"/>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p>
              </w:tc>
              <w:tc>
                <w:tcPr>
                  <w:tcW w:w="278" w:type="pct"/>
                  <w:vMerge w:val="continue"/>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p>
              </w:tc>
              <w:tc>
                <w:tcPr>
                  <w:tcW w:w="749" w:type="pct"/>
                  <w:vMerge w:val="continue"/>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p>
              </w:tc>
              <w:tc>
                <w:tcPr>
                  <w:tcW w:w="749" w:type="pct"/>
                  <w:vMerge w:val="continue"/>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p>
              </w:tc>
              <w:tc>
                <w:tcPr>
                  <w:tcW w:w="382" w:type="pct"/>
                  <w:vMerge w:val="continue"/>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p>
              </w:tc>
              <w:tc>
                <w:tcPr>
                  <w:tcW w:w="278" w:type="pct"/>
                  <w:vMerge w:val="continue"/>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78" w:type="pct"/>
                  <w:vMerge w:val="restart"/>
                  <w:tcBorders>
                    <w:tl2br w:val="nil"/>
                    <w:tr2bl w:val="nil"/>
                  </w:tcBorders>
                  <w:vAlign w:val="center"/>
                </w:tcPr>
                <w:p>
                  <w:pPr>
                    <w:adjustRightInd w:val="0"/>
                    <w:snapToGrid w:val="0"/>
                    <w:spacing w:beforeLines="2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下风向空气监测点位</w:t>
                  </w:r>
                </w:p>
              </w:tc>
              <w:tc>
                <w:tcPr>
                  <w:tcW w:w="795" w:type="pct"/>
                  <w:vMerge w:val="restart"/>
                  <w:tcBorders>
                    <w:tl2br w:val="nil"/>
                    <w:tr2bl w:val="nil"/>
                  </w:tcBorders>
                  <w:vAlign w:val="center"/>
                </w:tcPr>
                <w:p>
                  <w:pPr>
                    <w:adjustRightInd w:val="0"/>
                    <w:snapToGrid w:val="0"/>
                    <w:spacing w:beforeLines="2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127.403833</w:t>
                  </w:r>
                </w:p>
              </w:tc>
              <w:tc>
                <w:tcPr>
                  <w:tcW w:w="727" w:type="pct"/>
                  <w:vMerge w:val="restart"/>
                  <w:tcBorders>
                    <w:tl2br w:val="nil"/>
                    <w:tr2bl w:val="nil"/>
                  </w:tcBorders>
                  <w:vAlign w:val="center"/>
                </w:tcPr>
                <w:p>
                  <w:pPr>
                    <w:adjustRightInd w:val="0"/>
                    <w:snapToGrid w:val="0"/>
                    <w:spacing w:beforeLines="2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47.045335</w:t>
                  </w:r>
                </w:p>
              </w:tc>
              <w:tc>
                <w:tcPr>
                  <w:tcW w:w="378" w:type="pct"/>
                  <w:vMerge w:val="restart"/>
                  <w:tcBorders>
                    <w:tl2br w:val="nil"/>
                    <w:tr2bl w:val="nil"/>
                  </w:tcBorders>
                  <w:vAlign w:val="center"/>
                </w:tcPr>
                <w:p>
                  <w:pPr>
                    <w:adjustRightInd w:val="0"/>
                    <w:snapToGrid w:val="0"/>
                    <w:spacing w:beforeLines="2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TSP</w:t>
                  </w:r>
                </w:p>
              </w:tc>
              <w:tc>
                <w:tcPr>
                  <w:tcW w:w="382" w:type="pct"/>
                  <w:tcBorders>
                    <w:tl2br w:val="nil"/>
                    <w:tr2bl w:val="nil"/>
                  </w:tcBorders>
                  <w:vAlign w:val="center"/>
                </w:tcPr>
                <w:p>
                  <w:pPr>
                    <w:adjustRightInd w:val="0"/>
                    <w:snapToGrid w:val="0"/>
                    <w:spacing w:beforeLines="2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9.8</w:t>
                  </w:r>
                </w:p>
              </w:tc>
              <w:tc>
                <w:tcPr>
                  <w:tcW w:w="278" w:type="pct"/>
                  <w:vMerge w:val="restart"/>
                  <w:tcBorders>
                    <w:tl2br w:val="nil"/>
                    <w:tr2bl w:val="nil"/>
                  </w:tcBorders>
                  <w:vAlign w:val="center"/>
                </w:tcPr>
                <w:p>
                  <w:pPr>
                    <w:adjustRightInd w:val="0"/>
                    <w:snapToGrid w:val="0"/>
                    <w:spacing w:beforeLines="2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24小时</w:t>
                  </w:r>
                </w:p>
              </w:tc>
              <w:tc>
                <w:tcPr>
                  <w:tcW w:w="749" w:type="pct"/>
                  <w:vMerge w:val="restart"/>
                  <w:tcBorders>
                    <w:tl2br w:val="nil"/>
                    <w:tr2bl w:val="nil"/>
                  </w:tcBorders>
                  <w:vAlign w:val="center"/>
                </w:tcPr>
                <w:p>
                  <w:pPr>
                    <w:adjustRightInd w:val="0"/>
                    <w:snapToGrid w:val="0"/>
                    <w:spacing w:beforeLines="2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w:t>
                  </w:r>
                </w:p>
              </w:tc>
              <w:tc>
                <w:tcPr>
                  <w:tcW w:w="7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0.109</w:t>
                  </w:r>
                </w:p>
              </w:tc>
              <w:tc>
                <w:tcPr>
                  <w:tcW w:w="382" w:type="pct"/>
                  <w:tcBorders>
                    <w:tl2br w:val="nil"/>
                    <w:tr2bl w:val="nil"/>
                  </w:tcBorders>
                  <w:vAlign w:val="center"/>
                </w:tcPr>
                <w:p>
                  <w:pPr>
                    <w:adjustRightInd w:val="0"/>
                    <w:snapToGrid w:val="0"/>
                    <w:spacing w:beforeLines="2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36.3</w:t>
                  </w:r>
                </w:p>
              </w:tc>
              <w:tc>
                <w:tcPr>
                  <w:tcW w:w="278" w:type="pct"/>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78" w:type="pct"/>
                  <w:vMerge w:val="continue"/>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p>
              </w:tc>
              <w:tc>
                <w:tcPr>
                  <w:tcW w:w="795" w:type="pct"/>
                  <w:vMerge w:val="continue"/>
                  <w:tcBorders>
                    <w:tl2br w:val="nil"/>
                    <w:tr2bl w:val="nil"/>
                  </w:tcBorders>
                  <w:vAlign w:val="center"/>
                </w:tcPr>
                <w:p>
                  <w:pPr>
                    <w:adjustRightInd w:val="0"/>
                    <w:snapToGrid w:val="0"/>
                    <w:spacing w:beforeLines="20"/>
                    <w:jc w:val="center"/>
                    <w:rPr>
                      <w:rFonts w:hint="eastAsia"/>
                      <w:color w:val="000000" w:themeColor="text1"/>
                      <w:sz w:val="21"/>
                      <w:szCs w:val="21"/>
                      <w:highlight w:val="none"/>
                      <w:lang w:val="en-US" w:eastAsia="zh-CN"/>
                      <w14:textFill>
                        <w14:solidFill>
                          <w14:schemeClr w14:val="tx1"/>
                        </w14:solidFill>
                      </w14:textFill>
                    </w:rPr>
                  </w:pPr>
                </w:p>
              </w:tc>
              <w:tc>
                <w:tcPr>
                  <w:tcW w:w="727" w:type="pct"/>
                  <w:vMerge w:val="continue"/>
                  <w:tcBorders>
                    <w:tl2br w:val="nil"/>
                    <w:tr2bl w:val="nil"/>
                  </w:tcBorders>
                  <w:vAlign w:val="center"/>
                </w:tcPr>
                <w:p>
                  <w:pPr>
                    <w:adjustRightInd w:val="0"/>
                    <w:snapToGrid w:val="0"/>
                    <w:spacing w:beforeLines="20"/>
                    <w:jc w:val="center"/>
                    <w:rPr>
                      <w:rFonts w:hint="eastAsia"/>
                      <w:color w:val="000000" w:themeColor="text1"/>
                      <w:sz w:val="21"/>
                      <w:szCs w:val="21"/>
                      <w:highlight w:val="none"/>
                      <w:lang w:val="en-US" w:eastAsia="zh-CN"/>
                      <w14:textFill>
                        <w14:solidFill>
                          <w14:schemeClr w14:val="tx1"/>
                        </w14:solidFill>
                      </w14:textFill>
                    </w:rPr>
                  </w:pPr>
                </w:p>
              </w:tc>
              <w:tc>
                <w:tcPr>
                  <w:tcW w:w="378" w:type="pct"/>
                  <w:vMerge w:val="continue"/>
                  <w:tcBorders>
                    <w:tl2br w:val="nil"/>
                    <w:tr2bl w:val="nil"/>
                  </w:tcBorders>
                  <w:vAlign w:val="center"/>
                </w:tcPr>
                <w:p>
                  <w:pPr>
                    <w:adjustRightInd w:val="0"/>
                    <w:snapToGrid w:val="0"/>
                    <w:spacing w:beforeLines="20"/>
                    <w:jc w:val="center"/>
                    <w:rPr>
                      <w:rFonts w:hint="eastAsia"/>
                      <w:color w:val="000000" w:themeColor="text1"/>
                      <w:sz w:val="21"/>
                      <w:szCs w:val="21"/>
                      <w:highlight w:val="none"/>
                      <w:lang w:val="en-US" w:eastAsia="zh-CN"/>
                      <w14:textFill>
                        <w14:solidFill>
                          <w14:schemeClr w14:val="tx1"/>
                        </w14:solidFill>
                      </w14:textFill>
                    </w:rPr>
                  </w:pPr>
                </w:p>
              </w:tc>
              <w:tc>
                <w:tcPr>
                  <w:tcW w:w="382" w:type="pct"/>
                  <w:tcBorders>
                    <w:tl2br w:val="nil"/>
                    <w:tr2bl w:val="nil"/>
                  </w:tcBorders>
                  <w:vAlign w:val="center"/>
                </w:tcPr>
                <w:p>
                  <w:pPr>
                    <w:adjustRightInd w:val="0"/>
                    <w:snapToGrid w:val="0"/>
                    <w:spacing w:beforeLines="2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9.9</w:t>
                  </w:r>
                </w:p>
              </w:tc>
              <w:tc>
                <w:tcPr>
                  <w:tcW w:w="278" w:type="pct"/>
                  <w:vMerge w:val="continue"/>
                  <w:tcBorders>
                    <w:tl2br w:val="nil"/>
                    <w:tr2bl w:val="nil"/>
                  </w:tcBorders>
                  <w:vAlign w:val="center"/>
                </w:tcPr>
                <w:p>
                  <w:pPr>
                    <w:adjustRightInd w:val="0"/>
                    <w:snapToGrid w:val="0"/>
                    <w:spacing w:beforeLines="20"/>
                    <w:jc w:val="center"/>
                    <w:rPr>
                      <w:rFonts w:hint="default" w:eastAsia="宋体"/>
                      <w:color w:val="000000" w:themeColor="text1"/>
                      <w:sz w:val="21"/>
                      <w:szCs w:val="21"/>
                      <w:highlight w:val="none"/>
                      <w:lang w:val="en-US" w:eastAsia="zh-CN"/>
                      <w14:textFill>
                        <w14:solidFill>
                          <w14:schemeClr w14:val="tx1"/>
                        </w14:solidFill>
                      </w14:textFill>
                    </w:rPr>
                  </w:pPr>
                </w:p>
              </w:tc>
              <w:tc>
                <w:tcPr>
                  <w:tcW w:w="749" w:type="pct"/>
                  <w:vMerge w:val="continue"/>
                  <w:tcBorders>
                    <w:tl2br w:val="nil"/>
                    <w:tr2bl w:val="nil"/>
                  </w:tcBorders>
                  <w:vAlign w:val="center"/>
                </w:tcPr>
                <w:p>
                  <w:pPr>
                    <w:adjustRightInd w:val="0"/>
                    <w:snapToGrid w:val="0"/>
                    <w:spacing w:beforeLines="20"/>
                    <w:jc w:val="center"/>
                    <w:rPr>
                      <w:rFonts w:hint="default" w:eastAsia="宋体"/>
                      <w:color w:val="000000" w:themeColor="text1"/>
                      <w:sz w:val="21"/>
                      <w:szCs w:val="21"/>
                      <w:highlight w:val="none"/>
                      <w:lang w:val="en-US" w:eastAsia="zh-CN"/>
                      <w14:textFill>
                        <w14:solidFill>
                          <w14:schemeClr w14:val="tx1"/>
                        </w14:solidFill>
                      </w14:textFill>
                    </w:rPr>
                  </w:pPr>
                </w:p>
              </w:tc>
              <w:tc>
                <w:tcPr>
                  <w:tcW w:w="7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0.106</w:t>
                  </w:r>
                </w:p>
              </w:tc>
              <w:tc>
                <w:tcPr>
                  <w:tcW w:w="382" w:type="pct"/>
                  <w:tcBorders>
                    <w:tl2br w:val="nil"/>
                    <w:tr2bl w:val="nil"/>
                  </w:tcBorders>
                  <w:vAlign w:val="center"/>
                </w:tcPr>
                <w:p>
                  <w:pPr>
                    <w:adjustRightInd w:val="0"/>
                    <w:snapToGrid w:val="0"/>
                    <w:spacing w:beforeLines="2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35.3</w:t>
                  </w:r>
                </w:p>
              </w:tc>
              <w:tc>
                <w:tcPr>
                  <w:tcW w:w="278" w:type="pct"/>
                  <w:tcBorders>
                    <w:tl2br w:val="nil"/>
                    <w:tr2bl w:val="nil"/>
                  </w:tcBorders>
                  <w:vAlign w:val="center"/>
                </w:tcPr>
                <w:p>
                  <w:pPr>
                    <w:adjustRightInd w:val="0"/>
                    <w:snapToGrid w:val="0"/>
                    <w:spacing w:beforeLines="2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78" w:type="pct"/>
                  <w:vMerge w:val="continue"/>
                  <w:tcBorders>
                    <w:tl2br w:val="nil"/>
                    <w:tr2bl w:val="nil"/>
                  </w:tcBorders>
                  <w:vAlign w:val="center"/>
                </w:tcPr>
                <w:p>
                  <w:pPr>
                    <w:adjustRightInd w:val="0"/>
                    <w:snapToGrid w:val="0"/>
                    <w:spacing w:beforeLines="20"/>
                    <w:jc w:val="center"/>
                    <w:rPr>
                      <w:rFonts w:hint="eastAsia" w:eastAsia="宋体"/>
                      <w:color w:val="000000" w:themeColor="text1"/>
                      <w:sz w:val="21"/>
                      <w:szCs w:val="21"/>
                      <w:highlight w:val="none"/>
                      <w:lang w:val="en-US" w:eastAsia="zh-CN"/>
                      <w14:textFill>
                        <w14:solidFill>
                          <w14:schemeClr w14:val="tx1"/>
                        </w14:solidFill>
                      </w14:textFill>
                    </w:rPr>
                  </w:pPr>
                </w:p>
              </w:tc>
              <w:tc>
                <w:tcPr>
                  <w:tcW w:w="795" w:type="pct"/>
                  <w:vMerge w:val="continue"/>
                  <w:tcBorders>
                    <w:tl2br w:val="nil"/>
                    <w:tr2bl w:val="nil"/>
                  </w:tcBorders>
                  <w:vAlign w:val="center"/>
                </w:tcPr>
                <w:p>
                  <w:pPr>
                    <w:adjustRightInd w:val="0"/>
                    <w:snapToGrid w:val="0"/>
                    <w:spacing w:beforeLines="20"/>
                    <w:jc w:val="center"/>
                    <w:rPr>
                      <w:rFonts w:hint="eastAsia"/>
                      <w:color w:val="000000" w:themeColor="text1"/>
                      <w:sz w:val="21"/>
                      <w:szCs w:val="21"/>
                      <w:highlight w:val="none"/>
                      <w:lang w:val="en-US" w:eastAsia="zh-CN"/>
                      <w14:textFill>
                        <w14:solidFill>
                          <w14:schemeClr w14:val="tx1"/>
                        </w14:solidFill>
                      </w14:textFill>
                    </w:rPr>
                  </w:pPr>
                </w:p>
              </w:tc>
              <w:tc>
                <w:tcPr>
                  <w:tcW w:w="727" w:type="pct"/>
                  <w:vMerge w:val="continue"/>
                  <w:tcBorders>
                    <w:tl2br w:val="nil"/>
                    <w:tr2bl w:val="nil"/>
                  </w:tcBorders>
                  <w:vAlign w:val="center"/>
                </w:tcPr>
                <w:p>
                  <w:pPr>
                    <w:adjustRightInd w:val="0"/>
                    <w:snapToGrid w:val="0"/>
                    <w:spacing w:beforeLines="20"/>
                    <w:jc w:val="center"/>
                    <w:rPr>
                      <w:rFonts w:hint="eastAsia"/>
                      <w:color w:val="000000" w:themeColor="text1"/>
                      <w:sz w:val="21"/>
                      <w:szCs w:val="21"/>
                      <w:highlight w:val="none"/>
                      <w:lang w:val="en-US" w:eastAsia="zh-CN"/>
                      <w14:textFill>
                        <w14:solidFill>
                          <w14:schemeClr w14:val="tx1"/>
                        </w14:solidFill>
                      </w14:textFill>
                    </w:rPr>
                  </w:pPr>
                </w:p>
              </w:tc>
              <w:tc>
                <w:tcPr>
                  <w:tcW w:w="378" w:type="pct"/>
                  <w:vMerge w:val="continue"/>
                  <w:tcBorders>
                    <w:tl2br w:val="nil"/>
                    <w:tr2bl w:val="nil"/>
                  </w:tcBorders>
                  <w:vAlign w:val="center"/>
                </w:tcPr>
                <w:p>
                  <w:pPr>
                    <w:adjustRightInd w:val="0"/>
                    <w:snapToGrid w:val="0"/>
                    <w:spacing w:beforeLines="20"/>
                    <w:jc w:val="center"/>
                    <w:rPr>
                      <w:rFonts w:hint="eastAsia"/>
                      <w:color w:val="000000" w:themeColor="text1"/>
                      <w:sz w:val="21"/>
                      <w:szCs w:val="21"/>
                      <w:highlight w:val="none"/>
                      <w:lang w:val="en-US" w:eastAsia="zh-CN"/>
                      <w14:textFill>
                        <w14:solidFill>
                          <w14:schemeClr w14:val="tx1"/>
                        </w14:solidFill>
                      </w14:textFill>
                    </w:rPr>
                  </w:pPr>
                </w:p>
              </w:tc>
              <w:tc>
                <w:tcPr>
                  <w:tcW w:w="382" w:type="pct"/>
                  <w:tcBorders>
                    <w:tl2br w:val="nil"/>
                    <w:tr2bl w:val="nil"/>
                  </w:tcBorders>
                  <w:vAlign w:val="center"/>
                </w:tcPr>
                <w:p>
                  <w:pPr>
                    <w:adjustRightInd w:val="0"/>
                    <w:snapToGrid w:val="0"/>
                    <w:spacing w:beforeLines="2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9.10</w:t>
                  </w:r>
                </w:p>
              </w:tc>
              <w:tc>
                <w:tcPr>
                  <w:tcW w:w="278" w:type="pct"/>
                  <w:vMerge w:val="continue"/>
                  <w:tcBorders>
                    <w:tl2br w:val="nil"/>
                    <w:tr2bl w:val="nil"/>
                  </w:tcBorders>
                  <w:vAlign w:val="center"/>
                </w:tcPr>
                <w:p>
                  <w:pPr>
                    <w:adjustRightInd w:val="0"/>
                    <w:snapToGrid w:val="0"/>
                    <w:spacing w:beforeLines="20"/>
                    <w:jc w:val="center"/>
                    <w:rPr>
                      <w:rFonts w:hint="default" w:eastAsia="宋体"/>
                      <w:color w:val="000000" w:themeColor="text1"/>
                      <w:sz w:val="21"/>
                      <w:szCs w:val="21"/>
                      <w:highlight w:val="none"/>
                      <w:lang w:val="en-US" w:eastAsia="zh-CN"/>
                      <w14:textFill>
                        <w14:solidFill>
                          <w14:schemeClr w14:val="tx1"/>
                        </w14:solidFill>
                      </w14:textFill>
                    </w:rPr>
                  </w:pPr>
                </w:p>
              </w:tc>
              <w:tc>
                <w:tcPr>
                  <w:tcW w:w="749" w:type="pct"/>
                  <w:vMerge w:val="continue"/>
                  <w:tcBorders>
                    <w:tl2br w:val="nil"/>
                    <w:tr2bl w:val="nil"/>
                  </w:tcBorders>
                  <w:vAlign w:val="center"/>
                </w:tcPr>
                <w:p>
                  <w:pPr>
                    <w:adjustRightInd w:val="0"/>
                    <w:snapToGrid w:val="0"/>
                    <w:spacing w:beforeLines="20"/>
                    <w:jc w:val="center"/>
                    <w:rPr>
                      <w:rFonts w:hint="default" w:eastAsia="宋体"/>
                      <w:color w:val="000000" w:themeColor="text1"/>
                      <w:sz w:val="21"/>
                      <w:szCs w:val="21"/>
                      <w:highlight w:val="none"/>
                      <w:lang w:val="en-US" w:eastAsia="zh-CN"/>
                      <w14:textFill>
                        <w14:solidFill>
                          <w14:schemeClr w14:val="tx1"/>
                        </w14:solidFill>
                      </w14:textFill>
                    </w:rPr>
                  </w:pPr>
                </w:p>
              </w:tc>
              <w:tc>
                <w:tcPr>
                  <w:tcW w:w="7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0.105</w:t>
                  </w:r>
                </w:p>
              </w:tc>
              <w:tc>
                <w:tcPr>
                  <w:tcW w:w="382" w:type="pct"/>
                  <w:tcBorders>
                    <w:tl2br w:val="nil"/>
                    <w:tr2bl w:val="nil"/>
                  </w:tcBorders>
                  <w:vAlign w:val="center"/>
                </w:tcPr>
                <w:p>
                  <w:pPr>
                    <w:adjustRightInd w:val="0"/>
                    <w:snapToGrid w:val="0"/>
                    <w:spacing w:beforeLines="2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w:t>
                  </w:r>
                </w:p>
              </w:tc>
              <w:tc>
                <w:tcPr>
                  <w:tcW w:w="278" w:type="pct"/>
                  <w:tcBorders>
                    <w:tl2br w:val="nil"/>
                    <w:tr2bl w:val="nil"/>
                  </w:tcBorders>
                  <w:vAlign w:val="center"/>
                </w:tcPr>
                <w:p>
                  <w:pPr>
                    <w:adjustRightInd w:val="0"/>
                    <w:snapToGrid w:val="0"/>
                    <w:spacing w:beforeLines="2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snapToGrid/>
              <w:spacing w:before="100" w:line="360" w:lineRule="auto"/>
              <w:ind w:firstLine="480" w:firstLineChars="200"/>
              <w:textAlignment w:val="auto"/>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由表3-3可知，</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本项目所在区域在监测时段内TSP的24小时平均浓度满足</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《环境空气质量标准》（GB</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3095</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2012</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）表2二级浓度限值。</w:t>
            </w:r>
          </w:p>
          <w:p>
            <w:pPr>
              <w:pStyle w:val="67"/>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Chars="0" w:firstLine="482" w:firstLineChars="200"/>
              <w:contextualSpacing/>
              <w:textAlignment w:val="auto"/>
              <w:rPr>
                <w:rFonts w:hint="eastAsia"/>
                <w:b/>
                <w:color w:val="000000" w:themeColor="text1"/>
                <w:highlight w:val="none"/>
                <w:lang w:eastAsia="zh-CN"/>
                <w14:textFill>
                  <w14:solidFill>
                    <w14:schemeClr w14:val="tx1"/>
                  </w14:solidFill>
                </w14:textFill>
              </w:rPr>
            </w:pPr>
            <w:r>
              <w:rPr>
                <w:rFonts w:hint="eastAsia"/>
                <w:b/>
                <w:color w:val="000000" w:themeColor="text1"/>
                <w:highlight w:val="none"/>
                <w:lang w:eastAsia="zh-CN"/>
                <w14:textFill>
                  <w14:solidFill>
                    <w14:schemeClr w14:val="tx1"/>
                  </w14:solidFill>
                </w14:textFill>
              </w:rPr>
              <w:t>（二）水环境质量现状评价</w:t>
            </w:r>
          </w:p>
          <w:p>
            <w:pPr>
              <w:tabs>
                <w:tab w:val="left" w:pos="2700"/>
              </w:tabs>
              <w:spacing w:line="360" w:lineRule="auto"/>
              <w:ind w:firstLine="480" w:firstLineChars="200"/>
              <w:rPr>
                <w:rFonts w:ascii="Times New Roman" w:hAnsi="Times New Roman" w:eastAsia="宋体" w:cs="Times New Roman"/>
                <w:bCs/>
                <w:color w:val="auto"/>
                <w:sz w:val="24"/>
              </w:rPr>
            </w:pPr>
            <w:r>
              <w:rPr>
                <w:rFonts w:hint="default" w:ascii="Times New Roman" w:hAnsi="Times New Roman" w:eastAsia="宋体" w:cs="Times New Roman"/>
                <w:color w:val="000000" w:themeColor="text1"/>
                <w:sz w:val="24"/>
                <w:szCs w:val="24"/>
                <w:highlight w:val="none"/>
                <w:lang w:val="en-GB" w:eastAsia="zh-CN"/>
                <w14:textFill>
                  <w14:solidFill>
                    <w14:schemeClr w14:val="tx1"/>
                  </w14:solidFill>
                </w14:textFill>
              </w:rPr>
              <w:t>根据《</w:t>
            </w:r>
            <w:r>
              <w:rPr>
                <w:rFonts w:hint="eastAsia" w:ascii="Times New Roman" w:hAnsi="Times New Roman" w:eastAsia="宋体" w:cs="Times New Roman"/>
                <w:color w:val="000000" w:themeColor="text1"/>
                <w:sz w:val="24"/>
                <w:szCs w:val="24"/>
                <w:highlight w:val="none"/>
                <w:lang w:val="en-GB" w:eastAsia="zh-CN"/>
                <w14:textFill>
                  <w14:solidFill>
                    <w14:schemeClr w14:val="tx1"/>
                  </w14:solidFill>
                </w14:textFill>
              </w:rPr>
              <w:t>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GB" w:eastAsia="zh-CN"/>
                <w14:textFill>
                  <w14:solidFill>
                    <w14:schemeClr w14:val="tx1"/>
                  </w14:solidFill>
                </w14:textFill>
              </w:rPr>
              <w:t>年绥化市环境质量年报</w:t>
            </w:r>
            <w:r>
              <w:rPr>
                <w:rFonts w:hint="default" w:ascii="Times New Roman" w:hAnsi="Times New Roman" w:eastAsia="宋体" w:cs="Times New Roman"/>
                <w:color w:val="000000" w:themeColor="text1"/>
                <w:sz w:val="24"/>
                <w:szCs w:val="24"/>
                <w:highlight w:val="none"/>
                <w:lang w:val="en-GB"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我市的10个断面中1～12月水质类别为Ⅲ类的断面4个，为绥望桥断面、安邦河大桥断面、扎音河入通肯河口断面、朱顺屯断面；水质类别为Ⅳ类的断面5个，分别为榆林镇鞍山屯断面、努敏河绥化市断面、通肯河大桥断面、朝鲜屯断面、泥河水库断面；水质类别为劣Ⅴ类断面1个，为肇东金山村断面，本项目位于庆安县同乐乡政府南原同乐制砖厂，附近水体检测断面为安邦河大桥断面，</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达到了Ⅲ类水质目标水体功能区规划目标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67"/>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Chars="0" w:firstLine="482" w:firstLineChars="200"/>
              <w:contextualSpacing/>
              <w:textAlignment w:val="auto"/>
              <w:rPr>
                <w:rFonts w:hint="eastAsia"/>
                <w:b/>
                <w:color w:val="000000" w:themeColor="text1"/>
                <w:highlight w:val="none"/>
                <w:lang w:eastAsia="zh-CN"/>
                <w14:textFill>
                  <w14:solidFill>
                    <w14:schemeClr w14:val="tx1"/>
                  </w14:solidFill>
                </w14:textFill>
              </w:rPr>
            </w:pPr>
            <w:r>
              <w:rPr>
                <w:rFonts w:hint="eastAsia"/>
                <w:b/>
                <w:color w:val="000000" w:themeColor="text1"/>
                <w:highlight w:val="none"/>
                <w:lang w:eastAsia="zh-CN"/>
                <w14:textFill>
                  <w14:solidFill>
                    <w14:schemeClr w14:val="tx1"/>
                  </w14:solidFill>
                </w14:textFill>
              </w:rPr>
              <w:t>（三）声</w:t>
            </w:r>
            <w:r>
              <w:rPr>
                <w:rFonts w:hint="eastAsia" w:ascii="Times New Roman" w:hAnsi="Times New Roman" w:eastAsia="宋体" w:cs="Times New Roman"/>
                <w:b/>
                <w:color w:val="000000" w:themeColor="text1"/>
                <w:highlight w:val="none"/>
                <w:lang w:eastAsia="zh-CN"/>
                <w14:textFill>
                  <w14:solidFill>
                    <w14:schemeClr w14:val="tx1"/>
                  </w14:solidFill>
                </w14:textFill>
              </w:rPr>
              <w:t>环境质量现</w:t>
            </w:r>
            <w:r>
              <w:rPr>
                <w:rFonts w:hint="eastAsia"/>
                <w:b/>
                <w:color w:val="000000" w:themeColor="text1"/>
                <w:highlight w:val="none"/>
                <w:lang w:eastAsia="zh-CN"/>
                <w14:textFill>
                  <w14:solidFill>
                    <w14:schemeClr w14:val="tx1"/>
                  </w14:solidFill>
                </w14:textFill>
              </w:rPr>
              <w:t>状评价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color w:val="auto"/>
                <w:kern w:val="0"/>
                <w:sz w:val="24"/>
                <w:szCs w:val="24"/>
                <w:highlight w:val="none"/>
                <w:lang w:val="en-US" w:eastAsia="zh-CN" w:bidi="ar-SA"/>
              </w:rPr>
            </w:pPr>
            <w:r>
              <w:rPr>
                <w:rFonts w:hint="eastAsia" w:ascii="Times New Roman" w:hAnsi="Times New Roman" w:eastAsia="宋体" w:cs="Times New Roman"/>
                <w:b w:val="0"/>
                <w:bCs/>
                <w:color w:val="auto"/>
                <w:kern w:val="0"/>
                <w:sz w:val="24"/>
                <w:szCs w:val="24"/>
                <w:highlight w:val="none"/>
                <w:lang w:val="en-US" w:eastAsia="zh-CN" w:bidi="ar-SA"/>
              </w:rPr>
              <w:t>根据《</w:t>
            </w:r>
            <w:r>
              <w:rPr>
                <w:rFonts w:hint="default" w:ascii="Times New Roman" w:hAnsi="Times New Roman" w:eastAsia="宋体" w:cs="Times New Roman"/>
                <w:b w:val="0"/>
                <w:bCs/>
                <w:color w:val="auto"/>
                <w:kern w:val="0"/>
                <w:sz w:val="24"/>
                <w:szCs w:val="24"/>
                <w:highlight w:val="none"/>
                <w:lang w:val="en-US" w:eastAsia="zh-CN" w:bidi="ar-SA"/>
              </w:rPr>
              <w:t>建设项目环境影响报告表编制技术指南（污染影响类）（试行）</w:t>
            </w:r>
            <w:r>
              <w:rPr>
                <w:rFonts w:hint="eastAsia" w:ascii="Times New Roman" w:hAnsi="Times New Roman" w:eastAsia="宋体" w:cs="Times New Roman"/>
                <w:b w:val="0"/>
                <w:bCs/>
                <w:color w:val="auto"/>
                <w:kern w:val="0"/>
                <w:sz w:val="24"/>
                <w:szCs w:val="24"/>
                <w:highlight w:val="none"/>
                <w:lang w:val="en-US" w:eastAsia="zh-CN" w:bidi="ar-SA"/>
              </w:rPr>
              <w:t>》要求，本次评价委托黑龙江泓泽检测评价有限公司对项目周边50m范围内的声环境保护目标进行声环境质量检测。检测结果见下表。</w:t>
            </w:r>
          </w:p>
          <w:p>
            <w:pPr>
              <w:spacing w:line="360" w:lineRule="auto"/>
              <w:jc w:val="center"/>
              <w:rPr>
                <w:rFonts w:ascii="Times New Roman" w:hAnsi="Times New Roman" w:cs="Times New Roman"/>
                <w:b/>
                <w:color w:val="auto"/>
                <w:sz w:val="24"/>
                <w:highlight w:val="yellow"/>
              </w:rPr>
            </w:pPr>
            <w:r>
              <w:rPr>
                <w:rFonts w:ascii="Times New Roman" w:hAnsi="Times New Roman" w:cs="Times New Roman"/>
                <w:b/>
                <w:color w:val="auto"/>
                <w:sz w:val="24"/>
                <w:highlight w:val="yellow"/>
              </w:rPr>
              <w:t>表3-</w:t>
            </w:r>
            <w:r>
              <w:rPr>
                <w:rFonts w:hint="eastAsia" w:ascii="Times New Roman" w:hAnsi="Times New Roman" w:cs="Times New Roman"/>
                <w:b/>
                <w:color w:val="auto"/>
                <w:sz w:val="24"/>
                <w:highlight w:val="yellow"/>
                <w:lang w:val="en-US" w:eastAsia="zh-CN"/>
              </w:rPr>
              <w:t>2</w:t>
            </w:r>
            <w:r>
              <w:rPr>
                <w:rFonts w:ascii="Times New Roman" w:hAnsi="Times New Roman" w:cs="Times New Roman"/>
                <w:b/>
                <w:color w:val="auto"/>
                <w:sz w:val="24"/>
                <w:highlight w:val="yellow"/>
              </w:rPr>
              <w:t xml:space="preserve"> 噪声检测结果  单位：dB（A）</w:t>
            </w:r>
          </w:p>
          <w:tbl>
            <w:tblPr>
              <w:tblStyle w:val="31"/>
              <w:tblW w:w="889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675"/>
              <w:gridCol w:w="1203"/>
              <w:gridCol w:w="1204"/>
              <w:gridCol w:w="1203"/>
              <w:gridCol w:w="1204"/>
              <w:gridCol w:w="1203"/>
              <w:gridCol w:w="120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0" w:hRule="atLeast"/>
                <w:jc w:val="center"/>
              </w:trPr>
              <w:tc>
                <w:tcPr>
                  <w:tcW w:w="1675" w:type="dxa"/>
                  <w:vMerge w:val="restart"/>
                  <w:tcBorders>
                    <w:tl2br w:val="nil"/>
                    <w:tr2bl w:val="nil"/>
                  </w:tcBorders>
                  <w:noWrap w:val="0"/>
                  <w:vAlign w:val="center"/>
                </w:tcPr>
                <w:p>
                  <w:pPr>
                    <w:jc w:val="center"/>
                    <w:rPr>
                      <w:rFonts w:hint="eastAsia" w:ascii="Times New Roman" w:hAnsi="Times New Roman" w:eastAsia="宋体" w:cs="Times New Roman"/>
                      <w:color w:val="auto"/>
                      <w:szCs w:val="21"/>
                      <w:highlight w:val="yellow"/>
                      <w:lang w:eastAsia="zh-CN"/>
                    </w:rPr>
                  </w:pPr>
                  <w:r>
                    <w:rPr>
                      <w:rFonts w:hint="eastAsia" w:ascii="Times New Roman" w:hAnsi="Times New Roman" w:eastAsia="宋体" w:cs="Times New Roman"/>
                      <w:color w:val="auto"/>
                      <w:szCs w:val="21"/>
                      <w:highlight w:val="yellow"/>
                    </w:rPr>
                    <w:t>监测</w:t>
                  </w:r>
                  <w:r>
                    <w:rPr>
                      <w:rFonts w:hint="eastAsia" w:ascii="Times New Roman" w:hAnsi="Times New Roman" w:eastAsia="宋体" w:cs="Times New Roman"/>
                      <w:color w:val="auto"/>
                      <w:szCs w:val="21"/>
                      <w:highlight w:val="yellow"/>
                      <w:lang w:eastAsia="zh-CN"/>
                    </w:rPr>
                    <w:t>点位</w:t>
                  </w:r>
                </w:p>
              </w:tc>
              <w:tc>
                <w:tcPr>
                  <w:tcW w:w="2407" w:type="dxa"/>
                  <w:gridSpan w:val="2"/>
                  <w:tcBorders>
                    <w:tl2br w:val="nil"/>
                    <w:tr2bl w:val="nil"/>
                  </w:tcBorders>
                  <w:noWrap w:val="0"/>
                  <w:vAlign w:val="center"/>
                </w:tcPr>
                <w:p>
                  <w:pPr>
                    <w:spacing w:line="240" w:lineRule="auto"/>
                    <w:jc w:val="center"/>
                    <w:rPr>
                      <w:rFonts w:ascii="Times New Roman" w:hAnsi="Times New Roman" w:eastAsia="宋体" w:cs="Times New Roman"/>
                      <w:color w:val="auto"/>
                      <w:szCs w:val="21"/>
                      <w:highlight w:val="yellow"/>
                    </w:rPr>
                  </w:pPr>
                  <w:r>
                    <w:rPr>
                      <w:rFonts w:hint="eastAsia" w:ascii="Times New Roman" w:hAnsi="Times New Roman" w:eastAsia="宋体" w:cs="Times New Roman"/>
                      <w:b w:val="0"/>
                      <w:bCs w:val="0"/>
                      <w:color w:val="auto"/>
                      <w:sz w:val="21"/>
                      <w:szCs w:val="21"/>
                      <w:highlight w:val="yellow"/>
                      <w:u w:val="none"/>
                      <w:vertAlign w:val="baseline"/>
                      <w:lang w:val="en-US" w:eastAsia="zh-CN"/>
                    </w:rPr>
                    <w:t>2023年</w:t>
                  </w:r>
                  <w:r>
                    <w:rPr>
                      <w:rFonts w:hint="eastAsia" w:cs="Times New Roman"/>
                      <w:b w:val="0"/>
                      <w:bCs w:val="0"/>
                      <w:color w:val="auto"/>
                      <w:sz w:val="21"/>
                      <w:szCs w:val="21"/>
                      <w:highlight w:val="yellow"/>
                      <w:u w:val="none"/>
                      <w:vertAlign w:val="baseline"/>
                      <w:lang w:val="en-US" w:eastAsia="zh-CN"/>
                    </w:rPr>
                    <w:t>09</w:t>
                  </w:r>
                  <w:r>
                    <w:rPr>
                      <w:rFonts w:hint="eastAsia" w:ascii="Times New Roman" w:hAnsi="Times New Roman" w:eastAsia="宋体" w:cs="Times New Roman"/>
                      <w:b w:val="0"/>
                      <w:bCs w:val="0"/>
                      <w:color w:val="auto"/>
                      <w:sz w:val="21"/>
                      <w:szCs w:val="21"/>
                      <w:highlight w:val="yellow"/>
                      <w:u w:val="none"/>
                      <w:vertAlign w:val="baseline"/>
                      <w:lang w:val="en-US" w:eastAsia="zh-CN"/>
                    </w:rPr>
                    <w:t>月</w:t>
                  </w:r>
                  <w:r>
                    <w:rPr>
                      <w:rFonts w:hint="eastAsia" w:cs="Times New Roman"/>
                      <w:b w:val="0"/>
                      <w:bCs w:val="0"/>
                      <w:color w:val="auto"/>
                      <w:sz w:val="21"/>
                      <w:szCs w:val="21"/>
                      <w:highlight w:val="yellow"/>
                      <w:u w:val="none"/>
                      <w:vertAlign w:val="baseline"/>
                      <w:lang w:val="en-US" w:eastAsia="zh-CN"/>
                    </w:rPr>
                    <w:t>08</w:t>
                  </w:r>
                  <w:r>
                    <w:rPr>
                      <w:rFonts w:hint="eastAsia" w:ascii="Times New Roman" w:hAnsi="Times New Roman" w:eastAsia="宋体" w:cs="Times New Roman"/>
                      <w:b w:val="0"/>
                      <w:bCs w:val="0"/>
                      <w:color w:val="auto"/>
                      <w:sz w:val="21"/>
                      <w:szCs w:val="21"/>
                      <w:highlight w:val="yellow"/>
                      <w:u w:val="none"/>
                      <w:vertAlign w:val="baseline"/>
                      <w:lang w:val="en-US" w:eastAsia="zh-CN"/>
                    </w:rPr>
                    <w:t>日</w:t>
                  </w:r>
                </w:p>
              </w:tc>
              <w:tc>
                <w:tcPr>
                  <w:tcW w:w="2407" w:type="dxa"/>
                  <w:gridSpan w:val="2"/>
                  <w:tcBorders>
                    <w:tl2br w:val="nil"/>
                    <w:tr2bl w:val="nil"/>
                  </w:tcBorders>
                  <w:noWrap w:val="0"/>
                  <w:vAlign w:val="center"/>
                </w:tcPr>
                <w:p>
                  <w:pPr>
                    <w:spacing w:line="240" w:lineRule="auto"/>
                    <w:jc w:val="center"/>
                    <w:rPr>
                      <w:rFonts w:hint="eastAsia" w:ascii="Times New Roman" w:hAnsi="Times New Roman" w:eastAsia="宋体" w:cs="Times New Roman"/>
                      <w:b w:val="0"/>
                      <w:bCs w:val="0"/>
                      <w:color w:val="auto"/>
                      <w:sz w:val="21"/>
                      <w:szCs w:val="21"/>
                      <w:highlight w:val="yellow"/>
                      <w:u w:val="none"/>
                      <w:vertAlign w:val="baseline"/>
                      <w:lang w:val="en-US" w:eastAsia="zh-CN"/>
                    </w:rPr>
                  </w:pPr>
                  <w:r>
                    <w:rPr>
                      <w:rFonts w:hint="eastAsia" w:ascii="Times New Roman" w:hAnsi="Times New Roman" w:eastAsia="宋体" w:cs="Times New Roman"/>
                      <w:b w:val="0"/>
                      <w:bCs w:val="0"/>
                      <w:color w:val="auto"/>
                      <w:sz w:val="21"/>
                      <w:szCs w:val="21"/>
                      <w:highlight w:val="yellow"/>
                      <w:u w:val="none"/>
                      <w:vertAlign w:val="baseline"/>
                      <w:lang w:val="en-US" w:eastAsia="zh-CN"/>
                    </w:rPr>
                    <w:t>2023年</w:t>
                  </w:r>
                  <w:r>
                    <w:rPr>
                      <w:rFonts w:hint="eastAsia" w:cs="Times New Roman"/>
                      <w:b w:val="0"/>
                      <w:bCs w:val="0"/>
                      <w:color w:val="auto"/>
                      <w:sz w:val="21"/>
                      <w:szCs w:val="21"/>
                      <w:highlight w:val="yellow"/>
                      <w:u w:val="none"/>
                      <w:vertAlign w:val="baseline"/>
                      <w:lang w:val="en-US" w:eastAsia="zh-CN"/>
                    </w:rPr>
                    <w:t>09</w:t>
                  </w:r>
                  <w:r>
                    <w:rPr>
                      <w:rFonts w:hint="eastAsia" w:ascii="Times New Roman" w:hAnsi="Times New Roman" w:eastAsia="宋体" w:cs="Times New Roman"/>
                      <w:b w:val="0"/>
                      <w:bCs w:val="0"/>
                      <w:color w:val="auto"/>
                      <w:sz w:val="21"/>
                      <w:szCs w:val="21"/>
                      <w:highlight w:val="yellow"/>
                      <w:u w:val="none"/>
                      <w:vertAlign w:val="baseline"/>
                      <w:lang w:val="en-US" w:eastAsia="zh-CN"/>
                    </w:rPr>
                    <w:t>月</w:t>
                  </w:r>
                  <w:r>
                    <w:rPr>
                      <w:rFonts w:hint="eastAsia" w:cs="Times New Roman"/>
                      <w:b w:val="0"/>
                      <w:bCs w:val="0"/>
                      <w:color w:val="auto"/>
                      <w:sz w:val="21"/>
                      <w:szCs w:val="21"/>
                      <w:highlight w:val="yellow"/>
                      <w:u w:val="none"/>
                      <w:vertAlign w:val="baseline"/>
                      <w:lang w:val="en-US" w:eastAsia="zh-CN"/>
                    </w:rPr>
                    <w:t>09</w:t>
                  </w:r>
                  <w:r>
                    <w:rPr>
                      <w:rFonts w:hint="eastAsia" w:ascii="Times New Roman" w:hAnsi="Times New Roman" w:eastAsia="宋体" w:cs="Times New Roman"/>
                      <w:b w:val="0"/>
                      <w:bCs w:val="0"/>
                      <w:color w:val="auto"/>
                      <w:sz w:val="21"/>
                      <w:szCs w:val="21"/>
                      <w:highlight w:val="yellow"/>
                      <w:u w:val="none"/>
                      <w:vertAlign w:val="baseline"/>
                      <w:lang w:val="en-US" w:eastAsia="zh-CN"/>
                    </w:rPr>
                    <w:t>日</w:t>
                  </w:r>
                </w:p>
              </w:tc>
              <w:tc>
                <w:tcPr>
                  <w:tcW w:w="2407" w:type="dxa"/>
                  <w:gridSpan w:val="2"/>
                  <w:tcBorders>
                    <w:tl2br w:val="nil"/>
                    <w:tr2bl w:val="nil"/>
                  </w:tcBorders>
                  <w:noWrap w:val="0"/>
                  <w:vAlign w:val="center"/>
                </w:tcPr>
                <w:p>
                  <w:pPr>
                    <w:jc w:val="center"/>
                    <w:rPr>
                      <w:rFonts w:ascii="Times New Roman" w:hAnsi="Times New Roman" w:eastAsia="宋体" w:cs="Times New Roman"/>
                      <w:color w:val="auto"/>
                      <w:szCs w:val="21"/>
                      <w:highlight w:val="yellow"/>
                    </w:rPr>
                  </w:pPr>
                  <w:r>
                    <w:rPr>
                      <w:rFonts w:hint="eastAsia" w:ascii="Times New Roman" w:hAnsi="Times New Roman" w:eastAsia="宋体" w:cs="Times New Roman"/>
                      <w:color w:val="auto"/>
                      <w:szCs w:val="21"/>
                      <w:highlight w:val="yellow"/>
                    </w:rPr>
                    <w:t>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0" w:hRule="atLeast"/>
                <w:jc w:val="center"/>
              </w:trPr>
              <w:tc>
                <w:tcPr>
                  <w:tcW w:w="1675" w:type="dxa"/>
                  <w:vMerge w:val="continue"/>
                  <w:tcBorders>
                    <w:tl2br w:val="nil"/>
                    <w:tr2bl w:val="nil"/>
                  </w:tcBorders>
                  <w:noWrap w:val="0"/>
                  <w:vAlign w:val="center"/>
                </w:tcPr>
                <w:p>
                  <w:pPr>
                    <w:jc w:val="center"/>
                    <w:rPr>
                      <w:rFonts w:ascii="Times New Roman" w:hAnsi="Times New Roman" w:eastAsia="宋体" w:cs="Times New Roman"/>
                      <w:color w:val="auto"/>
                      <w:szCs w:val="21"/>
                      <w:highlight w:val="none"/>
                    </w:rPr>
                  </w:pPr>
                </w:p>
              </w:tc>
              <w:tc>
                <w:tcPr>
                  <w:tcW w:w="1203" w:type="dxa"/>
                  <w:tcBorders>
                    <w:tl2br w:val="nil"/>
                    <w:tr2bl w:val="nil"/>
                  </w:tcBorders>
                  <w:noWrap w:val="0"/>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昼间</w:t>
                  </w:r>
                </w:p>
              </w:tc>
              <w:tc>
                <w:tcPr>
                  <w:tcW w:w="1204" w:type="dxa"/>
                  <w:tcBorders>
                    <w:tl2br w:val="nil"/>
                    <w:tr2bl w:val="nil"/>
                  </w:tcBorders>
                  <w:noWrap w:val="0"/>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夜间</w:t>
                  </w:r>
                </w:p>
              </w:tc>
              <w:tc>
                <w:tcPr>
                  <w:tcW w:w="1203" w:type="dxa"/>
                  <w:tcBorders>
                    <w:tl2br w:val="nil"/>
                    <w:tr2bl w:val="nil"/>
                  </w:tcBorders>
                  <w:noWrap w:val="0"/>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昼间</w:t>
                  </w:r>
                </w:p>
              </w:tc>
              <w:tc>
                <w:tcPr>
                  <w:tcW w:w="1204" w:type="dxa"/>
                  <w:tcBorders>
                    <w:tl2br w:val="nil"/>
                    <w:tr2bl w:val="nil"/>
                  </w:tcBorders>
                  <w:noWrap w:val="0"/>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夜间</w:t>
                  </w:r>
                </w:p>
              </w:tc>
              <w:tc>
                <w:tcPr>
                  <w:tcW w:w="1203" w:type="dxa"/>
                  <w:tcBorders>
                    <w:tl2br w:val="nil"/>
                    <w:tr2bl w:val="nil"/>
                  </w:tcBorders>
                  <w:noWrap w:val="0"/>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昼间</w:t>
                  </w:r>
                </w:p>
              </w:tc>
              <w:tc>
                <w:tcPr>
                  <w:tcW w:w="1204" w:type="dxa"/>
                  <w:tcBorders>
                    <w:tl2br w:val="nil"/>
                    <w:tr2bl w:val="nil"/>
                  </w:tcBorders>
                  <w:noWrap w:val="0"/>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0" w:hRule="atLeast"/>
                <w:jc w:val="center"/>
              </w:trPr>
              <w:tc>
                <w:tcPr>
                  <w:tcW w:w="167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N1</w:t>
                  </w:r>
                  <w:r>
                    <w:rPr>
                      <w:rFonts w:hint="eastAsia" w:ascii="Times New Roman" w:hAnsi="Times New Roman" w:eastAsia="宋体" w:cs="Times New Roman"/>
                      <w:color w:val="auto"/>
                      <w:szCs w:val="21"/>
                      <w:highlight w:val="none"/>
                      <w:lang w:val="en-US" w:eastAsia="zh-CN"/>
                    </w:rPr>
                    <w:t>厂界北侧</w:t>
                  </w:r>
                  <w:r>
                    <w:rPr>
                      <w:rFonts w:hint="eastAsia" w:cs="Times New Roman"/>
                      <w:color w:val="auto"/>
                      <w:szCs w:val="21"/>
                      <w:highlight w:val="none"/>
                      <w:lang w:val="en-US" w:eastAsia="zh-CN"/>
                    </w:rPr>
                    <w:t>1m</w:t>
                  </w:r>
                </w:p>
              </w:tc>
              <w:tc>
                <w:tcPr>
                  <w:tcW w:w="1203"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53</w:t>
                  </w:r>
                </w:p>
              </w:tc>
              <w:tc>
                <w:tcPr>
                  <w:tcW w:w="1204"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44</w:t>
                  </w:r>
                </w:p>
              </w:tc>
              <w:tc>
                <w:tcPr>
                  <w:tcW w:w="1203"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w:t>
                  </w:r>
                </w:p>
              </w:tc>
              <w:tc>
                <w:tcPr>
                  <w:tcW w:w="1204"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42</w:t>
                  </w:r>
                </w:p>
              </w:tc>
              <w:tc>
                <w:tcPr>
                  <w:tcW w:w="1203"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60</w:t>
                  </w:r>
                </w:p>
              </w:tc>
              <w:tc>
                <w:tcPr>
                  <w:tcW w:w="1204"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0" w:hRule="atLeast"/>
                <w:jc w:val="center"/>
              </w:trPr>
              <w:tc>
                <w:tcPr>
                  <w:tcW w:w="167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N2</w:t>
                  </w:r>
                  <w:r>
                    <w:rPr>
                      <w:rFonts w:hint="eastAsia" w:ascii="Times New Roman" w:hAnsi="Times New Roman" w:eastAsia="宋体" w:cs="Times New Roman"/>
                      <w:color w:val="auto"/>
                      <w:szCs w:val="21"/>
                      <w:highlight w:val="none"/>
                      <w:lang w:val="en-US" w:eastAsia="zh-CN"/>
                    </w:rPr>
                    <w:t>厂界东侧</w:t>
                  </w:r>
                  <w:r>
                    <w:rPr>
                      <w:rFonts w:hint="eastAsia" w:cs="Times New Roman"/>
                      <w:color w:val="auto"/>
                      <w:szCs w:val="21"/>
                      <w:highlight w:val="none"/>
                      <w:lang w:val="en-US" w:eastAsia="zh-CN"/>
                    </w:rPr>
                    <w:t>1m</w:t>
                  </w:r>
                </w:p>
              </w:tc>
              <w:tc>
                <w:tcPr>
                  <w:tcW w:w="1203"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52</w:t>
                  </w:r>
                </w:p>
              </w:tc>
              <w:tc>
                <w:tcPr>
                  <w:tcW w:w="1204"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41</w:t>
                  </w:r>
                </w:p>
              </w:tc>
              <w:tc>
                <w:tcPr>
                  <w:tcW w:w="1203"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52</w:t>
                  </w:r>
                </w:p>
              </w:tc>
              <w:tc>
                <w:tcPr>
                  <w:tcW w:w="1204" w:type="dxa"/>
                  <w:tcBorders>
                    <w:tl2br w:val="nil"/>
                    <w:tr2bl w:val="nil"/>
                  </w:tcBorders>
                  <w:noWrap w:val="0"/>
                  <w:vAlign w:val="center"/>
                </w:tcPr>
                <w:p>
                  <w:pPr>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41</w:t>
                  </w:r>
                </w:p>
              </w:tc>
              <w:tc>
                <w:tcPr>
                  <w:tcW w:w="1203"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rPr>
                  </w:pPr>
                  <w:r>
                    <w:rPr>
                      <w:rFonts w:hint="eastAsia" w:cs="Times New Roman"/>
                      <w:color w:val="auto"/>
                      <w:szCs w:val="21"/>
                      <w:highlight w:val="none"/>
                      <w:lang w:val="en-US" w:eastAsia="zh-CN"/>
                    </w:rPr>
                    <w:t>60</w:t>
                  </w:r>
                </w:p>
              </w:tc>
              <w:tc>
                <w:tcPr>
                  <w:tcW w:w="1204"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rPr>
                  </w:pPr>
                  <w:r>
                    <w:rPr>
                      <w:rFonts w:hint="eastAsia" w:cs="Times New Roman"/>
                      <w:color w:val="auto"/>
                      <w:szCs w:val="21"/>
                      <w:highlight w:val="no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0" w:hRule="atLeast"/>
                <w:jc w:val="center"/>
              </w:trPr>
              <w:tc>
                <w:tcPr>
                  <w:tcW w:w="167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N3</w:t>
                  </w:r>
                  <w:r>
                    <w:rPr>
                      <w:rFonts w:hint="eastAsia" w:ascii="Times New Roman" w:hAnsi="Times New Roman" w:eastAsia="宋体" w:cs="Times New Roman"/>
                      <w:color w:val="auto"/>
                      <w:szCs w:val="21"/>
                      <w:highlight w:val="none"/>
                      <w:lang w:val="en-US" w:eastAsia="zh-CN"/>
                    </w:rPr>
                    <w:t>厂界南侧</w:t>
                  </w:r>
                  <w:r>
                    <w:rPr>
                      <w:rFonts w:hint="eastAsia" w:cs="Times New Roman"/>
                      <w:color w:val="auto"/>
                      <w:szCs w:val="21"/>
                      <w:highlight w:val="none"/>
                      <w:lang w:val="en-US" w:eastAsia="zh-CN"/>
                    </w:rPr>
                    <w:t>1m</w:t>
                  </w:r>
                </w:p>
              </w:tc>
              <w:tc>
                <w:tcPr>
                  <w:tcW w:w="1203"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51</w:t>
                  </w:r>
                </w:p>
              </w:tc>
              <w:tc>
                <w:tcPr>
                  <w:tcW w:w="1204"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43</w:t>
                  </w:r>
                </w:p>
              </w:tc>
              <w:tc>
                <w:tcPr>
                  <w:tcW w:w="1203"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51</w:t>
                  </w:r>
                </w:p>
              </w:tc>
              <w:tc>
                <w:tcPr>
                  <w:tcW w:w="1204"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43</w:t>
                  </w:r>
                </w:p>
              </w:tc>
              <w:tc>
                <w:tcPr>
                  <w:tcW w:w="1203"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rPr>
                  </w:pPr>
                  <w:r>
                    <w:rPr>
                      <w:rFonts w:hint="eastAsia" w:cs="Times New Roman"/>
                      <w:color w:val="auto"/>
                      <w:szCs w:val="21"/>
                      <w:highlight w:val="none"/>
                      <w:lang w:val="en-US" w:eastAsia="zh-CN"/>
                    </w:rPr>
                    <w:t>60</w:t>
                  </w:r>
                </w:p>
              </w:tc>
              <w:tc>
                <w:tcPr>
                  <w:tcW w:w="1204"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rPr>
                  </w:pPr>
                  <w:r>
                    <w:rPr>
                      <w:rFonts w:hint="eastAsia" w:cs="Times New Roman"/>
                      <w:color w:val="auto"/>
                      <w:szCs w:val="21"/>
                      <w:highlight w:val="no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0" w:hRule="atLeast"/>
                <w:jc w:val="center"/>
              </w:trPr>
              <w:tc>
                <w:tcPr>
                  <w:tcW w:w="167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N4厂界西侧</w:t>
                  </w:r>
                  <w:r>
                    <w:rPr>
                      <w:rFonts w:hint="eastAsia" w:cs="Times New Roman"/>
                      <w:color w:val="auto"/>
                      <w:szCs w:val="21"/>
                      <w:highlight w:val="none"/>
                      <w:lang w:val="en-US" w:eastAsia="zh-CN"/>
                    </w:rPr>
                    <w:t>1m</w:t>
                  </w:r>
                </w:p>
              </w:tc>
              <w:tc>
                <w:tcPr>
                  <w:tcW w:w="1203"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w:t>
                  </w:r>
                </w:p>
              </w:tc>
              <w:tc>
                <w:tcPr>
                  <w:tcW w:w="1204"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42</w:t>
                  </w:r>
                </w:p>
              </w:tc>
              <w:tc>
                <w:tcPr>
                  <w:tcW w:w="1203"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w:t>
                  </w:r>
                </w:p>
              </w:tc>
              <w:tc>
                <w:tcPr>
                  <w:tcW w:w="1204"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40</w:t>
                  </w:r>
                </w:p>
              </w:tc>
              <w:tc>
                <w:tcPr>
                  <w:tcW w:w="1203" w:type="dxa"/>
                  <w:tcBorders>
                    <w:tl2br w:val="nil"/>
                    <w:tr2bl w:val="nil"/>
                  </w:tcBorders>
                  <w:noWrap w:val="0"/>
                  <w:vAlign w:val="center"/>
                </w:tcPr>
                <w:p>
                  <w:pPr>
                    <w:jc w:val="center"/>
                    <w:rPr>
                      <w:rFonts w:hint="default" w:eastAsia="宋体"/>
                      <w:color w:val="auto"/>
                      <w:sz w:val="21"/>
                      <w:highlight w:val="none"/>
                      <w:lang w:val="en-US" w:eastAsia="zh-CN"/>
                    </w:rPr>
                  </w:pPr>
                  <w:r>
                    <w:rPr>
                      <w:rFonts w:hint="eastAsia"/>
                      <w:color w:val="auto"/>
                      <w:sz w:val="21"/>
                      <w:highlight w:val="none"/>
                      <w:lang w:val="en-US" w:eastAsia="zh-CN"/>
                    </w:rPr>
                    <w:t>60</w:t>
                  </w:r>
                </w:p>
              </w:tc>
              <w:tc>
                <w:tcPr>
                  <w:tcW w:w="1204"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w:t>
                  </w:r>
                </w:p>
              </w:tc>
            </w:tr>
          </w:tbl>
          <w:p>
            <w:pPr>
              <w:pStyle w:val="67"/>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Chars="0" w:firstLine="482" w:firstLineChars="200"/>
              <w:contextualSpacing/>
              <w:textAlignment w:val="auto"/>
              <w:rPr>
                <w:rFonts w:hint="eastAsia" w:ascii="Times New Roman" w:hAnsi="Times New Roman" w:eastAsia="宋体" w:cs="Times New Roman"/>
                <w:b/>
                <w:color w:val="000000" w:themeColor="text1"/>
                <w:highlight w:val="none"/>
                <w:lang w:eastAsia="zh-CN"/>
                <w14:textFill>
                  <w14:solidFill>
                    <w14:schemeClr w14:val="tx1"/>
                  </w14:solidFill>
                </w14:textFill>
              </w:rPr>
            </w:pPr>
            <w:r>
              <w:rPr>
                <w:rFonts w:hint="eastAsia" w:cs="Times New Roman"/>
                <w:b/>
                <w:color w:val="000000" w:themeColor="text1"/>
                <w:highlight w:val="none"/>
                <w:lang w:eastAsia="zh-CN"/>
                <w14:textFill>
                  <w14:solidFill>
                    <w14:schemeClr w14:val="tx1"/>
                  </w14:solidFill>
                </w14:textFill>
              </w:rPr>
              <w:t>（四）</w:t>
            </w:r>
            <w:r>
              <w:rPr>
                <w:rFonts w:hint="eastAsia" w:ascii="Times New Roman" w:hAnsi="Times New Roman" w:eastAsia="宋体" w:cs="Times New Roman"/>
                <w:b/>
                <w:color w:val="000000" w:themeColor="text1"/>
                <w:highlight w:val="none"/>
                <w:lang w:eastAsia="zh-CN"/>
                <w14:textFill>
                  <w14:solidFill>
                    <w14:schemeClr w14:val="tx1"/>
                  </w14:solidFill>
                </w14:textFill>
              </w:rPr>
              <w:t>生态环境质量现状评价</w:t>
            </w:r>
          </w:p>
          <w:p>
            <w:pPr>
              <w:spacing w:line="360" w:lineRule="auto"/>
              <w:ind w:firstLine="480" w:firstLineChars="200"/>
              <w:contextualSpacing/>
              <w:jc w:val="left"/>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本项目</w:t>
            </w:r>
            <w:r>
              <w:rPr>
                <w:rFonts w:hint="eastAsia"/>
                <w:color w:val="000000" w:themeColor="text1"/>
                <w:kern w:val="0"/>
                <w:sz w:val="24"/>
                <w:highlight w:val="none"/>
                <w:lang w:val="en-US" w:eastAsia="zh-CN"/>
                <w14:textFill>
                  <w14:solidFill>
                    <w14:schemeClr w14:val="tx1"/>
                  </w14:solidFill>
                </w14:textFill>
              </w:rPr>
              <w:t>租赁场地</w:t>
            </w:r>
            <w:r>
              <w:rPr>
                <w:rFonts w:hint="eastAsia"/>
                <w:color w:val="000000" w:themeColor="text1"/>
                <w:kern w:val="0"/>
                <w:sz w:val="24"/>
                <w:highlight w:val="none"/>
                <w14:textFill>
                  <w14:solidFill>
                    <w14:schemeClr w14:val="tx1"/>
                  </w14:solidFill>
                </w14:textFill>
              </w:rPr>
              <w:t>，用地范围内无生态环境保护目标，因此不进行生态现状调查。</w:t>
            </w:r>
          </w:p>
          <w:p>
            <w:pPr>
              <w:pStyle w:val="6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482" w:firstLineChars="200"/>
              <w:contextualSpacing/>
              <w:textAlignment w:val="auto"/>
              <w:rPr>
                <w:rFonts w:hint="eastAsia" w:eastAsia="宋体"/>
                <w:b/>
                <w:color w:val="000000" w:themeColor="text1"/>
                <w:highlight w:val="none"/>
                <w:lang w:eastAsia="zh-CN"/>
                <w14:textFill>
                  <w14:solidFill>
                    <w14:schemeClr w14:val="tx1"/>
                  </w14:solidFill>
                </w14:textFill>
              </w:rPr>
            </w:pPr>
            <w:r>
              <w:rPr>
                <w:rFonts w:hint="eastAsia"/>
                <w:b/>
                <w:color w:val="000000" w:themeColor="text1"/>
                <w:highlight w:val="none"/>
                <w:lang w:eastAsia="zh-CN"/>
                <w14:textFill>
                  <w14:solidFill>
                    <w14:schemeClr w14:val="tx1"/>
                  </w14:solidFill>
                </w14:textFill>
              </w:rPr>
              <w:t>（五）</w:t>
            </w:r>
            <w:r>
              <w:rPr>
                <w:rFonts w:hint="eastAsia"/>
                <w:b/>
                <w:color w:val="000000" w:themeColor="text1"/>
                <w:highlight w:val="none"/>
                <w14:textFill>
                  <w14:solidFill>
                    <w14:schemeClr w14:val="tx1"/>
                  </w14:solidFill>
                </w14:textFill>
              </w:rPr>
              <w:t>地下水、土壤环境</w:t>
            </w:r>
            <w:r>
              <w:rPr>
                <w:rFonts w:hint="eastAsia"/>
                <w:b/>
                <w:color w:val="000000" w:themeColor="text1"/>
                <w:highlight w:val="none"/>
                <w:lang w:eastAsia="zh-CN"/>
                <w14:textFill>
                  <w14:solidFill>
                    <w14:schemeClr w14:val="tx1"/>
                  </w14:solidFill>
                </w14:textFill>
              </w:rPr>
              <w:t>质量现状评价</w:t>
            </w:r>
          </w:p>
          <w:p>
            <w:pPr>
              <w:spacing w:line="360" w:lineRule="auto"/>
              <w:ind w:firstLine="480" w:firstLineChars="200"/>
              <w:contextualSpacing/>
              <w:jc w:val="left"/>
              <w:rPr>
                <w:rFonts w:hint="eastAsia" w:eastAsia="宋体"/>
                <w:color w:val="000000" w:themeColor="text1"/>
                <w:kern w:val="0"/>
                <w:sz w:val="24"/>
                <w:highlight w:val="red"/>
                <w:lang w:val="en-US" w:eastAsia="zh-CN"/>
                <w14:textFill>
                  <w14:solidFill>
                    <w14:schemeClr w14:val="tx1"/>
                  </w14:solidFill>
                </w14:textFill>
              </w:rPr>
            </w:pPr>
            <w:r>
              <w:rPr>
                <w:rFonts w:hint="eastAsia"/>
                <w:color w:val="000000" w:themeColor="text1"/>
                <w:kern w:val="0"/>
                <w:sz w:val="24"/>
                <w:highlight w:val="none"/>
                <w14:textFill>
                  <w14:solidFill>
                    <w14:schemeClr w14:val="tx1"/>
                  </w14:solidFill>
                </w14:textFill>
              </w:rPr>
              <w:t>本项目属于</w:t>
            </w:r>
            <w:r>
              <w:rPr>
                <w:rFonts w:hint="eastAsia"/>
                <w:color w:val="000000" w:themeColor="text1"/>
                <w:kern w:val="0"/>
                <w:sz w:val="24"/>
                <w:highlight w:val="none"/>
                <w:lang w:eastAsia="zh-CN"/>
                <w14:textFill>
                  <w14:solidFill>
                    <w14:schemeClr w14:val="tx1"/>
                  </w14:solidFill>
                </w14:textFill>
              </w:rPr>
              <w:t>碎石加工</w:t>
            </w:r>
            <w:r>
              <w:rPr>
                <w:rFonts w:hint="eastAsia"/>
                <w:color w:val="000000" w:themeColor="text1"/>
                <w:kern w:val="0"/>
                <w:sz w:val="24"/>
                <w:highlight w:val="none"/>
                <w14:textFill>
                  <w14:solidFill>
                    <w14:schemeClr w14:val="tx1"/>
                  </w14:solidFill>
                </w14:textFill>
              </w:rPr>
              <w:t>，不存在土壤、地下水污染途径，因此，不进行土壤、地下水环境质量现状监测。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792" w:type="dxa"/>
            <w:vAlign w:val="center"/>
          </w:tcPr>
          <w:p>
            <w:pPr>
              <w:adjustRightInd w:val="0"/>
              <w:snapToGrid w:val="0"/>
              <w:jc w:val="center"/>
              <w:rPr>
                <w:rFonts w:ascii="宋体" w:hAnsi="宋体" w:cs="宋体"/>
                <w:color w:val="000000" w:themeColor="text1"/>
                <w:kern w:val="0"/>
                <w:sz w:val="24"/>
                <w:highlight w:val="red"/>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环境保护目标</w:t>
            </w:r>
          </w:p>
        </w:tc>
        <w:tc>
          <w:tcPr>
            <w:tcW w:w="8269"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hint="eastAsia" w:hAnsi="宋体"/>
                <w:color w:val="000000" w:themeColor="text1"/>
                <w:kern w:val="0"/>
                <w:sz w:val="24"/>
                <w:highlight w:val="none"/>
                <w:lang w:val="en-US" w:eastAsia="zh-CN"/>
                <w14:textFill>
                  <w14:solidFill>
                    <w14:schemeClr w14:val="tx1"/>
                  </w14:solidFill>
                </w14:textFill>
              </w:rPr>
            </w:pPr>
            <w:r>
              <w:rPr>
                <w:rFonts w:hint="eastAsia" w:hAnsi="宋体"/>
                <w:color w:val="000000" w:themeColor="text1"/>
                <w:kern w:val="0"/>
                <w:sz w:val="24"/>
                <w:highlight w:val="none"/>
                <w:lang w:val="en-US" w:eastAsia="zh-CN"/>
                <w14:textFill>
                  <w14:solidFill>
                    <w14:schemeClr w14:val="tx1"/>
                  </w14:solidFill>
                </w14:textFill>
              </w:rPr>
              <w:t>本项目位于</w:t>
            </w:r>
            <w:r>
              <w:rPr>
                <w:rFonts w:hint="eastAsia"/>
                <w:color w:val="000000" w:themeColor="text1"/>
                <w:sz w:val="24"/>
                <w:highlight w:val="none"/>
                <w:lang w:val="en-US" w:eastAsia="zh-CN"/>
                <w14:textFill>
                  <w14:solidFill>
                    <w14:schemeClr w14:val="tx1"/>
                  </w14:solidFill>
                </w14:textFill>
              </w:rPr>
              <w:t>庆安县同乐乡政府南原同乐制砖厂</w:t>
            </w:r>
            <w:r>
              <w:rPr>
                <w:rFonts w:hint="eastAsia" w:hAnsi="宋体"/>
                <w:color w:val="000000" w:themeColor="text1"/>
                <w:kern w:val="0"/>
                <w:sz w:val="24"/>
                <w:highlight w:val="none"/>
                <w:lang w:val="en-US" w:eastAsia="zh-CN"/>
                <w14:textFill>
                  <w14:solidFill>
                    <w14:schemeClr w14:val="tx1"/>
                  </w14:solidFill>
                </w14:textFill>
              </w:rPr>
              <w:t>，评价区内无国家、省、市级自然保护区，根据《建设项目环境影响报告编制技术指南（污染影响类）（试行）》环境保护目标可知，厂界外500米范围内不存在大气环境保护目标；50米范围内不存在声环境保护目标；500米范围内不存在地下水集中式饮用水水源、矿泉水、温泉等特殊地下水资源。本项目敏感保护目标分布图见附图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92" w:type="dxa"/>
            <w:tcMar>
              <w:left w:w="28" w:type="dxa"/>
              <w:right w:w="28" w:type="dxa"/>
            </w:tcMar>
            <w:vAlign w:val="center"/>
          </w:tcPr>
          <w:p>
            <w:pPr>
              <w:adjustRightInd w:val="0"/>
              <w:snapToGrid w:val="0"/>
              <w:jc w:val="center"/>
              <w:rPr>
                <w:rFonts w:ascii="宋体" w:hAnsi="宋体" w:cs="宋体"/>
                <w:color w:val="000000" w:themeColor="text1"/>
                <w:kern w:val="0"/>
                <w:sz w:val="24"/>
                <w:highlight w:val="red"/>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污染物排放控制标准</w:t>
            </w:r>
          </w:p>
        </w:tc>
        <w:tc>
          <w:tcPr>
            <w:tcW w:w="8269"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t>1、废气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pPr>
            <w:r>
              <w:rPr>
                <w:rFonts w:hint="eastAsia" w:hAnsi="宋体" w:cs="Times New Roman"/>
                <w:color w:val="000000" w:themeColor="text1"/>
                <w:kern w:val="0"/>
                <w:sz w:val="24"/>
                <w:highlight w:val="none"/>
                <w:lang w:val="en-US" w:eastAsia="zh-CN"/>
                <w14:textFill>
                  <w14:solidFill>
                    <w14:schemeClr w14:val="tx1"/>
                  </w14:solidFill>
                </w14:textFill>
              </w:rPr>
              <w:t>本项目</w:t>
            </w:r>
            <w:r>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t>颗粒物执行《大气污染物综合排放标准》（GB16297-1996）表2中新污染源大气污染物排放限值。</w:t>
            </w:r>
          </w:p>
          <w:p>
            <w:pPr>
              <w:pStyle w:val="9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eastAsia" w:cs="Times New Roman"/>
                <w:b/>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《大气污染物综合排放标准》（GB16297-1996）</w:t>
            </w:r>
          </w:p>
          <w:tbl>
            <w:tblPr>
              <w:tblStyle w:val="30"/>
              <w:tblpPr w:leftFromText="180" w:rightFromText="180" w:vertAnchor="text" w:horzAnchor="margin" w:tblpXSpec="center" w:tblpY="78"/>
              <w:tblOverlap w:val="never"/>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60"/>
              <w:gridCol w:w="2246"/>
              <w:gridCol w:w="1420"/>
              <w:gridCol w:w="1082"/>
              <w:gridCol w:w="244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30" w:hRule="atLeast"/>
                <w:jc w:val="center"/>
              </w:trPr>
              <w:tc>
                <w:tcPr>
                  <w:tcW w:w="53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w:t>
                  </w:r>
                </w:p>
              </w:tc>
              <w:tc>
                <w:tcPr>
                  <w:tcW w:w="139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w:t>
                  </w:r>
                </w:p>
              </w:tc>
              <w:tc>
                <w:tcPr>
                  <w:tcW w:w="88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级别</w:t>
                  </w:r>
                </w:p>
              </w:tc>
              <w:tc>
                <w:tcPr>
                  <w:tcW w:w="2187"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评价标准值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508" w:hRule="atLeast"/>
                <w:jc w:val="center"/>
              </w:trPr>
              <w:tc>
                <w:tcPr>
                  <w:tcW w:w="534"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排放标准</w:t>
                  </w:r>
                </w:p>
              </w:tc>
              <w:tc>
                <w:tcPr>
                  <w:tcW w:w="1395"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《大气污染物综合排放标准》（GB16298-1996</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88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二级15m</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（有组织）</w:t>
                  </w:r>
                </w:p>
              </w:tc>
              <w:tc>
                <w:tcPr>
                  <w:tcW w:w="672" w:type="pct"/>
                  <w:vMerge w:val="restart"/>
                  <w:tcBorders>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颗粒物</w:t>
                  </w:r>
                </w:p>
              </w:tc>
              <w:tc>
                <w:tcPr>
                  <w:tcW w:w="151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kg/h，120</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29" w:hRule="atLeast"/>
                <w:jc w:val="center"/>
              </w:trPr>
              <w:tc>
                <w:tcPr>
                  <w:tcW w:w="534"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9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w:t>
                  </w:r>
                </w:p>
              </w:tc>
              <w:tc>
                <w:tcPr>
                  <w:tcW w:w="672"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1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t>2、噪声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t>（1）施工期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t>施工期场界噪声执行《建筑施工场界环境噪声排放标准》（GB12523-2011）。</w:t>
            </w:r>
          </w:p>
          <w:p>
            <w:pPr>
              <w:pStyle w:val="9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eastAsia" w:cs="Times New Roman"/>
                <w:b/>
                <w:bCs/>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建筑施工场界环境噪声排放标准</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（GB12523-2011）</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023"/>
              <w:gridCol w:w="403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4" w:hRule="atLeast"/>
                <w:jc w:val="center"/>
              </w:trPr>
              <w:tc>
                <w:tcPr>
                  <w:tcW w:w="3982" w:type="dxa"/>
                  <w:noWrap w:val="0"/>
                  <w:tcMar>
                    <w:top w:w="17" w:type="dxa"/>
                    <w:left w:w="17" w:type="dxa"/>
                    <w:bottom w:w="0" w:type="dxa"/>
                    <w:right w:w="17" w:type="dxa"/>
                  </w:tcMar>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3988" w:type="dxa"/>
                  <w:noWrap w:val="0"/>
                  <w:tcMar>
                    <w:top w:w="17" w:type="dxa"/>
                    <w:left w:w="17" w:type="dxa"/>
                    <w:bottom w:w="0" w:type="dxa"/>
                    <w:right w:w="17" w:type="dxa"/>
                  </w:tcMar>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夜间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41" w:hRule="atLeast"/>
                <w:jc w:val="center"/>
              </w:trPr>
              <w:tc>
                <w:tcPr>
                  <w:tcW w:w="3982" w:type="dxa"/>
                  <w:noWrap w:val="0"/>
                  <w:tcMar>
                    <w:top w:w="17" w:type="dxa"/>
                    <w:left w:w="17" w:type="dxa"/>
                    <w:bottom w:w="0" w:type="dxa"/>
                    <w:right w:w="17" w:type="dxa"/>
                  </w:tcMar>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70dB（A）</w:t>
                  </w:r>
                </w:p>
              </w:tc>
              <w:tc>
                <w:tcPr>
                  <w:tcW w:w="3988" w:type="dxa"/>
                  <w:noWrap w:val="0"/>
                  <w:tcMar>
                    <w:top w:w="17" w:type="dxa"/>
                    <w:left w:w="17" w:type="dxa"/>
                    <w:bottom w:w="0" w:type="dxa"/>
                    <w:right w:w="17" w:type="dxa"/>
                  </w:tcMar>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55dB（A）</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t>（2）运营期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t>运营期厂界四周噪声执行《工业企业厂界环境噪声排放标准》（GB12348-2008）表1中2类标准。</w:t>
            </w:r>
          </w:p>
          <w:p>
            <w:pPr>
              <w:pStyle w:val="9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highlight w:val="none"/>
                <w14:textFill>
                  <w14:solidFill>
                    <w14:schemeClr w14:val="tx1"/>
                  </w14:solidFill>
                </w14:textFill>
              </w:rPr>
            </w:pPr>
            <w:bookmarkStart w:id="35" w:name="_Toc111800828"/>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eastAsia" w:cs="Times New Roman"/>
                <w:b/>
                <w:bCs/>
                <w:color w:val="000000" w:themeColor="text1"/>
                <w:sz w:val="24"/>
                <w:szCs w:val="24"/>
                <w:highlight w:val="none"/>
                <w:lang w:val="en-US" w:eastAsia="zh-CN"/>
                <w14:textFill>
                  <w14:solidFill>
                    <w14:schemeClr w14:val="tx1"/>
                  </w14:solidFill>
                </w14:textFill>
              </w:rPr>
              <w:t>7</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《工业企业厂界环境噪声排放标准》（GB12348-2008）</w:t>
            </w:r>
            <w:bookmarkEnd w:id="35"/>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单位：dB(A)</w:t>
            </w:r>
          </w:p>
          <w:tbl>
            <w:tblPr>
              <w:tblStyle w:val="30"/>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405"/>
              <w:gridCol w:w="2215"/>
              <w:gridCol w:w="2215"/>
              <w:gridCol w:w="221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6" w:hRule="atLeast"/>
                <w:tblHeader/>
                <w:jc w:val="center"/>
              </w:trPr>
              <w:tc>
                <w:tcPr>
                  <w:tcW w:w="872"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375"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1375"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1375" w:type="pct"/>
                  <w:noWrap w:val="0"/>
                  <w:vAlign w:val="center"/>
                </w:tcPr>
                <w:p>
                  <w:pPr>
                    <w:pStyle w:val="101"/>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8" w:hRule="atLeast"/>
                <w:jc w:val="center"/>
              </w:trPr>
              <w:tc>
                <w:tcPr>
                  <w:tcW w:w="872"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排放限值</w:t>
                  </w:r>
                </w:p>
              </w:tc>
              <w:tc>
                <w:tcPr>
                  <w:tcW w:w="1375"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60</w:t>
                  </w:r>
                </w:p>
              </w:tc>
              <w:tc>
                <w:tcPr>
                  <w:tcW w:w="1375"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50</w:t>
                  </w:r>
                </w:p>
              </w:tc>
              <w:tc>
                <w:tcPr>
                  <w:tcW w:w="1375" w:type="pct"/>
                  <w:noWrap w:val="0"/>
                  <w:vAlign w:val="center"/>
                </w:tcPr>
                <w:p>
                  <w:pPr>
                    <w:pStyle w:val="10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厂界四周</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pPr>
            <w:r>
              <w:rPr>
                <w:rFonts w:hint="eastAsia" w:hAnsi="宋体" w:cs="Times New Roman"/>
                <w:color w:val="000000" w:themeColor="text1"/>
                <w:kern w:val="0"/>
                <w:sz w:val="24"/>
                <w:highlight w:val="none"/>
                <w:lang w:val="en-US" w:eastAsia="zh-CN"/>
                <w14:textFill>
                  <w14:solidFill>
                    <w14:schemeClr w14:val="tx1"/>
                  </w14:solidFill>
                </w14:textFill>
              </w:rPr>
              <w:t>3</w:t>
            </w:r>
            <w:r>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hint="eastAsia" w:hAnsi="宋体" w:cs="Times New Roman"/>
                <w:color w:val="000000" w:themeColor="text1"/>
                <w:kern w:val="0"/>
                <w:sz w:val="24"/>
                <w:highlight w:val="none"/>
                <w:lang w:val="en-US" w:eastAsia="zh-CN"/>
                <w14:textFill>
                  <w14:solidFill>
                    <w14:schemeClr w14:val="tx1"/>
                  </w14:solidFill>
                </w14:textFill>
              </w:rPr>
            </w:pPr>
            <w:r>
              <w:rPr>
                <w:rFonts w:hint="eastAsia" w:hAnsi="宋体" w:cs="Times New Roman"/>
                <w:color w:val="000000" w:themeColor="text1"/>
                <w:kern w:val="0"/>
                <w:sz w:val="24"/>
                <w:highlight w:val="none"/>
                <w:lang w:val="en-US" w:eastAsia="zh-CN"/>
                <w14:textFill>
                  <w14:solidFill>
                    <w14:schemeClr w14:val="tx1"/>
                  </w14:solidFill>
                </w14:textFill>
              </w:rPr>
              <w:t>本项目生活废水排至防渗旱厕定期清掏外运堆肥；收集的初期雨水全部回用于厂区降尘；不存在废水外排的情况，故不对废水进行分析。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pPr>
            <w:r>
              <w:rPr>
                <w:rFonts w:hint="eastAsia" w:hAnsi="宋体" w:cs="Times New Roman"/>
                <w:color w:val="000000" w:themeColor="text1"/>
                <w:kern w:val="0"/>
                <w:sz w:val="24"/>
                <w:highlight w:val="none"/>
                <w:lang w:val="en-US" w:eastAsia="zh-CN"/>
                <w14:textFill>
                  <w14:solidFill>
                    <w14:schemeClr w14:val="tx1"/>
                  </w14:solidFill>
                </w14:textFill>
              </w:rPr>
              <w:t>4</w:t>
            </w:r>
            <w:r>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t>、固体废物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color w:val="000000" w:themeColor="text1"/>
                <w:spacing w:val="-2"/>
                <w:sz w:val="24"/>
                <w:highlight w:val="none"/>
                <w14:textFill>
                  <w14:solidFill>
                    <w14:schemeClr w14:val="tx1"/>
                  </w14:solidFill>
                </w14:textFill>
              </w:rPr>
            </w:pPr>
            <w:r>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t>一般固体废物执行《一般工业固体废物贮存和填埋污染控制标准》（GB18599-2020）中相关要求，危险废物执行《危险废物贮存污染控制标准》(GB18597-2023</w:t>
            </w:r>
            <w:r>
              <w:rPr>
                <w:rFonts w:hint="eastAsia" w:hAnsi="宋体" w:cs="Times New Roman"/>
                <w:color w:val="000000" w:themeColor="text1"/>
                <w:kern w:val="0"/>
                <w:sz w:val="24"/>
                <w:highlight w:val="none"/>
                <w:lang w:val="en-US" w:eastAsia="zh-CN"/>
                <w14:textFill>
                  <w14:solidFill>
                    <w14:schemeClr w14:val="tx1"/>
                  </w14:solidFill>
                </w14:textFill>
              </w:rPr>
              <w:t>）</w:t>
            </w:r>
            <w:r>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t>中相关要求。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23" w:hRule="atLeast"/>
          <w:jc w:val="center"/>
        </w:trPr>
        <w:tc>
          <w:tcPr>
            <w:tcW w:w="792" w:type="dxa"/>
            <w:vAlign w:val="center"/>
          </w:tcPr>
          <w:p>
            <w:pPr>
              <w:adjustRightInd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总量控制指标</w:t>
            </w:r>
          </w:p>
        </w:tc>
        <w:tc>
          <w:tcPr>
            <w:tcW w:w="8269" w:type="dxa"/>
            <w:vAlign w:val="center"/>
          </w:tcPr>
          <w:p>
            <w:pPr>
              <w:pStyle w:val="67"/>
              <w:spacing w:beforeLines="0" w:afterLines="0" w:line="360" w:lineRule="auto"/>
              <w:ind w:firstLine="480"/>
              <w:contextualSpacing/>
              <w:jc w:val="left"/>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在满足浓度达标的前提下，实行总量控制。本项目总量控制指标如</w:t>
            </w:r>
            <w:r>
              <w:rPr>
                <w:rFonts w:hint="eastAsia"/>
                <w:color w:val="000000" w:themeColor="text1"/>
                <w:highlight w:val="none"/>
                <w:lang w:eastAsia="zh-CN"/>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3-10，计算过程见附件4。</w:t>
            </w:r>
          </w:p>
          <w:p>
            <w:pPr>
              <w:pStyle w:val="9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表3-</w:t>
            </w:r>
            <w:r>
              <w:rPr>
                <w:rFonts w:hint="eastAsia" w:cs="Times New Roman"/>
                <w:b/>
                <w:bCs/>
                <w:color w:val="000000" w:themeColor="text1"/>
                <w:sz w:val="24"/>
                <w:szCs w:val="24"/>
                <w:highlight w:val="none"/>
                <w:lang w:val="en-US" w:eastAsia="zh-CN"/>
                <w14:textFill>
                  <w14:solidFill>
                    <w14:schemeClr w14:val="tx1"/>
                  </w14:solidFill>
                </w14:textFill>
              </w:rPr>
              <w:t>10</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总量控制表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10"/>
              <w:gridCol w:w="2694"/>
              <w:gridCol w:w="26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83"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w:t>
                  </w:r>
                </w:p>
              </w:tc>
              <w:tc>
                <w:tcPr>
                  <w:tcW w:w="1673"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预测排放量</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643"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核定排放量</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83" w:type="pct"/>
                  <w:tcBorders>
                    <w:tl2br w:val="nil"/>
                    <w:tr2bl w:val="nil"/>
                  </w:tcBorders>
                  <w:noWrap w:val="0"/>
                  <w:vAlign w:val="center"/>
                </w:tcPr>
                <w:p>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673"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0.78</w:t>
                  </w:r>
                </w:p>
              </w:tc>
              <w:tc>
                <w:tcPr>
                  <w:tcW w:w="1643"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w:t>
                  </w:r>
                </w:p>
              </w:tc>
            </w:tr>
          </w:tbl>
          <w:p>
            <w:pPr>
              <w:adjustRightInd w:val="0"/>
              <w:snapToGrid w:val="0"/>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p>
        </w:tc>
      </w:tr>
    </w:tbl>
    <w:p>
      <w:pPr>
        <w:rPr>
          <w:rFonts w:hint="eastAsia" w:ascii="黑体" w:hAnsi="黑体" w:eastAsia="黑体"/>
          <w:snapToGrid w:val="0"/>
          <w:color w:val="000000" w:themeColor="text1"/>
          <w:sz w:val="30"/>
          <w:szCs w:val="30"/>
          <w:highlight w:val="red"/>
          <w14:textFill>
            <w14:solidFill>
              <w14:schemeClr w14:val="tx1"/>
            </w14:solidFill>
          </w14:textFill>
        </w:rPr>
      </w:pPr>
      <w:r>
        <w:rPr>
          <w:rFonts w:hint="eastAsia" w:ascii="黑体" w:hAnsi="黑体" w:eastAsia="黑体"/>
          <w:snapToGrid w:val="0"/>
          <w:color w:val="000000" w:themeColor="text1"/>
          <w:sz w:val="30"/>
          <w:szCs w:val="30"/>
          <w:highlight w:val="red"/>
          <w14:textFill>
            <w14:solidFill>
              <w14:schemeClr w14:val="tx1"/>
            </w14:solidFill>
          </w14:textFill>
        </w:rPr>
        <w:br w:type="page"/>
      </w:r>
    </w:p>
    <w:p>
      <w:pPr>
        <w:pStyle w:val="26"/>
        <w:jc w:val="center"/>
        <w:outlineLvl w:val="0"/>
        <w:rPr>
          <w:rFonts w:ascii="黑体" w:hAnsi="黑体" w:eastAsia="黑体"/>
          <w:snapToGrid w:val="0"/>
          <w:color w:val="000000" w:themeColor="text1"/>
          <w:sz w:val="30"/>
          <w:szCs w:val="30"/>
          <w:highlight w:val="none"/>
          <w14:textFill>
            <w14:solidFill>
              <w14:schemeClr w14:val="tx1"/>
            </w14:solidFill>
          </w14:textFill>
        </w:rPr>
      </w:pPr>
      <w:bookmarkStart w:id="36" w:name="_Toc8791"/>
      <w:bookmarkStart w:id="37" w:name="_Toc15448"/>
      <w:r>
        <w:rPr>
          <w:rFonts w:hint="eastAsia" w:ascii="黑体" w:hAnsi="黑体" w:eastAsia="黑体"/>
          <w:snapToGrid w:val="0"/>
          <w:color w:val="000000" w:themeColor="text1"/>
          <w:sz w:val="30"/>
          <w:szCs w:val="30"/>
          <w:highlight w:val="none"/>
          <w14:textFill>
            <w14:solidFill>
              <w14:schemeClr w14:val="tx1"/>
            </w14:solidFill>
          </w14:textFill>
        </w:rPr>
        <w:t>四、主要环境影响和保护措施</w:t>
      </w:r>
      <w:bookmarkEnd w:id="33"/>
      <w:bookmarkEnd w:id="36"/>
      <w:bookmarkEnd w:id="37"/>
    </w:p>
    <w:tbl>
      <w:tblPr>
        <w:tblStyle w:val="30"/>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9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874" w:type="dxa"/>
            <w:tcMar>
              <w:left w:w="28" w:type="dxa"/>
              <w:right w:w="28" w:type="dxa"/>
            </w:tcMar>
            <w:vAlign w:val="center"/>
          </w:tcPr>
          <w:p>
            <w:pPr>
              <w:adjustRightInd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施工</w:t>
            </w:r>
          </w:p>
          <w:p>
            <w:pPr>
              <w:adjustRightInd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期环</w:t>
            </w:r>
          </w:p>
          <w:p>
            <w:pPr>
              <w:adjustRightInd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境保</w:t>
            </w:r>
          </w:p>
          <w:p>
            <w:pPr>
              <w:adjustRightInd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护措</w:t>
            </w:r>
          </w:p>
          <w:p>
            <w:pPr>
              <w:adjustRightInd w:val="0"/>
              <w:snapToGrid w:val="0"/>
              <w:jc w:val="center"/>
              <w:rPr>
                <w:rFonts w:ascii="宋体" w:hAnsi="宋体" w:cs="宋体"/>
                <w:color w:val="000000" w:themeColor="text1"/>
                <w:kern w:val="0"/>
                <w:sz w:val="24"/>
                <w:highlight w:val="red"/>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施</w:t>
            </w:r>
          </w:p>
        </w:tc>
        <w:tc>
          <w:tcPr>
            <w:tcW w:w="8110" w:type="dxa"/>
            <w:vAlign w:val="center"/>
          </w:tcPr>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施工期主要</w:t>
            </w:r>
            <w:r>
              <w:rPr>
                <w:rFonts w:hint="eastAsia" w:cs="Times New Roman"/>
                <w:color w:val="000000" w:themeColor="text1"/>
                <w:spacing w:val="0"/>
                <w:kern w:val="0"/>
                <w:sz w:val="24"/>
                <w:highlight w:val="none"/>
                <w:lang w:eastAsia="zh-CN"/>
                <w14:textFill>
                  <w14:solidFill>
                    <w14:schemeClr w14:val="tx1"/>
                  </w14:solidFill>
                </w14:textFill>
              </w:rPr>
              <w:t>环境</w:t>
            </w:r>
            <w:r>
              <w:rPr>
                <w:rFonts w:cs="Times New Roman"/>
                <w:color w:val="000000" w:themeColor="text1"/>
                <w:spacing w:val="0"/>
                <w:kern w:val="0"/>
                <w:sz w:val="24"/>
                <w:highlight w:val="none"/>
                <w14:textFill>
                  <w14:solidFill>
                    <w14:schemeClr w14:val="tx1"/>
                  </w14:solidFill>
                </w14:textFill>
              </w:rPr>
              <w:t>影响是施工机械噪声、车辆尾气和运输扬尘、施工人员产生的生活污水和建筑垃圾、生活垃圾等。</w:t>
            </w:r>
          </w:p>
          <w:p>
            <w:pPr>
              <w:pStyle w:val="9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cs="Times New Roman"/>
                <w:color w:val="000000" w:themeColor="text1"/>
                <w:spacing w:val="0"/>
                <w:kern w:val="0"/>
                <w:sz w:val="24"/>
                <w:highlight w:val="none"/>
                <w14:textFill>
                  <w14:solidFill>
                    <w14:schemeClr w14:val="tx1"/>
                  </w14:solidFill>
                </w14:textFill>
              </w:rPr>
            </w:pPr>
            <w:r>
              <w:rPr>
                <w:rFonts w:hint="eastAsia" w:cs="Times New Roman"/>
                <w:color w:val="000000" w:themeColor="text1"/>
                <w:spacing w:val="0"/>
                <w:kern w:val="0"/>
                <w:sz w:val="24"/>
                <w:highlight w:val="none"/>
                <w:lang w:val="en-US" w:eastAsia="zh-CN"/>
                <w14:textFill>
                  <w14:solidFill>
                    <w14:schemeClr w14:val="tx1"/>
                  </w14:solidFill>
                </w14:textFill>
              </w:rPr>
              <w:t>1.</w:t>
            </w:r>
            <w:r>
              <w:rPr>
                <w:rFonts w:cs="Times New Roman"/>
                <w:color w:val="000000" w:themeColor="text1"/>
                <w:spacing w:val="0"/>
                <w:kern w:val="0"/>
                <w:sz w:val="24"/>
                <w:highlight w:val="none"/>
                <w14:textFill>
                  <w14:solidFill>
                    <w14:schemeClr w14:val="tx1"/>
                  </w14:solidFill>
                </w14:textFill>
              </w:rPr>
              <w:t>水环境</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（1）施工废水</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施工废水来源于现场施工机械冲洗废水和施工阶段产生的泥浆废水。施工机械冲洗废水主要是水泥碎粒、沙土构成的悬浮物污染</w:t>
            </w:r>
            <w:r>
              <w:rPr>
                <w:rFonts w:hint="eastAsia" w:cs="Times New Roman"/>
                <w:color w:val="000000" w:themeColor="text1"/>
                <w:spacing w:val="0"/>
                <w:kern w:val="0"/>
                <w:sz w:val="24"/>
                <w:highlight w:val="none"/>
                <w:lang w:eastAsia="zh-CN"/>
                <w14:textFill>
                  <w14:solidFill>
                    <w14:schemeClr w14:val="tx1"/>
                  </w14:solidFill>
                </w14:textFill>
              </w:rPr>
              <w:t>，排放量小</w:t>
            </w:r>
            <w:r>
              <w:rPr>
                <w:rFonts w:cs="Times New Roman"/>
                <w:color w:val="000000" w:themeColor="text1"/>
                <w:spacing w:val="0"/>
                <w:kern w:val="0"/>
                <w:sz w:val="24"/>
                <w:highlight w:val="none"/>
                <w14:textFill>
                  <w14:solidFill>
                    <w14:schemeClr w14:val="tx1"/>
                  </w14:solidFill>
                </w14:textFill>
              </w:rPr>
              <w:t>。泥浆废水是一种含有微细颗粒的悬浮混浊液体，外观呈土灰色，比重0.480-1.46，含泥量</w:t>
            </w:r>
            <w:r>
              <w:rPr>
                <w:rFonts w:hint="eastAsia" w:cs="Times New Roman"/>
                <w:color w:val="000000" w:themeColor="text1"/>
                <w:spacing w:val="0"/>
                <w:kern w:val="0"/>
                <w:sz w:val="24"/>
                <w:highlight w:val="none"/>
                <w:lang w:eastAsia="zh-CN"/>
                <w14:textFill>
                  <w14:solidFill>
                    <w14:schemeClr w14:val="tx1"/>
                  </w14:solidFill>
                </w14:textFill>
              </w:rPr>
              <w:t>30%-50%</w:t>
            </w:r>
            <w:r>
              <w:rPr>
                <w:rFonts w:cs="Times New Roman"/>
                <w:color w:val="000000" w:themeColor="text1"/>
                <w:spacing w:val="0"/>
                <w:kern w:val="0"/>
                <w:sz w:val="24"/>
                <w:highlight w:val="none"/>
                <w14:textFill>
                  <w14:solidFill>
                    <w14:schemeClr w14:val="tx1"/>
                  </w14:solidFill>
                </w14:textFill>
              </w:rPr>
              <w:t>，</w:t>
            </w:r>
            <w:r>
              <w:rPr>
                <w:rFonts w:hint="eastAsia" w:cs="Times New Roman"/>
                <w:color w:val="000000" w:themeColor="text1"/>
                <w:spacing w:val="0"/>
                <w:kern w:val="0"/>
                <w:sz w:val="24"/>
                <w:highlight w:val="none"/>
                <w14:textFill>
                  <w14:solidFill>
                    <w14:schemeClr w14:val="tx1"/>
                  </w14:solidFill>
                </w14:textFill>
              </w:rPr>
              <w:t>p</w:t>
            </w:r>
            <w:r>
              <w:rPr>
                <w:rFonts w:cs="Times New Roman"/>
                <w:color w:val="000000" w:themeColor="text1"/>
                <w:spacing w:val="0"/>
                <w:kern w:val="0"/>
                <w:sz w:val="24"/>
                <w:highlight w:val="none"/>
                <w14:textFill>
                  <w14:solidFill>
                    <w14:schemeClr w14:val="tx1"/>
                  </w14:solidFill>
                </w14:textFill>
              </w:rPr>
              <w:t>H值约6-7</w:t>
            </w:r>
            <w:r>
              <w:rPr>
                <w:rFonts w:hint="eastAsia" w:cs="Times New Roman"/>
                <w:color w:val="000000" w:themeColor="text1"/>
                <w:spacing w:val="0"/>
                <w:kern w:val="0"/>
                <w:sz w:val="24"/>
                <w:highlight w:val="none"/>
                <w14:textFill>
                  <w14:solidFill>
                    <w14:schemeClr w14:val="tx1"/>
                  </w14:solidFill>
                </w14:textFill>
              </w:rPr>
              <w:t>（无量纲）</w:t>
            </w:r>
            <w:r>
              <w:rPr>
                <w:rFonts w:cs="Times New Roman"/>
                <w:color w:val="000000" w:themeColor="text1"/>
                <w:spacing w:val="0"/>
                <w:kern w:val="0"/>
                <w:sz w:val="24"/>
                <w:highlight w:val="none"/>
                <w14:textFill>
                  <w14:solidFill>
                    <w14:schemeClr w14:val="tx1"/>
                  </w14:solidFill>
                </w14:textFill>
              </w:rPr>
              <w:t>，如果施工阶段不进行严格管理，将对施工场产生一定影响。为减少施工期间废水的污染，施工人员进入现场</w:t>
            </w:r>
            <w:r>
              <w:rPr>
                <w:rFonts w:hint="eastAsia" w:cs="Times New Roman"/>
                <w:color w:val="000000" w:themeColor="text1"/>
                <w:spacing w:val="0"/>
                <w:kern w:val="0"/>
                <w:sz w:val="24"/>
                <w:highlight w:val="none"/>
                <w:lang w:eastAsia="zh-CN"/>
                <w14:textFill>
                  <w14:solidFill>
                    <w14:schemeClr w14:val="tx1"/>
                  </w14:solidFill>
                </w14:textFill>
              </w:rPr>
              <w:t>并</w:t>
            </w:r>
            <w:r>
              <w:rPr>
                <w:rFonts w:cs="Times New Roman"/>
                <w:color w:val="000000" w:themeColor="text1"/>
                <w:spacing w:val="0"/>
                <w:kern w:val="0"/>
                <w:sz w:val="24"/>
                <w:highlight w:val="none"/>
                <w14:textFill>
                  <w14:solidFill>
                    <w14:schemeClr w14:val="tx1"/>
                  </w14:solidFill>
                </w14:textFill>
              </w:rPr>
              <w:t>建设临时设施后，应设置临时沉淀池处理设施。将施工废水收集进防渗沉淀池中，施工机械冲洗水经</w:t>
            </w:r>
            <w:r>
              <w:rPr>
                <w:rFonts w:hint="eastAsia" w:cs="Times New Roman"/>
                <w:color w:val="000000" w:themeColor="text1"/>
                <w:spacing w:val="0"/>
                <w:kern w:val="0"/>
                <w:sz w:val="24"/>
                <w:highlight w:val="none"/>
                <w:lang w:eastAsia="zh-CN"/>
                <w14:textFill>
                  <w14:solidFill>
                    <w14:schemeClr w14:val="tx1"/>
                  </w14:solidFill>
                </w14:textFill>
              </w:rPr>
              <w:t>防渗</w:t>
            </w:r>
            <w:r>
              <w:rPr>
                <w:rFonts w:cs="Times New Roman"/>
                <w:color w:val="000000" w:themeColor="text1"/>
                <w:spacing w:val="0"/>
                <w:kern w:val="0"/>
                <w:sz w:val="24"/>
                <w:highlight w:val="none"/>
                <w14:textFill>
                  <w14:solidFill>
                    <w14:schemeClr w14:val="tx1"/>
                  </w14:solidFill>
                </w14:textFill>
              </w:rPr>
              <w:t>沉淀池处理后回</w:t>
            </w:r>
            <w:r>
              <w:rPr>
                <w:rFonts w:hint="eastAsia" w:cs="Times New Roman"/>
                <w:color w:val="000000" w:themeColor="text1"/>
                <w:spacing w:val="0"/>
                <w:kern w:val="0"/>
                <w:sz w:val="24"/>
                <w:highlight w:val="none"/>
                <w:lang w:eastAsia="zh-CN"/>
                <w14:textFill>
                  <w14:solidFill>
                    <w14:schemeClr w14:val="tx1"/>
                  </w14:solidFill>
                </w14:textFill>
              </w:rPr>
              <w:t>用于</w:t>
            </w:r>
            <w:r>
              <w:rPr>
                <w:rFonts w:cs="Times New Roman"/>
                <w:color w:val="000000" w:themeColor="text1"/>
                <w:spacing w:val="0"/>
                <w:kern w:val="0"/>
                <w:sz w:val="24"/>
                <w:highlight w:val="none"/>
                <w14:textFill>
                  <w14:solidFill>
                    <w14:schemeClr w14:val="tx1"/>
                  </w14:solidFill>
                </w14:textFill>
              </w:rPr>
              <w:t>洒水、降尘等，不外排。</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（2）由于施工人员较少，且施工期比较短，施工人员生活污水排入防渗旱厕，定期清掏，外运堆肥</w:t>
            </w:r>
            <w:r>
              <w:rPr>
                <w:rFonts w:hint="eastAsia"/>
                <w:color w:val="000000" w:themeColor="text1"/>
                <w:kern w:val="0"/>
                <w:sz w:val="24"/>
                <w:highlight w:val="none"/>
                <w:lang w:val="en-US" w:eastAsia="zh-CN"/>
                <w14:textFill>
                  <w14:solidFill>
                    <w14:schemeClr w14:val="tx1"/>
                  </w14:solidFill>
                </w14:textFill>
              </w:rPr>
              <w:t>。</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hint="eastAsia" w:cs="Times New Roman"/>
                <w:color w:val="000000" w:themeColor="text1"/>
                <w:spacing w:val="0"/>
                <w:kern w:val="0"/>
                <w:sz w:val="24"/>
                <w:highlight w:val="none"/>
                <w:lang w:val="en-US" w:eastAsia="zh-CN"/>
                <w14:textFill>
                  <w14:solidFill>
                    <w14:schemeClr w14:val="tx1"/>
                  </w14:solidFill>
                </w14:textFill>
              </w:rPr>
              <w:t>2.</w:t>
            </w:r>
            <w:r>
              <w:rPr>
                <w:rFonts w:cs="Times New Roman"/>
                <w:color w:val="000000" w:themeColor="text1"/>
                <w:spacing w:val="0"/>
                <w:kern w:val="0"/>
                <w:sz w:val="24"/>
                <w:highlight w:val="none"/>
                <w14:textFill>
                  <w14:solidFill>
                    <w14:schemeClr w14:val="tx1"/>
                  </w14:solidFill>
                </w14:textFill>
              </w:rPr>
              <w:t>环境空气影响分析</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施工废气主要包括施工扬尘、运输车辆以及施工机械产生的尾气。</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（1）施工扬尘</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本项目在建设过程中，施工扬尘污染主要为：建筑材料如水泥、白灰、砂子以及土方在其装卸、运输、堆放等过程中，因风力作用而产生的扬尘；运输车辆来往造成地面扬尘；施工垃圾堆放及清运过程中产生的扬尘。</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施工期间产生的扬尘污染主要取决于施工作业方式、材料的堆放以及风力等因素，其受风力因素的影响最大。随风速的增大，施工扬尘产生的污染程度和超标范围也将随之增强或扩大。</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施工现场应设置围栏或部分围栏，缩小施工扬尘扩散范围；遇大风天气营业塑料膜将水泥、白灰、沙堆覆盖；干燥天应经常性给沙堆洒水，保持沙堆一定的湿度，减少起尘量。运输水泥、砂子等过程中应加盖苫布</w:t>
            </w:r>
            <w:r>
              <w:rPr>
                <w:rFonts w:hint="eastAsia" w:cs="Times New Roman"/>
                <w:color w:val="000000" w:themeColor="text1"/>
                <w:spacing w:val="0"/>
                <w:kern w:val="0"/>
                <w:sz w:val="24"/>
                <w:highlight w:val="none"/>
                <w:lang w:eastAsia="zh-CN"/>
                <w14:textFill>
                  <w14:solidFill>
                    <w14:schemeClr w14:val="tx1"/>
                  </w14:solidFill>
                </w14:textFill>
              </w:rPr>
              <w:t>防止</w:t>
            </w:r>
            <w:r>
              <w:rPr>
                <w:rFonts w:cs="Times New Roman"/>
                <w:color w:val="000000" w:themeColor="text1"/>
                <w:spacing w:val="0"/>
                <w:kern w:val="0"/>
                <w:sz w:val="24"/>
                <w:highlight w:val="none"/>
                <w14:textFill>
                  <w14:solidFill>
                    <w14:schemeClr w14:val="tx1"/>
                  </w14:solidFill>
                </w14:textFill>
              </w:rPr>
              <w:t>扬尘产生。</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（2）车辆及施工机械尾气</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施工机械将产生含有总悬浮颗粒物、二氧化硫、一氧化碳和氮氧化物等污染物的废气，废气仅对施工区及交通道路两侧等局部地区的环境空气质量有短暂的不利影响，不会对大范围的环境空气质量产生不利影响。另外机动车辆运行过程中，所排放的尾气是流动污染源，虽然影响面大，但由于不是集中的大量排放，所以对周围环境和人群影响较小。</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本项目对施工机械加强往返于车辆的管理和维修，施工机械完好率要求在90%以上，使用有害物质量少的优质燃料，并定期对施工设备进行维护，以减少尾气排放；对尾气排放不达标的机械车辆，禁止进行进入施工区施工。</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采取以上措施后，施工废气排放浓度能够满足《大气污染物综合排放标准》（GB16297-1996）表2中无组织排放要求。对所在区域大气环境影响较小。</w:t>
            </w:r>
          </w:p>
          <w:p>
            <w:pPr>
              <w:pStyle w:val="96"/>
              <w:numPr>
                <w:ilvl w:val="0"/>
                <w:numId w:val="0"/>
              </w:numPr>
              <w:spacing w:line="360" w:lineRule="auto"/>
              <w:ind w:left="420" w:leftChars="200" w:firstLine="60" w:firstLineChars="25"/>
              <w:rPr>
                <w:rFonts w:cs="Times New Roman"/>
                <w:color w:val="000000" w:themeColor="text1"/>
                <w:spacing w:val="0"/>
                <w:kern w:val="0"/>
                <w:sz w:val="24"/>
                <w:highlight w:val="none"/>
                <w14:textFill>
                  <w14:solidFill>
                    <w14:schemeClr w14:val="tx1"/>
                  </w14:solidFill>
                </w14:textFill>
              </w:rPr>
            </w:pPr>
            <w:r>
              <w:rPr>
                <w:rFonts w:hint="eastAsia" w:cs="Times New Roman"/>
                <w:color w:val="000000" w:themeColor="text1"/>
                <w:spacing w:val="0"/>
                <w:kern w:val="0"/>
                <w:sz w:val="24"/>
                <w:highlight w:val="none"/>
                <w:lang w:val="en-US" w:eastAsia="zh-CN"/>
                <w14:textFill>
                  <w14:solidFill>
                    <w14:schemeClr w14:val="tx1"/>
                  </w14:solidFill>
                </w14:textFill>
              </w:rPr>
              <w:t>3.</w:t>
            </w:r>
            <w:r>
              <w:rPr>
                <w:rFonts w:cs="Times New Roman"/>
                <w:color w:val="000000" w:themeColor="text1"/>
                <w:spacing w:val="0"/>
                <w:kern w:val="0"/>
                <w:sz w:val="24"/>
                <w:highlight w:val="none"/>
                <w14:textFill>
                  <w14:solidFill>
                    <w14:schemeClr w14:val="tx1"/>
                  </w14:solidFill>
                </w14:textFill>
              </w:rPr>
              <w:t>噪声影响分析</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施工期间，运输车辆和各种机械都是主要的噪声源，噪声源强在75~85dB（A）。建议在施工期间采取以下相应措施降低噪声：</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hint="eastAsia" w:cs="Times New Roman"/>
                <w:color w:val="000000" w:themeColor="text1"/>
                <w:spacing w:val="0"/>
                <w:kern w:val="0"/>
                <w:sz w:val="24"/>
                <w:highlight w:val="none"/>
                <w14:textFill>
                  <w14:solidFill>
                    <w14:schemeClr w14:val="tx1"/>
                  </w14:solidFill>
                </w14:textFill>
              </w:rPr>
              <w:t>①</w:t>
            </w:r>
            <w:r>
              <w:rPr>
                <w:rFonts w:cs="Times New Roman"/>
                <w:color w:val="000000" w:themeColor="text1"/>
                <w:spacing w:val="0"/>
                <w:kern w:val="0"/>
                <w:sz w:val="24"/>
                <w:highlight w:val="none"/>
                <w14:textFill>
                  <w14:solidFill>
                    <w14:schemeClr w14:val="tx1"/>
                  </w14:solidFill>
                </w14:textFill>
              </w:rPr>
              <w:t>加强施工管理，合理安排作业时间，严格按照施工噪声管理的有关规定；</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hint="eastAsia" w:cs="Times New Roman"/>
                <w:color w:val="000000" w:themeColor="text1"/>
                <w:spacing w:val="0"/>
                <w:kern w:val="0"/>
                <w:sz w:val="24"/>
                <w:highlight w:val="none"/>
                <w14:textFill>
                  <w14:solidFill>
                    <w14:schemeClr w14:val="tx1"/>
                  </w14:solidFill>
                </w14:textFill>
              </w:rPr>
              <w:t>②</w:t>
            </w:r>
            <w:r>
              <w:rPr>
                <w:rFonts w:cs="Times New Roman"/>
                <w:color w:val="000000" w:themeColor="text1"/>
                <w:spacing w:val="0"/>
                <w:kern w:val="0"/>
                <w:sz w:val="24"/>
                <w:highlight w:val="none"/>
                <w14:textFill>
                  <w14:solidFill>
                    <w14:schemeClr w14:val="tx1"/>
                  </w14:solidFill>
                </w14:textFill>
              </w:rPr>
              <w:t>尽量采用低噪声施工设备和噪声低的施工方法；</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hint="eastAsia" w:cs="Times New Roman"/>
                <w:color w:val="000000" w:themeColor="text1"/>
                <w:spacing w:val="0"/>
                <w:kern w:val="0"/>
                <w:sz w:val="24"/>
                <w:highlight w:val="none"/>
                <w14:textFill>
                  <w14:solidFill>
                    <w14:schemeClr w14:val="tx1"/>
                  </w14:solidFill>
                </w14:textFill>
              </w:rPr>
              <w:t>③</w:t>
            </w:r>
            <w:r>
              <w:rPr>
                <w:rFonts w:cs="Times New Roman"/>
                <w:color w:val="000000" w:themeColor="text1"/>
                <w:spacing w:val="0"/>
                <w:kern w:val="0"/>
                <w:sz w:val="24"/>
                <w:highlight w:val="none"/>
                <w14:textFill>
                  <w14:solidFill>
                    <w14:schemeClr w14:val="tx1"/>
                  </w14:solidFill>
                </w14:textFill>
              </w:rPr>
              <w:t>作业时在高噪声设备周围设置屏蔽；</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hint="eastAsia" w:cs="Times New Roman"/>
                <w:color w:val="000000" w:themeColor="text1"/>
                <w:spacing w:val="0"/>
                <w:kern w:val="0"/>
                <w:sz w:val="24"/>
                <w:highlight w:val="none"/>
                <w14:textFill>
                  <w14:solidFill>
                    <w14:schemeClr w14:val="tx1"/>
                  </w14:solidFill>
                </w14:textFill>
              </w:rPr>
              <w:t>④</w:t>
            </w:r>
            <w:r>
              <w:rPr>
                <w:rFonts w:cs="Times New Roman"/>
                <w:color w:val="000000" w:themeColor="text1"/>
                <w:spacing w:val="0"/>
                <w:kern w:val="0"/>
                <w:sz w:val="24"/>
                <w:highlight w:val="none"/>
                <w14:textFill>
                  <w14:solidFill>
                    <w14:schemeClr w14:val="tx1"/>
                  </w14:solidFill>
                </w14:textFill>
              </w:rPr>
              <w:t>加强运输车辆的管理，建材等运输在白天进行，并控制车辆鸣笛，22：00-6：00时间段内</w:t>
            </w:r>
            <w:r>
              <w:rPr>
                <w:rFonts w:hint="eastAsia" w:cs="Times New Roman"/>
                <w:color w:val="000000" w:themeColor="text1"/>
                <w:spacing w:val="0"/>
                <w:kern w:val="0"/>
                <w:sz w:val="24"/>
                <w:highlight w:val="none"/>
                <w14:textFill>
                  <w14:solidFill>
                    <w14:schemeClr w14:val="tx1"/>
                  </w14:solidFill>
                </w14:textFill>
              </w:rPr>
              <w:t>禁止</w:t>
            </w:r>
            <w:r>
              <w:rPr>
                <w:rFonts w:cs="Times New Roman"/>
                <w:color w:val="000000" w:themeColor="text1"/>
                <w:spacing w:val="0"/>
                <w:kern w:val="0"/>
                <w:sz w:val="24"/>
                <w:highlight w:val="none"/>
                <w14:textFill>
                  <w14:solidFill>
                    <w14:schemeClr w14:val="tx1"/>
                  </w14:solidFill>
                </w14:textFill>
              </w:rPr>
              <w:t>运输和施工。</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通过上述措施可以使所在地的声环境达到《建筑施工场界环境噪声排放标准》（GB12523-2011）中规定的标准。</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4</w:t>
            </w:r>
            <w:r>
              <w:rPr>
                <w:rFonts w:hint="eastAsia" w:cs="Times New Roman"/>
                <w:color w:val="000000" w:themeColor="text1"/>
                <w:spacing w:val="0"/>
                <w:kern w:val="0"/>
                <w:sz w:val="24"/>
                <w:highlight w:val="none"/>
                <w:lang w:val="en-US" w:eastAsia="zh-CN"/>
                <w14:textFill>
                  <w14:solidFill>
                    <w14:schemeClr w14:val="tx1"/>
                  </w14:solidFill>
                </w14:textFill>
              </w:rPr>
              <w:t>.</w:t>
            </w:r>
            <w:r>
              <w:rPr>
                <w:rFonts w:cs="Times New Roman"/>
                <w:color w:val="000000" w:themeColor="text1"/>
                <w:spacing w:val="0"/>
                <w:kern w:val="0"/>
                <w:sz w:val="24"/>
                <w:highlight w:val="none"/>
                <w14:textFill>
                  <w14:solidFill>
                    <w14:schemeClr w14:val="tx1"/>
                  </w14:solidFill>
                </w14:textFill>
              </w:rPr>
              <w:t>固体废物影响分析</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本项目施工期产生的固体废物主要是施工期建筑垃圾、施工人员生活垃圾。</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（1）施工建筑垃圾</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本项目此施工期固废主要为建筑垃圾及本工程施工剩余的建筑材料，包括石料、木料等。本项目产生的建筑垃圾应及时清运至</w:t>
            </w:r>
            <w:r>
              <w:rPr>
                <w:rFonts w:hint="eastAsia" w:cs="Times New Roman"/>
                <w:color w:val="000000" w:themeColor="text1"/>
                <w:spacing w:val="0"/>
                <w:kern w:val="0"/>
                <w:sz w:val="24"/>
                <w:highlight w:val="none"/>
                <w:lang w:eastAsia="zh-CN"/>
                <w14:textFill>
                  <w14:solidFill>
                    <w14:schemeClr w14:val="tx1"/>
                  </w14:solidFill>
                </w14:textFill>
              </w:rPr>
              <w:t>建筑垃圾收纳点</w:t>
            </w:r>
            <w:r>
              <w:rPr>
                <w:rFonts w:cs="Times New Roman"/>
                <w:color w:val="000000" w:themeColor="text1"/>
                <w:spacing w:val="0"/>
                <w:kern w:val="0"/>
                <w:sz w:val="24"/>
                <w:highlight w:val="none"/>
                <w14:textFill>
                  <w14:solidFill>
                    <w14:schemeClr w14:val="tx1"/>
                  </w14:solidFill>
                </w14:textFill>
              </w:rPr>
              <w:t>处置，防止建筑垃圾对外环境的影响。</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（2）生活垃圾</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施工人员产生的生活垃圾若随意堆放，不仅影响施工区环境景观，而且影响施工区环境卫生，夏秋季易造成蚊、蝇</w:t>
            </w:r>
            <w:r>
              <w:rPr>
                <w:rFonts w:hint="eastAsia" w:cs="Times New Roman"/>
                <w:color w:val="000000" w:themeColor="text1"/>
                <w:spacing w:val="0"/>
                <w:kern w:val="0"/>
                <w:sz w:val="24"/>
                <w:highlight w:val="none"/>
                <w:lang w:eastAsia="zh-CN"/>
                <w14:textFill>
                  <w14:solidFill>
                    <w14:schemeClr w14:val="tx1"/>
                  </w14:solidFill>
                </w14:textFill>
              </w:rPr>
              <w:t>滋生</w:t>
            </w:r>
            <w:r>
              <w:rPr>
                <w:rFonts w:cs="Times New Roman"/>
                <w:color w:val="000000" w:themeColor="text1"/>
                <w:spacing w:val="0"/>
                <w:kern w:val="0"/>
                <w:sz w:val="24"/>
                <w:highlight w:val="none"/>
                <w14:textFill>
                  <w14:solidFill>
                    <w14:schemeClr w14:val="tx1"/>
                  </w14:solidFill>
                </w14:textFill>
              </w:rPr>
              <w:t>或鼠类繁殖，导致疾病流行，进而威胁施工人员身体健康。本项目生活垃圾做到日产日清，定时收集清运垃圾，能够回收利用的</w:t>
            </w:r>
            <w:r>
              <w:rPr>
                <w:rFonts w:hint="eastAsia" w:cs="Times New Roman"/>
                <w:color w:val="000000" w:themeColor="text1"/>
                <w:spacing w:val="0"/>
                <w:kern w:val="0"/>
                <w:sz w:val="24"/>
                <w:highlight w:val="none"/>
                <w14:textFill>
                  <w14:solidFill>
                    <w14:schemeClr w14:val="tx1"/>
                  </w14:solidFill>
                </w14:textFill>
              </w:rPr>
              <w:t>委托市政环卫部门处置</w:t>
            </w:r>
            <w:r>
              <w:rPr>
                <w:rFonts w:cs="Times New Roman"/>
                <w:color w:val="000000" w:themeColor="text1"/>
                <w:spacing w:val="0"/>
                <w:kern w:val="0"/>
                <w:sz w:val="24"/>
                <w:highlight w:val="none"/>
                <w14:textFill>
                  <w14:solidFill>
                    <w14:schemeClr w14:val="tx1"/>
                  </w14:solidFill>
                </w14:textFill>
              </w:rPr>
              <w:t>。</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综上所述，本项目施工期产生的固体废物均能无害化处置。</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5</w:t>
            </w:r>
            <w:r>
              <w:rPr>
                <w:rFonts w:hint="eastAsia" w:cs="Times New Roman"/>
                <w:color w:val="000000" w:themeColor="text1"/>
                <w:spacing w:val="0"/>
                <w:kern w:val="0"/>
                <w:sz w:val="24"/>
                <w:highlight w:val="none"/>
                <w:lang w:val="en-US" w:eastAsia="zh-CN"/>
                <w14:textFill>
                  <w14:solidFill>
                    <w14:schemeClr w14:val="tx1"/>
                  </w14:solidFill>
                </w14:textFill>
              </w:rPr>
              <w:t>.</w:t>
            </w:r>
            <w:r>
              <w:rPr>
                <w:rFonts w:cs="Times New Roman"/>
                <w:color w:val="000000" w:themeColor="text1"/>
                <w:spacing w:val="0"/>
                <w:kern w:val="0"/>
                <w:sz w:val="24"/>
                <w:highlight w:val="none"/>
                <w14:textFill>
                  <w14:solidFill>
                    <w14:schemeClr w14:val="tx1"/>
                  </w14:solidFill>
                </w14:textFill>
              </w:rPr>
              <w:t>生态影响</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hint="eastAsia" w:cs="Times New Roman"/>
                <w:color w:val="000000" w:themeColor="text1"/>
                <w:spacing w:val="0"/>
                <w:kern w:val="0"/>
                <w:sz w:val="24"/>
                <w:highlight w:val="none"/>
                <w14:textFill>
                  <w14:solidFill>
                    <w14:schemeClr w14:val="tx1"/>
                  </w14:solidFill>
                </w14:textFill>
              </w:rPr>
              <w:t>项目建设中的水土流失主要产生于施工期，项目在施工期会形成新的开挖面，由于扰动破坏了原来的地貌，使土壤抗侵蚀力降低，地表裸露程度提高，项目施工区域内的水土流失会加重。在建设期，提前做好施工现场的拦堵设施，可以大大降低水土流失的量。在项目建设竣工以后，项目场地区域将被构筑物和混凝土硬化地面所覆盖，</w:t>
            </w:r>
            <w:r>
              <w:rPr>
                <w:rFonts w:hint="eastAsia" w:cs="Times New Roman"/>
                <w:color w:val="000000" w:themeColor="text1"/>
                <w:spacing w:val="0"/>
                <w:kern w:val="0"/>
                <w:sz w:val="24"/>
                <w:highlight w:val="none"/>
                <w:lang w:eastAsia="zh-CN"/>
                <w14:textFill>
                  <w14:solidFill>
                    <w14:schemeClr w14:val="tx1"/>
                  </w14:solidFill>
                </w14:textFill>
              </w:rPr>
              <w:t>设置导流沟可以减少雨水冲刷对场地地面的影响，</w:t>
            </w:r>
            <w:r>
              <w:rPr>
                <w:rFonts w:hint="eastAsia" w:cs="Times New Roman"/>
                <w:color w:val="000000" w:themeColor="text1"/>
                <w:spacing w:val="0"/>
                <w:kern w:val="0"/>
                <w:sz w:val="24"/>
                <w:highlight w:val="none"/>
                <w14:textFill>
                  <w14:solidFill>
                    <w14:schemeClr w14:val="tx1"/>
                  </w14:solidFill>
                </w14:textFill>
              </w:rPr>
              <w:t>因此施工造成的水土流失将得到控制。</w:t>
            </w:r>
            <w:r>
              <w:rPr>
                <w:rFonts w:cs="Times New Roman"/>
                <w:color w:val="000000" w:themeColor="text1"/>
                <w:spacing w:val="0"/>
                <w:kern w:val="0"/>
                <w:sz w:val="24"/>
                <w:highlight w:val="none"/>
                <w14:textFill>
                  <w14:solidFill>
                    <w14:schemeClr w14:val="tx1"/>
                  </w14:solidFill>
                </w14:textFill>
              </w:rPr>
              <w:t>项目施工期由于</w:t>
            </w:r>
            <w:r>
              <w:rPr>
                <w:rFonts w:hint="eastAsia" w:cs="Times New Roman"/>
                <w:color w:val="000000" w:themeColor="text1"/>
                <w:spacing w:val="0"/>
                <w:kern w:val="0"/>
                <w:sz w:val="24"/>
                <w:highlight w:val="none"/>
                <w:lang w:eastAsia="zh-CN"/>
                <w14:textFill>
                  <w14:solidFill>
                    <w14:schemeClr w14:val="tx1"/>
                  </w14:solidFill>
                </w14:textFill>
              </w:rPr>
              <w:t>建筑物地基开挖</w:t>
            </w:r>
            <w:r>
              <w:rPr>
                <w:rFonts w:cs="Times New Roman"/>
                <w:color w:val="000000" w:themeColor="text1"/>
                <w:spacing w:val="0"/>
                <w:kern w:val="0"/>
                <w:sz w:val="24"/>
                <w:highlight w:val="none"/>
                <w14:textFill>
                  <w14:solidFill>
                    <w14:schemeClr w14:val="tx1"/>
                  </w14:solidFill>
                </w14:textFill>
              </w:rPr>
              <w:t>等需要对项目区土石方回填处理，破坏其原有地表结构；在项目建成以后，项目区域的未利用地将转变为建筑体系。项目建成后场地被道路和建筑物覆盖，因此在施工过程中造成的水土流失将是永久的，但由于项目区占地面积小，施工时间较短，对项目区周边的生态环境影响也是较小的。本项目</w:t>
            </w:r>
            <w:r>
              <w:rPr>
                <w:rFonts w:hint="eastAsia" w:cs="Times New Roman"/>
                <w:color w:val="000000" w:themeColor="text1"/>
                <w:spacing w:val="0"/>
                <w:kern w:val="0"/>
                <w:sz w:val="24"/>
                <w:highlight w:val="none"/>
                <w14:textFill>
                  <w14:solidFill>
                    <w14:schemeClr w14:val="tx1"/>
                  </w14:solidFill>
                </w14:textFill>
              </w:rPr>
              <w:t>用地</w:t>
            </w:r>
            <w:r>
              <w:rPr>
                <w:rFonts w:hint="eastAsia" w:cs="Times New Roman"/>
                <w:color w:val="000000" w:themeColor="text1"/>
                <w:spacing w:val="0"/>
                <w:kern w:val="0"/>
                <w:sz w:val="24"/>
                <w:highlight w:val="none"/>
                <w:lang w:val="en-US" w:eastAsia="zh-CN"/>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租赁庆安县同乐制砖厂部分用地</w:t>
            </w:r>
            <w:r>
              <w:rPr>
                <w:rFonts w:hint="eastAsia" w:cs="Times New Roman"/>
                <w:color w:val="000000" w:themeColor="text1"/>
                <w:spacing w:val="0"/>
                <w:kern w:val="0"/>
                <w:sz w:val="24"/>
                <w:highlight w:val="none"/>
                <w14:textFill>
                  <w14:solidFill>
                    <w14:schemeClr w14:val="tx1"/>
                  </w14:solidFill>
                </w14:textFill>
              </w:rPr>
              <w:t>，表面已经过场地平整，基本无植被覆盖</w:t>
            </w:r>
            <w:r>
              <w:rPr>
                <w:rFonts w:hint="eastAsia" w:cs="Times New Roman"/>
                <w:color w:val="000000" w:themeColor="text1"/>
                <w:spacing w:val="0"/>
                <w:kern w:val="0"/>
                <w:sz w:val="24"/>
                <w:highlight w:val="none"/>
                <w:lang w:eastAsia="zh-CN"/>
                <w14:textFill>
                  <w14:solidFill>
                    <w14:schemeClr w14:val="tx1"/>
                  </w14:solidFill>
                </w14:textFill>
              </w:rPr>
              <w:t>，因此</w:t>
            </w:r>
            <w:r>
              <w:rPr>
                <w:rFonts w:cs="Times New Roman"/>
                <w:color w:val="000000" w:themeColor="text1"/>
                <w:spacing w:val="0"/>
                <w:kern w:val="0"/>
                <w:sz w:val="24"/>
                <w:highlight w:val="none"/>
                <w14:textFill>
                  <w14:solidFill>
                    <w14:schemeClr w14:val="tx1"/>
                  </w14:solidFill>
                </w14:textFill>
              </w:rPr>
              <w:t>施工期采取的生态保护减缓措施如下：</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（1）应注意选择施工季节，避免雨天施工，防止在暴雨期间造成大量水土流失。</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w:t>
            </w:r>
            <w:r>
              <w:rPr>
                <w:rFonts w:hint="eastAsia" w:cs="Times New Roman"/>
                <w:color w:val="000000" w:themeColor="text1"/>
                <w:spacing w:val="0"/>
                <w:kern w:val="0"/>
                <w:sz w:val="24"/>
                <w:highlight w:val="none"/>
                <w:lang w:val="en-US" w:eastAsia="zh-CN"/>
                <w14:textFill>
                  <w14:solidFill>
                    <w14:schemeClr w14:val="tx1"/>
                  </w14:solidFill>
                </w14:textFill>
              </w:rPr>
              <w:t>2</w:t>
            </w:r>
            <w:r>
              <w:rPr>
                <w:rFonts w:cs="Times New Roman"/>
                <w:color w:val="000000" w:themeColor="text1"/>
                <w:spacing w:val="0"/>
                <w:kern w:val="0"/>
                <w:sz w:val="24"/>
                <w:highlight w:val="none"/>
                <w14:textFill>
                  <w14:solidFill>
                    <w14:schemeClr w14:val="tx1"/>
                  </w14:solidFill>
                </w14:textFill>
              </w:rPr>
              <w:t>）施工时弃土尽量回用，直接送至填方处堆存，减少倒运次数，可减轻水土流失。施工结束后立即</w:t>
            </w:r>
            <w:r>
              <w:rPr>
                <w:rFonts w:hint="eastAsia" w:cs="Times New Roman"/>
                <w:color w:val="000000" w:themeColor="text1"/>
                <w:spacing w:val="0"/>
                <w:kern w:val="0"/>
                <w:sz w:val="24"/>
                <w:highlight w:val="none"/>
                <w:lang w:eastAsia="zh-CN"/>
                <w14:textFill>
                  <w14:solidFill>
                    <w14:schemeClr w14:val="tx1"/>
                  </w14:solidFill>
                </w14:textFill>
              </w:rPr>
              <w:t>对厂内裸露地表</w:t>
            </w:r>
            <w:r>
              <w:rPr>
                <w:rFonts w:cs="Times New Roman"/>
                <w:color w:val="000000" w:themeColor="text1"/>
                <w:spacing w:val="0"/>
                <w:kern w:val="0"/>
                <w:sz w:val="24"/>
                <w:highlight w:val="none"/>
                <w14:textFill>
                  <w14:solidFill>
                    <w14:schemeClr w14:val="tx1"/>
                  </w14:solidFill>
                </w14:textFill>
              </w:rPr>
              <w:t>进行植被</w:t>
            </w:r>
            <w:r>
              <w:rPr>
                <w:rFonts w:hint="eastAsia" w:cs="Times New Roman"/>
                <w:color w:val="000000" w:themeColor="text1"/>
                <w:spacing w:val="0"/>
                <w:kern w:val="0"/>
                <w:sz w:val="24"/>
                <w:highlight w:val="none"/>
                <w:lang w:eastAsia="zh-CN"/>
                <w14:textFill>
                  <w14:solidFill>
                    <w14:schemeClr w14:val="tx1"/>
                  </w14:solidFill>
                </w14:textFill>
              </w:rPr>
              <w:t>覆盖</w:t>
            </w:r>
            <w:r>
              <w:rPr>
                <w:rFonts w:cs="Times New Roman"/>
                <w:color w:val="000000" w:themeColor="text1"/>
                <w:spacing w:val="0"/>
                <w:kern w:val="0"/>
                <w:sz w:val="24"/>
                <w:highlight w:val="none"/>
                <w14:textFill>
                  <w14:solidFill>
                    <w14:schemeClr w14:val="tx1"/>
                  </w14:solidFill>
                </w14:textFill>
              </w:rPr>
              <w:t>，减少水土流失和扬尘污染。</w:t>
            </w:r>
          </w:p>
          <w:p>
            <w:pPr>
              <w:pStyle w:val="96"/>
              <w:spacing w:line="360" w:lineRule="auto"/>
              <w:ind w:firstLine="480"/>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w:t>
            </w:r>
            <w:r>
              <w:rPr>
                <w:rFonts w:hint="eastAsia" w:cs="Times New Roman"/>
                <w:color w:val="000000" w:themeColor="text1"/>
                <w:spacing w:val="0"/>
                <w:kern w:val="0"/>
                <w:sz w:val="24"/>
                <w:highlight w:val="none"/>
                <w:lang w:val="en-US" w:eastAsia="zh-CN"/>
                <w14:textFill>
                  <w14:solidFill>
                    <w14:schemeClr w14:val="tx1"/>
                  </w14:solidFill>
                </w14:textFill>
              </w:rPr>
              <w:t>3</w:t>
            </w:r>
            <w:r>
              <w:rPr>
                <w:rFonts w:cs="Times New Roman"/>
                <w:color w:val="000000" w:themeColor="text1"/>
                <w:spacing w:val="0"/>
                <w:kern w:val="0"/>
                <w:sz w:val="24"/>
                <w:highlight w:val="none"/>
                <w14:textFill>
                  <w14:solidFill>
                    <w14:schemeClr w14:val="tx1"/>
                  </w14:solidFill>
                </w14:textFill>
              </w:rPr>
              <w:t>）施工期</w:t>
            </w:r>
            <w:r>
              <w:rPr>
                <w:rFonts w:hint="eastAsia" w:cs="Times New Roman"/>
                <w:color w:val="000000" w:themeColor="text1"/>
                <w:spacing w:val="0"/>
                <w:kern w:val="0"/>
                <w:sz w:val="24"/>
                <w:highlight w:val="none"/>
                <w:lang w:eastAsia="zh-CN"/>
                <w14:textFill>
                  <w14:solidFill>
                    <w14:schemeClr w14:val="tx1"/>
                  </w14:solidFill>
                </w14:textFill>
              </w:rPr>
              <w:t>地基开挖及道路施工时应及时清运渣土</w:t>
            </w:r>
            <w:r>
              <w:rPr>
                <w:rFonts w:cs="Times New Roman"/>
                <w:color w:val="000000" w:themeColor="text1"/>
                <w:spacing w:val="0"/>
                <w:kern w:val="0"/>
                <w:sz w:val="24"/>
                <w:highlight w:val="none"/>
                <w14:textFill>
                  <w14:solidFill>
                    <w14:schemeClr w14:val="tx1"/>
                  </w14:solidFill>
                </w14:textFill>
              </w:rPr>
              <w:t>，对挖方进行妥善的临时堆置并采取遮挡措施，避免随意排放，以确保挖填裸露堆土，不被雨水冲刷，避免造成水土流失，施工结束后，挖方回填，</w:t>
            </w:r>
            <w:r>
              <w:rPr>
                <w:rFonts w:hint="eastAsia" w:cs="Times New Roman"/>
                <w:color w:val="000000" w:themeColor="text1"/>
                <w:spacing w:val="0"/>
                <w:kern w:val="0"/>
                <w:sz w:val="24"/>
                <w:highlight w:val="none"/>
                <w:lang w:eastAsia="zh-CN"/>
                <w14:textFill>
                  <w14:solidFill>
                    <w14:schemeClr w14:val="tx1"/>
                  </w14:solidFill>
                </w14:textFill>
              </w:rPr>
              <w:t>对裸露地表进行及时的绿化恢复</w:t>
            </w:r>
            <w:r>
              <w:rPr>
                <w:rFonts w:cs="Times New Roman"/>
                <w:color w:val="000000" w:themeColor="text1"/>
                <w:spacing w:val="0"/>
                <w:kern w:val="0"/>
                <w:sz w:val="24"/>
                <w:highlight w:val="none"/>
                <w14:textFill>
                  <w14:solidFill>
                    <w14:schemeClr w14:val="tx1"/>
                  </w14:solidFill>
                </w14:textFill>
              </w:rPr>
              <w:t>。</w:t>
            </w:r>
          </w:p>
          <w:p>
            <w:pPr>
              <w:spacing w:line="360" w:lineRule="auto"/>
              <w:ind w:firstLine="480" w:firstLineChars="200"/>
              <w:contextualSpacing/>
              <w:rPr>
                <w:rFonts w:cs="Times New Roman"/>
                <w:color w:val="000000" w:themeColor="text1"/>
                <w:spacing w:val="0"/>
                <w:kern w:val="0"/>
                <w:sz w:val="24"/>
                <w:highlight w:val="none"/>
                <w14:textFill>
                  <w14:solidFill>
                    <w14:schemeClr w14:val="tx1"/>
                  </w14:solidFill>
                </w14:textFill>
              </w:rPr>
            </w:pPr>
            <w:r>
              <w:rPr>
                <w:rFonts w:cs="Times New Roman"/>
                <w:color w:val="000000" w:themeColor="text1"/>
                <w:spacing w:val="0"/>
                <w:kern w:val="0"/>
                <w:sz w:val="24"/>
                <w:highlight w:val="none"/>
                <w14:textFill>
                  <w14:solidFill>
                    <w14:schemeClr w14:val="tx1"/>
                  </w14:solidFill>
                </w14:textFill>
              </w:rPr>
              <w:t>（</w:t>
            </w:r>
            <w:r>
              <w:rPr>
                <w:rFonts w:hint="eastAsia" w:cs="Times New Roman"/>
                <w:color w:val="000000" w:themeColor="text1"/>
                <w:spacing w:val="0"/>
                <w:kern w:val="0"/>
                <w:sz w:val="24"/>
                <w:highlight w:val="none"/>
                <w:lang w:val="en-US" w:eastAsia="zh-CN"/>
                <w14:textFill>
                  <w14:solidFill>
                    <w14:schemeClr w14:val="tx1"/>
                  </w14:solidFill>
                </w14:textFill>
              </w:rPr>
              <w:t>4</w:t>
            </w:r>
            <w:r>
              <w:rPr>
                <w:rFonts w:cs="Times New Roman"/>
                <w:color w:val="000000" w:themeColor="text1"/>
                <w:spacing w:val="0"/>
                <w:kern w:val="0"/>
                <w:sz w:val="24"/>
                <w:highlight w:val="none"/>
                <w14:textFill>
                  <w14:solidFill>
                    <w14:schemeClr w14:val="tx1"/>
                  </w14:solidFill>
                </w14:textFill>
              </w:rPr>
              <w:t>）加强对施工人员生态环境方面知识的教育，加强管理，增强对生态环境保护的意识和观念，并使施工人员变为自觉行为。</w:t>
            </w:r>
          </w:p>
          <w:p>
            <w:pPr>
              <w:pStyle w:val="14"/>
              <w:rPr>
                <w:rFonts w:cs="Times New Roman"/>
                <w:color w:val="000000" w:themeColor="text1"/>
                <w:spacing w:val="0"/>
                <w:kern w:val="0"/>
                <w:sz w:val="24"/>
                <w:highlight w:val="none"/>
                <w14:textFill>
                  <w14:solidFill>
                    <w14:schemeClr w14:val="tx1"/>
                  </w14:solidFill>
                </w14:textFill>
              </w:rPr>
            </w:pPr>
          </w:p>
          <w:p>
            <w:pPr>
              <w:pStyle w:val="14"/>
              <w:rPr>
                <w:rFonts w:cs="Times New Roman"/>
                <w:color w:val="000000" w:themeColor="text1"/>
                <w:spacing w:val="0"/>
                <w:kern w:val="0"/>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22" w:hRule="atLeast"/>
          <w:jc w:val="center"/>
        </w:trPr>
        <w:tc>
          <w:tcPr>
            <w:tcW w:w="874" w:type="dxa"/>
            <w:tcMar>
              <w:left w:w="28" w:type="dxa"/>
              <w:right w:w="28" w:type="dxa"/>
            </w:tcMar>
            <w:vAlign w:val="center"/>
          </w:tcPr>
          <w:p>
            <w:pPr>
              <w:adjustRightInd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运营</w:t>
            </w:r>
          </w:p>
          <w:p>
            <w:pPr>
              <w:adjustRightInd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期环</w:t>
            </w:r>
          </w:p>
          <w:p>
            <w:pPr>
              <w:adjustRightInd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境影</w:t>
            </w:r>
          </w:p>
          <w:p>
            <w:pPr>
              <w:adjustRightInd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响和</w:t>
            </w:r>
          </w:p>
          <w:p>
            <w:pPr>
              <w:adjustRightInd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保护</w:t>
            </w:r>
          </w:p>
          <w:p>
            <w:pPr>
              <w:adjustRightInd w:val="0"/>
              <w:snapToGrid w:val="0"/>
              <w:jc w:val="center"/>
              <w:rPr>
                <w:rFonts w:ascii="宋体" w:hAnsi="宋体" w:cs="宋体"/>
                <w:color w:val="000000" w:themeColor="text1"/>
                <w:kern w:val="0"/>
                <w:sz w:val="24"/>
                <w:highlight w:val="red"/>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措施</w:t>
            </w:r>
          </w:p>
        </w:tc>
        <w:tc>
          <w:tcPr>
            <w:tcW w:w="8110" w:type="dxa"/>
            <w:vAlign w:val="center"/>
          </w:tcPr>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right="0" w:rightChars="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废气</w:t>
            </w:r>
          </w:p>
          <w:p>
            <w:pPr>
              <w:pStyle w:val="2"/>
              <w:numPr>
                <w:ilvl w:val="0"/>
                <w:numId w:val="0"/>
              </w:numPr>
              <w:rPr>
                <w:rFonts w:hint="default"/>
                <w:lang w:val="en-US" w:eastAsia="zh-CN"/>
              </w:rPr>
            </w:pPr>
            <w:r>
              <w:rPr>
                <w:rFonts w:hint="eastAsia"/>
                <w:lang w:val="en-US" w:eastAsia="zh-CN"/>
              </w:rPr>
              <w:t>本项目</w:t>
            </w:r>
          </w:p>
          <w:p>
            <w:pPr>
              <w:pStyle w:val="14"/>
              <w:keepNext w:val="0"/>
              <w:keepLines w:val="0"/>
              <w:pageBreakBefore w:val="0"/>
              <w:numPr>
                <w:ilvl w:val="0"/>
                <w:numId w:val="0"/>
              </w:numPr>
              <w:kinsoku/>
              <w:wordWrap/>
              <w:overflowPunct/>
              <w:topLinePunct w:val="0"/>
              <w:autoSpaceDE/>
              <w:autoSpaceDN/>
              <w:bidi w:val="0"/>
              <w:snapToGrid w:val="0"/>
              <w:spacing w:before="0" w:after="0" w:line="360" w:lineRule="auto"/>
              <w:ind w:right="0" w:rightChars="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1.1</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废气影响分析</w:t>
            </w:r>
          </w:p>
          <w:p>
            <w:pPr>
              <w:pStyle w:val="100"/>
              <w:keepNext w:val="0"/>
              <w:keepLines w:val="0"/>
              <w:pageBreakBefore w:val="0"/>
              <w:kinsoku/>
              <w:wordWrap/>
              <w:overflowPunct/>
              <w:topLinePunct w:val="0"/>
              <w:autoSpaceDE/>
              <w:autoSpaceDN/>
              <w:bidi w:val="0"/>
              <w:spacing w:line="360" w:lineRule="auto"/>
              <w:ind w:firstLine="42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运营期主要废气为运营期废气主要为破碎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、整形</w:t>
            </w:r>
            <w:r>
              <w:rPr>
                <w:rFonts w:hint="default" w:ascii="Times New Roman" w:hAnsi="Times New Roman" w:eastAsia="宋体" w:cs="Times New Roman"/>
                <w:color w:val="000000" w:themeColor="text1"/>
                <w:sz w:val="24"/>
                <w:szCs w:val="24"/>
                <w:highlight w:val="none"/>
                <w14:textFill>
                  <w14:solidFill>
                    <w14:schemeClr w14:val="tx1"/>
                  </w14:solidFill>
                </w14:textFill>
              </w:rPr>
              <w:t>和筛分工序等产生的粉尘，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堆场粉尘、成品放置区粉尘</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厂区地埋硬化，</w:t>
            </w:r>
            <w:r>
              <w:rPr>
                <w:rFonts w:hint="default" w:ascii="Times New Roman" w:hAnsi="Times New Roman" w:eastAsia="宋体" w:cs="Times New Roman"/>
                <w:color w:val="000000" w:themeColor="text1"/>
                <w:sz w:val="24"/>
                <w:szCs w:val="24"/>
                <w:highlight w:val="none"/>
                <w14:textFill>
                  <w14:solidFill>
                    <w14:schemeClr w14:val="tx1"/>
                  </w14:solidFill>
                </w14:textFill>
              </w:rPr>
              <w:t>车辆运输过程道路适时洒水降尘，输送物料的传送带进行密闭，产尘较小，主要产尘环节如下：</w:t>
            </w:r>
          </w:p>
          <w:p>
            <w:pPr>
              <w:pStyle w:val="100"/>
              <w:keepNext w:val="0"/>
              <w:keepLines w:val="0"/>
              <w:pageBreakBefore w:val="0"/>
              <w:kinsoku/>
              <w:wordWrap/>
              <w:overflowPunct/>
              <w:topLinePunct w:val="0"/>
              <w:autoSpaceDE/>
              <w:autoSpaceDN/>
              <w:bidi w:val="0"/>
              <w:spacing w:line="360" w:lineRule="auto"/>
              <w:ind w:firstLine="42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 1 \* GB3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①</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堆场粉尘</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堆场</w:t>
            </w:r>
            <w:r>
              <w:rPr>
                <w:rFonts w:hint="default" w:ascii="Times New Roman" w:hAnsi="Times New Roman" w:eastAsia="宋体" w:cs="Times New Roman"/>
                <w:color w:val="000000" w:themeColor="text1"/>
                <w:sz w:val="24"/>
                <w:szCs w:val="24"/>
                <w:highlight w:val="green"/>
                <w14:textFill>
                  <w14:solidFill>
                    <w14:schemeClr w14:val="tx1"/>
                  </w14:solidFill>
                </w14:textFill>
              </w:rPr>
              <w:t>粉尘包括原料石料装卸</w:t>
            </w:r>
            <w:r>
              <w:rPr>
                <w:rFonts w:hint="eastAsia" w:ascii="Times New Roman" w:hAnsi="Times New Roman" w:eastAsia="宋体" w:cs="Times New Roman"/>
                <w:color w:val="000000" w:themeColor="text1"/>
                <w:sz w:val="24"/>
                <w:szCs w:val="24"/>
                <w:highlight w:val="green"/>
                <w:lang w:eastAsia="zh-CN"/>
                <w14:textFill>
                  <w14:solidFill>
                    <w14:schemeClr w14:val="tx1"/>
                  </w14:solidFill>
                </w14:textFill>
              </w:rPr>
              <w:t>扬</w:t>
            </w:r>
            <w:r>
              <w:rPr>
                <w:rFonts w:hint="default" w:ascii="Times New Roman" w:hAnsi="Times New Roman" w:eastAsia="宋体" w:cs="Times New Roman"/>
                <w:color w:val="000000" w:themeColor="text1"/>
                <w:sz w:val="24"/>
                <w:szCs w:val="24"/>
                <w:highlight w:val="green"/>
                <w14:textFill>
                  <w14:solidFill>
                    <w14:schemeClr w14:val="tx1"/>
                  </w14:solidFill>
                </w14:textFill>
              </w:rPr>
              <w:t>尘和风蚀扬尘。</w:t>
            </w:r>
            <w:r>
              <w:rPr>
                <w:rFonts w:hint="eastAsia" w:cs="Times New Roman"/>
                <w:color w:val="000000" w:themeColor="text1"/>
                <w:sz w:val="24"/>
                <w:szCs w:val="24"/>
                <w:highlight w:val="green"/>
                <w:lang w:eastAsia="zh-CN"/>
                <w14:textFill>
                  <w14:solidFill>
                    <w14:schemeClr w14:val="tx1"/>
                  </w14:solidFill>
                </w14:textFill>
              </w:rPr>
              <w:t>本项目堆场暂时按照每天存放原料</w:t>
            </w:r>
            <w:r>
              <w:rPr>
                <w:rFonts w:hint="eastAsia" w:cs="Times New Roman"/>
                <w:color w:val="000000" w:themeColor="text1"/>
                <w:sz w:val="24"/>
                <w:szCs w:val="24"/>
                <w:highlight w:val="green"/>
                <w:lang w:val="en-US" w:eastAsia="zh-CN"/>
                <w14:textFill>
                  <w14:solidFill>
                    <w14:schemeClr w14:val="tx1"/>
                  </w14:solidFill>
                </w14:textFill>
              </w:rPr>
              <w:t>12h计算，故年原料存放时间为2800h；</w:t>
            </w:r>
            <w:r>
              <w:rPr>
                <w:rFonts w:hint="default" w:ascii="Times New Roman" w:hAnsi="Times New Roman" w:eastAsia="宋体" w:cs="Times New Roman"/>
                <w:color w:val="000000" w:themeColor="text1"/>
                <w:sz w:val="24"/>
                <w:szCs w:val="24"/>
                <w:highlight w:val="green"/>
                <w14:textFill>
                  <w14:solidFill>
                    <w14:schemeClr w14:val="tx1"/>
                  </w14:solidFill>
                </w14:textFill>
              </w:rPr>
              <w:t>原</w:t>
            </w:r>
            <w:r>
              <w:rPr>
                <w:rFonts w:hint="default" w:ascii="Times New Roman" w:hAnsi="Times New Roman" w:eastAsia="宋体" w:cs="Times New Roman"/>
                <w:color w:val="000000" w:themeColor="text1"/>
                <w:sz w:val="24"/>
                <w:szCs w:val="24"/>
                <w:highlight w:val="none"/>
                <w14:textFill>
                  <w14:solidFill>
                    <w14:schemeClr w14:val="tx1"/>
                  </w14:solidFill>
                </w14:textFill>
              </w:rPr>
              <w:t>料堆场仅存放原料石料，原料堆场设置</w:t>
            </w:r>
            <w:r>
              <w:rPr>
                <w:rFonts w:hint="eastAsia" w:cs="Times New Roman"/>
                <w:color w:val="000000" w:themeColor="text1"/>
                <w:sz w:val="24"/>
                <w:szCs w:val="24"/>
                <w:highlight w:val="none"/>
                <w:lang w:eastAsia="zh-CN"/>
                <w14:textFill>
                  <w14:solidFill>
                    <w14:schemeClr w14:val="tx1"/>
                  </w14:solidFill>
                </w14:textFill>
              </w:rPr>
              <w:t>防风抑尘网</w:t>
            </w:r>
            <w:r>
              <w:rPr>
                <w:rFonts w:hint="default" w:ascii="Times New Roman" w:hAnsi="Times New Roman" w:eastAsia="宋体" w:cs="Times New Roman"/>
                <w:color w:val="000000" w:themeColor="text1"/>
                <w:sz w:val="24"/>
                <w:szCs w:val="24"/>
                <w:highlight w:val="none"/>
                <w14:textFill>
                  <w14:solidFill>
                    <w14:schemeClr w14:val="tx1"/>
                  </w14:solidFill>
                </w14:textFill>
              </w:rPr>
              <w:t>，定期洒水抑尘。根据《排放源统计调查产排污核算方法和系数手册》的附1工业源</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附表2固体物料堆存颗粒物产排污核算系数手册，颗粒物产生量核算公式如下：</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P=ZC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y</w:t>
            </w:r>
            <w:r>
              <w:rPr>
                <w:rFonts w:hint="default" w:ascii="Times New Roman" w:hAnsi="Times New Roman" w:eastAsia="宋体" w:cs="Times New Roman"/>
                <w:color w:val="000000" w:themeColor="text1"/>
                <w:sz w:val="24"/>
                <w:szCs w:val="24"/>
                <w:highlight w:val="none"/>
                <w14:textFill>
                  <w14:solidFill>
                    <w14:schemeClr w14:val="tx1"/>
                  </w14:solidFill>
                </w14:textFill>
              </w:rPr>
              <w:t>+FC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y</w:t>
            </w:r>
            <w:r>
              <w:rPr>
                <w:rFonts w:hint="default" w:ascii="Times New Roman" w:hAnsi="Times New Roman" w:eastAsia="宋体" w:cs="Times New Roman"/>
                <w:color w:val="000000" w:themeColor="text1"/>
                <w:sz w:val="24"/>
                <w:szCs w:val="24"/>
                <w:highlight w:val="none"/>
                <w14:textFill>
                  <w14:solidFill>
                    <w14:schemeClr w14:val="tx1"/>
                  </w14:solidFill>
                </w14:textFill>
              </w:rPr>
              <w:t>={N</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c</w:t>
            </w:r>
            <w:r>
              <w:rPr>
                <w:rFonts w:hint="default" w:ascii="Times New Roman" w:hAnsi="Times New Roman" w:eastAsia="宋体" w:cs="Times New Roman"/>
                <w:color w:val="000000" w:themeColor="text1"/>
                <w:sz w:val="24"/>
                <w:szCs w:val="24"/>
                <w:highlight w:val="none"/>
                <w14:textFill>
                  <w14:solidFill>
                    <w14:schemeClr w14:val="tx1"/>
                  </w14:solidFill>
                </w14:textFill>
              </w:rPr>
              <w:t>×D×(a/b)+2×E</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f</w:t>
            </w:r>
            <w:r>
              <w:rPr>
                <w:rFonts w:hint="default" w:ascii="Times New Roman" w:hAnsi="Times New Roman" w:eastAsia="宋体" w:cs="Times New Roman"/>
                <w:color w:val="000000" w:themeColor="text1"/>
                <w:sz w:val="24"/>
                <w:szCs w:val="24"/>
                <w:highlight w:val="none"/>
                <w14:textFill>
                  <w14:solidFill>
                    <w14:schemeClr w14:val="tx1"/>
                  </w14:solidFill>
                </w14:textFill>
              </w:rPr>
              <w:t>×S}×10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式中：P 指颗粒物产生量</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ZC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y</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指装卸扬尘产生量</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FC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y</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指风蚀扬尘产生量</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N</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c</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指年物料运载车次</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单位：车</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；年物料运载车次</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3750</w:t>
            </w:r>
            <w:r>
              <w:rPr>
                <w:rFonts w:hint="default" w:ascii="Times New Roman" w:hAnsi="Times New Roman" w:eastAsia="宋体" w:cs="Times New Roman"/>
                <w:color w:val="000000" w:themeColor="text1"/>
                <w:sz w:val="24"/>
                <w:szCs w:val="24"/>
                <w:highlight w:val="none"/>
                <w14:textFill>
                  <w14:solidFill>
                    <w14:schemeClr w14:val="tx1"/>
                  </w14:solidFill>
                </w14:textFill>
              </w:rPr>
              <w:t>车。</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D  指单车平均运载量</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单位：吨/车</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；单车平均运载量为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4"/>
                <w:szCs w:val="24"/>
                <w:highlight w:val="none"/>
                <w14:textFill>
                  <w14:solidFill>
                    <w14:schemeClr w14:val="tx1"/>
                  </w14:solidFill>
                </w14:textFill>
              </w:rPr>
              <w:t>t/车。</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(a/b) 指装卸扬尘概化系数</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单位：千克/吨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，a指各省风速概化系数，根据附录1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黑龙江</w:t>
            </w:r>
            <w:r>
              <w:rPr>
                <w:rFonts w:hint="default" w:ascii="Times New Roman" w:hAnsi="Times New Roman" w:eastAsia="宋体" w:cs="Times New Roman"/>
                <w:color w:val="000000" w:themeColor="text1"/>
                <w:sz w:val="24"/>
                <w:szCs w:val="24"/>
                <w:highlight w:val="none"/>
                <w14:textFill>
                  <w14:solidFill>
                    <w14:schemeClr w14:val="tx1"/>
                  </w14:solidFill>
                </w14:textFill>
              </w:rPr>
              <w:t>省 a=0.0015，b指物料含水率概化系数，本项目加工原料为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狗头石</w:t>
            </w:r>
            <w:r>
              <w:rPr>
                <w:rFonts w:hint="default" w:ascii="Times New Roman" w:hAnsi="Times New Roman" w:eastAsia="宋体" w:cs="Times New Roman"/>
                <w:color w:val="000000" w:themeColor="text1"/>
                <w:sz w:val="24"/>
                <w:szCs w:val="24"/>
                <w:highlight w:val="none"/>
                <w14:textFill>
                  <w14:solidFill>
                    <w14:schemeClr w14:val="tx1"/>
                  </w14:solidFill>
                </w14:textFill>
              </w:rPr>
              <w:t>与石灰石物理性质相近</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参考附录2堆存物料类型—14各种石灰石产品b=0.0017；</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E</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f</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指堆场风蚀扬尘概化系数</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单位：千克/平方米</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，本项目加工原料为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狗头石</w:t>
            </w:r>
            <w:r>
              <w:rPr>
                <w:rFonts w:hint="default" w:ascii="Times New Roman" w:hAnsi="Times New Roman" w:eastAsia="宋体" w:cs="Times New Roman"/>
                <w:color w:val="000000" w:themeColor="text1"/>
                <w:sz w:val="24"/>
                <w:szCs w:val="24"/>
                <w:highlight w:val="none"/>
                <w14:textFill>
                  <w14:solidFill>
                    <w14:schemeClr w14:val="tx1"/>
                  </w14:solidFill>
                </w14:textFill>
              </w:rPr>
              <w:t>与石灰石物理性质相近</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参考附录3堆存物料类型—14各种石灰石产品E</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f</w:t>
            </w:r>
            <w:r>
              <w:rPr>
                <w:rFonts w:hint="default" w:ascii="Times New Roman" w:hAnsi="Times New Roman" w:eastAsia="宋体" w:cs="Times New Roman"/>
                <w:color w:val="000000" w:themeColor="text1"/>
                <w:sz w:val="24"/>
                <w:szCs w:val="24"/>
                <w:highlight w:val="none"/>
                <w14:textFill>
                  <w14:solidFill>
                    <w14:schemeClr w14:val="tx1"/>
                  </w14:solidFill>
                </w14:textFill>
              </w:rPr>
              <w:t>=3.6062；</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S 指堆场占地面积</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单位：平方米</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；本项目原料堆场占地面积</w:t>
            </w:r>
            <w:r>
              <w:rPr>
                <w:rFonts w:hint="eastAsia" w:cs="Times New Roman"/>
                <w:color w:val="000000" w:themeColor="text1"/>
                <w:sz w:val="24"/>
                <w:szCs w:val="24"/>
                <w:highlight w:val="none"/>
                <w:lang w:val="en-US" w:eastAsia="zh-CN"/>
                <w14:textFill>
                  <w14:solidFill>
                    <w14:schemeClr w14:val="tx1"/>
                  </w14:solidFill>
                </w14:textFill>
              </w:rPr>
              <w:t>8000</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left="479" w:leftChars="228" w:firstLine="0" w:firstLineChars="0"/>
              <w:jc w:val="left"/>
              <w:textAlignment w:val="auto"/>
              <w:rPr>
                <w:rFonts w:hint="default" w:ascii="Times New Roman" w:hAnsi="Times New Roman" w:eastAsia="宋体" w:cs="Times New Roman"/>
                <w:color w:val="000000" w:themeColor="text1"/>
                <w:sz w:val="24"/>
                <w:szCs w:val="24"/>
                <w:highlight w:val="gree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原料堆场粉尘</w:t>
            </w:r>
            <w:r>
              <w:rPr>
                <w:rFonts w:hint="default" w:ascii="Times New Roman" w:hAnsi="Times New Roman" w:eastAsia="宋体" w:cs="Times New Roman"/>
                <w:color w:val="000000" w:themeColor="text1"/>
                <w:sz w:val="24"/>
                <w:szCs w:val="24"/>
                <w:highlight w:val="green"/>
                <w14:textFill>
                  <w14:solidFill>
                    <w14:schemeClr w14:val="tx1"/>
                  </w14:solidFill>
                </w14:textFill>
              </w:rPr>
              <w:t>产生量</w:t>
            </w:r>
            <w:r>
              <w:rPr>
                <w:rFonts w:hint="eastAsia" w:cs="Times New Roman"/>
                <w:color w:val="000000" w:themeColor="text1"/>
                <w:sz w:val="24"/>
                <w:szCs w:val="24"/>
                <w:highlight w:val="green"/>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green"/>
                <w14:textFill>
                  <w14:solidFill>
                    <w14:schemeClr w14:val="tx1"/>
                  </w14:solidFill>
                </w14:textFill>
              </w:rPr>
              <w:t>P={</w:t>
            </w:r>
            <w:r>
              <w:rPr>
                <w:rFonts w:hint="eastAsia" w:cs="Times New Roman"/>
                <w:color w:val="000000" w:themeColor="text1"/>
                <w:sz w:val="24"/>
                <w:szCs w:val="24"/>
                <w:highlight w:val="green"/>
                <w:lang w:val="en-US" w:eastAsia="zh-CN"/>
                <w14:textFill>
                  <w14:solidFill>
                    <w14:schemeClr w14:val="tx1"/>
                  </w14:solidFill>
                </w14:textFill>
              </w:rPr>
              <w:t>3750</w:t>
            </w:r>
            <w:r>
              <w:rPr>
                <w:rFonts w:hint="default" w:ascii="Times New Roman" w:hAnsi="Times New Roman" w:eastAsia="宋体" w:cs="Times New Roman"/>
                <w:color w:val="000000" w:themeColor="text1"/>
                <w:sz w:val="24"/>
                <w:szCs w:val="24"/>
                <w:highlight w:val="green"/>
                <w14:textFill>
                  <w14:solidFill>
                    <w14:schemeClr w14:val="tx1"/>
                  </w14:solidFill>
                </w14:textFill>
              </w:rPr>
              <w:t>×</w:t>
            </w:r>
            <w:r>
              <w:rPr>
                <w:rFonts w:hint="default" w:ascii="Times New Roman" w:hAnsi="Times New Roman" w:eastAsia="宋体" w:cs="Times New Roman"/>
                <w:color w:val="000000" w:themeColor="text1"/>
                <w:sz w:val="24"/>
                <w:szCs w:val="24"/>
                <w:highlight w:val="green"/>
                <w:lang w:val="en-US" w:eastAsia="zh-CN"/>
                <w14:textFill>
                  <w14:solidFill>
                    <w14:schemeClr w14:val="tx1"/>
                  </w14:solidFill>
                </w14:textFill>
              </w:rPr>
              <w:t>40</w:t>
            </w:r>
            <w:r>
              <w:rPr>
                <w:rFonts w:hint="default" w:ascii="Times New Roman" w:hAnsi="Times New Roman" w:eastAsia="宋体" w:cs="Times New Roman"/>
                <w:color w:val="000000" w:themeColor="text1"/>
                <w:sz w:val="24"/>
                <w:szCs w:val="24"/>
                <w:highlight w:val="green"/>
                <w14:textFill>
                  <w14:solidFill>
                    <w14:schemeClr w14:val="tx1"/>
                  </w14:solidFill>
                </w14:textFill>
              </w:rPr>
              <w:t>×(0.0015÷0.0017)+2×3.6062×</w:t>
            </w:r>
            <w:r>
              <w:rPr>
                <w:rFonts w:hint="eastAsia" w:cs="Times New Roman"/>
                <w:color w:val="000000" w:themeColor="text1"/>
                <w:sz w:val="24"/>
                <w:szCs w:val="24"/>
                <w:highlight w:val="green"/>
                <w:lang w:val="en-US" w:eastAsia="zh-CN"/>
                <w14:textFill>
                  <w14:solidFill>
                    <w14:schemeClr w14:val="tx1"/>
                  </w14:solidFill>
                </w14:textFill>
              </w:rPr>
              <w:t>8000</w:t>
            </w:r>
            <w:r>
              <w:rPr>
                <w:rFonts w:hint="default" w:ascii="Times New Roman" w:hAnsi="Times New Roman" w:eastAsia="宋体" w:cs="Times New Roman"/>
                <w:color w:val="000000" w:themeColor="text1"/>
                <w:sz w:val="24"/>
                <w:szCs w:val="24"/>
                <w:highlight w:val="green"/>
                <w14:textFill>
                  <w14:solidFill>
                    <w14:schemeClr w14:val="tx1"/>
                  </w14:solidFill>
                </w14:textFill>
              </w:rPr>
              <w:t>}×10</w:t>
            </w:r>
            <w:r>
              <w:rPr>
                <w:rFonts w:hint="default" w:ascii="Times New Roman" w:hAnsi="Times New Roman" w:eastAsia="宋体" w:cs="Times New Roman"/>
                <w:color w:val="000000" w:themeColor="text1"/>
                <w:sz w:val="24"/>
                <w:szCs w:val="24"/>
                <w:highlight w:val="green"/>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green"/>
                <w14:textFill>
                  <w14:solidFill>
                    <w14:schemeClr w14:val="tx1"/>
                  </w14:solidFill>
                </w14:textFill>
              </w:rPr>
              <w:t>=</w:t>
            </w:r>
            <w:r>
              <w:rPr>
                <w:rFonts w:hint="eastAsia" w:cs="Times New Roman"/>
                <w:color w:val="000000" w:themeColor="text1"/>
                <w:sz w:val="24"/>
                <w:szCs w:val="24"/>
                <w:highlight w:val="green"/>
                <w:lang w:val="en-US" w:eastAsia="zh-CN"/>
                <w14:textFill>
                  <w14:solidFill>
                    <w14:schemeClr w14:val="tx1"/>
                  </w14:solidFill>
                </w14:textFill>
              </w:rPr>
              <w:t>190.05</w:t>
            </w:r>
            <w:r>
              <w:rPr>
                <w:rFonts w:hint="default" w:ascii="Times New Roman" w:hAnsi="Times New Roman" w:eastAsia="宋体" w:cs="Times New Roman"/>
                <w:color w:val="000000" w:themeColor="text1"/>
                <w:sz w:val="24"/>
                <w:szCs w:val="24"/>
                <w:highlight w:val="green"/>
                <w14:textFill>
                  <w14:solidFill>
                    <w14:schemeClr w14:val="tx1"/>
                  </w14:solidFill>
                </w14:textFill>
              </w:rPr>
              <w:t>t。年工作时间</w:t>
            </w:r>
            <w:r>
              <w:rPr>
                <w:rFonts w:hint="eastAsia" w:cs="Times New Roman"/>
                <w:color w:val="000000" w:themeColor="text1"/>
                <w:sz w:val="24"/>
                <w:szCs w:val="24"/>
                <w:highlight w:val="green"/>
                <w:lang w:val="en-US" w:eastAsia="zh-CN"/>
                <w14:textFill>
                  <w14:solidFill>
                    <w14:schemeClr w14:val="tx1"/>
                  </w14:solidFill>
                </w14:textFill>
              </w:rPr>
              <w:t>2800</w:t>
            </w:r>
            <w:r>
              <w:rPr>
                <w:rFonts w:hint="default" w:ascii="Times New Roman" w:hAnsi="Times New Roman" w:eastAsia="宋体" w:cs="Times New Roman"/>
                <w:color w:val="000000" w:themeColor="text1"/>
                <w:sz w:val="24"/>
                <w:szCs w:val="24"/>
                <w:highlight w:val="green"/>
                <w14:textFill>
                  <w14:solidFill>
                    <w14:schemeClr w14:val="tx1"/>
                  </w14:solidFill>
                </w14:textFill>
              </w:rPr>
              <w:t>h，产生速率</w:t>
            </w:r>
            <w:r>
              <w:rPr>
                <w:rFonts w:hint="eastAsia" w:cs="Times New Roman"/>
                <w:color w:val="000000" w:themeColor="text1"/>
                <w:sz w:val="24"/>
                <w:szCs w:val="24"/>
                <w:highlight w:val="green"/>
                <w:lang w:val="en-US" w:eastAsia="zh-CN"/>
                <w14:textFill>
                  <w14:solidFill>
                    <w14:schemeClr w14:val="tx1"/>
                  </w14:solidFill>
                </w14:textFill>
              </w:rPr>
              <w:t>67.88</w:t>
            </w:r>
            <w:r>
              <w:rPr>
                <w:rFonts w:hint="default" w:ascii="Times New Roman" w:hAnsi="Times New Roman" w:eastAsia="宋体" w:cs="Times New Roman"/>
                <w:color w:val="000000" w:themeColor="text1"/>
                <w:sz w:val="24"/>
                <w:szCs w:val="24"/>
                <w:highlight w:val="green"/>
                <w14:textFill>
                  <w14:solidFill>
                    <w14:schemeClr w14:val="tx1"/>
                  </w14:solidFill>
                </w14:textFill>
              </w:rPr>
              <w:t>kg/h。</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green"/>
                <w14:textFill>
                  <w14:solidFill>
                    <w14:schemeClr w14:val="tx1"/>
                  </w14:solidFill>
                </w14:textFill>
              </w:rPr>
              <w:t>颗粒物排放量核算公式如</w:t>
            </w:r>
            <w:r>
              <w:rPr>
                <w:rFonts w:hint="default" w:ascii="Times New Roman" w:hAnsi="Times New Roman" w:eastAsia="宋体" w:cs="Times New Roman"/>
                <w:color w:val="000000" w:themeColor="text1"/>
                <w:sz w:val="24"/>
                <w:szCs w:val="24"/>
                <w:highlight w:val="none"/>
                <w14:textFill>
                  <w14:solidFill>
                    <w14:schemeClr w14:val="tx1"/>
                  </w14:solidFill>
                </w14:textFill>
              </w:rPr>
              <w:t>下：</w:t>
            </w:r>
          </w:p>
          <w:p>
            <w:pPr>
              <w:keepNext w:val="0"/>
              <w:keepLines w:val="0"/>
              <w:pageBreakBefore w:val="0"/>
              <w:kinsoku/>
              <w:wordWrap/>
              <w:overflowPunct/>
              <w:topLinePunct w:val="0"/>
              <w:autoSpaceDE/>
              <w:autoSpaceDN/>
              <w:bidi w:val="0"/>
              <w:spacing w:line="360" w:lineRule="auto"/>
              <w:ind w:firstLine="480" w:firstLineChars="20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U</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c</w:t>
            </w:r>
            <w:r>
              <w:rPr>
                <w:rFonts w:hint="default" w:ascii="Times New Roman" w:hAnsi="Times New Roman" w:eastAsia="宋体" w:cs="Times New Roman"/>
                <w:color w:val="000000" w:themeColor="text1"/>
                <w:sz w:val="24"/>
                <w:szCs w:val="24"/>
                <w:highlight w:val="none"/>
                <w14:textFill>
                  <w14:solidFill>
                    <w14:schemeClr w14:val="tx1"/>
                  </w14:solidFill>
                </w14:textFill>
              </w:rPr>
              <w:t>=P×(1−C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m</w:t>
            </w:r>
            <w:r>
              <w:rPr>
                <w:rFonts w:hint="default" w:ascii="Times New Roman" w:hAnsi="Times New Roman" w:eastAsia="宋体" w:cs="Times New Roman"/>
                <w:color w:val="000000" w:themeColor="text1"/>
                <w:sz w:val="24"/>
                <w:szCs w:val="24"/>
                <w:highlight w:val="none"/>
                <w14:textFill>
                  <w14:solidFill>
                    <w14:schemeClr w14:val="tx1"/>
                  </w14:solidFill>
                </w14:textFill>
              </w:rPr>
              <w:t>)×(1−T</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m</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green"/>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式中：P</w:t>
            </w:r>
            <w:r>
              <w:rPr>
                <w:rFonts w:hint="default" w:ascii="Times New Roman" w:hAnsi="Times New Roman" w:eastAsia="宋体" w:cs="Times New Roman"/>
                <w:color w:val="000000" w:themeColor="text1"/>
                <w:sz w:val="24"/>
                <w:szCs w:val="24"/>
                <w:highlight w:val="green"/>
                <w14:textFill>
                  <w14:solidFill>
                    <w14:schemeClr w14:val="tx1"/>
                  </w14:solidFill>
                </w14:textFill>
              </w:rPr>
              <w:t xml:space="preserve"> 指颗粒物产生量</w:t>
            </w:r>
            <w:r>
              <w:rPr>
                <w:rFonts w:hint="eastAsia" w:ascii="Times New Roman" w:hAnsi="Times New Roman" w:eastAsia="宋体" w:cs="Times New Roman"/>
                <w:color w:val="000000" w:themeColor="text1"/>
                <w:sz w:val="24"/>
                <w:szCs w:val="24"/>
                <w:highlight w:val="green"/>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green"/>
                <w14:textFill>
                  <w14:solidFill>
                    <w14:schemeClr w14:val="tx1"/>
                  </w14:solidFill>
                </w14:textFill>
              </w:rPr>
              <w:t>单位：吨</w:t>
            </w:r>
            <w:r>
              <w:rPr>
                <w:rFonts w:hint="eastAsia" w:ascii="Times New Roman" w:hAnsi="Times New Roman" w:eastAsia="宋体" w:cs="Times New Roman"/>
                <w:color w:val="000000" w:themeColor="text1"/>
                <w:sz w:val="24"/>
                <w:szCs w:val="24"/>
                <w:highlight w:val="green"/>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green"/>
                <w14:textFill>
                  <w14:solidFill>
                    <w14:schemeClr w14:val="tx1"/>
                  </w14:solidFill>
                </w14:textFill>
              </w:rPr>
              <w:t>；本项目原料堆场粉尘产生量为</w:t>
            </w:r>
            <w:r>
              <w:rPr>
                <w:rFonts w:hint="eastAsia" w:cs="Times New Roman"/>
                <w:color w:val="000000" w:themeColor="text1"/>
                <w:sz w:val="24"/>
                <w:szCs w:val="24"/>
                <w:highlight w:val="green"/>
                <w:lang w:val="en-US" w:eastAsia="zh-CN"/>
                <w14:textFill>
                  <w14:solidFill>
                    <w14:schemeClr w14:val="tx1"/>
                  </w14:solidFill>
                </w14:textFill>
              </w:rPr>
              <w:t>190.05</w:t>
            </w:r>
            <w:r>
              <w:rPr>
                <w:rFonts w:hint="default" w:ascii="Times New Roman" w:hAnsi="Times New Roman" w:eastAsia="宋体" w:cs="Times New Roman"/>
                <w:color w:val="000000" w:themeColor="text1"/>
                <w:sz w:val="24"/>
                <w:szCs w:val="24"/>
                <w:highlight w:val="green"/>
                <w14:textFill>
                  <w14:solidFill>
                    <w14:schemeClr w14:val="tx1"/>
                  </w14:solidFill>
                </w14:textFill>
              </w:rPr>
              <w:t>t</w:t>
            </w:r>
            <w:r>
              <w:rPr>
                <w:rFonts w:hint="default" w:ascii="Times New Roman" w:hAnsi="Times New Roman" w:eastAsia="宋体" w:cs="Times New Roman"/>
                <w:color w:val="000000" w:themeColor="text1"/>
                <w:sz w:val="24"/>
                <w:szCs w:val="24"/>
                <w:highlight w:val="green"/>
                <w:lang w:eastAsia="zh-CN"/>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green"/>
                <w14:textFill>
                  <w14:solidFill>
                    <w14:schemeClr w14:val="tx1"/>
                  </w14:solidFill>
                </w14:textFill>
              </w:rPr>
            </w:pPr>
            <w:r>
              <w:rPr>
                <w:rFonts w:hint="default" w:ascii="Times New Roman" w:hAnsi="Times New Roman" w:eastAsia="宋体" w:cs="Times New Roman"/>
                <w:color w:val="000000" w:themeColor="text1"/>
                <w:sz w:val="24"/>
                <w:szCs w:val="24"/>
                <w:highlight w:val="green"/>
                <w14:textFill>
                  <w14:solidFill>
                    <w14:schemeClr w14:val="tx1"/>
                  </w14:solidFill>
                </w14:textFill>
              </w:rPr>
              <w:t>U</w:t>
            </w:r>
            <w:r>
              <w:rPr>
                <w:rFonts w:hint="default" w:ascii="Times New Roman" w:hAnsi="Times New Roman" w:eastAsia="宋体" w:cs="Times New Roman"/>
                <w:color w:val="000000" w:themeColor="text1"/>
                <w:sz w:val="24"/>
                <w:szCs w:val="24"/>
                <w:highlight w:val="green"/>
                <w:vertAlign w:val="subscript"/>
                <w14:textFill>
                  <w14:solidFill>
                    <w14:schemeClr w14:val="tx1"/>
                  </w14:solidFill>
                </w14:textFill>
              </w:rPr>
              <w:t>c</w:t>
            </w:r>
            <w:r>
              <w:rPr>
                <w:rFonts w:hint="default" w:ascii="Times New Roman" w:hAnsi="Times New Roman" w:eastAsia="宋体" w:cs="Times New Roman"/>
                <w:color w:val="000000" w:themeColor="text1"/>
                <w:sz w:val="24"/>
                <w:szCs w:val="24"/>
                <w:highlight w:val="green"/>
                <w14:textFill>
                  <w14:solidFill>
                    <w14:schemeClr w14:val="tx1"/>
                  </w14:solidFill>
                </w14:textFill>
              </w:rPr>
              <w:t>指颗粒物排放量</w:t>
            </w:r>
            <w:r>
              <w:rPr>
                <w:rFonts w:hint="eastAsia" w:ascii="Times New Roman" w:hAnsi="Times New Roman" w:eastAsia="宋体" w:cs="Times New Roman"/>
                <w:color w:val="000000" w:themeColor="text1"/>
                <w:sz w:val="24"/>
                <w:szCs w:val="24"/>
                <w:highlight w:val="green"/>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green"/>
                <w14:textFill>
                  <w14:solidFill>
                    <w14:schemeClr w14:val="tx1"/>
                  </w14:solidFill>
                </w14:textFill>
              </w:rPr>
              <w:t>单位：吨</w:t>
            </w:r>
            <w:r>
              <w:rPr>
                <w:rFonts w:hint="eastAsia" w:ascii="Times New Roman" w:hAnsi="Times New Roman" w:eastAsia="宋体" w:cs="Times New Roman"/>
                <w:color w:val="000000" w:themeColor="text1"/>
                <w:sz w:val="24"/>
                <w:szCs w:val="24"/>
                <w:highlight w:val="green"/>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green"/>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green"/>
                <w14:textFill>
                  <w14:solidFill>
                    <w14:schemeClr w14:val="tx1"/>
                  </w14:solidFill>
                </w14:textFill>
              </w:rPr>
            </w:pPr>
            <w:r>
              <w:rPr>
                <w:rFonts w:hint="default" w:ascii="Times New Roman" w:hAnsi="Times New Roman" w:eastAsia="宋体" w:cs="Times New Roman"/>
                <w:color w:val="000000" w:themeColor="text1"/>
                <w:sz w:val="24"/>
                <w:szCs w:val="24"/>
                <w:highlight w:val="green"/>
                <w14:textFill>
                  <w14:solidFill>
                    <w14:schemeClr w14:val="tx1"/>
                  </w14:solidFill>
                </w14:textFill>
              </w:rPr>
              <w:t>C</w:t>
            </w:r>
            <w:r>
              <w:rPr>
                <w:rFonts w:hint="default" w:ascii="Times New Roman" w:hAnsi="Times New Roman" w:eastAsia="宋体" w:cs="Times New Roman"/>
                <w:color w:val="000000" w:themeColor="text1"/>
                <w:sz w:val="24"/>
                <w:szCs w:val="24"/>
                <w:highlight w:val="green"/>
                <w:vertAlign w:val="subscript"/>
                <w14:textFill>
                  <w14:solidFill>
                    <w14:schemeClr w14:val="tx1"/>
                  </w14:solidFill>
                </w14:textFill>
              </w:rPr>
              <w:t>m</w:t>
            </w:r>
            <w:r>
              <w:rPr>
                <w:rFonts w:hint="default" w:ascii="Times New Roman" w:hAnsi="Times New Roman" w:eastAsia="宋体" w:cs="Times New Roman"/>
                <w:color w:val="000000" w:themeColor="text1"/>
                <w:sz w:val="24"/>
                <w:szCs w:val="24"/>
                <w:highlight w:val="green"/>
                <w14:textFill>
                  <w14:solidFill>
                    <w14:schemeClr w14:val="tx1"/>
                  </w14:solidFill>
                </w14:textFill>
              </w:rPr>
              <w:t>指颗粒物控制措施控制效率</w:t>
            </w:r>
            <w:r>
              <w:rPr>
                <w:rFonts w:hint="eastAsia" w:ascii="Times New Roman" w:hAnsi="Times New Roman" w:eastAsia="宋体" w:cs="Times New Roman"/>
                <w:color w:val="000000" w:themeColor="text1"/>
                <w:sz w:val="24"/>
                <w:szCs w:val="24"/>
                <w:highlight w:val="green"/>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green"/>
                <w14:textFill>
                  <w14:solidFill>
                    <w14:schemeClr w14:val="tx1"/>
                  </w14:solidFill>
                </w14:textFill>
              </w:rPr>
              <w:t>单位：%)；本项目原料堆场设置</w:t>
            </w:r>
            <w:r>
              <w:rPr>
                <w:rFonts w:hint="eastAsia" w:cs="Times New Roman"/>
                <w:color w:val="000000" w:themeColor="text1"/>
                <w:sz w:val="24"/>
                <w:szCs w:val="24"/>
                <w:highlight w:val="green"/>
                <w:lang w:eastAsia="zh-CN"/>
                <w14:textFill>
                  <w14:solidFill>
                    <w14:schemeClr w14:val="tx1"/>
                  </w14:solidFill>
                </w14:textFill>
              </w:rPr>
              <w:t>防风抑尘网，</w:t>
            </w:r>
            <w:r>
              <w:rPr>
                <w:rFonts w:hint="default" w:ascii="Times New Roman" w:hAnsi="Times New Roman" w:eastAsia="宋体" w:cs="Times New Roman"/>
                <w:color w:val="000000" w:themeColor="text1"/>
                <w:sz w:val="24"/>
                <w:szCs w:val="24"/>
                <w:highlight w:val="green"/>
                <w14:textFill>
                  <w14:solidFill>
                    <w14:schemeClr w14:val="tx1"/>
                  </w14:solidFill>
                </w14:textFill>
              </w:rPr>
              <w:t>采用洒水抑尘</w:t>
            </w:r>
            <w:r>
              <w:rPr>
                <w:rFonts w:hint="eastAsia" w:cs="Times New Roman"/>
                <w:color w:val="000000" w:themeColor="text1"/>
                <w:sz w:val="24"/>
                <w:szCs w:val="24"/>
                <w:highlight w:val="green"/>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green"/>
                <w14:textFill>
                  <w14:solidFill>
                    <w14:schemeClr w14:val="tx1"/>
                  </w14:solidFill>
                </w14:textFill>
              </w:rPr>
              <w:t>控制效率</w:t>
            </w:r>
            <w:r>
              <w:rPr>
                <w:rFonts w:hint="eastAsia" w:cs="Times New Roman"/>
                <w:color w:val="000000" w:themeColor="text1"/>
                <w:sz w:val="24"/>
                <w:szCs w:val="24"/>
                <w:highlight w:val="green"/>
                <w:lang w:val="en-US" w:eastAsia="zh-CN"/>
                <w14:textFill>
                  <w14:solidFill>
                    <w14:schemeClr w14:val="tx1"/>
                  </w14:solidFill>
                </w14:textFill>
              </w:rPr>
              <w:t>按74</w:t>
            </w:r>
            <w:r>
              <w:rPr>
                <w:rFonts w:hint="default" w:ascii="Times New Roman" w:hAnsi="Times New Roman" w:eastAsia="宋体" w:cs="Times New Roman"/>
                <w:color w:val="000000" w:themeColor="text1"/>
                <w:sz w:val="24"/>
                <w:szCs w:val="24"/>
                <w:highlight w:val="green"/>
                <w14:textFill>
                  <w14:solidFill>
                    <w14:schemeClr w14:val="tx1"/>
                  </w14:solidFill>
                </w14:textFill>
              </w:rPr>
              <w:t>%</w:t>
            </w:r>
            <w:r>
              <w:rPr>
                <w:rFonts w:hint="eastAsia" w:cs="Times New Roman"/>
                <w:color w:val="000000" w:themeColor="text1"/>
                <w:sz w:val="24"/>
                <w:szCs w:val="24"/>
                <w:highlight w:val="green"/>
                <w:lang w:val="en-US" w:eastAsia="zh-CN"/>
                <w14:textFill>
                  <w14:solidFill>
                    <w14:schemeClr w14:val="tx1"/>
                  </w14:solidFill>
                </w14:textFill>
              </w:rPr>
              <w:t>计算</w:t>
            </w:r>
            <w:r>
              <w:rPr>
                <w:rFonts w:hint="default" w:ascii="Times New Roman" w:hAnsi="Times New Roman" w:eastAsia="宋体" w:cs="Times New Roman"/>
                <w:color w:val="000000" w:themeColor="text1"/>
                <w:sz w:val="24"/>
                <w:szCs w:val="24"/>
                <w:highlight w:val="green"/>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green"/>
                <w14:textFill>
                  <w14:solidFill>
                    <w14:schemeClr w14:val="tx1"/>
                  </w14:solidFill>
                </w14:textFill>
              </w:rPr>
            </w:pPr>
            <w:r>
              <w:rPr>
                <w:rFonts w:hint="default" w:ascii="Times New Roman" w:hAnsi="Times New Roman" w:eastAsia="宋体" w:cs="Times New Roman"/>
                <w:color w:val="000000" w:themeColor="text1"/>
                <w:sz w:val="24"/>
                <w:szCs w:val="24"/>
                <w:highlight w:val="green"/>
                <w14:textFill>
                  <w14:solidFill>
                    <w14:schemeClr w14:val="tx1"/>
                  </w14:solidFill>
                </w14:textFill>
              </w:rPr>
              <w:t>Tm指堆场类型控制效率</w:t>
            </w:r>
            <w:r>
              <w:rPr>
                <w:rFonts w:hint="eastAsia" w:ascii="Times New Roman" w:hAnsi="Times New Roman" w:eastAsia="宋体" w:cs="Times New Roman"/>
                <w:color w:val="000000" w:themeColor="text1"/>
                <w:sz w:val="24"/>
                <w:szCs w:val="24"/>
                <w:highlight w:val="green"/>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green"/>
                <w14:textFill>
                  <w14:solidFill>
                    <w14:schemeClr w14:val="tx1"/>
                  </w14:solidFill>
                </w14:textFill>
              </w:rPr>
              <w:t>单位：%)，根据附录5本项目原料堆场设置围挡，半敞开式控制效率为60%。</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green"/>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green"/>
                <w14:textFill>
                  <w14:solidFill>
                    <w14:schemeClr w14:val="tx1"/>
                  </w14:solidFill>
                </w14:textFill>
              </w:rPr>
              <w:t>原料堆场粉尘排放量Uc=</w:t>
            </w:r>
            <w:r>
              <w:rPr>
                <w:rFonts w:hint="eastAsia" w:cs="Times New Roman"/>
                <w:color w:val="000000" w:themeColor="text1"/>
                <w:sz w:val="24"/>
                <w:szCs w:val="24"/>
                <w:highlight w:val="green"/>
                <w:lang w:val="en-US" w:eastAsia="zh-CN"/>
                <w14:textFill>
                  <w14:solidFill>
                    <w14:schemeClr w14:val="tx1"/>
                  </w14:solidFill>
                </w14:textFill>
              </w:rPr>
              <w:t>190.05</w:t>
            </w:r>
            <w:r>
              <w:rPr>
                <w:rFonts w:hint="default" w:ascii="Times New Roman" w:hAnsi="Times New Roman" w:eastAsia="宋体" w:cs="Times New Roman"/>
                <w:color w:val="000000" w:themeColor="text1"/>
                <w:sz w:val="24"/>
                <w:szCs w:val="24"/>
                <w:highlight w:val="green"/>
                <w14:textFill>
                  <w14:solidFill>
                    <w14:schemeClr w14:val="tx1"/>
                  </w14:solidFill>
                </w14:textFill>
              </w:rPr>
              <w:t>×(1−</w:t>
            </w:r>
            <w:r>
              <w:rPr>
                <w:rFonts w:hint="eastAsia" w:cs="Times New Roman"/>
                <w:color w:val="000000" w:themeColor="text1"/>
                <w:sz w:val="24"/>
                <w:szCs w:val="24"/>
                <w:highlight w:val="green"/>
                <w:lang w:val="en-US" w:eastAsia="zh-CN"/>
                <w14:textFill>
                  <w14:solidFill>
                    <w14:schemeClr w14:val="tx1"/>
                  </w14:solidFill>
                </w14:textFill>
              </w:rPr>
              <w:t>74</w:t>
            </w:r>
            <w:r>
              <w:rPr>
                <w:rFonts w:hint="default" w:ascii="Times New Roman" w:hAnsi="Times New Roman" w:eastAsia="宋体" w:cs="Times New Roman"/>
                <w:color w:val="000000" w:themeColor="text1"/>
                <w:sz w:val="24"/>
                <w:szCs w:val="24"/>
                <w:highlight w:val="green"/>
                <w14:textFill>
                  <w14:solidFill>
                    <w14:schemeClr w14:val="tx1"/>
                  </w14:solidFill>
                </w14:textFill>
              </w:rPr>
              <w:t>%)×(1−60%)=</w:t>
            </w:r>
            <w:r>
              <w:rPr>
                <w:rFonts w:hint="eastAsia" w:cs="Times New Roman"/>
                <w:color w:val="000000" w:themeColor="text1"/>
                <w:sz w:val="24"/>
                <w:szCs w:val="24"/>
                <w:highlight w:val="green"/>
                <w:lang w:val="en-US" w:eastAsia="zh-CN"/>
                <w14:textFill>
                  <w14:solidFill>
                    <w14:schemeClr w14:val="tx1"/>
                  </w14:solidFill>
                </w14:textFill>
              </w:rPr>
              <w:t>19.8</w:t>
            </w:r>
            <w:r>
              <w:rPr>
                <w:rFonts w:hint="default" w:ascii="Times New Roman" w:hAnsi="Times New Roman" w:eastAsia="宋体" w:cs="Times New Roman"/>
                <w:color w:val="000000" w:themeColor="text1"/>
                <w:sz w:val="24"/>
                <w:szCs w:val="24"/>
                <w:highlight w:val="green"/>
                <w14:textFill>
                  <w14:solidFill>
                    <w14:schemeClr w14:val="tx1"/>
                  </w14:solidFill>
                </w14:textFill>
              </w:rPr>
              <w:t>t。年工作时间</w:t>
            </w:r>
            <w:r>
              <w:rPr>
                <w:rFonts w:hint="default" w:ascii="Times New Roman" w:hAnsi="Times New Roman" w:eastAsia="宋体" w:cs="Times New Roman"/>
                <w:color w:val="000000" w:themeColor="text1"/>
                <w:sz w:val="24"/>
                <w:szCs w:val="24"/>
                <w:highlight w:val="green"/>
                <w:lang w:val="en-US" w:eastAsia="zh-CN"/>
                <w14:textFill>
                  <w14:solidFill>
                    <w14:schemeClr w14:val="tx1"/>
                  </w14:solidFill>
                </w14:textFill>
              </w:rPr>
              <w:t>2</w:t>
            </w:r>
            <w:r>
              <w:rPr>
                <w:rFonts w:hint="eastAsia" w:cs="Times New Roman"/>
                <w:color w:val="000000" w:themeColor="text1"/>
                <w:sz w:val="24"/>
                <w:szCs w:val="24"/>
                <w:highlight w:val="green"/>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green"/>
                <w:lang w:val="en-US" w:eastAsia="zh-CN"/>
                <w14:textFill>
                  <w14:solidFill>
                    <w14:schemeClr w14:val="tx1"/>
                  </w14:solidFill>
                </w14:textFill>
              </w:rPr>
              <w:t>00</w:t>
            </w:r>
            <w:r>
              <w:rPr>
                <w:rFonts w:hint="default" w:ascii="Times New Roman" w:hAnsi="Times New Roman" w:eastAsia="宋体" w:cs="Times New Roman"/>
                <w:color w:val="000000" w:themeColor="text1"/>
                <w:sz w:val="24"/>
                <w:szCs w:val="24"/>
                <w:highlight w:val="green"/>
                <w14:textFill>
                  <w14:solidFill>
                    <w14:schemeClr w14:val="tx1"/>
                  </w14:solidFill>
                </w14:textFill>
              </w:rPr>
              <w:t>h，排放速率</w:t>
            </w:r>
            <w:r>
              <w:rPr>
                <w:rFonts w:hint="eastAsia" w:cs="Times New Roman"/>
                <w:color w:val="000000" w:themeColor="text1"/>
                <w:sz w:val="24"/>
                <w:szCs w:val="24"/>
                <w:highlight w:val="green"/>
                <w:lang w:val="en-US" w:eastAsia="zh-CN"/>
                <w14:textFill>
                  <w14:solidFill>
                    <w14:schemeClr w14:val="tx1"/>
                  </w14:solidFill>
                </w14:textFill>
              </w:rPr>
              <w:t>7.07</w:t>
            </w:r>
            <w:r>
              <w:rPr>
                <w:rFonts w:hint="default" w:ascii="Times New Roman" w:hAnsi="Times New Roman" w:eastAsia="宋体" w:cs="Times New Roman"/>
                <w:color w:val="000000" w:themeColor="text1"/>
                <w:sz w:val="24"/>
                <w:szCs w:val="24"/>
                <w:highlight w:val="green"/>
                <w14:textFill>
                  <w14:solidFill>
                    <w14:schemeClr w14:val="tx1"/>
                  </w14:solidFill>
                </w14:textFill>
              </w:rPr>
              <w:t>kg/h。</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厂区地面硬化，原料堆场设置</w:t>
            </w:r>
            <w:r>
              <w:rPr>
                <w:rFonts w:hint="eastAsia" w:cs="Times New Roman"/>
                <w:color w:val="000000" w:themeColor="text1"/>
                <w:sz w:val="24"/>
                <w:szCs w:val="24"/>
                <w:highlight w:val="none"/>
                <w:lang w:eastAsia="zh-CN"/>
                <w14:textFill>
                  <w14:solidFill>
                    <w14:schemeClr w14:val="tx1"/>
                  </w14:solidFill>
                </w14:textFill>
              </w:rPr>
              <w:t>防风抑尘网</w:t>
            </w:r>
            <w:r>
              <w:rPr>
                <w:rFonts w:hint="default" w:ascii="Times New Roman" w:hAnsi="Times New Roman" w:eastAsia="宋体" w:cs="Times New Roman"/>
                <w:color w:val="000000" w:themeColor="text1"/>
                <w:sz w:val="24"/>
                <w:szCs w:val="24"/>
                <w:highlight w:val="none"/>
                <w14:textFill>
                  <w14:solidFill>
                    <w14:schemeClr w14:val="tx1"/>
                  </w14:solidFill>
                </w14:textFill>
              </w:rPr>
              <w:t>，定期洒水抑尘。粉尘无组织排放满足《大气污染物综合排放标准》（GB16297-1996）表2中新污染源大气污染物排放限值</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100"/>
              <w:keepNext w:val="0"/>
              <w:keepLines w:val="0"/>
              <w:pageBreakBefore w:val="0"/>
              <w:kinsoku/>
              <w:wordWrap/>
              <w:overflowPunct/>
              <w:topLinePunct w:val="0"/>
              <w:autoSpaceDE/>
              <w:autoSpaceDN/>
              <w:bidi w:val="0"/>
              <w:spacing w:line="360" w:lineRule="auto"/>
              <w:ind w:firstLine="42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w:t>
            </w:r>
            <w:r>
              <w:rPr>
                <w:rFonts w:hint="eastAsia" w:cs="Times New Roman"/>
                <w:color w:val="000000" w:themeColor="text1"/>
                <w:sz w:val="24"/>
                <w:szCs w:val="24"/>
                <w:highlight w:val="none"/>
                <w:lang w:eastAsia="zh-CN"/>
                <w14:textFill>
                  <w14:solidFill>
                    <w14:schemeClr w14:val="tx1"/>
                  </w14:solidFill>
                </w14:textFill>
              </w:rPr>
              <w:t>一次筛分、磨机、二次筛分</w:t>
            </w:r>
            <w:r>
              <w:rPr>
                <w:rFonts w:hint="default" w:ascii="Times New Roman" w:hAnsi="Times New Roman" w:eastAsia="宋体" w:cs="Times New Roman"/>
                <w:color w:val="000000" w:themeColor="text1"/>
                <w:sz w:val="24"/>
                <w:szCs w:val="24"/>
                <w:highlight w:val="none"/>
                <w14:textFill>
                  <w14:solidFill>
                    <w14:schemeClr w14:val="tx1"/>
                  </w14:solidFill>
                </w14:textFill>
              </w:rPr>
              <w:t>粉尘</w:t>
            </w:r>
          </w:p>
          <w:p>
            <w:pPr>
              <w:pStyle w:val="100"/>
              <w:keepNext w:val="0"/>
              <w:keepLines w:val="0"/>
              <w:pageBreakBefore w:val="0"/>
              <w:kinsoku/>
              <w:wordWrap/>
              <w:overflowPunct/>
              <w:topLinePunct w:val="0"/>
              <w:autoSpaceDE/>
              <w:autoSpaceDN/>
              <w:bidi w:val="0"/>
              <w:spacing w:line="360" w:lineRule="auto"/>
              <w:ind w:firstLine="42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排放源统计调查产排污核算方法和系数手册</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中</w:t>
            </w:r>
            <w:r>
              <w:rPr>
                <w:rFonts w:hint="default" w:ascii="Times New Roman" w:hAnsi="Times New Roman" w:eastAsia="宋体" w:cs="Times New Roman"/>
                <w:sz w:val="24"/>
                <w:szCs w:val="24"/>
              </w:rPr>
              <w:t>303</w:t>
            </w:r>
            <w:r>
              <w:rPr>
                <w:rFonts w:ascii="宋体" w:hAnsi="宋体" w:eastAsia="宋体" w:cs="宋体"/>
                <w:sz w:val="24"/>
                <w:szCs w:val="24"/>
              </w:rPr>
              <w:t xml:space="preserve"> 砖瓦、石材等建筑材料制造行业系数手册</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岩石破碎及</w:t>
            </w:r>
            <w:r>
              <w:rPr>
                <w:rFonts w:hint="default" w:ascii="Times New Roman" w:hAnsi="Times New Roman" w:eastAsia="宋体" w:cs="Times New Roman"/>
                <w:color w:val="000000" w:themeColor="text1"/>
                <w:sz w:val="24"/>
                <w:szCs w:val="24"/>
                <w:highlight w:val="none"/>
                <w14:textFill>
                  <w14:solidFill>
                    <w14:schemeClr w14:val="tx1"/>
                  </w14:solidFill>
                </w14:textFill>
              </w:rPr>
              <w:t>筛分污染系数为</w:t>
            </w:r>
            <w:r>
              <w:rPr>
                <w:rFonts w:hint="eastAsia" w:cs="Times New Roman"/>
                <w:color w:val="000000" w:themeColor="text1"/>
                <w:sz w:val="24"/>
                <w:szCs w:val="24"/>
                <w:highlight w:val="none"/>
                <w:lang w:val="en-US" w:eastAsia="zh-CN"/>
                <w14:textFill>
                  <w14:solidFill>
                    <w14:schemeClr w14:val="tx1"/>
                  </w14:solidFill>
                </w14:textFill>
              </w:rPr>
              <w:t>1.89</w:t>
            </w:r>
            <w:r>
              <w:rPr>
                <w:rFonts w:hint="default" w:ascii="Times New Roman" w:hAnsi="Times New Roman" w:eastAsia="宋体" w:cs="Times New Roman"/>
                <w:color w:val="000000" w:themeColor="text1"/>
                <w:sz w:val="24"/>
                <w:szCs w:val="24"/>
                <w:highlight w:val="none"/>
                <w14:textFill>
                  <w14:solidFill>
                    <w14:schemeClr w14:val="tx1"/>
                  </w14:solidFill>
                </w14:textFill>
              </w:rPr>
              <w:t>kg/吨-产品</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产品为碎石，总产生量为150000</w:t>
            </w:r>
            <w:r>
              <w:rPr>
                <w:rFonts w:hint="default" w:ascii="Times New Roman" w:hAnsi="Times New Roman" w:eastAsia="宋体" w:cs="Times New Roman"/>
                <w:color w:val="000000" w:themeColor="text1"/>
                <w:sz w:val="24"/>
                <w:szCs w:val="24"/>
                <w:highlight w:val="none"/>
                <w14:textFill>
                  <w14:solidFill>
                    <w14:schemeClr w14:val="tx1"/>
                  </w14:solidFill>
                </w14:textFill>
              </w:rPr>
              <w:t>吨，</w:t>
            </w:r>
            <w:r>
              <w:rPr>
                <w:rFonts w:hint="eastAsia" w:cs="Times New Roman"/>
                <w:color w:val="000000" w:themeColor="text1"/>
                <w:sz w:val="24"/>
                <w:szCs w:val="24"/>
                <w:highlight w:val="none"/>
                <w:lang w:eastAsia="zh-CN"/>
                <w14:textFill>
                  <w14:solidFill>
                    <w14:schemeClr w14:val="tx1"/>
                  </w14:solidFill>
                </w14:textFill>
              </w:rPr>
              <w:t>本项目一次筛分、磨机、二次筛分</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工序粉尘</w:t>
            </w:r>
            <w:r>
              <w:rPr>
                <w:rFonts w:hint="default" w:ascii="Times New Roman" w:hAnsi="Times New Roman" w:eastAsia="宋体" w:cs="Times New Roman"/>
                <w:color w:val="000000" w:themeColor="text1"/>
                <w:sz w:val="24"/>
                <w:szCs w:val="24"/>
                <w:highlight w:val="none"/>
                <w14:textFill>
                  <w14:solidFill>
                    <w14:schemeClr w14:val="tx1"/>
                  </w14:solidFill>
                </w14:textFill>
              </w:rPr>
              <w:t>产生</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量为</w:t>
            </w:r>
            <w:r>
              <w:rPr>
                <w:rFonts w:hint="eastAsia" w:cs="Times New Roman"/>
                <w:color w:val="000000" w:themeColor="text1"/>
                <w:sz w:val="24"/>
                <w:szCs w:val="24"/>
                <w:highlight w:val="none"/>
                <w:lang w:val="en-US" w:eastAsia="zh-CN"/>
                <w14:textFill>
                  <w14:solidFill>
                    <w14:schemeClr w14:val="tx1"/>
                  </w14:solidFill>
                </w14:textFill>
              </w:rPr>
              <w:t>283.5</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t/a。筛分机</w:t>
            </w:r>
            <w:r>
              <w:rPr>
                <w:rFonts w:hint="default" w:ascii="Times New Roman" w:hAnsi="Times New Roman" w:eastAsia="宋体" w:cs="Times New Roman"/>
                <w:color w:val="000000" w:themeColor="text1"/>
                <w:sz w:val="24"/>
                <w:szCs w:val="24"/>
                <w:highlight w:val="none"/>
                <w14:textFill>
                  <w14:solidFill>
                    <w14:schemeClr w14:val="tx1"/>
                  </w14:solidFill>
                </w14:textFill>
              </w:rPr>
              <w:t>产尘部位</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设置集尘装置（</w:t>
            </w:r>
            <w:r>
              <w:rPr>
                <w:rFonts w:hint="default" w:ascii="Times New Roman" w:hAnsi="Times New Roman" w:eastAsia="宋体" w:cs="Times New Roman"/>
                <w:color w:val="000000" w:themeColor="text1"/>
                <w:sz w:val="24"/>
                <w:szCs w:val="24"/>
                <w:highlight w:val="none"/>
                <w14:textFill>
                  <w14:solidFill>
                    <w14:schemeClr w14:val="tx1"/>
                  </w14:solidFill>
                </w14:textFill>
              </w:rPr>
              <w:t>收集效率90%</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收集</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的废气经布袋除尘器净化处理后，经15米高排气筒排放</w:t>
            </w:r>
            <w:r>
              <w:rPr>
                <w:rFonts w:hint="eastAsia" w:ascii="Times New Roman" w:hAnsi="Times New Roman" w:eastAsia="宋体" w:cs="Times New Roman"/>
                <w:color w:val="000000" w:themeColor="text1"/>
                <w:sz w:val="24"/>
                <w:szCs w:val="24"/>
                <w:highlight w:val="none"/>
                <w:lang w:val="zh-TW"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除尘效率9</w:t>
            </w:r>
            <w:r>
              <w:rPr>
                <w:rFonts w:hint="default" w:ascii="Times New Roman" w:hAnsi="Times New Roman" w:eastAsia="宋体" w:cs="Times New Roman"/>
                <w:color w:val="000000" w:themeColor="text1"/>
                <w:sz w:val="24"/>
                <w:szCs w:val="24"/>
                <w:highlight w:val="none"/>
                <w14:textFill>
                  <w14:solidFill>
                    <w14:schemeClr w14:val="tx1"/>
                  </w14:solidFill>
                </w14:textFill>
              </w:rPr>
              <w:t>9</w:t>
            </w:r>
            <w:r>
              <w:rPr>
                <w:rFonts w:hint="eastAsia"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%，风机风量</w:t>
            </w:r>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000</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zh-TW"/>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/h)。</w:t>
            </w:r>
            <w:r>
              <w:rPr>
                <w:rFonts w:hint="default" w:ascii="Times New Roman" w:hAnsi="Times New Roman" w:eastAsia="宋体" w:cs="Times New Roman"/>
                <w:color w:val="000000" w:themeColor="text1"/>
                <w:sz w:val="24"/>
                <w:szCs w:val="24"/>
                <w:highlight w:val="none"/>
                <w14:textFill>
                  <w14:solidFill>
                    <w14:schemeClr w14:val="tx1"/>
                  </w14:solidFill>
                </w14:textFill>
              </w:rPr>
              <w:t>则有组织粉尘产生速率为</w:t>
            </w:r>
            <w:r>
              <w:rPr>
                <w:rFonts w:hint="eastAsia" w:cs="Times New Roman"/>
                <w:color w:val="000000" w:themeColor="text1"/>
                <w:sz w:val="24"/>
                <w:szCs w:val="24"/>
                <w:highlight w:val="none"/>
                <w:lang w:val="en-US" w:eastAsia="zh-CN"/>
                <w14:textFill>
                  <w14:solidFill>
                    <w14:schemeClr w14:val="tx1"/>
                  </w14:solidFill>
                </w14:textFill>
              </w:rPr>
              <w:t>127.58</w:t>
            </w:r>
            <w:r>
              <w:rPr>
                <w:rFonts w:hint="default" w:ascii="Times New Roman" w:hAnsi="Times New Roman" w:eastAsia="宋体" w:cs="Times New Roman"/>
                <w:color w:val="000000" w:themeColor="text1"/>
                <w:sz w:val="24"/>
                <w:szCs w:val="24"/>
                <w:highlight w:val="none"/>
                <w14:textFill>
                  <w14:solidFill>
                    <w14:schemeClr w14:val="tx1"/>
                  </w14:solidFill>
                </w14:textFill>
              </w:rPr>
              <w:t>kg/h，产生量</w:t>
            </w:r>
            <w:r>
              <w:rPr>
                <w:rFonts w:hint="eastAsia" w:cs="Times New Roman"/>
                <w:color w:val="000000" w:themeColor="text1"/>
                <w:sz w:val="24"/>
                <w:szCs w:val="24"/>
                <w:highlight w:val="none"/>
                <w:lang w:val="en-US" w:eastAsia="zh-CN"/>
                <w14:textFill>
                  <w14:solidFill>
                    <w14:schemeClr w14:val="tx1"/>
                  </w14:solidFill>
                </w14:textFill>
              </w:rPr>
              <w:t>255.15</w:t>
            </w:r>
            <w:r>
              <w:rPr>
                <w:rFonts w:hint="default" w:ascii="Times New Roman" w:hAnsi="Times New Roman" w:eastAsia="宋体" w:cs="Times New Roman"/>
                <w:color w:val="000000" w:themeColor="text1"/>
                <w:sz w:val="24"/>
                <w:szCs w:val="24"/>
                <w:highlight w:val="none"/>
                <w14:textFill>
                  <w14:solidFill>
                    <w14:schemeClr w14:val="tx1"/>
                  </w14:solidFill>
                </w14:textFill>
              </w:rPr>
              <w:t>t/a，产生浓度</w:t>
            </w:r>
            <w:r>
              <w:rPr>
                <w:rFonts w:hint="eastAsia" w:cs="Times New Roman"/>
                <w:color w:val="000000" w:themeColor="text1"/>
                <w:sz w:val="24"/>
                <w:szCs w:val="24"/>
                <w:highlight w:val="none"/>
                <w:lang w:val="en-US" w:eastAsia="zh-CN"/>
                <w14:textFill>
                  <w14:solidFill>
                    <w14:schemeClr w14:val="tx1"/>
                  </w14:solidFill>
                </w14:textFill>
              </w:rPr>
              <w:t>12758</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lang w:val="zh-TW"/>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经过除尘后</w:t>
            </w:r>
            <w:r>
              <w:rPr>
                <w:rFonts w:hint="default" w:ascii="Times New Roman" w:hAnsi="Times New Roman" w:eastAsia="宋体" w:cs="Times New Roman"/>
                <w:color w:val="000000" w:themeColor="text1"/>
                <w:sz w:val="24"/>
                <w:szCs w:val="24"/>
                <w:highlight w:val="none"/>
                <w14:textFill>
                  <w14:solidFill>
                    <w14:schemeClr w14:val="tx1"/>
                  </w14:solidFill>
                </w14:textFill>
              </w:rPr>
              <w:t>有组织</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排放量为</w:t>
            </w:r>
            <w:r>
              <w:rPr>
                <w:rFonts w:hint="eastAsia" w:cs="Times New Roman"/>
                <w:color w:val="000000" w:themeColor="text1"/>
                <w:sz w:val="24"/>
                <w:szCs w:val="24"/>
                <w:highlight w:val="none"/>
                <w:lang w:val="en-US" w:eastAsia="zh-CN"/>
                <w14:textFill>
                  <w14:solidFill>
                    <w14:schemeClr w14:val="tx1"/>
                  </w14:solidFill>
                </w14:textFill>
              </w:rPr>
              <w:t>0.77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/a，排放浓度和排</w:t>
            </w:r>
            <w:r>
              <w:rPr>
                <w:rFonts w:hint="default" w:ascii="Times New Roman" w:hAnsi="Times New Roman" w:eastAsia="宋体" w:cs="Times New Roman"/>
                <w:color w:val="000000" w:themeColor="text1"/>
                <w:sz w:val="24"/>
                <w:szCs w:val="24"/>
                <w:highlight w:val="green"/>
                <w:lang w:val="zh-TW"/>
                <w14:textFill>
                  <w14:solidFill>
                    <w14:schemeClr w14:val="tx1"/>
                  </w14:solidFill>
                </w14:textFill>
              </w:rPr>
              <w:t>放速率为</w:t>
            </w:r>
            <w:r>
              <w:rPr>
                <w:rFonts w:hint="eastAsia" w:cs="Times New Roman"/>
                <w:color w:val="000000" w:themeColor="text1"/>
                <w:sz w:val="24"/>
                <w:szCs w:val="24"/>
                <w:highlight w:val="green"/>
                <w:lang w:val="en-US" w:eastAsia="zh-CN"/>
                <w14:textFill>
                  <w14:solidFill>
                    <w14:schemeClr w14:val="tx1"/>
                  </w14:solidFill>
                </w14:textFill>
              </w:rPr>
              <w:t>38.27</w:t>
            </w:r>
            <w:r>
              <w:rPr>
                <w:rFonts w:hint="default" w:ascii="Times New Roman" w:hAnsi="Times New Roman" w:eastAsia="宋体" w:cs="Times New Roman"/>
                <w:color w:val="000000" w:themeColor="text1"/>
                <w:sz w:val="24"/>
                <w:szCs w:val="24"/>
                <w:highlight w:val="green"/>
                <w:lang w:val="zh-TW"/>
                <w14:textFill>
                  <w14:solidFill>
                    <w14:schemeClr w14:val="tx1"/>
                  </w14:solidFill>
                </w14:textFill>
              </w:rPr>
              <w:t>mg/m</w:t>
            </w:r>
            <w:r>
              <w:rPr>
                <w:rFonts w:hint="default" w:ascii="Times New Roman" w:hAnsi="Times New Roman" w:eastAsia="宋体" w:cs="Times New Roman"/>
                <w:color w:val="000000" w:themeColor="text1"/>
                <w:sz w:val="24"/>
                <w:szCs w:val="24"/>
                <w:highlight w:val="green"/>
                <w:vertAlign w:val="superscript"/>
                <w:lang w:val="zh-TW"/>
                <w14:textFill>
                  <w14:solidFill>
                    <w14:schemeClr w14:val="tx1"/>
                  </w14:solidFill>
                </w14:textFill>
              </w:rPr>
              <w:t>3</w:t>
            </w:r>
            <w:r>
              <w:rPr>
                <w:rFonts w:hint="default" w:ascii="Times New Roman" w:hAnsi="Times New Roman" w:eastAsia="宋体" w:cs="Times New Roman"/>
                <w:color w:val="000000" w:themeColor="text1"/>
                <w:sz w:val="24"/>
                <w:szCs w:val="24"/>
                <w:highlight w:val="green"/>
                <w:lang w:val="zh-TW"/>
                <w14:textFill>
                  <w14:solidFill>
                    <w14:schemeClr w14:val="tx1"/>
                  </w14:solidFill>
                </w14:textFill>
              </w:rPr>
              <w:t>，</w:t>
            </w:r>
            <w:r>
              <w:rPr>
                <w:rFonts w:hint="eastAsia" w:cs="Times New Roman"/>
                <w:color w:val="000000" w:themeColor="text1"/>
                <w:sz w:val="24"/>
                <w:szCs w:val="24"/>
                <w:highlight w:val="green"/>
                <w:lang w:val="en-US" w:eastAsia="zh-CN"/>
                <w14:textFill>
                  <w14:solidFill>
                    <w14:schemeClr w14:val="tx1"/>
                  </w14:solidFill>
                </w14:textFill>
              </w:rPr>
              <w:t>0.39</w:t>
            </w:r>
            <w:r>
              <w:rPr>
                <w:rFonts w:hint="default" w:ascii="Times New Roman" w:hAnsi="Times New Roman" w:eastAsia="宋体" w:cs="Times New Roman"/>
                <w:color w:val="000000" w:themeColor="text1"/>
                <w:sz w:val="24"/>
                <w:szCs w:val="24"/>
                <w:highlight w:val="green"/>
                <w:lang w:val="zh-TW"/>
                <w14:textFill>
                  <w14:solidFill>
                    <w14:schemeClr w14:val="tx1"/>
                  </w14:solidFill>
                </w14:textFill>
              </w:rPr>
              <w:t>kg/h。布</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袋收集的粉尘固体废物的形式排放，布袋收集的粉尘为</w:t>
            </w:r>
            <w:r>
              <w:rPr>
                <w:rFonts w:hint="eastAsia" w:cs="Times New Roman"/>
                <w:color w:val="000000" w:themeColor="text1"/>
                <w:sz w:val="24"/>
                <w:szCs w:val="24"/>
                <w:highlight w:val="none"/>
                <w:lang w:val="en-US" w:eastAsia="zh-CN"/>
                <w14:textFill>
                  <w14:solidFill>
                    <w14:schemeClr w14:val="tx1"/>
                  </w14:solidFill>
                </w14:textFill>
              </w:rPr>
              <w:t>254.38</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p>
          <w:p>
            <w:pPr>
              <w:pStyle w:val="100"/>
              <w:keepNext w:val="0"/>
              <w:keepLines w:val="0"/>
              <w:pageBreakBefore w:val="0"/>
              <w:kinsoku/>
              <w:wordWrap/>
              <w:overflowPunct/>
              <w:topLinePunct w:val="0"/>
              <w:autoSpaceDE/>
              <w:autoSpaceDN/>
              <w:bidi w:val="0"/>
              <w:spacing w:line="360" w:lineRule="auto"/>
              <w:ind w:firstLine="42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Style w:val="37"/>
                <w:rFonts w:hint="default" w:ascii="Times New Roman" w:hAnsi="Times New Roman" w:eastAsia="宋体" w:cs="Times New Roman"/>
                <w:color w:val="000000" w:themeColor="text1"/>
                <w:sz w:val="24"/>
                <w:szCs w:val="24"/>
                <w:highlight w:val="none"/>
                <w14:textFill>
                  <w14:solidFill>
                    <w14:schemeClr w14:val="tx1"/>
                  </w14:solidFill>
                </w14:textFill>
              </w:rPr>
              <w:t>石料从破碎机送至振动筛过程采用全封闭皮带式廊道运输，在传送带沿路设置喷淋水管</w:t>
            </w:r>
            <w:r>
              <w:rPr>
                <w:rStyle w:val="37"/>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Style w:val="37"/>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还有</w:t>
            </w:r>
            <w:r>
              <w:rPr>
                <w:rFonts w:hint="default" w:ascii="Times New Roman" w:hAnsi="Times New Roman" w:eastAsia="宋体" w:cs="Times New Roman"/>
                <w:color w:val="000000" w:themeColor="text1"/>
                <w:sz w:val="24"/>
                <w:szCs w:val="24"/>
                <w:highlight w:val="none"/>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%未被收集的粉尘</w:t>
            </w:r>
            <w:r>
              <w:rPr>
                <w:rFonts w:hint="eastAsia" w:cs="Times New Roman"/>
                <w:color w:val="000000" w:themeColor="text1"/>
                <w:sz w:val="24"/>
                <w:szCs w:val="24"/>
                <w:highlight w:val="none"/>
                <w:lang w:val="en-US" w:eastAsia="zh-CN"/>
                <w14:textFill>
                  <w14:solidFill>
                    <w14:schemeClr w14:val="tx1"/>
                  </w14:solidFill>
                </w14:textFill>
              </w:rPr>
              <w:t>28.35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14.18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采取</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固定喷淋设施，洒水抑尘，抑尘效率80%，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排放量</w:t>
            </w:r>
            <w:r>
              <w:rPr>
                <w:rFonts w:hint="default" w:ascii="Times New Roman" w:hAnsi="Times New Roman" w:eastAsia="宋体" w:cs="Times New Roman"/>
                <w:color w:val="000000" w:themeColor="text1"/>
                <w:sz w:val="24"/>
                <w:szCs w:val="24"/>
                <w:highlight w:val="none"/>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5.67</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r>
              <w:rPr>
                <w:rFonts w:hint="eastAsia" w:cs="Times New Roman"/>
                <w:color w:val="000000" w:themeColor="text1"/>
                <w:sz w:val="24"/>
                <w:szCs w:val="24"/>
                <w:highlight w:val="none"/>
                <w:lang w:eastAsia="zh-CN"/>
                <w14:textFill>
                  <w14:solidFill>
                    <w14:schemeClr w14:val="tx1"/>
                  </w14:solidFill>
                </w14:textFill>
              </w:rPr>
              <w:t>，排放速率</w:t>
            </w:r>
            <w:r>
              <w:rPr>
                <w:rFonts w:hint="eastAsia" w:cs="Times New Roman"/>
                <w:color w:val="000000" w:themeColor="text1"/>
                <w:sz w:val="24"/>
                <w:szCs w:val="24"/>
                <w:highlight w:val="none"/>
                <w:lang w:val="en-US" w:eastAsia="zh-CN"/>
                <w14:textFill>
                  <w14:solidFill>
                    <w14:schemeClr w14:val="tx1"/>
                  </w14:solidFill>
                </w14:textFill>
              </w:rPr>
              <w:t>2.84kg/h</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定时清理，不对外排放。</w:t>
            </w:r>
          </w:p>
          <w:p>
            <w:pPr>
              <w:pStyle w:val="100"/>
              <w:keepNext w:val="0"/>
              <w:keepLines w:val="0"/>
              <w:pageBreakBefore w:val="0"/>
              <w:kinsoku/>
              <w:wordWrap/>
              <w:overflowPunct/>
              <w:topLinePunct w:val="0"/>
              <w:autoSpaceDE/>
              <w:autoSpaceDN/>
              <w:bidi w:val="0"/>
              <w:spacing w:line="360" w:lineRule="auto"/>
              <w:ind w:firstLine="42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③</w:t>
            </w:r>
            <w:r>
              <w:rPr>
                <w:rFonts w:hint="eastAsia" w:cs="Times New Roman"/>
                <w:color w:val="000000" w:themeColor="text1"/>
                <w:sz w:val="24"/>
                <w:szCs w:val="24"/>
                <w:highlight w:val="none"/>
                <w:lang w:val="en-US" w:eastAsia="zh-CN"/>
                <w14:textFill>
                  <w14:solidFill>
                    <w14:schemeClr w14:val="tx1"/>
                  </w14:solidFill>
                </w14:textFill>
              </w:rPr>
              <w:t>整形及三次筛分粉尘</w:t>
            </w:r>
          </w:p>
          <w:p>
            <w:pPr>
              <w:pStyle w:val="100"/>
              <w:keepNext w:val="0"/>
              <w:keepLines w:val="0"/>
              <w:pageBreakBefore w:val="0"/>
              <w:kinsoku/>
              <w:wordWrap/>
              <w:overflowPunct/>
              <w:topLinePunct w:val="0"/>
              <w:autoSpaceDE/>
              <w:autoSpaceDN/>
              <w:bidi w:val="0"/>
              <w:spacing w:line="360" w:lineRule="auto"/>
              <w:ind w:firstLine="42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排放源统计调查产排污核算方法和系数手册</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中</w:t>
            </w:r>
            <w:r>
              <w:rPr>
                <w:rFonts w:hint="default" w:ascii="Times New Roman" w:hAnsi="Times New Roman" w:eastAsia="宋体" w:cs="Times New Roman"/>
                <w:sz w:val="24"/>
                <w:szCs w:val="24"/>
              </w:rPr>
              <w:t>303</w:t>
            </w:r>
            <w:r>
              <w:rPr>
                <w:rFonts w:ascii="宋体" w:hAnsi="宋体" w:eastAsia="宋体" w:cs="宋体"/>
                <w:sz w:val="24"/>
                <w:szCs w:val="24"/>
              </w:rPr>
              <w:t xml:space="preserve"> 砖瓦、石材等建筑材料制造行业系数手册</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岩石破碎及</w:t>
            </w:r>
            <w:r>
              <w:rPr>
                <w:rFonts w:hint="default" w:ascii="Times New Roman" w:hAnsi="Times New Roman" w:eastAsia="宋体" w:cs="Times New Roman"/>
                <w:color w:val="000000" w:themeColor="text1"/>
                <w:sz w:val="24"/>
                <w:szCs w:val="24"/>
                <w:highlight w:val="none"/>
                <w14:textFill>
                  <w14:solidFill>
                    <w14:schemeClr w14:val="tx1"/>
                  </w14:solidFill>
                </w14:textFill>
              </w:rPr>
              <w:t>筛分污染系数为</w:t>
            </w:r>
            <w:r>
              <w:rPr>
                <w:rFonts w:hint="eastAsia" w:cs="Times New Roman"/>
                <w:color w:val="000000" w:themeColor="text1"/>
                <w:sz w:val="24"/>
                <w:szCs w:val="24"/>
                <w:highlight w:val="none"/>
                <w:lang w:val="en-US" w:eastAsia="zh-CN"/>
                <w14:textFill>
                  <w14:solidFill>
                    <w14:schemeClr w14:val="tx1"/>
                  </w14:solidFill>
                </w14:textFill>
              </w:rPr>
              <w:t>1.89</w:t>
            </w:r>
            <w:r>
              <w:rPr>
                <w:rFonts w:hint="default" w:ascii="Times New Roman" w:hAnsi="Times New Roman" w:eastAsia="宋体" w:cs="Times New Roman"/>
                <w:color w:val="000000" w:themeColor="text1"/>
                <w:sz w:val="24"/>
                <w:szCs w:val="24"/>
                <w:highlight w:val="none"/>
                <w14:textFill>
                  <w14:solidFill>
                    <w14:schemeClr w14:val="tx1"/>
                  </w14:solidFill>
                </w14:textFill>
              </w:rPr>
              <w:t>kg/吨-产品</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产品为碎石，总产生量为150000</w:t>
            </w:r>
            <w:r>
              <w:rPr>
                <w:rFonts w:hint="default" w:ascii="Times New Roman" w:hAnsi="Times New Roman" w:eastAsia="宋体" w:cs="Times New Roman"/>
                <w:color w:val="000000" w:themeColor="text1"/>
                <w:sz w:val="24"/>
                <w:szCs w:val="24"/>
                <w:highlight w:val="none"/>
                <w14:textFill>
                  <w14:solidFill>
                    <w14:schemeClr w14:val="tx1"/>
                  </w14:solidFill>
                </w14:textFill>
              </w:rPr>
              <w:t>吨，</w:t>
            </w:r>
            <w:r>
              <w:rPr>
                <w:rFonts w:hint="eastAsia" w:cs="Times New Roman"/>
                <w:color w:val="000000" w:themeColor="text1"/>
                <w:sz w:val="24"/>
                <w:szCs w:val="24"/>
                <w:highlight w:val="none"/>
                <w:lang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整形及三次筛分</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工序粉尘</w:t>
            </w:r>
            <w:r>
              <w:rPr>
                <w:rFonts w:hint="default" w:ascii="Times New Roman" w:hAnsi="Times New Roman" w:eastAsia="宋体" w:cs="Times New Roman"/>
                <w:color w:val="000000" w:themeColor="text1"/>
                <w:sz w:val="24"/>
                <w:szCs w:val="24"/>
                <w:highlight w:val="none"/>
                <w14:textFill>
                  <w14:solidFill>
                    <w14:schemeClr w14:val="tx1"/>
                  </w14:solidFill>
                </w14:textFill>
              </w:rPr>
              <w:t>产生</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量为</w:t>
            </w:r>
            <w:r>
              <w:rPr>
                <w:rFonts w:hint="eastAsia" w:cs="Times New Roman"/>
                <w:color w:val="000000" w:themeColor="text1"/>
                <w:sz w:val="24"/>
                <w:szCs w:val="24"/>
                <w:highlight w:val="none"/>
                <w:lang w:val="en-US" w:eastAsia="zh-CN"/>
                <w14:textFill>
                  <w14:solidFill>
                    <w14:schemeClr w14:val="tx1"/>
                  </w14:solidFill>
                </w14:textFill>
              </w:rPr>
              <w:t>283.5</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t/a。筛分机</w:t>
            </w:r>
            <w:r>
              <w:rPr>
                <w:rFonts w:hint="default" w:ascii="Times New Roman" w:hAnsi="Times New Roman" w:eastAsia="宋体" w:cs="Times New Roman"/>
                <w:color w:val="000000" w:themeColor="text1"/>
                <w:sz w:val="24"/>
                <w:szCs w:val="24"/>
                <w:highlight w:val="none"/>
                <w14:textFill>
                  <w14:solidFill>
                    <w14:schemeClr w14:val="tx1"/>
                  </w14:solidFill>
                </w14:textFill>
              </w:rPr>
              <w:t>产尘部位</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设置集尘装置（</w:t>
            </w:r>
            <w:r>
              <w:rPr>
                <w:rFonts w:hint="default" w:ascii="Times New Roman" w:hAnsi="Times New Roman" w:eastAsia="宋体" w:cs="Times New Roman"/>
                <w:color w:val="000000" w:themeColor="text1"/>
                <w:sz w:val="24"/>
                <w:szCs w:val="24"/>
                <w:highlight w:val="none"/>
                <w14:textFill>
                  <w14:solidFill>
                    <w14:schemeClr w14:val="tx1"/>
                  </w14:solidFill>
                </w14:textFill>
              </w:rPr>
              <w:t>收集效率90%</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收集</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的废气经布袋除尘器净化处理后，经15米高排气筒排放</w:t>
            </w:r>
            <w:r>
              <w:rPr>
                <w:rFonts w:hint="eastAsia" w:ascii="Times New Roman" w:hAnsi="Times New Roman" w:eastAsia="宋体" w:cs="Times New Roman"/>
                <w:color w:val="000000" w:themeColor="text1"/>
                <w:sz w:val="24"/>
                <w:szCs w:val="24"/>
                <w:highlight w:val="none"/>
                <w:lang w:val="zh-TW"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除尘效率9</w:t>
            </w:r>
            <w:r>
              <w:rPr>
                <w:rFonts w:hint="default" w:ascii="Times New Roman" w:hAnsi="Times New Roman" w:eastAsia="宋体" w:cs="Times New Roman"/>
                <w:color w:val="000000" w:themeColor="text1"/>
                <w:sz w:val="24"/>
                <w:szCs w:val="24"/>
                <w:highlight w:val="none"/>
                <w14:textFill>
                  <w14:solidFill>
                    <w14:schemeClr w14:val="tx1"/>
                  </w14:solidFill>
                </w14:textFill>
              </w:rPr>
              <w:t>9</w:t>
            </w:r>
            <w:r>
              <w:rPr>
                <w:rFonts w:hint="eastAsia"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%，风机风量</w:t>
            </w:r>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000</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zh-TW"/>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/h)。</w:t>
            </w:r>
            <w:r>
              <w:rPr>
                <w:rFonts w:hint="default" w:ascii="Times New Roman" w:hAnsi="Times New Roman" w:eastAsia="宋体" w:cs="Times New Roman"/>
                <w:color w:val="000000" w:themeColor="text1"/>
                <w:sz w:val="24"/>
                <w:szCs w:val="24"/>
                <w:highlight w:val="none"/>
                <w14:textFill>
                  <w14:solidFill>
                    <w14:schemeClr w14:val="tx1"/>
                  </w14:solidFill>
                </w14:textFill>
              </w:rPr>
              <w:t>则有组织粉尘产生速率为</w:t>
            </w:r>
            <w:r>
              <w:rPr>
                <w:rFonts w:hint="eastAsia" w:cs="Times New Roman"/>
                <w:color w:val="000000" w:themeColor="text1"/>
                <w:sz w:val="24"/>
                <w:szCs w:val="24"/>
                <w:highlight w:val="none"/>
                <w:lang w:val="en-US" w:eastAsia="zh-CN"/>
                <w14:textFill>
                  <w14:solidFill>
                    <w14:schemeClr w14:val="tx1"/>
                  </w14:solidFill>
                </w14:textFill>
              </w:rPr>
              <w:t>127.58</w:t>
            </w:r>
            <w:r>
              <w:rPr>
                <w:rFonts w:hint="default" w:ascii="Times New Roman" w:hAnsi="Times New Roman" w:eastAsia="宋体" w:cs="Times New Roman"/>
                <w:color w:val="000000" w:themeColor="text1"/>
                <w:sz w:val="24"/>
                <w:szCs w:val="24"/>
                <w:highlight w:val="none"/>
                <w14:textFill>
                  <w14:solidFill>
                    <w14:schemeClr w14:val="tx1"/>
                  </w14:solidFill>
                </w14:textFill>
              </w:rPr>
              <w:t>kg/h，产生量</w:t>
            </w:r>
            <w:r>
              <w:rPr>
                <w:rFonts w:hint="eastAsia" w:cs="Times New Roman"/>
                <w:color w:val="000000" w:themeColor="text1"/>
                <w:sz w:val="24"/>
                <w:szCs w:val="24"/>
                <w:highlight w:val="none"/>
                <w:lang w:val="en-US" w:eastAsia="zh-CN"/>
                <w14:textFill>
                  <w14:solidFill>
                    <w14:schemeClr w14:val="tx1"/>
                  </w14:solidFill>
                </w14:textFill>
              </w:rPr>
              <w:t>255.15</w:t>
            </w:r>
            <w:r>
              <w:rPr>
                <w:rFonts w:hint="default" w:ascii="Times New Roman" w:hAnsi="Times New Roman" w:eastAsia="宋体" w:cs="Times New Roman"/>
                <w:color w:val="000000" w:themeColor="text1"/>
                <w:sz w:val="24"/>
                <w:szCs w:val="24"/>
                <w:highlight w:val="none"/>
                <w14:textFill>
                  <w14:solidFill>
                    <w14:schemeClr w14:val="tx1"/>
                  </w14:solidFill>
                </w14:textFill>
              </w:rPr>
              <w:t>t/a，产生浓度</w:t>
            </w:r>
            <w:r>
              <w:rPr>
                <w:rFonts w:hint="eastAsia" w:cs="Times New Roman"/>
                <w:color w:val="000000" w:themeColor="text1"/>
                <w:sz w:val="24"/>
                <w:szCs w:val="24"/>
                <w:highlight w:val="none"/>
                <w:lang w:val="en-US" w:eastAsia="zh-CN"/>
                <w14:textFill>
                  <w14:solidFill>
                    <w14:schemeClr w14:val="tx1"/>
                  </w14:solidFill>
                </w14:textFill>
              </w:rPr>
              <w:t>12758</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lang w:val="zh-TW"/>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经过除尘后</w:t>
            </w:r>
            <w:r>
              <w:rPr>
                <w:rFonts w:hint="default" w:ascii="Times New Roman" w:hAnsi="Times New Roman" w:eastAsia="宋体" w:cs="Times New Roman"/>
                <w:color w:val="000000" w:themeColor="text1"/>
                <w:sz w:val="24"/>
                <w:szCs w:val="24"/>
                <w:highlight w:val="none"/>
                <w14:textFill>
                  <w14:solidFill>
                    <w14:schemeClr w14:val="tx1"/>
                  </w14:solidFill>
                </w14:textFill>
              </w:rPr>
              <w:t>有组织</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排放量为</w:t>
            </w:r>
            <w:r>
              <w:rPr>
                <w:rFonts w:hint="eastAsia" w:cs="Times New Roman"/>
                <w:color w:val="000000" w:themeColor="text1"/>
                <w:sz w:val="24"/>
                <w:szCs w:val="24"/>
                <w:highlight w:val="none"/>
                <w:lang w:val="en-US" w:eastAsia="zh-CN"/>
                <w14:textFill>
                  <w14:solidFill>
                    <w14:schemeClr w14:val="tx1"/>
                  </w14:solidFill>
                </w14:textFill>
              </w:rPr>
              <w:t>0.77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/a，排放浓度和排放速率为</w:t>
            </w:r>
            <w:r>
              <w:rPr>
                <w:rFonts w:hint="eastAsia" w:cs="Times New Roman"/>
                <w:color w:val="000000" w:themeColor="text1"/>
                <w:sz w:val="24"/>
                <w:szCs w:val="24"/>
                <w:highlight w:val="none"/>
                <w:lang w:val="en-US" w:eastAsia="zh-CN"/>
                <w14:textFill>
                  <w14:solidFill>
                    <w14:schemeClr w14:val="tx1"/>
                  </w14:solidFill>
                </w14:textFill>
              </w:rPr>
              <w:t>38.27</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lang w:val="zh-TW"/>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0.39</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kg/h。布袋收集的粉尘固体废物的形式排放，布袋收集的粉尘为</w:t>
            </w:r>
            <w:r>
              <w:rPr>
                <w:rFonts w:hint="eastAsia" w:cs="Times New Roman"/>
                <w:color w:val="000000" w:themeColor="text1"/>
                <w:sz w:val="24"/>
                <w:szCs w:val="24"/>
                <w:highlight w:val="none"/>
                <w:lang w:val="en-US" w:eastAsia="zh-CN"/>
                <w14:textFill>
                  <w14:solidFill>
                    <w14:schemeClr w14:val="tx1"/>
                  </w14:solidFill>
                </w14:textFill>
              </w:rPr>
              <w:t>254.38</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p>
          <w:p>
            <w:pPr>
              <w:pStyle w:val="100"/>
              <w:keepNext w:val="0"/>
              <w:keepLines w:val="0"/>
              <w:pageBreakBefore w:val="0"/>
              <w:kinsoku/>
              <w:wordWrap/>
              <w:overflowPunct/>
              <w:topLinePunct w:val="0"/>
              <w:autoSpaceDE/>
              <w:autoSpaceDN/>
              <w:bidi w:val="0"/>
              <w:spacing w:line="360" w:lineRule="auto"/>
              <w:ind w:firstLine="42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Style w:val="37"/>
                <w:rFonts w:hint="default" w:ascii="Times New Roman" w:hAnsi="Times New Roman" w:eastAsia="宋体" w:cs="Times New Roman"/>
                <w:color w:val="000000" w:themeColor="text1"/>
                <w:sz w:val="24"/>
                <w:szCs w:val="24"/>
                <w:highlight w:val="none"/>
                <w14:textFill>
                  <w14:solidFill>
                    <w14:schemeClr w14:val="tx1"/>
                  </w14:solidFill>
                </w14:textFill>
              </w:rPr>
              <w:t>石料从破碎机送至振动筛过程采用全封闭皮带式廊道运输，在传送带沿路设置喷淋水管</w:t>
            </w:r>
            <w:r>
              <w:rPr>
                <w:rStyle w:val="37"/>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Style w:val="37"/>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还有</w:t>
            </w:r>
            <w:r>
              <w:rPr>
                <w:rFonts w:hint="default" w:ascii="Times New Roman" w:hAnsi="Times New Roman" w:eastAsia="宋体" w:cs="Times New Roman"/>
                <w:color w:val="000000" w:themeColor="text1"/>
                <w:sz w:val="24"/>
                <w:szCs w:val="24"/>
                <w:highlight w:val="none"/>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%未被收集的粉尘</w:t>
            </w:r>
            <w:r>
              <w:rPr>
                <w:rFonts w:hint="eastAsia" w:cs="Times New Roman"/>
                <w:color w:val="000000" w:themeColor="text1"/>
                <w:sz w:val="24"/>
                <w:szCs w:val="24"/>
                <w:highlight w:val="none"/>
                <w:lang w:val="en-US" w:eastAsia="zh-CN"/>
                <w14:textFill>
                  <w14:solidFill>
                    <w14:schemeClr w14:val="tx1"/>
                  </w14:solidFill>
                </w14:textFill>
              </w:rPr>
              <w:t>28.35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14.18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default" w:ascii="Times New Roman" w:hAnsi="Times New Roman" w:eastAsia="宋体" w:cs="Times New Roman"/>
                <w:color w:val="000000" w:themeColor="text1"/>
                <w:sz w:val="24"/>
                <w:szCs w:val="24"/>
                <w:highlight w:val="none"/>
                <w:lang w:val="zh-TW"/>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采取</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固定喷淋设施，洒水抑尘，抑尘效率80%，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排放量</w:t>
            </w:r>
            <w:r>
              <w:rPr>
                <w:rFonts w:hint="default" w:ascii="Times New Roman" w:hAnsi="Times New Roman" w:eastAsia="宋体" w:cs="Times New Roman"/>
                <w:color w:val="000000" w:themeColor="text1"/>
                <w:sz w:val="24"/>
                <w:szCs w:val="24"/>
                <w:highlight w:val="none"/>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5.67</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r>
              <w:rPr>
                <w:rFonts w:hint="eastAsia" w:cs="Times New Roman"/>
                <w:color w:val="000000" w:themeColor="text1"/>
                <w:sz w:val="24"/>
                <w:szCs w:val="24"/>
                <w:highlight w:val="none"/>
                <w:lang w:eastAsia="zh-CN"/>
                <w14:textFill>
                  <w14:solidFill>
                    <w14:schemeClr w14:val="tx1"/>
                  </w14:solidFill>
                </w14:textFill>
              </w:rPr>
              <w:t>，排放速率</w:t>
            </w:r>
            <w:r>
              <w:rPr>
                <w:rFonts w:hint="eastAsia" w:cs="Times New Roman"/>
                <w:color w:val="000000" w:themeColor="text1"/>
                <w:sz w:val="24"/>
                <w:szCs w:val="24"/>
                <w:highlight w:val="none"/>
                <w:lang w:val="en-US" w:eastAsia="zh-CN"/>
                <w14:textFill>
                  <w14:solidFill>
                    <w14:schemeClr w14:val="tx1"/>
                  </w14:solidFill>
                </w14:textFill>
              </w:rPr>
              <w:t>2.84kg/h</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定时清理，不对外排放。</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④</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成品放置区</w:t>
            </w:r>
            <w:r>
              <w:rPr>
                <w:rFonts w:hint="default" w:ascii="Times New Roman" w:hAnsi="Times New Roman" w:eastAsia="宋体" w:cs="Times New Roman"/>
                <w:color w:val="000000" w:themeColor="text1"/>
                <w:sz w:val="24"/>
                <w:szCs w:val="24"/>
                <w:highlight w:val="none"/>
                <w14:textFill>
                  <w14:solidFill>
                    <w14:schemeClr w14:val="tx1"/>
                  </w14:solidFill>
                </w14:textFill>
              </w:rPr>
              <w:t>粉尘</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堆场粉尘包括</w:t>
            </w:r>
            <w:r>
              <w:rPr>
                <w:rFonts w:hint="eastAsia" w:cs="Times New Roman"/>
                <w:color w:val="000000" w:themeColor="text1"/>
                <w:sz w:val="24"/>
                <w:szCs w:val="24"/>
                <w:highlight w:val="none"/>
                <w:lang w:eastAsia="zh-CN"/>
                <w14:textFill>
                  <w14:solidFill>
                    <w14:schemeClr w14:val="tx1"/>
                  </w14:solidFill>
                </w14:textFill>
              </w:rPr>
              <w:t>成品</w:t>
            </w:r>
            <w:r>
              <w:rPr>
                <w:rFonts w:hint="default" w:ascii="Times New Roman" w:hAnsi="Times New Roman" w:eastAsia="宋体" w:cs="Times New Roman"/>
                <w:color w:val="000000" w:themeColor="text1"/>
                <w:sz w:val="24"/>
                <w:szCs w:val="24"/>
                <w:highlight w:val="none"/>
                <w14:textFill>
                  <w14:solidFill>
                    <w14:schemeClr w14:val="tx1"/>
                  </w14:solidFill>
                </w14:textFill>
              </w:rPr>
              <w:t>石料装卸</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扬</w:t>
            </w:r>
            <w:r>
              <w:rPr>
                <w:rFonts w:hint="default" w:ascii="Times New Roman" w:hAnsi="Times New Roman" w:eastAsia="宋体" w:cs="Times New Roman"/>
                <w:color w:val="000000" w:themeColor="text1"/>
                <w:sz w:val="24"/>
                <w:szCs w:val="24"/>
                <w:highlight w:val="none"/>
                <w14:textFill>
                  <w14:solidFill>
                    <w14:schemeClr w14:val="tx1"/>
                  </w14:solidFill>
                </w14:textFill>
              </w:rPr>
              <w:t>尘和风蚀扬尘。</w:t>
            </w:r>
            <w:r>
              <w:rPr>
                <w:rFonts w:hint="eastAsia" w:cs="Times New Roman"/>
                <w:color w:val="000000" w:themeColor="text1"/>
                <w:sz w:val="24"/>
                <w:szCs w:val="24"/>
                <w:highlight w:val="green"/>
                <w:lang w:eastAsia="zh-CN"/>
                <w14:textFill>
                  <w14:solidFill>
                    <w14:schemeClr w14:val="tx1"/>
                  </w14:solidFill>
                </w14:textFill>
              </w:rPr>
              <w:t>本项目产生的成品，每天最多堆放</w:t>
            </w:r>
            <w:r>
              <w:rPr>
                <w:rFonts w:hint="eastAsia" w:cs="Times New Roman"/>
                <w:color w:val="000000" w:themeColor="text1"/>
                <w:sz w:val="24"/>
                <w:szCs w:val="24"/>
                <w:highlight w:val="green"/>
                <w:lang w:val="en-US" w:eastAsia="zh-CN"/>
                <w14:textFill>
                  <w14:solidFill>
                    <w14:schemeClr w14:val="tx1"/>
                  </w14:solidFill>
                </w14:textFill>
              </w:rPr>
              <w:t>10h，故成品年堆存时间按照2000h计算。</w:t>
            </w:r>
            <w:r>
              <w:rPr>
                <w:rFonts w:hint="eastAsia" w:cs="Times New Roman"/>
                <w:color w:val="000000" w:themeColor="text1"/>
                <w:sz w:val="24"/>
                <w:szCs w:val="24"/>
                <w:highlight w:val="green"/>
                <w:lang w:eastAsia="zh-CN"/>
                <w14:textFill>
                  <w14:solidFill>
                    <w14:schemeClr w14:val="tx1"/>
                  </w14:solidFill>
                </w14:textFill>
              </w:rPr>
              <w:t>成</w:t>
            </w:r>
            <w:r>
              <w:rPr>
                <w:rFonts w:hint="eastAsia" w:cs="Times New Roman"/>
                <w:color w:val="000000" w:themeColor="text1"/>
                <w:sz w:val="24"/>
                <w:szCs w:val="24"/>
                <w:highlight w:val="none"/>
                <w:lang w:eastAsia="zh-CN"/>
                <w14:textFill>
                  <w14:solidFill>
                    <w14:schemeClr w14:val="tx1"/>
                  </w14:solidFill>
                </w14:textFill>
              </w:rPr>
              <w:t>品</w:t>
            </w:r>
            <w:r>
              <w:rPr>
                <w:rFonts w:hint="default" w:ascii="Times New Roman" w:hAnsi="Times New Roman" w:eastAsia="宋体" w:cs="Times New Roman"/>
                <w:color w:val="000000" w:themeColor="text1"/>
                <w:sz w:val="24"/>
                <w:szCs w:val="24"/>
                <w:highlight w:val="none"/>
                <w14:textFill>
                  <w14:solidFill>
                    <w14:schemeClr w14:val="tx1"/>
                  </w14:solidFill>
                </w14:textFill>
              </w:rPr>
              <w:t>堆场仅存放</w:t>
            </w:r>
            <w:r>
              <w:rPr>
                <w:rFonts w:hint="eastAsia" w:cs="Times New Roman"/>
                <w:color w:val="000000" w:themeColor="text1"/>
                <w:sz w:val="24"/>
                <w:szCs w:val="24"/>
                <w:highlight w:val="none"/>
                <w:lang w:eastAsia="zh-CN"/>
                <w14:textFill>
                  <w14:solidFill>
                    <w14:schemeClr w14:val="tx1"/>
                  </w14:solidFill>
                </w14:textFill>
              </w:rPr>
              <w:t>成品</w:t>
            </w:r>
            <w:r>
              <w:rPr>
                <w:rFonts w:hint="default" w:ascii="Times New Roman" w:hAnsi="Times New Roman" w:eastAsia="宋体" w:cs="Times New Roman"/>
                <w:color w:val="000000" w:themeColor="text1"/>
                <w:sz w:val="24"/>
                <w:szCs w:val="24"/>
                <w:highlight w:val="none"/>
                <w14:textFill>
                  <w14:solidFill>
                    <w14:schemeClr w14:val="tx1"/>
                  </w14:solidFill>
                </w14:textFill>
              </w:rPr>
              <w:t>石料，原料堆场设置</w:t>
            </w:r>
            <w:r>
              <w:rPr>
                <w:rFonts w:hint="eastAsia" w:cs="Times New Roman"/>
                <w:color w:val="000000" w:themeColor="text1"/>
                <w:sz w:val="24"/>
                <w:szCs w:val="24"/>
                <w:highlight w:val="none"/>
                <w:lang w:eastAsia="zh-CN"/>
                <w14:textFill>
                  <w14:solidFill>
                    <w14:schemeClr w14:val="tx1"/>
                  </w14:solidFill>
                </w14:textFill>
              </w:rPr>
              <w:t>防风抑尘网</w:t>
            </w:r>
            <w:r>
              <w:rPr>
                <w:rFonts w:hint="default" w:ascii="Times New Roman" w:hAnsi="Times New Roman" w:eastAsia="宋体" w:cs="Times New Roman"/>
                <w:color w:val="000000" w:themeColor="text1"/>
                <w:sz w:val="24"/>
                <w:szCs w:val="24"/>
                <w:highlight w:val="none"/>
                <w14:textFill>
                  <w14:solidFill>
                    <w14:schemeClr w14:val="tx1"/>
                  </w14:solidFill>
                </w14:textFill>
              </w:rPr>
              <w:t>，定期洒水抑尘。根据《排放源统计调查产排污核算方法和系数手册》的附1工业源</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附表2固体物料堆存颗粒物产排污核算系数手册，颗粒物产生量核算公式如下：</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P=ZC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y</w:t>
            </w:r>
            <w:r>
              <w:rPr>
                <w:rFonts w:hint="default" w:ascii="Times New Roman" w:hAnsi="Times New Roman" w:eastAsia="宋体" w:cs="Times New Roman"/>
                <w:color w:val="000000" w:themeColor="text1"/>
                <w:sz w:val="24"/>
                <w:szCs w:val="24"/>
                <w:highlight w:val="none"/>
                <w14:textFill>
                  <w14:solidFill>
                    <w14:schemeClr w14:val="tx1"/>
                  </w14:solidFill>
                </w14:textFill>
              </w:rPr>
              <w:t>+FC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y</w:t>
            </w:r>
            <w:r>
              <w:rPr>
                <w:rFonts w:hint="default" w:ascii="Times New Roman" w:hAnsi="Times New Roman" w:eastAsia="宋体" w:cs="Times New Roman"/>
                <w:color w:val="000000" w:themeColor="text1"/>
                <w:sz w:val="24"/>
                <w:szCs w:val="24"/>
                <w:highlight w:val="none"/>
                <w14:textFill>
                  <w14:solidFill>
                    <w14:schemeClr w14:val="tx1"/>
                  </w14:solidFill>
                </w14:textFill>
              </w:rPr>
              <w:t>={N</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c</w:t>
            </w:r>
            <w:r>
              <w:rPr>
                <w:rFonts w:hint="default" w:ascii="Times New Roman" w:hAnsi="Times New Roman" w:eastAsia="宋体" w:cs="Times New Roman"/>
                <w:color w:val="000000" w:themeColor="text1"/>
                <w:sz w:val="24"/>
                <w:szCs w:val="24"/>
                <w:highlight w:val="none"/>
                <w14:textFill>
                  <w14:solidFill>
                    <w14:schemeClr w14:val="tx1"/>
                  </w14:solidFill>
                </w14:textFill>
              </w:rPr>
              <w:t>×D×(a/b)+2×E</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f</w:t>
            </w:r>
            <w:r>
              <w:rPr>
                <w:rFonts w:hint="default" w:ascii="Times New Roman" w:hAnsi="Times New Roman" w:eastAsia="宋体" w:cs="Times New Roman"/>
                <w:color w:val="000000" w:themeColor="text1"/>
                <w:sz w:val="24"/>
                <w:szCs w:val="24"/>
                <w:highlight w:val="none"/>
                <w14:textFill>
                  <w14:solidFill>
                    <w14:schemeClr w14:val="tx1"/>
                  </w14:solidFill>
                </w14:textFill>
              </w:rPr>
              <w:t>×S}×10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式中：P 指颗粒物产生量</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ZC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y</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指装卸扬尘产生量</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FC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y</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指风蚀扬尘产生量</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N</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c</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指年物料运载车次</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单位：车</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；年物料运载车次</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3750</w:t>
            </w:r>
            <w:r>
              <w:rPr>
                <w:rFonts w:hint="default" w:ascii="Times New Roman" w:hAnsi="Times New Roman" w:eastAsia="宋体" w:cs="Times New Roman"/>
                <w:color w:val="000000" w:themeColor="text1"/>
                <w:sz w:val="24"/>
                <w:szCs w:val="24"/>
                <w:highlight w:val="none"/>
                <w14:textFill>
                  <w14:solidFill>
                    <w14:schemeClr w14:val="tx1"/>
                  </w14:solidFill>
                </w14:textFill>
              </w:rPr>
              <w:t>车。</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D  指单车平均运载量</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单位：吨/车</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；单车平均运载量为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4"/>
                <w:szCs w:val="24"/>
                <w:highlight w:val="none"/>
                <w14:textFill>
                  <w14:solidFill>
                    <w14:schemeClr w14:val="tx1"/>
                  </w14:solidFill>
                </w14:textFill>
              </w:rPr>
              <w:t>t/车。</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(a/b) 指装卸扬尘概化系数</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单位：千克/吨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，a指各省风速概化系数，根据附录1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黑龙江</w:t>
            </w:r>
            <w:r>
              <w:rPr>
                <w:rFonts w:hint="default" w:ascii="Times New Roman" w:hAnsi="Times New Roman" w:eastAsia="宋体" w:cs="Times New Roman"/>
                <w:color w:val="000000" w:themeColor="text1"/>
                <w:sz w:val="24"/>
                <w:szCs w:val="24"/>
                <w:highlight w:val="none"/>
                <w14:textFill>
                  <w14:solidFill>
                    <w14:schemeClr w14:val="tx1"/>
                  </w14:solidFill>
                </w14:textFill>
              </w:rPr>
              <w:t>省 a=0.0015，b指物料含水率概化系数，本项目加工原料为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狗头石</w:t>
            </w:r>
            <w:r>
              <w:rPr>
                <w:rFonts w:hint="default" w:ascii="Times New Roman" w:hAnsi="Times New Roman" w:eastAsia="宋体" w:cs="Times New Roman"/>
                <w:color w:val="000000" w:themeColor="text1"/>
                <w:sz w:val="24"/>
                <w:szCs w:val="24"/>
                <w:highlight w:val="none"/>
                <w14:textFill>
                  <w14:solidFill>
                    <w14:schemeClr w14:val="tx1"/>
                  </w14:solidFill>
                </w14:textFill>
              </w:rPr>
              <w:t>与石灰石物理性质相近</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参考附录2堆存物料类型—14各种石灰石产品b=0.0017；</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E</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f</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指堆场风蚀扬尘概化系数</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单位：千克/平方米</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，本项目加工原料为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狗头石</w:t>
            </w:r>
            <w:r>
              <w:rPr>
                <w:rFonts w:hint="default" w:ascii="Times New Roman" w:hAnsi="Times New Roman" w:eastAsia="宋体" w:cs="Times New Roman"/>
                <w:color w:val="000000" w:themeColor="text1"/>
                <w:sz w:val="24"/>
                <w:szCs w:val="24"/>
                <w:highlight w:val="none"/>
                <w14:textFill>
                  <w14:solidFill>
                    <w14:schemeClr w14:val="tx1"/>
                  </w14:solidFill>
                </w14:textFill>
              </w:rPr>
              <w:t>与石灰石物理性质相近</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参考附录3堆存物料类型— 14各种石灰石产品 E</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f</w:t>
            </w:r>
            <w:r>
              <w:rPr>
                <w:rFonts w:hint="default" w:ascii="Times New Roman" w:hAnsi="Times New Roman" w:eastAsia="宋体" w:cs="Times New Roman"/>
                <w:color w:val="000000" w:themeColor="text1"/>
                <w:sz w:val="24"/>
                <w:szCs w:val="24"/>
                <w:highlight w:val="none"/>
                <w14:textFill>
                  <w14:solidFill>
                    <w14:schemeClr w14:val="tx1"/>
                  </w14:solidFill>
                </w14:textFill>
              </w:rPr>
              <w:t>=3.6062；</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S 指堆场占地面积</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单位：平方米</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；本项目原料堆场占地面积</w:t>
            </w:r>
            <w:r>
              <w:rPr>
                <w:rFonts w:hint="eastAsia" w:cs="Times New Roman"/>
                <w:color w:val="000000" w:themeColor="text1"/>
                <w:sz w:val="24"/>
                <w:szCs w:val="24"/>
                <w:highlight w:val="none"/>
                <w:lang w:val="en-US" w:eastAsia="zh-CN"/>
                <w14:textFill>
                  <w14:solidFill>
                    <w14:schemeClr w14:val="tx1"/>
                  </w14:solidFill>
                </w14:textFill>
              </w:rPr>
              <w:t>8000</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原料堆场粉尘产生量P={</w:t>
            </w:r>
            <w:r>
              <w:rPr>
                <w:rFonts w:hint="eastAsia" w:cs="Times New Roman"/>
                <w:color w:val="000000" w:themeColor="text1"/>
                <w:sz w:val="24"/>
                <w:szCs w:val="24"/>
                <w:highlight w:val="none"/>
                <w:lang w:val="en-US" w:eastAsia="zh-CN"/>
                <w14:textFill>
                  <w14:solidFill>
                    <w14:schemeClr w14:val="tx1"/>
                  </w14:solidFill>
                </w14:textFill>
              </w:rPr>
              <w:t>3750</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4"/>
                <w:szCs w:val="24"/>
                <w:highlight w:val="none"/>
                <w14:textFill>
                  <w14:solidFill>
                    <w14:schemeClr w14:val="tx1"/>
                  </w14:solidFill>
                </w14:textFill>
              </w:rPr>
              <w:t>×(0.0015÷0.0017)+2×3.6062×</w:t>
            </w:r>
            <w:r>
              <w:rPr>
                <w:rFonts w:hint="eastAsia" w:cs="Times New Roman"/>
                <w:color w:val="000000" w:themeColor="text1"/>
                <w:sz w:val="24"/>
                <w:szCs w:val="24"/>
                <w:highlight w:val="none"/>
                <w:lang w:val="en-US" w:eastAsia="zh-CN"/>
                <w14:textFill>
                  <w14:solidFill>
                    <w14:schemeClr w14:val="tx1"/>
                  </w14:solidFill>
                </w14:textFill>
              </w:rPr>
              <w:t>8000</w:t>
            </w:r>
            <w:r>
              <w:rPr>
                <w:rFonts w:hint="default" w:ascii="Times New Roman" w:hAnsi="Times New Roman" w:eastAsia="宋体" w:cs="Times New Roman"/>
                <w:color w:val="000000" w:themeColor="text1"/>
                <w:sz w:val="24"/>
                <w:szCs w:val="24"/>
                <w:highlight w:val="none"/>
                <w14:textFill>
                  <w14:solidFill>
                    <w14:schemeClr w14:val="tx1"/>
                  </w14:solidFill>
                </w14:textFill>
              </w:rPr>
              <w:t>}×10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190.05</w:t>
            </w:r>
            <w:r>
              <w:rPr>
                <w:rFonts w:hint="default" w:ascii="Times New Roman" w:hAnsi="Times New Roman" w:eastAsia="宋体" w:cs="Times New Roman"/>
                <w:color w:val="000000" w:themeColor="text1"/>
                <w:sz w:val="24"/>
                <w:szCs w:val="24"/>
                <w:highlight w:val="none"/>
                <w14:textFill>
                  <w14:solidFill>
                    <w14:schemeClr w14:val="tx1"/>
                  </w14:solidFill>
                </w14:textFill>
              </w:rPr>
              <w:t>t。年工作时间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w:t>
            </w:r>
            <w:r>
              <w:rPr>
                <w:rFonts w:hint="default" w:ascii="Times New Roman" w:hAnsi="Times New Roman" w:eastAsia="宋体" w:cs="Times New Roman"/>
                <w:color w:val="000000" w:themeColor="text1"/>
                <w:sz w:val="24"/>
                <w:szCs w:val="24"/>
                <w:highlight w:val="none"/>
                <w14:textFill>
                  <w14:solidFill>
                    <w14:schemeClr w14:val="tx1"/>
                  </w14:solidFill>
                </w14:textFill>
              </w:rPr>
              <w:t>h，产生速率</w:t>
            </w:r>
            <w:r>
              <w:rPr>
                <w:rFonts w:hint="eastAsia" w:cs="Times New Roman"/>
                <w:color w:val="000000" w:themeColor="text1"/>
                <w:sz w:val="24"/>
                <w:szCs w:val="24"/>
                <w:highlight w:val="none"/>
                <w:lang w:val="en-US" w:eastAsia="zh-CN"/>
                <w14:textFill>
                  <w14:solidFill>
                    <w14:schemeClr w14:val="tx1"/>
                  </w14:solidFill>
                </w14:textFill>
              </w:rPr>
              <w:t>95.02</w:t>
            </w:r>
            <w:r>
              <w:rPr>
                <w:rFonts w:hint="default" w:ascii="Times New Roman" w:hAnsi="Times New Roman" w:eastAsia="宋体" w:cs="Times New Roman"/>
                <w:color w:val="000000" w:themeColor="text1"/>
                <w:sz w:val="24"/>
                <w:szCs w:val="24"/>
                <w:highlight w:val="none"/>
                <w14:textFill>
                  <w14:solidFill>
                    <w14:schemeClr w14:val="tx1"/>
                  </w14:solidFill>
                </w14:textFill>
              </w:rPr>
              <w:t>kg/h。</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颗粒物排放量核算公式如下：</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U</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c</w:t>
            </w:r>
            <w:r>
              <w:rPr>
                <w:rFonts w:hint="default" w:ascii="Times New Roman" w:hAnsi="Times New Roman" w:eastAsia="宋体" w:cs="Times New Roman"/>
                <w:color w:val="000000" w:themeColor="text1"/>
                <w:sz w:val="24"/>
                <w:szCs w:val="24"/>
                <w:highlight w:val="none"/>
                <w14:textFill>
                  <w14:solidFill>
                    <w14:schemeClr w14:val="tx1"/>
                  </w14:solidFill>
                </w14:textFill>
              </w:rPr>
              <w:t>=P×(1−C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m</w:t>
            </w:r>
            <w:r>
              <w:rPr>
                <w:rFonts w:hint="default" w:ascii="Times New Roman" w:hAnsi="Times New Roman" w:eastAsia="宋体" w:cs="Times New Roman"/>
                <w:color w:val="000000" w:themeColor="text1"/>
                <w:sz w:val="24"/>
                <w:szCs w:val="24"/>
                <w:highlight w:val="none"/>
                <w14:textFill>
                  <w14:solidFill>
                    <w14:schemeClr w14:val="tx1"/>
                  </w14:solidFill>
                </w14:textFill>
              </w:rPr>
              <w:t>)×(1−T</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m</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式中：P 指颗粒物产生量</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；本项目原料堆场粉尘产生量为</w:t>
            </w:r>
            <w:r>
              <w:rPr>
                <w:rFonts w:hint="eastAsia" w:cs="Times New Roman"/>
                <w:color w:val="000000" w:themeColor="text1"/>
                <w:sz w:val="24"/>
                <w:szCs w:val="24"/>
                <w:highlight w:val="none"/>
                <w:lang w:val="en-US" w:eastAsia="zh-CN"/>
                <w14:textFill>
                  <w14:solidFill>
                    <w14:schemeClr w14:val="tx1"/>
                  </w14:solidFill>
                </w14:textFill>
              </w:rPr>
              <w:t>190.05</w:t>
            </w:r>
            <w:r>
              <w:rPr>
                <w:rFonts w:hint="default" w:ascii="Times New Roman" w:hAnsi="Times New Roman" w:eastAsia="宋体" w:cs="Times New Roman"/>
                <w:color w:val="000000" w:themeColor="text1"/>
                <w:sz w:val="24"/>
                <w:szCs w:val="24"/>
                <w:highlight w:val="none"/>
                <w14:textFill>
                  <w14:solidFill>
                    <w14:schemeClr w14:val="tx1"/>
                  </w14:solidFill>
                </w14:textFill>
              </w:rPr>
              <w:t>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U</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c</w:t>
            </w:r>
            <w:r>
              <w:rPr>
                <w:rFonts w:hint="default" w:ascii="Times New Roman" w:hAnsi="Times New Roman" w:eastAsia="宋体" w:cs="Times New Roman"/>
                <w:color w:val="000000" w:themeColor="text1"/>
                <w:sz w:val="24"/>
                <w:szCs w:val="24"/>
                <w:highlight w:val="none"/>
                <w14:textFill>
                  <w14:solidFill>
                    <w14:schemeClr w14:val="tx1"/>
                  </w14:solidFill>
                </w14:textFill>
              </w:rPr>
              <w:t>指颗粒物排放量</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m</w:t>
            </w:r>
            <w:r>
              <w:rPr>
                <w:rFonts w:hint="default" w:ascii="Times New Roman" w:hAnsi="Times New Roman" w:eastAsia="宋体" w:cs="Times New Roman"/>
                <w:color w:val="000000" w:themeColor="text1"/>
                <w:sz w:val="24"/>
                <w:szCs w:val="24"/>
                <w:highlight w:val="none"/>
                <w14:textFill>
                  <w14:solidFill>
                    <w14:schemeClr w14:val="tx1"/>
                  </w14:solidFill>
                </w14:textFill>
              </w:rPr>
              <w:t>指颗粒物控制措施控制效率</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单位：%)；本项目原料堆场设置</w:t>
            </w:r>
            <w:r>
              <w:rPr>
                <w:rFonts w:hint="eastAsia" w:cs="Times New Roman"/>
                <w:color w:val="000000" w:themeColor="text1"/>
                <w:sz w:val="24"/>
                <w:szCs w:val="24"/>
                <w:highlight w:val="none"/>
                <w:lang w:eastAsia="zh-CN"/>
                <w14:textFill>
                  <w14:solidFill>
                    <w14:schemeClr w14:val="tx1"/>
                  </w14:solidFill>
                </w14:textFill>
              </w:rPr>
              <w:t>防风抑尘网，</w:t>
            </w:r>
            <w:r>
              <w:rPr>
                <w:rFonts w:hint="default" w:ascii="Times New Roman" w:hAnsi="Times New Roman" w:eastAsia="宋体" w:cs="Times New Roman"/>
                <w:color w:val="000000" w:themeColor="text1"/>
                <w:sz w:val="24"/>
                <w:szCs w:val="24"/>
                <w:highlight w:val="none"/>
                <w14:textFill>
                  <w14:solidFill>
                    <w14:schemeClr w14:val="tx1"/>
                  </w14:solidFill>
                </w14:textFill>
              </w:rPr>
              <w:t>采用洒水抑尘</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控制效率</w:t>
            </w:r>
            <w:r>
              <w:rPr>
                <w:rFonts w:hint="eastAsia" w:cs="Times New Roman"/>
                <w:color w:val="000000" w:themeColor="text1"/>
                <w:sz w:val="24"/>
                <w:szCs w:val="24"/>
                <w:highlight w:val="none"/>
                <w:lang w:val="en-US" w:eastAsia="zh-CN"/>
                <w14:textFill>
                  <w14:solidFill>
                    <w14:schemeClr w14:val="tx1"/>
                  </w14:solidFill>
                </w14:textFill>
              </w:rPr>
              <w:t>按74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计算</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Tm指堆场类型控制效率</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单位：%)，根据附录5本项目原料堆场设置围挡，半敞开式控制效率为60%。</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原料堆场粉尘排放量Uc=</w:t>
            </w:r>
            <w:r>
              <w:rPr>
                <w:rFonts w:hint="eastAsia" w:cs="Times New Roman"/>
                <w:color w:val="000000" w:themeColor="text1"/>
                <w:sz w:val="24"/>
                <w:szCs w:val="24"/>
                <w:highlight w:val="none"/>
                <w:lang w:val="en-US" w:eastAsia="zh-CN"/>
                <w14:textFill>
                  <w14:solidFill>
                    <w14:schemeClr w14:val="tx1"/>
                  </w14:solidFill>
                </w14:textFill>
              </w:rPr>
              <w:t>190.05×</w:t>
            </w:r>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74</w:t>
            </w:r>
            <w:r>
              <w:rPr>
                <w:rFonts w:hint="default" w:ascii="Times New Roman" w:hAnsi="Times New Roman" w:eastAsia="宋体" w:cs="Times New Roman"/>
                <w:color w:val="000000" w:themeColor="text1"/>
                <w:sz w:val="24"/>
                <w:szCs w:val="24"/>
                <w:highlight w:val="none"/>
                <w14:textFill>
                  <w14:solidFill>
                    <w14:schemeClr w14:val="tx1"/>
                  </w14:solidFill>
                </w14:textFill>
              </w:rPr>
              <w:t>%)×(1−60%)=</w:t>
            </w:r>
            <w:r>
              <w:rPr>
                <w:rFonts w:hint="eastAsia" w:cs="Times New Roman"/>
                <w:color w:val="000000" w:themeColor="text1"/>
                <w:sz w:val="24"/>
                <w:szCs w:val="24"/>
                <w:highlight w:val="none"/>
                <w:lang w:val="en-US" w:eastAsia="zh-CN"/>
                <w14:textFill>
                  <w14:solidFill>
                    <w14:schemeClr w14:val="tx1"/>
                  </w14:solidFill>
                </w14:textFill>
              </w:rPr>
              <w:t>19.8</w:t>
            </w:r>
            <w:r>
              <w:rPr>
                <w:rFonts w:hint="default" w:ascii="Times New Roman" w:hAnsi="Times New Roman" w:eastAsia="宋体" w:cs="Times New Roman"/>
                <w:color w:val="000000" w:themeColor="text1"/>
                <w:sz w:val="24"/>
                <w:szCs w:val="24"/>
                <w:highlight w:val="none"/>
                <w14:textFill>
                  <w14:solidFill>
                    <w14:schemeClr w14:val="tx1"/>
                  </w14:solidFill>
                </w14:textFill>
              </w:rPr>
              <w:t>t。年工作时间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w:t>
            </w:r>
            <w:r>
              <w:rPr>
                <w:rFonts w:hint="default" w:ascii="Times New Roman" w:hAnsi="Times New Roman" w:eastAsia="宋体" w:cs="Times New Roman"/>
                <w:color w:val="000000" w:themeColor="text1"/>
                <w:sz w:val="24"/>
                <w:szCs w:val="24"/>
                <w:highlight w:val="none"/>
                <w14:textFill>
                  <w14:solidFill>
                    <w14:schemeClr w14:val="tx1"/>
                  </w14:solidFill>
                </w14:textFill>
              </w:rPr>
              <w:t>h，排放速率</w:t>
            </w:r>
            <w:r>
              <w:rPr>
                <w:rFonts w:hint="eastAsia" w:cs="Times New Roman"/>
                <w:color w:val="000000" w:themeColor="text1"/>
                <w:sz w:val="24"/>
                <w:szCs w:val="24"/>
                <w:highlight w:val="none"/>
                <w:lang w:val="en-US" w:eastAsia="zh-CN"/>
                <w14:textFill>
                  <w14:solidFill>
                    <w14:schemeClr w14:val="tx1"/>
                  </w14:solidFill>
                </w14:textFill>
              </w:rPr>
              <w:t>9.9</w:t>
            </w:r>
            <w:r>
              <w:rPr>
                <w:rFonts w:hint="default" w:ascii="Times New Roman" w:hAnsi="Times New Roman" w:eastAsia="宋体" w:cs="Times New Roman"/>
                <w:color w:val="000000" w:themeColor="text1"/>
                <w:sz w:val="24"/>
                <w:szCs w:val="24"/>
                <w:highlight w:val="none"/>
                <w14:textFill>
                  <w14:solidFill>
                    <w14:schemeClr w14:val="tx1"/>
                  </w14:solidFill>
                </w14:textFill>
              </w:rPr>
              <w:t>kg/h。</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厂区地面硬化，原料堆场设置</w:t>
            </w:r>
            <w:r>
              <w:rPr>
                <w:rFonts w:hint="eastAsia" w:cs="Times New Roman"/>
                <w:color w:val="000000" w:themeColor="text1"/>
                <w:sz w:val="24"/>
                <w:szCs w:val="24"/>
                <w:highlight w:val="none"/>
                <w:lang w:eastAsia="zh-CN"/>
                <w14:textFill>
                  <w14:solidFill>
                    <w14:schemeClr w14:val="tx1"/>
                  </w14:solidFill>
                </w14:textFill>
              </w:rPr>
              <w:t>防风抑尘网</w:t>
            </w:r>
            <w:r>
              <w:rPr>
                <w:rFonts w:hint="default" w:ascii="Times New Roman" w:hAnsi="Times New Roman" w:eastAsia="宋体" w:cs="Times New Roman"/>
                <w:color w:val="000000" w:themeColor="text1"/>
                <w:sz w:val="24"/>
                <w:szCs w:val="24"/>
                <w:highlight w:val="none"/>
                <w14:textFill>
                  <w14:solidFill>
                    <w14:schemeClr w14:val="tx1"/>
                  </w14:solidFill>
                </w14:textFill>
              </w:rPr>
              <w:t>，定期洒水抑尘。粉尘无组织排放满足《大气污染物综合排放标准》（GB16297-1996）表2中新污染源大气污染物排放限值</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green"/>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green"/>
                <w:lang w:val="en-US" w:eastAsia="zh-CN"/>
                <w14:textFill>
                  <w14:solidFill>
                    <w14:schemeClr w14:val="tx1"/>
                  </w14:solidFill>
                </w14:textFill>
              </w:rPr>
              <w:t>1.2等效排气筒</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cs="Times New Roman"/>
                <w:color w:val="000000" w:themeColor="text1"/>
                <w:sz w:val="24"/>
                <w:szCs w:val="24"/>
                <w:highlight w:val="green"/>
                <w:lang w:val="en-US" w:eastAsia="zh-CN"/>
                <w14:textFill>
                  <w14:solidFill>
                    <w14:schemeClr w14:val="tx1"/>
                  </w14:solidFill>
                </w14:textFill>
              </w:rPr>
            </w:pPr>
            <w:r>
              <w:rPr>
                <w:rFonts w:hint="eastAsia" w:cs="Times New Roman"/>
                <w:color w:val="000000" w:themeColor="text1"/>
                <w:sz w:val="24"/>
                <w:szCs w:val="24"/>
                <w:highlight w:val="green"/>
                <w:lang w:val="en-US" w:eastAsia="zh-CN"/>
                <w14:textFill>
                  <w14:solidFill>
                    <w14:schemeClr w14:val="tx1"/>
                  </w14:solidFill>
                </w14:textFill>
              </w:rPr>
              <w:t>根据《大气污染物综合排放标准》（</w:t>
            </w:r>
            <w:r>
              <w:rPr>
                <w:rFonts w:hint="default" w:cs="Times New Roman"/>
                <w:color w:val="000000" w:themeColor="text1"/>
                <w:sz w:val="24"/>
                <w:szCs w:val="24"/>
                <w:highlight w:val="green"/>
                <w:lang w:eastAsia="zh-CN"/>
                <w14:textFill>
                  <w14:solidFill>
                    <w14:schemeClr w14:val="tx1"/>
                  </w14:solidFill>
                </w14:textFill>
              </w:rPr>
              <w:t>GB16297-1996</w:t>
            </w:r>
            <w:r>
              <w:rPr>
                <w:rFonts w:hint="eastAsia" w:cs="Times New Roman"/>
                <w:color w:val="000000" w:themeColor="text1"/>
                <w:sz w:val="24"/>
                <w:szCs w:val="24"/>
                <w:highlight w:val="green"/>
                <w:lang w:val="en-US" w:eastAsia="zh-CN"/>
                <w14:textFill>
                  <w14:solidFill>
                    <w14:schemeClr w14:val="tx1"/>
                  </w14:solidFill>
                </w14:textFill>
              </w:rPr>
              <w:t>）7.2：两个排放相同污染物(不论其是否由同一生产工艺过程产生)的排气简，若其距离小于其几何高度之和，应合并视为一根等效排气简。若有三根以上的近距排气筒，且排放同一种污染物时，应以前两根的等效排气简，依次与第三、四根排气简取等效值。等效排气简的有关参数计算方法见附录A。可知，本项目生产工艺简单，产生的污染物全部为颗粒物，车间设置的两根排气筒高度相同，均为15m，排气筒距离20m，距离小于几何高度之和，符合等效排气筒的概念，具体计算如下：</w:t>
            </w:r>
          </w:p>
          <w:p>
            <w:pPr>
              <w:pStyle w:val="2"/>
              <w:numPr>
                <w:ilvl w:val="0"/>
                <w:numId w:val="0"/>
              </w:numPr>
              <w:ind w:left="420" w:leftChars="200"/>
              <w:rPr>
                <w:rFonts w:hint="eastAsia" w:cs="Times New Roman"/>
                <w:color w:val="000000" w:themeColor="text1"/>
                <w:sz w:val="24"/>
                <w:szCs w:val="24"/>
                <w:highlight w:val="green"/>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t>（1）</w:t>
            </w:r>
            <w:r>
              <w:rPr>
                <w:rFonts w:hint="eastAsia" w:cs="Times New Roman"/>
                <w:color w:val="000000" w:themeColor="text1"/>
                <w:sz w:val="24"/>
                <w:szCs w:val="24"/>
                <w:highlight w:val="green"/>
                <w:lang w:val="en-US" w:eastAsia="zh-CN"/>
                <w14:textFill>
                  <w14:solidFill>
                    <w14:schemeClr w14:val="tx1"/>
                  </w14:solidFill>
                </w14:textFill>
              </w:rPr>
              <w:t>等效排气筒污染物排放速率：</w:t>
            </w:r>
          </w:p>
          <w:p>
            <w:pPr>
              <w:numPr>
                <w:ilvl w:val="0"/>
                <w:numId w:val="0"/>
              </w:numPr>
              <w:jc w:val="center"/>
              <w:rPr>
                <w:rFonts w:hint="eastAsia"/>
                <w:highlight w:val="green"/>
                <w:lang w:val="en-US" w:eastAsia="zh-CN"/>
              </w:rPr>
            </w:pPr>
            <w:r>
              <w:rPr>
                <w:rFonts w:hint="eastAsia"/>
                <w:position w:val="-10"/>
                <w:highlight w:val="green"/>
                <w:lang w:val="en-US" w:eastAsia="zh-CN"/>
              </w:rPr>
              <w:object>
                <v:shape id="_x0000_i1028" o:spt="75" type="#_x0000_t75" style="height:17pt;width:58pt;" o:ole="t" filled="f" o:preferrelative="t" stroked="f" coordsize="21600,21600">
                  <v:path/>
                  <v:fill on="f" focussize="0,0"/>
                  <v:stroke on="f"/>
                  <v:imagedata r:id="rId15" o:title=""/>
                  <o:lock v:ext="edit" aspectratio="t"/>
                  <w10:wrap type="none"/>
                  <w10:anchorlock/>
                </v:shape>
                <o:OLEObject Type="Embed" ProgID="Equation.KSEE3" ShapeID="_x0000_i1028" DrawAspect="Content" ObjectID="_1468075728" r:id="rId14">
                  <o:LockedField>false</o:LockedField>
                </o:OLEObject>
              </w:object>
            </w:r>
          </w:p>
          <w:p>
            <w:pPr>
              <w:pStyle w:val="2"/>
              <w:rPr>
                <w:rFonts w:hint="eastAsia"/>
                <w:highlight w:val="green"/>
                <w:lang w:val="en-US" w:eastAsia="zh-CN"/>
              </w:rPr>
            </w:pPr>
            <w:r>
              <w:rPr>
                <w:rFonts w:hint="eastAsia"/>
                <w:sz w:val="24"/>
                <w:szCs w:val="24"/>
                <w:highlight w:val="green"/>
                <w:lang w:val="en-US" w:eastAsia="zh-CN"/>
              </w:rPr>
              <w:t>式中</w:t>
            </w:r>
            <w:r>
              <w:rPr>
                <w:rFonts w:hint="eastAsia"/>
                <w:highlight w:val="green"/>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ighlight w:val="green"/>
                <w:lang w:val="en-US" w:eastAsia="zh-CN"/>
              </w:rPr>
            </w:pPr>
            <w:r>
              <w:rPr>
                <w:rFonts w:hint="eastAsia"/>
                <w:position w:val="-34"/>
                <w:highlight w:val="green"/>
                <w:lang w:val="en-US" w:eastAsia="zh-CN"/>
              </w:rPr>
              <w:object>
                <v:shape id="_x0000_i1029" o:spt="75" type="#_x0000_t75" style="height:39pt;width:260pt;" o:ole="t" filled="f" o:preferrelative="t" stroked="f" coordsize="21600,21600">
                  <v:path/>
                  <v:fill on="f" focussize="0,0"/>
                  <v:stroke on="f"/>
                  <v:imagedata r:id="rId17" o:title=""/>
                  <o:lock v:ext="edit" aspectratio="t"/>
                  <w10:wrap type="none"/>
                  <w10:anchorlock/>
                </v:shape>
                <o:OLEObject Type="Embed" ProgID="Equation.KSEE3" ShapeID="_x0000_i1029" DrawAspect="Content" ObjectID="_1468075729" r:id="rId16">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000000" w:themeColor="text1"/>
                <w:sz w:val="24"/>
                <w:szCs w:val="24"/>
                <w:highlight w:val="green"/>
                <w:lang w:val="en-US" w:eastAsia="zh-CN"/>
                <w14:textFill>
                  <w14:solidFill>
                    <w14:schemeClr w14:val="tx1"/>
                  </w14:solidFill>
                </w14:textFill>
              </w:rPr>
            </w:pPr>
            <w:r>
              <w:rPr>
                <w:rFonts w:hint="eastAsia" w:cs="Times New Roman"/>
                <w:color w:val="000000" w:themeColor="text1"/>
                <w:sz w:val="24"/>
                <w:szCs w:val="24"/>
                <w:highlight w:val="green"/>
                <w:lang w:val="en-US" w:eastAsia="zh-CN"/>
                <w14:textFill>
                  <w14:solidFill>
                    <w14:schemeClr w14:val="tx1"/>
                  </w14:solidFill>
                </w14:textFill>
              </w:rPr>
              <w:t>本项目DA001与DA002排放速率相同均为0.39kg/h，故等效排气筒污染物排放速率为0.78kg/h。</w:t>
            </w:r>
          </w:p>
          <w:p>
            <w:pPr>
              <w:pStyle w:val="2"/>
              <w:rPr>
                <w:rFonts w:hint="eastAsia"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t>（2）等效排气筒高度计算：</w:t>
            </w:r>
          </w:p>
          <w:p>
            <w:pPr>
              <w:jc w:val="center"/>
              <w:rPr>
                <w:rFonts w:hint="eastAsia"/>
                <w:highlight w:val="green"/>
                <w:lang w:val="en-US" w:eastAsia="zh-CN"/>
              </w:rPr>
            </w:pPr>
            <w:r>
              <w:rPr>
                <w:rFonts w:hint="eastAsia"/>
                <w:position w:val="-26"/>
                <w:highlight w:val="green"/>
                <w:lang w:val="en-US" w:eastAsia="zh-CN"/>
              </w:rPr>
              <w:object>
                <v:shape id="_x0000_i1030" o:spt="75" type="#_x0000_t75" style="height:35pt;width:81pt;" o:ole="t" filled="f" o:preferrelative="t" stroked="f" coordsize="21600,21600">
                  <v:path/>
                  <v:fill on="f" focussize="0,0"/>
                  <v:stroke on="f"/>
                  <v:imagedata r:id="rId19" o:title=""/>
                  <o:lock v:ext="edit" aspectratio="t"/>
                  <w10:wrap type="none"/>
                  <w10:anchorlock/>
                </v:shape>
                <o:OLEObject Type="Embed" ProgID="Equation.KSEE3" ShapeID="_x0000_i1030" DrawAspect="Content" ObjectID="_1468075730" r:id="rId18">
                  <o:LockedField>false</o:LockedField>
                </o:OLEObject>
              </w:object>
            </w:r>
          </w:p>
          <w:p>
            <w:pPr>
              <w:pStyle w:val="2"/>
              <w:rPr>
                <w:rFonts w:hint="eastAsia"/>
                <w:sz w:val="24"/>
                <w:szCs w:val="24"/>
                <w:highlight w:val="green"/>
                <w:lang w:val="en-US" w:eastAsia="zh-CN"/>
              </w:rPr>
            </w:pPr>
            <w:r>
              <w:rPr>
                <w:rFonts w:hint="eastAsia"/>
                <w:sz w:val="24"/>
                <w:szCs w:val="24"/>
                <w:highlight w:val="green"/>
                <w:lang w:val="en-US" w:eastAsia="zh-CN"/>
              </w:rPr>
              <w:t>式中：</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100" w:firstLineChars="1000"/>
              <w:jc w:val="both"/>
              <w:textAlignment w:val="auto"/>
              <w:rPr>
                <w:rFonts w:hint="eastAsia"/>
                <w:highlight w:val="green"/>
                <w:lang w:val="en-US" w:eastAsia="zh-CN"/>
              </w:rPr>
            </w:pPr>
            <w:r>
              <w:rPr>
                <w:rFonts w:hint="eastAsia"/>
                <w:position w:val="-34"/>
                <w:highlight w:val="green"/>
                <w:lang w:val="en-US" w:eastAsia="zh-CN"/>
              </w:rPr>
              <w:object>
                <v:shape id="_x0000_i1031" o:spt="75" type="#_x0000_t75" style="height:39pt;width:183pt;" o:ole="t" filled="f" o:preferrelative="t" stroked="f" coordsize="21600,21600">
                  <v:path/>
                  <v:fill on="f" focussize="0,0"/>
                  <v:stroke on="f"/>
                  <v:imagedata r:id="rId21" o:title=""/>
                  <o:lock v:ext="edit" aspectratio="t"/>
                  <w10:wrap type="none"/>
                  <w10:anchorlock/>
                </v:shape>
                <o:OLEObject Type="Embed" ProgID="Equation.KSEE3" ShapeID="_x0000_i1031" DrawAspect="Content" ObjectID="_1468075731" r:id="rId20">
                  <o:LockedField>false</o:LockedField>
                </o:OLEObject>
              </w:objec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t>本项目DA001与DA002等高为15m，通过上式计算可知等效排气筒高度为15m。</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highlight w:val="green"/>
                <w:lang w:val="en-US" w:eastAsia="zh-CN"/>
              </w:rPr>
            </w:pPr>
            <w:r>
              <w:rPr>
                <w:rFonts w:hint="eastAsia" w:ascii="Times New Roman" w:hAnsi="Times New Roman" w:eastAsia="宋体" w:cs="Times New Roman"/>
                <w:kern w:val="2"/>
                <w:sz w:val="24"/>
                <w:szCs w:val="24"/>
                <w:highlight w:val="green"/>
                <w:lang w:val="en-US" w:eastAsia="zh-CN" w:bidi="ar-SA"/>
              </w:rPr>
              <w:t>（</w:t>
            </w:r>
            <w:r>
              <w:rPr>
                <w:rFonts w:hint="eastAsia" w:cs="Times New Roman"/>
                <w:kern w:val="2"/>
                <w:sz w:val="24"/>
                <w:szCs w:val="24"/>
                <w:highlight w:val="green"/>
                <w:lang w:val="en-US" w:eastAsia="zh-CN" w:bidi="ar-SA"/>
              </w:rPr>
              <w:t>3</w:t>
            </w:r>
            <w:r>
              <w:rPr>
                <w:rFonts w:hint="eastAsia" w:ascii="Times New Roman" w:hAnsi="Times New Roman" w:eastAsia="宋体" w:cs="Times New Roman"/>
                <w:kern w:val="2"/>
                <w:sz w:val="24"/>
                <w:szCs w:val="24"/>
                <w:highlight w:val="green"/>
                <w:lang w:val="en-US" w:eastAsia="zh-CN" w:bidi="ar-SA"/>
              </w:rPr>
              <w:t>）</w:t>
            </w:r>
            <w:r>
              <w:rPr>
                <w:rFonts w:hint="eastAsia"/>
                <w:sz w:val="24"/>
                <w:szCs w:val="24"/>
                <w:highlight w:val="green"/>
                <w:lang w:val="en-US" w:eastAsia="zh-CN"/>
              </w:rPr>
              <w:t>等效排气筒的位置</w:t>
            </w:r>
          </w:p>
          <w:p>
            <w:pPr>
              <w:numPr>
                <w:ilvl w:val="0"/>
                <w:numId w:val="0"/>
              </w:numPr>
              <w:ind w:leftChars="200"/>
              <w:jc w:val="center"/>
              <w:rPr>
                <w:rFonts w:hint="eastAsia"/>
                <w:highlight w:val="green"/>
                <w:lang w:val="en-US" w:eastAsia="zh-CN"/>
              </w:rPr>
            </w:pPr>
            <w:r>
              <w:rPr>
                <w:rFonts w:hint="eastAsia"/>
                <w:position w:val="-10"/>
                <w:highlight w:val="green"/>
                <w:lang w:val="en-US" w:eastAsia="zh-CN"/>
              </w:rPr>
              <w:object>
                <v:shape id="_x0000_i1032" o:spt="75" type="#_x0000_t75" style="height:17pt;width:130pt;" o:ole="t" filled="f" o:preferrelative="t" stroked="f" coordsize="21600,21600">
                  <v:path/>
                  <v:fill on="f" focussize="0,0"/>
                  <v:stroke on="f"/>
                  <v:imagedata r:id="rId23" o:title=""/>
                  <o:lock v:ext="edit" aspectratio="t"/>
                  <w10:wrap type="none"/>
                  <w10:anchorlock/>
                </v:shape>
                <o:OLEObject Type="Embed" ProgID="Equation.KSEE3" ShapeID="_x0000_i1032" DrawAspect="Content" ObjectID="_1468075732" r:id="rId22">
                  <o:LockedField>false</o:LockedField>
                </o:OLEObject>
              </w:object>
            </w:r>
          </w:p>
          <w:p>
            <w:pPr>
              <w:pStyle w:val="2"/>
              <w:rPr>
                <w:rFonts w:hint="eastAsia"/>
                <w:sz w:val="24"/>
                <w:szCs w:val="24"/>
                <w:highlight w:val="green"/>
                <w:lang w:val="en-US" w:eastAsia="zh-CN"/>
              </w:rPr>
            </w:pPr>
            <w:r>
              <w:rPr>
                <w:rFonts w:hint="eastAsia"/>
                <w:sz w:val="24"/>
                <w:szCs w:val="24"/>
                <w:highlight w:val="green"/>
                <w:lang w:val="en-US" w:eastAsia="zh-CN"/>
              </w:rPr>
              <w:t>式中：</w:t>
            </w:r>
          </w:p>
          <w:p>
            <w:pPr>
              <w:ind w:firstLine="1890" w:firstLineChars="900"/>
              <w:jc w:val="both"/>
              <w:rPr>
                <w:rFonts w:hint="eastAsia"/>
                <w:highlight w:val="green"/>
                <w:lang w:val="en-US" w:eastAsia="zh-CN"/>
              </w:rPr>
            </w:pPr>
            <w:r>
              <w:rPr>
                <w:rFonts w:hint="eastAsia"/>
                <w:position w:val="-32"/>
                <w:highlight w:val="green"/>
                <w:lang w:val="en-US" w:eastAsia="zh-CN"/>
              </w:rPr>
              <w:object>
                <v:shape id="_x0000_i1033" o:spt="75" type="#_x0000_t75" style="height:38pt;width:191pt;" o:ole="t" filled="f" o:preferrelative="t" stroked="f" coordsize="21600,21600">
                  <v:path/>
                  <v:fill on="f" focussize="0,0"/>
                  <v:stroke on="f"/>
                  <v:imagedata r:id="rId25" o:title=""/>
                  <o:lock v:ext="edit" aspectratio="t"/>
                  <w10:wrap type="none"/>
                  <w10:anchorlock/>
                </v:shape>
                <o:OLEObject Type="Embed" ProgID="Equation.KSEE3" ShapeID="_x0000_i1033" DrawAspect="Content" ObjectID="_1468075733" r:id="rId24">
                  <o:LockedField>false</o:LockedField>
                </o:OLEObject>
              </w:objec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t>本项目DA001与DA002距离为20m，故等效排气筒与DA001和DA002的距离为10m。</w:t>
            </w: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4-1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废气污染物产生及排放情况</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35"/>
              <w:gridCol w:w="426"/>
              <w:gridCol w:w="426"/>
              <w:gridCol w:w="741"/>
              <w:gridCol w:w="775"/>
              <w:gridCol w:w="794"/>
              <w:gridCol w:w="426"/>
              <w:gridCol w:w="759"/>
              <w:gridCol w:w="426"/>
              <w:gridCol w:w="741"/>
              <w:gridCol w:w="775"/>
              <w:gridCol w:w="590"/>
              <w:gridCol w:w="6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2" w:type="pct"/>
                  <w:vMerge w:val="restart"/>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工序/生产线</w:t>
                  </w:r>
                </w:p>
              </w:tc>
              <w:tc>
                <w:tcPr>
                  <w:tcW w:w="475" w:type="pct"/>
                  <w:vMerge w:val="restart"/>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污染源</w:t>
                  </w:r>
                </w:p>
              </w:tc>
              <w:tc>
                <w:tcPr>
                  <w:tcW w:w="242" w:type="pct"/>
                  <w:vMerge w:val="restart"/>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w:t>
                  </w:r>
                </w:p>
              </w:tc>
              <w:tc>
                <w:tcPr>
                  <w:tcW w:w="1558" w:type="pct"/>
                  <w:gridSpan w:val="4"/>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污染物产生</w:t>
                  </w:r>
                </w:p>
              </w:tc>
              <w:tc>
                <w:tcPr>
                  <w:tcW w:w="675" w:type="pct"/>
                  <w:gridSpan w:val="2"/>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治理措施</w:t>
                  </w:r>
                </w:p>
              </w:tc>
              <w:tc>
                <w:tcPr>
                  <w:tcW w:w="1442" w:type="pct"/>
                  <w:gridSpan w:val="4"/>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污染物排放</w:t>
                  </w:r>
                </w:p>
              </w:tc>
              <w:tc>
                <w:tcPr>
                  <w:tcW w:w="362" w:type="pct"/>
                  <w:vMerge w:val="restart"/>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排放</w:t>
                  </w:r>
                </w:p>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时间</w:t>
                  </w:r>
                  <w:r>
                    <w:rPr>
                      <w:rFonts w:hint="eastAsia"/>
                      <w:color w:val="000000" w:themeColor="text1"/>
                      <w:sz w:val="21"/>
                      <w:szCs w:val="21"/>
                      <w:highlight w:val="none"/>
                      <w14:textFill>
                        <w14:solidFill>
                          <w14:schemeClr w14:val="tx1"/>
                        </w14:solidFill>
                      </w14:textFill>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2" w:type="pct"/>
                  <w:vMerge w:val="continue"/>
                  <w:noWrap w:val="0"/>
                  <w:vAlign w:val="center"/>
                </w:tcPr>
                <w:p>
                  <w:pPr>
                    <w:pStyle w:val="101"/>
                    <w:rPr>
                      <w:color w:val="000000" w:themeColor="text1"/>
                      <w:sz w:val="21"/>
                      <w:szCs w:val="21"/>
                      <w:highlight w:val="none"/>
                      <w14:textFill>
                        <w14:solidFill>
                          <w14:schemeClr w14:val="tx1"/>
                        </w14:solidFill>
                      </w14:textFill>
                    </w:rPr>
                  </w:pPr>
                </w:p>
              </w:tc>
              <w:tc>
                <w:tcPr>
                  <w:tcW w:w="475" w:type="pct"/>
                  <w:vMerge w:val="continue"/>
                  <w:noWrap w:val="0"/>
                  <w:vAlign w:val="center"/>
                </w:tcPr>
                <w:p>
                  <w:pPr>
                    <w:pStyle w:val="101"/>
                    <w:rPr>
                      <w:color w:val="000000" w:themeColor="text1"/>
                      <w:sz w:val="21"/>
                      <w:szCs w:val="21"/>
                      <w:highlight w:val="none"/>
                      <w14:textFill>
                        <w14:solidFill>
                          <w14:schemeClr w14:val="tx1"/>
                        </w14:solidFill>
                      </w14:textFill>
                    </w:rPr>
                  </w:pPr>
                </w:p>
              </w:tc>
              <w:tc>
                <w:tcPr>
                  <w:tcW w:w="242" w:type="pct"/>
                  <w:vMerge w:val="continue"/>
                  <w:noWrap w:val="0"/>
                  <w:vAlign w:val="center"/>
                </w:tcPr>
                <w:p>
                  <w:pPr>
                    <w:pStyle w:val="101"/>
                    <w:rPr>
                      <w:color w:val="000000" w:themeColor="text1"/>
                      <w:sz w:val="21"/>
                      <w:szCs w:val="21"/>
                      <w:highlight w:val="none"/>
                      <w14:textFill>
                        <w14:solidFill>
                          <w14:schemeClr w14:val="tx1"/>
                        </w14:solidFill>
                      </w14:textFill>
                    </w:rPr>
                  </w:pPr>
                </w:p>
              </w:tc>
              <w:tc>
                <w:tcPr>
                  <w:tcW w:w="242" w:type="pct"/>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核算方法</w:t>
                  </w:r>
                </w:p>
              </w:tc>
              <w:tc>
                <w:tcPr>
                  <w:tcW w:w="422" w:type="pct"/>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产生废气量m</w:t>
                  </w:r>
                  <w:r>
                    <w:rPr>
                      <w:rFonts w:hint="eastAsia"/>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/h</w:t>
                  </w:r>
                </w:p>
              </w:tc>
              <w:tc>
                <w:tcPr>
                  <w:tcW w:w="441" w:type="pct"/>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产生浓度mg/m</w:t>
                  </w:r>
                  <w:r>
                    <w:rPr>
                      <w:color w:val="000000" w:themeColor="text1"/>
                      <w:sz w:val="21"/>
                      <w:szCs w:val="21"/>
                      <w:highlight w:val="none"/>
                      <w:vertAlign w:val="superscript"/>
                      <w14:textFill>
                        <w14:solidFill>
                          <w14:schemeClr w14:val="tx1"/>
                        </w14:solidFill>
                      </w14:textFill>
                    </w:rPr>
                    <w:t>3</w:t>
                  </w:r>
                </w:p>
              </w:tc>
              <w:tc>
                <w:tcPr>
                  <w:tcW w:w="452" w:type="pct"/>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产生量kg/h</w:t>
                  </w:r>
                </w:p>
              </w:tc>
              <w:tc>
                <w:tcPr>
                  <w:tcW w:w="242" w:type="pct"/>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工艺</w:t>
                  </w:r>
                </w:p>
              </w:tc>
              <w:tc>
                <w:tcPr>
                  <w:tcW w:w="432" w:type="pct"/>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效率</w:t>
                  </w:r>
                </w:p>
              </w:tc>
              <w:tc>
                <w:tcPr>
                  <w:tcW w:w="242" w:type="pct"/>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核算方法</w:t>
                  </w:r>
                </w:p>
              </w:tc>
              <w:tc>
                <w:tcPr>
                  <w:tcW w:w="422" w:type="pct"/>
                  <w:noWrap w:val="0"/>
                  <w:vAlign w:val="center"/>
                </w:tcPr>
                <w:p>
                  <w:pPr>
                    <w:pStyle w:val="101"/>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排放</w:t>
                  </w:r>
                  <w:r>
                    <w:rPr>
                      <w:color w:val="000000" w:themeColor="text1"/>
                      <w:sz w:val="21"/>
                      <w:szCs w:val="21"/>
                      <w:highlight w:val="none"/>
                      <w14:textFill>
                        <w14:solidFill>
                          <w14:schemeClr w14:val="tx1"/>
                        </w14:solidFill>
                      </w14:textFill>
                    </w:rPr>
                    <w:t>废气量m</w:t>
                  </w:r>
                  <w:r>
                    <w:rPr>
                      <w:rFonts w:hint="eastAsia"/>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/h</w:t>
                  </w:r>
                </w:p>
              </w:tc>
              <w:tc>
                <w:tcPr>
                  <w:tcW w:w="441" w:type="pct"/>
                  <w:noWrap w:val="0"/>
                  <w:vAlign w:val="center"/>
                </w:tcPr>
                <w:p>
                  <w:pPr>
                    <w:pStyle w:val="101"/>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排放</w:t>
                  </w:r>
                  <w:r>
                    <w:rPr>
                      <w:color w:val="000000" w:themeColor="text1"/>
                      <w:sz w:val="21"/>
                      <w:szCs w:val="21"/>
                      <w:highlight w:val="none"/>
                      <w14:textFill>
                        <w14:solidFill>
                          <w14:schemeClr w14:val="tx1"/>
                        </w14:solidFill>
                      </w14:textFill>
                    </w:rPr>
                    <w:t>浓度mg/m</w:t>
                  </w:r>
                  <w:r>
                    <w:rPr>
                      <w:color w:val="000000" w:themeColor="text1"/>
                      <w:sz w:val="21"/>
                      <w:szCs w:val="21"/>
                      <w:highlight w:val="none"/>
                      <w:vertAlign w:val="superscript"/>
                      <w14:textFill>
                        <w14:solidFill>
                          <w14:schemeClr w14:val="tx1"/>
                        </w14:solidFill>
                      </w14:textFill>
                    </w:rPr>
                    <w:t>3</w:t>
                  </w:r>
                </w:p>
              </w:tc>
              <w:tc>
                <w:tcPr>
                  <w:tcW w:w="336" w:type="pct"/>
                  <w:noWrap w:val="0"/>
                  <w:vAlign w:val="center"/>
                </w:tcPr>
                <w:p>
                  <w:pPr>
                    <w:pStyle w:val="101"/>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排放</w:t>
                  </w:r>
                  <w:r>
                    <w:rPr>
                      <w:color w:val="000000" w:themeColor="text1"/>
                      <w:sz w:val="21"/>
                      <w:szCs w:val="21"/>
                      <w:highlight w:val="none"/>
                      <w14:textFill>
                        <w14:solidFill>
                          <w14:schemeClr w14:val="tx1"/>
                        </w14:solidFill>
                      </w14:textFill>
                    </w:rPr>
                    <w:t>量kg/h</w:t>
                  </w:r>
                </w:p>
              </w:tc>
              <w:tc>
                <w:tcPr>
                  <w:tcW w:w="362" w:type="pct"/>
                  <w:vMerge w:val="continue"/>
                  <w:noWrap w:val="0"/>
                  <w:vAlign w:val="center"/>
                </w:tcPr>
                <w:p>
                  <w:pPr>
                    <w:pStyle w:val="101"/>
                    <w:rPr>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2" w:type="pct"/>
                  <w:vMerge w:val="restart"/>
                  <w:noWrap w:val="0"/>
                  <w:vAlign w:val="center"/>
                </w:tcPr>
                <w:p>
                  <w:pPr>
                    <w:pStyle w:val="101"/>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碎石加工生产线</w:t>
                  </w:r>
                </w:p>
              </w:tc>
              <w:tc>
                <w:tcPr>
                  <w:tcW w:w="475" w:type="pct"/>
                  <w:noWrap w:val="0"/>
                  <w:vAlign w:val="center"/>
                </w:tcPr>
                <w:p>
                  <w:pPr>
                    <w:pStyle w:val="101"/>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一次筛分、磨机、二次筛分排气筒</w:t>
                  </w:r>
                  <w:r>
                    <w:rPr>
                      <w:rFonts w:hint="eastAsia"/>
                      <w:color w:val="000000" w:themeColor="text1"/>
                      <w:sz w:val="21"/>
                      <w:szCs w:val="21"/>
                      <w:highlight w:val="none"/>
                      <w14:textFill>
                        <w14:solidFill>
                          <w14:schemeClr w14:val="tx1"/>
                        </w14:solidFill>
                      </w14:textFill>
                    </w:rPr>
                    <w:t>DA001</w:t>
                  </w:r>
                </w:p>
              </w:tc>
              <w:tc>
                <w:tcPr>
                  <w:tcW w:w="242" w:type="pct"/>
                  <w:vMerge w:val="restart"/>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粉尘</w:t>
                  </w:r>
                </w:p>
              </w:tc>
              <w:tc>
                <w:tcPr>
                  <w:tcW w:w="242" w:type="pct"/>
                  <w:vMerge w:val="restart"/>
                  <w:noWrap w:val="0"/>
                  <w:vAlign w:val="center"/>
                </w:tcPr>
                <w:p>
                  <w:pPr>
                    <w:pStyle w:val="101"/>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产污系数</w:t>
                  </w:r>
                </w:p>
              </w:tc>
              <w:tc>
                <w:tcPr>
                  <w:tcW w:w="422" w:type="pct"/>
                  <w:noWrap w:val="0"/>
                  <w:vAlign w:val="center"/>
                </w:tcPr>
                <w:p>
                  <w:pPr>
                    <w:pStyle w:val="101"/>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10000</w:t>
                  </w:r>
                </w:p>
              </w:tc>
              <w:tc>
                <w:tcPr>
                  <w:tcW w:w="441" w:type="pct"/>
                  <w:noWrap w:val="0"/>
                  <w:vAlign w:val="center"/>
                </w:tcPr>
                <w:p>
                  <w:pPr>
                    <w:pStyle w:val="101"/>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12758</w:t>
                  </w:r>
                </w:p>
              </w:tc>
              <w:tc>
                <w:tcPr>
                  <w:tcW w:w="452" w:type="pct"/>
                  <w:noWrap w:val="0"/>
                  <w:vAlign w:val="center"/>
                </w:tcPr>
                <w:p>
                  <w:pPr>
                    <w:pStyle w:val="101"/>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127.58</w:t>
                  </w:r>
                </w:p>
              </w:tc>
              <w:tc>
                <w:tcPr>
                  <w:tcW w:w="242" w:type="pct"/>
                  <w:vMerge w:val="restart"/>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集气罩+布袋除尘器</w:t>
                  </w:r>
                </w:p>
              </w:tc>
              <w:tc>
                <w:tcPr>
                  <w:tcW w:w="432" w:type="pct"/>
                  <w:vMerge w:val="restart"/>
                  <w:noWrap w:val="0"/>
                  <w:vAlign w:val="center"/>
                </w:tcPr>
                <w:p>
                  <w:pPr>
                    <w:pStyle w:val="10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99</w:t>
                  </w:r>
                  <w:r>
                    <w:rPr>
                      <w:rFonts w:hint="eastAsia"/>
                      <w:color w:val="000000" w:themeColor="text1"/>
                      <w:sz w:val="21"/>
                      <w:szCs w:val="21"/>
                      <w:highlight w:val="none"/>
                      <w:lang w:val="en-US" w:eastAsia="zh-CN"/>
                      <w14:textFill>
                        <w14:solidFill>
                          <w14:schemeClr w14:val="tx1"/>
                        </w14:solidFill>
                      </w14:textFill>
                    </w:rPr>
                    <w:t>.7</w:t>
                  </w:r>
                  <w:r>
                    <w:rPr>
                      <w:color w:val="000000" w:themeColor="text1"/>
                      <w:sz w:val="21"/>
                      <w:szCs w:val="21"/>
                      <w:highlight w:val="none"/>
                      <w14:textFill>
                        <w14:solidFill>
                          <w14:schemeClr w14:val="tx1"/>
                        </w14:solidFill>
                      </w14:textFill>
                    </w:rPr>
                    <w:t>%</w:t>
                  </w:r>
                </w:p>
              </w:tc>
              <w:tc>
                <w:tcPr>
                  <w:tcW w:w="242" w:type="pct"/>
                  <w:vMerge w:val="restart"/>
                  <w:noWrap w:val="0"/>
                  <w:vAlign w:val="center"/>
                </w:tcPr>
                <w:p>
                  <w:pPr>
                    <w:pStyle w:val="101"/>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产污系数</w:t>
                  </w:r>
                </w:p>
              </w:tc>
              <w:tc>
                <w:tcPr>
                  <w:tcW w:w="422" w:type="pct"/>
                  <w:noWrap w:val="0"/>
                  <w:vAlign w:val="center"/>
                </w:tcPr>
                <w:p>
                  <w:pPr>
                    <w:pStyle w:val="101"/>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10000</w:t>
                  </w:r>
                </w:p>
              </w:tc>
              <w:tc>
                <w:tcPr>
                  <w:tcW w:w="441" w:type="pct"/>
                  <w:noWrap w:val="0"/>
                  <w:vAlign w:val="center"/>
                </w:tcPr>
                <w:p>
                  <w:pPr>
                    <w:pStyle w:val="101"/>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38.27</w:t>
                  </w:r>
                </w:p>
              </w:tc>
              <w:tc>
                <w:tcPr>
                  <w:tcW w:w="336" w:type="pct"/>
                  <w:noWrap w:val="0"/>
                  <w:vAlign w:val="center"/>
                </w:tcPr>
                <w:p>
                  <w:pPr>
                    <w:pStyle w:val="101"/>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0.39</w:t>
                  </w:r>
                </w:p>
              </w:tc>
              <w:tc>
                <w:tcPr>
                  <w:tcW w:w="362" w:type="pct"/>
                  <w:noWrap w:val="0"/>
                  <w:vAlign w:val="center"/>
                </w:tcPr>
                <w:p>
                  <w:pPr>
                    <w:pStyle w:val="101"/>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2" w:type="pct"/>
                  <w:vMerge w:val="continue"/>
                  <w:noWrap w:val="0"/>
                  <w:vAlign w:val="center"/>
                </w:tcPr>
                <w:p>
                  <w:pPr>
                    <w:pStyle w:val="101"/>
                    <w:rPr>
                      <w:rFonts w:hint="default" w:eastAsia="宋体"/>
                      <w:color w:val="000000" w:themeColor="text1"/>
                      <w:sz w:val="21"/>
                      <w:szCs w:val="21"/>
                      <w:highlight w:val="none"/>
                      <w:lang w:val="en-US" w:eastAsia="zh-CN"/>
                      <w14:textFill>
                        <w14:solidFill>
                          <w14:schemeClr w14:val="tx1"/>
                        </w14:solidFill>
                      </w14:textFill>
                    </w:rPr>
                  </w:pPr>
                </w:p>
              </w:tc>
              <w:tc>
                <w:tcPr>
                  <w:tcW w:w="475" w:type="pct"/>
                  <w:noWrap w:val="0"/>
                  <w:vAlign w:val="center"/>
                </w:tcPr>
                <w:p>
                  <w:pPr>
                    <w:pStyle w:val="101"/>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整形及三次筛分排气筒DA002</w:t>
                  </w:r>
                </w:p>
              </w:tc>
              <w:tc>
                <w:tcPr>
                  <w:tcW w:w="242" w:type="pct"/>
                  <w:vMerge w:val="continue"/>
                  <w:noWrap w:val="0"/>
                  <w:vAlign w:val="center"/>
                </w:tcPr>
                <w:p>
                  <w:pPr>
                    <w:pStyle w:val="101"/>
                    <w:rPr>
                      <w:color w:val="000000" w:themeColor="text1"/>
                      <w:sz w:val="21"/>
                      <w:szCs w:val="21"/>
                      <w:highlight w:val="none"/>
                      <w14:textFill>
                        <w14:solidFill>
                          <w14:schemeClr w14:val="tx1"/>
                        </w14:solidFill>
                      </w14:textFill>
                    </w:rPr>
                  </w:pPr>
                </w:p>
              </w:tc>
              <w:tc>
                <w:tcPr>
                  <w:tcW w:w="242" w:type="pct"/>
                  <w:vMerge w:val="continue"/>
                  <w:noWrap w:val="0"/>
                  <w:vAlign w:val="center"/>
                </w:tcPr>
                <w:p>
                  <w:pPr>
                    <w:pStyle w:val="101"/>
                    <w:rPr>
                      <w:color w:val="000000" w:themeColor="text1"/>
                      <w:sz w:val="21"/>
                      <w:szCs w:val="21"/>
                      <w:highlight w:val="none"/>
                      <w14:textFill>
                        <w14:solidFill>
                          <w14:schemeClr w14:val="tx1"/>
                        </w14:solidFill>
                      </w14:textFill>
                    </w:rPr>
                  </w:pPr>
                </w:p>
              </w:tc>
              <w:tc>
                <w:tcPr>
                  <w:tcW w:w="422" w:type="pct"/>
                  <w:noWrap w:val="0"/>
                  <w:vAlign w:val="center"/>
                </w:tcPr>
                <w:p>
                  <w:pPr>
                    <w:pStyle w:val="101"/>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10000</w:t>
                  </w:r>
                </w:p>
              </w:tc>
              <w:tc>
                <w:tcPr>
                  <w:tcW w:w="441" w:type="pct"/>
                  <w:noWrap w:val="0"/>
                  <w:vAlign w:val="center"/>
                </w:tcPr>
                <w:p>
                  <w:pPr>
                    <w:pStyle w:val="101"/>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12758</w:t>
                  </w:r>
                </w:p>
              </w:tc>
              <w:tc>
                <w:tcPr>
                  <w:tcW w:w="452" w:type="pct"/>
                  <w:noWrap w:val="0"/>
                  <w:vAlign w:val="center"/>
                </w:tcPr>
                <w:p>
                  <w:pPr>
                    <w:pStyle w:val="101"/>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127.58</w:t>
                  </w:r>
                </w:p>
              </w:tc>
              <w:tc>
                <w:tcPr>
                  <w:tcW w:w="242" w:type="pct"/>
                  <w:vMerge w:val="continue"/>
                  <w:noWrap w:val="0"/>
                  <w:vAlign w:val="center"/>
                </w:tcPr>
                <w:p>
                  <w:pPr>
                    <w:pStyle w:val="101"/>
                    <w:rPr>
                      <w:color w:val="000000" w:themeColor="text1"/>
                      <w:sz w:val="21"/>
                      <w:szCs w:val="21"/>
                      <w:highlight w:val="none"/>
                      <w14:textFill>
                        <w14:solidFill>
                          <w14:schemeClr w14:val="tx1"/>
                        </w14:solidFill>
                      </w14:textFill>
                    </w:rPr>
                  </w:pPr>
                </w:p>
              </w:tc>
              <w:tc>
                <w:tcPr>
                  <w:tcW w:w="432" w:type="pct"/>
                  <w:vMerge w:val="continue"/>
                  <w:noWrap w:val="0"/>
                  <w:vAlign w:val="center"/>
                </w:tcPr>
                <w:p>
                  <w:pPr>
                    <w:pStyle w:val="101"/>
                    <w:rPr>
                      <w:color w:val="000000" w:themeColor="text1"/>
                      <w:sz w:val="21"/>
                      <w:szCs w:val="21"/>
                      <w:highlight w:val="none"/>
                      <w14:textFill>
                        <w14:solidFill>
                          <w14:schemeClr w14:val="tx1"/>
                        </w14:solidFill>
                      </w14:textFill>
                    </w:rPr>
                  </w:pPr>
                </w:p>
              </w:tc>
              <w:tc>
                <w:tcPr>
                  <w:tcW w:w="242" w:type="pct"/>
                  <w:vMerge w:val="continue"/>
                  <w:noWrap w:val="0"/>
                  <w:vAlign w:val="center"/>
                </w:tcPr>
                <w:p>
                  <w:pPr>
                    <w:pStyle w:val="101"/>
                    <w:rPr>
                      <w:color w:val="000000" w:themeColor="text1"/>
                      <w:sz w:val="21"/>
                      <w:szCs w:val="21"/>
                      <w:highlight w:val="none"/>
                      <w14:textFill>
                        <w14:solidFill>
                          <w14:schemeClr w14:val="tx1"/>
                        </w14:solidFill>
                      </w14:textFill>
                    </w:rPr>
                  </w:pPr>
                </w:p>
              </w:tc>
              <w:tc>
                <w:tcPr>
                  <w:tcW w:w="422" w:type="pct"/>
                  <w:noWrap w:val="0"/>
                  <w:vAlign w:val="center"/>
                </w:tcPr>
                <w:p>
                  <w:pPr>
                    <w:pStyle w:val="101"/>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10000</w:t>
                  </w:r>
                </w:p>
              </w:tc>
              <w:tc>
                <w:tcPr>
                  <w:tcW w:w="441" w:type="pct"/>
                  <w:noWrap w:val="0"/>
                  <w:vAlign w:val="center"/>
                </w:tcPr>
                <w:p>
                  <w:pPr>
                    <w:pStyle w:val="101"/>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38.27</w:t>
                  </w:r>
                </w:p>
              </w:tc>
              <w:tc>
                <w:tcPr>
                  <w:tcW w:w="336" w:type="pct"/>
                  <w:noWrap w:val="0"/>
                  <w:vAlign w:val="center"/>
                </w:tcPr>
                <w:p>
                  <w:pPr>
                    <w:pStyle w:val="101"/>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0.39</w:t>
                  </w:r>
                </w:p>
              </w:tc>
              <w:tc>
                <w:tcPr>
                  <w:tcW w:w="362" w:type="pct"/>
                  <w:noWrap w:val="0"/>
                  <w:vAlign w:val="center"/>
                </w:tcPr>
                <w:p>
                  <w:pPr>
                    <w:pStyle w:val="101"/>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2" w:type="pct"/>
                  <w:noWrap w:val="0"/>
                  <w:vAlign w:val="center"/>
                </w:tcPr>
                <w:p>
                  <w:pPr>
                    <w:pStyle w:val="101"/>
                    <w:rPr>
                      <w:rFonts w:hint="default" w:eastAsia="宋体"/>
                      <w:color w:val="000000" w:themeColor="text1"/>
                      <w:sz w:val="21"/>
                      <w:szCs w:val="21"/>
                      <w:highlight w:val="green"/>
                      <w:lang w:val="en-US" w:eastAsia="zh-CN"/>
                      <w14:textFill>
                        <w14:solidFill>
                          <w14:schemeClr w14:val="tx1"/>
                        </w14:solidFill>
                      </w14:textFill>
                    </w:rPr>
                  </w:pPr>
                  <w:r>
                    <w:rPr>
                      <w:rFonts w:hint="eastAsia"/>
                      <w:color w:val="000000" w:themeColor="text1"/>
                      <w:sz w:val="21"/>
                      <w:szCs w:val="21"/>
                      <w:highlight w:val="green"/>
                      <w:lang w:val="en-US" w:eastAsia="zh-CN"/>
                      <w14:textFill>
                        <w14:solidFill>
                          <w14:schemeClr w14:val="tx1"/>
                        </w14:solidFill>
                      </w14:textFill>
                    </w:rPr>
                    <w:t>碎石加工生产线</w:t>
                  </w:r>
                </w:p>
              </w:tc>
              <w:tc>
                <w:tcPr>
                  <w:tcW w:w="475" w:type="pct"/>
                  <w:noWrap w:val="0"/>
                  <w:vAlign w:val="center"/>
                </w:tcPr>
                <w:p>
                  <w:pPr>
                    <w:pStyle w:val="101"/>
                    <w:rPr>
                      <w:rFonts w:hint="eastAsia"/>
                      <w:color w:val="000000" w:themeColor="text1"/>
                      <w:sz w:val="21"/>
                      <w:szCs w:val="21"/>
                      <w:highlight w:val="green"/>
                      <w:lang w:val="en-US" w:eastAsia="zh-CN"/>
                      <w14:textFill>
                        <w14:solidFill>
                          <w14:schemeClr w14:val="tx1"/>
                        </w14:solidFill>
                      </w14:textFill>
                    </w:rPr>
                  </w:pPr>
                  <w:r>
                    <w:rPr>
                      <w:rFonts w:hint="eastAsia"/>
                      <w:color w:val="000000" w:themeColor="text1"/>
                      <w:sz w:val="21"/>
                      <w:szCs w:val="21"/>
                      <w:highlight w:val="green"/>
                      <w:lang w:val="en-US" w:eastAsia="zh-CN"/>
                      <w14:textFill>
                        <w14:solidFill>
                          <w14:schemeClr w14:val="tx1"/>
                        </w14:solidFill>
                      </w14:textFill>
                    </w:rPr>
                    <w:t>等效排气筒</w:t>
                  </w:r>
                </w:p>
              </w:tc>
              <w:tc>
                <w:tcPr>
                  <w:tcW w:w="242" w:type="pct"/>
                  <w:noWrap w:val="0"/>
                  <w:vAlign w:val="center"/>
                </w:tcPr>
                <w:p>
                  <w:pPr>
                    <w:pStyle w:val="101"/>
                    <w:rPr>
                      <w:rFonts w:hint="eastAsia" w:eastAsia="宋体"/>
                      <w:color w:val="000000" w:themeColor="text1"/>
                      <w:sz w:val="21"/>
                      <w:szCs w:val="21"/>
                      <w:highlight w:val="green"/>
                      <w:lang w:eastAsia="zh-CN"/>
                      <w14:textFill>
                        <w14:solidFill>
                          <w14:schemeClr w14:val="tx1"/>
                        </w14:solidFill>
                      </w14:textFill>
                    </w:rPr>
                  </w:pPr>
                  <w:r>
                    <w:rPr>
                      <w:rFonts w:hint="eastAsia"/>
                      <w:color w:val="000000" w:themeColor="text1"/>
                      <w:sz w:val="21"/>
                      <w:szCs w:val="21"/>
                      <w:highlight w:val="green"/>
                      <w:lang w:eastAsia="zh-CN"/>
                      <w14:textFill>
                        <w14:solidFill>
                          <w14:schemeClr w14:val="tx1"/>
                        </w14:solidFill>
                      </w14:textFill>
                    </w:rPr>
                    <w:t>粉尘</w:t>
                  </w:r>
                </w:p>
              </w:tc>
              <w:tc>
                <w:tcPr>
                  <w:tcW w:w="242" w:type="pct"/>
                  <w:noWrap w:val="0"/>
                  <w:vAlign w:val="center"/>
                </w:tcPr>
                <w:p>
                  <w:pPr>
                    <w:pStyle w:val="101"/>
                    <w:jc w:val="both"/>
                    <w:rPr>
                      <w:rFonts w:hint="default" w:eastAsia="宋体"/>
                      <w:color w:val="000000" w:themeColor="text1"/>
                      <w:sz w:val="21"/>
                      <w:szCs w:val="21"/>
                      <w:highlight w:val="green"/>
                      <w:lang w:val="en-US" w:eastAsia="zh-CN"/>
                      <w14:textFill>
                        <w14:solidFill>
                          <w14:schemeClr w14:val="tx1"/>
                        </w14:solidFill>
                      </w14:textFill>
                    </w:rPr>
                  </w:pPr>
                  <w:r>
                    <w:rPr>
                      <w:rFonts w:hint="eastAsia"/>
                      <w:color w:val="000000" w:themeColor="text1"/>
                      <w:sz w:val="21"/>
                      <w:szCs w:val="21"/>
                      <w:highlight w:val="green"/>
                      <w:lang w:val="en-US" w:eastAsia="zh-CN"/>
                      <w14:textFill>
                        <w14:solidFill>
                          <w14:schemeClr w14:val="tx1"/>
                        </w14:solidFill>
                      </w14:textFill>
                    </w:rPr>
                    <w:t>/</w:t>
                  </w:r>
                </w:p>
              </w:tc>
              <w:tc>
                <w:tcPr>
                  <w:tcW w:w="422" w:type="pct"/>
                  <w:noWrap w:val="0"/>
                  <w:vAlign w:val="center"/>
                </w:tcPr>
                <w:p>
                  <w:pPr>
                    <w:pStyle w:val="101"/>
                    <w:rPr>
                      <w:rFonts w:hint="default"/>
                      <w:color w:val="000000" w:themeColor="text1"/>
                      <w:sz w:val="21"/>
                      <w:szCs w:val="21"/>
                      <w:highlight w:val="green"/>
                      <w:lang w:val="en-US" w:eastAsia="zh-CN"/>
                      <w14:textFill>
                        <w14:solidFill>
                          <w14:schemeClr w14:val="tx1"/>
                        </w14:solidFill>
                      </w14:textFill>
                    </w:rPr>
                  </w:pPr>
                  <w:r>
                    <w:rPr>
                      <w:rFonts w:hint="eastAsia"/>
                      <w:color w:val="000000" w:themeColor="text1"/>
                      <w:sz w:val="21"/>
                      <w:szCs w:val="21"/>
                      <w:highlight w:val="green"/>
                      <w:lang w:val="en-US" w:eastAsia="zh-CN"/>
                      <w14:textFill>
                        <w14:solidFill>
                          <w14:schemeClr w14:val="tx1"/>
                        </w14:solidFill>
                      </w14:textFill>
                    </w:rPr>
                    <w:t>/</w:t>
                  </w:r>
                </w:p>
              </w:tc>
              <w:tc>
                <w:tcPr>
                  <w:tcW w:w="441" w:type="pct"/>
                  <w:noWrap w:val="0"/>
                  <w:vAlign w:val="center"/>
                </w:tcPr>
                <w:p>
                  <w:pPr>
                    <w:pStyle w:val="101"/>
                    <w:rPr>
                      <w:rFonts w:hint="default"/>
                      <w:color w:val="000000" w:themeColor="text1"/>
                      <w:sz w:val="21"/>
                      <w:szCs w:val="21"/>
                      <w:highlight w:val="green"/>
                      <w:lang w:val="en-US" w:eastAsia="zh-CN"/>
                      <w14:textFill>
                        <w14:solidFill>
                          <w14:schemeClr w14:val="tx1"/>
                        </w14:solidFill>
                      </w14:textFill>
                    </w:rPr>
                  </w:pPr>
                  <w:r>
                    <w:rPr>
                      <w:rFonts w:hint="eastAsia"/>
                      <w:color w:val="000000" w:themeColor="text1"/>
                      <w:sz w:val="21"/>
                      <w:szCs w:val="21"/>
                      <w:highlight w:val="green"/>
                      <w:lang w:val="en-US" w:eastAsia="zh-CN"/>
                      <w14:textFill>
                        <w14:solidFill>
                          <w14:schemeClr w14:val="tx1"/>
                        </w14:solidFill>
                      </w14:textFill>
                    </w:rPr>
                    <w:t>/</w:t>
                  </w:r>
                </w:p>
              </w:tc>
              <w:tc>
                <w:tcPr>
                  <w:tcW w:w="452" w:type="pct"/>
                  <w:noWrap w:val="0"/>
                  <w:vAlign w:val="center"/>
                </w:tcPr>
                <w:p>
                  <w:pPr>
                    <w:pStyle w:val="101"/>
                    <w:rPr>
                      <w:rFonts w:hint="default"/>
                      <w:color w:val="000000" w:themeColor="text1"/>
                      <w:sz w:val="21"/>
                      <w:szCs w:val="21"/>
                      <w:highlight w:val="green"/>
                      <w:lang w:val="en-US" w:eastAsia="zh-CN"/>
                      <w14:textFill>
                        <w14:solidFill>
                          <w14:schemeClr w14:val="tx1"/>
                        </w14:solidFill>
                      </w14:textFill>
                    </w:rPr>
                  </w:pPr>
                  <w:r>
                    <w:rPr>
                      <w:rFonts w:hint="eastAsia"/>
                      <w:color w:val="000000" w:themeColor="text1"/>
                      <w:sz w:val="21"/>
                      <w:szCs w:val="21"/>
                      <w:highlight w:val="green"/>
                      <w:lang w:val="en-US" w:eastAsia="zh-CN"/>
                      <w14:textFill>
                        <w14:solidFill>
                          <w14:schemeClr w14:val="tx1"/>
                        </w14:solidFill>
                      </w14:textFill>
                    </w:rPr>
                    <w:t>/</w:t>
                  </w:r>
                </w:p>
              </w:tc>
              <w:tc>
                <w:tcPr>
                  <w:tcW w:w="242" w:type="pct"/>
                  <w:noWrap w:val="0"/>
                  <w:vAlign w:val="center"/>
                </w:tcPr>
                <w:p>
                  <w:pPr>
                    <w:pStyle w:val="101"/>
                    <w:rPr>
                      <w:rFonts w:hint="eastAsia" w:eastAsia="宋体"/>
                      <w:color w:val="000000" w:themeColor="text1"/>
                      <w:sz w:val="21"/>
                      <w:szCs w:val="21"/>
                      <w:highlight w:val="green"/>
                      <w:lang w:val="en-US" w:eastAsia="zh-CN"/>
                      <w14:textFill>
                        <w14:solidFill>
                          <w14:schemeClr w14:val="tx1"/>
                        </w14:solidFill>
                      </w14:textFill>
                    </w:rPr>
                  </w:pPr>
                  <w:r>
                    <w:rPr>
                      <w:rFonts w:hint="eastAsia"/>
                      <w:color w:val="000000" w:themeColor="text1"/>
                      <w:sz w:val="21"/>
                      <w:szCs w:val="21"/>
                      <w:highlight w:val="green"/>
                      <w:lang w:val="en-US" w:eastAsia="zh-CN"/>
                      <w14:textFill>
                        <w14:solidFill>
                          <w14:schemeClr w14:val="tx1"/>
                        </w14:solidFill>
                      </w14:textFill>
                    </w:rPr>
                    <w:t>/</w:t>
                  </w:r>
                </w:p>
              </w:tc>
              <w:tc>
                <w:tcPr>
                  <w:tcW w:w="432" w:type="pct"/>
                  <w:noWrap w:val="0"/>
                  <w:vAlign w:val="center"/>
                </w:tcPr>
                <w:p>
                  <w:pPr>
                    <w:pStyle w:val="101"/>
                    <w:rPr>
                      <w:rFonts w:hint="eastAsia" w:eastAsia="宋体"/>
                      <w:color w:val="000000" w:themeColor="text1"/>
                      <w:sz w:val="21"/>
                      <w:szCs w:val="21"/>
                      <w:highlight w:val="green"/>
                      <w:lang w:val="en-US" w:eastAsia="zh-CN"/>
                      <w14:textFill>
                        <w14:solidFill>
                          <w14:schemeClr w14:val="tx1"/>
                        </w14:solidFill>
                      </w14:textFill>
                    </w:rPr>
                  </w:pPr>
                  <w:r>
                    <w:rPr>
                      <w:rFonts w:hint="eastAsia"/>
                      <w:color w:val="000000" w:themeColor="text1"/>
                      <w:sz w:val="21"/>
                      <w:szCs w:val="21"/>
                      <w:highlight w:val="green"/>
                      <w:lang w:val="en-US" w:eastAsia="zh-CN"/>
                      <w14:textFill>
                        <w14:solidFill>
                          <w14:schemeClr w14:val="tx1"/>
                        </w14:solidFill>
                      </w14:textFill>
                    </w:rPr>
                    <w:t>/</w:t>
                  </w:r>
                </w:p>
              </w:tc>
              <w:tc>
                <w:tcPr>
                  <w:tcW w:w="242" w:type="pct"/>
                  <w:noWrap w:val="0"/>
                  <w:vAlign w:val="center"/>
                </w:tcPr>
                <w:p>
                  <w:pPr>
                    <w:pStyle w:val="101"/>
                    <w:rPr>
                      <w:rFonts w:hint="eastAsia" w:eastAsia="宋体"/>
                      <w:color w:val="000000" w:themeColor="text1"/>
                      <w:sz w:val="21"/>
                      <w:szCs w:val="21"/>
                      <w:highlight w:val="green"/>
                      <w:lang w:val="en-US" w:eastAsia="zh-CN"/>
                      <w14:textFill>
                        <w14:solidFill>
                          <w14:schemeClr w14:val="tx1"/>
                        </w14:solidFill>
                      </w14:textFill>
                    </w:rPr>
                  </w:pPr>
                  <w:r>
                    <w:rPr>
                      <w:rFonts w:hint="eastAsia"/>
                      <w:color w:val="000000" w:themeColor="text1"/>
                      <w:sz w:val="21"/>
                      <w:szCs w:val="21"/>
                      <w:highlight w:val="green"/>
                      <w:lang w:val="en-US" w:eastAsia="zh-CN"/>
                      <w14:textFill>
                        <w14:solidFill>
                          <w14:schemeClr w14:val="tx1"/>
                        </w14:solidFill>
                      </w14:textFill>
                    </w:rPr>
                    <w:t>/</w:t>
                  </w:r>
                </w:p>
              </w:tc>
              <w:tc>
                <w:tcPr>
                  <w:tcW w:w="422" w:type="pct"/>
                  <w:noWrap w:val="0"/>
                  <w:vAlign w:val="center"/>
                </w:tcPr>
                <w:p>
                  <w:pPr>
                    <w:pStyle w:val="101"/>
                    <w:rPr>
                      <w:rFonts w:hint="default"/>
                      <w:color w:val="000000" w:themeColor="text1"/>
                      <w:sz w:val="21"/>
                      <w:szCs w:val="21"/>
                      <w:highlight w:val="green"/>
                      <w:lang w:val="en-US" w:eastAsia="zh-CN"/>
                      <w14:textFill>
                        <w14:solidFill>
                          <w14:schemeClr w14:val="tx1"/>
                        </w14:solidFill>
                      </w14:textFill>
                    </w:rPr>
                  </w:pPr>
                  <w:r>
                    <w:rPr>
                      <w:rFonts w:hint="eastAsia"/>
                      <w:color w:val="000000" w:themeColor="text1"/>
                      <w:sz w:val="21"/>
                      <w:szCs w:val="21"/>
                      <w:highlight w:val="green"/>
                      <w:lang w:val="en-US" w:eastAsia="zh-CN"/>
                      <w14:textFill>
                        <w14:solidFill>
                          <w14:schemeClr w14:val="tx1"/>
                        </w14:solidFill>
                      </w14:textFill>
                    </w:rPr>
                    <w:t>/</w:t>
                  </w:r>
                </w:p>
              </w:tc>
              <w:tc>
                <w:tcPr>
                  <w:tcW w:w="441" w:type="pct"/>
                  <w:noWrap w:val="0"/>
                  <w:vAlign w:val="center"/>
                </w:tcPr>
                <w:p>
                  <w:pPr>
                    <w:pStyle w:val="101"/>
                    <w:rPr>
                      <w:rFonts w:hint="default"/>
                      <w:color w:val="000000" w:themeColor="text1"/>
                      <w:sz w:val="21"/>
                      <w:szCs w:val="21"/>
                      <w:highlight w:val="green"/>
                      <w:lang w:val="en-US" w:eastAsia="zh-CN"/>
                      <w14:textFill>
                        <w14:solidFill>
                          <w14:schemeClr w14:val="tx1"/>
                        </w14:solidFill>
                      </w14:textFill>
                    </w:rPr>
                  </w:pPr>
                  <w:r>
                    <w:rPr>
                      <w:rFonts w:hint="eastAsia"/>
                      <w:color w:val="000000" w:themeColor="text1"/>
                      <w:sz w:val="21"/>
                      <w:szCs w:val="21"/>
                      <w:highlight w:val="green"/>
                      <w:lang w:val="en-US" w:eastAsia="zh-CN"/>
                      <w14:textFill>
                        <w14:solidFill>
                          <w14:schemeClr w14:val="tx1"/>
                        </w14:solidFill>
                      </w14:textFill>
                    </w:rPr>
                    <w:t>/</w:t>
                  </w:r>
                </w:p>
              </w:tc>
              <w:tc>
                <w:tcPr>
                  <w:tcW w:w="336" w:type="pct"/>
                  <w:noWrap w:val="0"/>
                  <w:vAlign w:val="center"/>
                </w:tcPr>
                <w:p>
                  <w:pPr>
                    <w:pStyle w:val="101"/>
                    <w:rPr>
                      <w:rFonts w:hint="default"/>
                      <w:color w:val="000000" w:themeColor="text1"/>
                      <w:sz w:val="21"/>
                      <w:szCs w:val="21"/>
                      <w:highlight w:val="green"/>
                      <w:lang w:val="en-US" w:eastAsia="zh-CN"/>
                      <w14:textFill>
                        <w14:solidFill>
                          <w14:schemeClr w14:val="tx1"/>
                        </w14:solidFill>
                      </w14:textFill>
                    </w:rPr>
                  </w:pPr>
                  <w:r>
                    <w:rPr>
                      <w:rFonts w:hint="eastAsia"/>
                      <w:color w:val="000000" w:themeColor="text1"/>
                      <w:sz w:val="21"/>
                      <w:szCs w:val="21"/>
                      <w:highlight w:val="green"/>
                      <w:lang w:val="en-US" w:eastAsia="zh-CN"/>
                      <w14:textFill>
                        <w14:solidFill>
                          <w14:schemeClr w14:val="tx1"/>
                        </w14:solidFill>
                      </w14:textFill>
                    </w:rPr>
                    <w:t>0.78</w:t>
                  </w:r>
                </w:p>
              </w:tc>
              <w:tc>
                <w:tcPr>
                  <w:tcW w:w="362" w:type="pct"/>
                  <w:noWrap w:val="0"/>
                  <w:vAlign w:val="center"/>
                </w:tcPr>
                <w:p>
                  <w:pPr>
                    <w:pStyle w:val="101"/>
                    <w:rPr>
                      <w:rFonts w:hint="default" w:eastAsia="宋体"/>
                      <w:color w:val="000000" w:themeColor="text1"/>
                      <w:sz w:val="21"/>
                      <w:szCs w:val="21"/>
                      <w:highlight w:val="green"/>
                      <w:lang w:val="en-US" w:eastAsia="zh-CN"/>
                      <w14:textFill>
                        <w14:solidFill>
                          <w14:schemeClr w14:val="tx1"/>
                        </w14:solidFill>
                      </w14:textFill>
                    </w:rPr>
                  </w:pPr>
                  <w:r>
                    <w:rPr>
                      <w:rFonts w:hint="eastAsia"/>
                      <w:color w:val="000000" w:themeColor="text1"/>
                      <w:sz w:val="21"/>
                      <w:szCs w:val="21"/>
                      <w:highlight w:val="green"/>
                      <w:lang w:val="en-US" w:eastAsia="zh-CN"/>
                      <w14:textFill>
                        <w14:solidFill>
                          <w14:schemeClr w14:val="tx1"/>
                        </w14:solidFill>
                      </w14:textFill>
                    </w:rPr>
                    <w:t>2000</w:t>
                  </w:r>
                </w:p>
              </w:tc>
            </w:tr>
          </w:tbl>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4-2</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废气污染物无组织产生及排放情况</w:t>
            </w:r>
          </w:p>
          <w:tbl>
            <w:tblPr>
              <w:tblStyle w:val="3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5"/>
              <w:gridCol w:w="752"/>
              <w:gridCol w:w="581"/>
              <w:gridCol w:w="659"/>
              <w:gridCol w:w="877"/>
              <w:gridCol w:w="807"/>
              <w:gridCol w:w="893"/>
              <w:gridCol w:w="680"/>
              <w:gridCol w:w="877"/>
              <w:gridCol w:w="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18" w:type="pct"/>
                  <w:vMerge w:val="restart"/>
                  <w:noWrap w:val="0"/>
                  <w:vAlign w:val="center"/>
                </w:tcPr>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工序/生产线</w:t>
                  </w:r>
                </w:p>
              </w:tc>
              <w:tc>
                <w:tcPr>
                  <w:tcW w:w="429" w:type="pct"/>
                  <w:vMerge w:val="restart"/>
                  <w:noWrap w:val="0"/>
                  <w:vAlign w:val="center"/>
                </w:tcPr>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污染源</w:t>
                  </w:r>
                </w:p>
              </w:tc>
              <w:tc>
                <w:tcPr>
                  <w:tcW w:w="331" w:type="pct"/>
                  <w:vMerge w:val="restart"/>
                  <w:noWrap w:val="0"/>
                  <w:vAlign w:val="center"/>
                </w:tcPr>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w:t>
                  </w:r>
                </w:p>
              </w:tc>
              <w:tc>
                <w:tcPr>
                  <w:tcW w:w="876" w:type="pct"/>
                  <w:gridSpan w:val="2"/>
                  <w:noWrap w:val="0"/>
                  <w:vAlign w:val="center"/>
                </w:tcPr>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污染物产生</w:t>
                  </w:r>
                </w:p>
              </w:tc>
              <w:tc>
                <w:tcPr>
                  <w:tcW w:w="969" w:type="pct"/>
                  <w:gridSpan w:val="2"/>
                  <w:noWrap w:val="0"/>
                  <w:vAlign w:val="center"/>
                </w:tcPr>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治理措施</w:t>
                  </w:r>
                </w:p>
              </w:tc>
              <w:tc>
                <w:tcPr>
                  <w:tcW w:w="888" w:type="pct"/>
                  <w:gridSpan w:val="2"/>
                  <w:noWrap w:val="0"/>
                  <w:vAlign w:val="center"/>
                </w:tcPr>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污染物排放</w:t>
                  </w:r>
                </w:p>
              </w:tc>
              <w:tc>
                <w:tcPr>
                  <w:tcW w:w="484" w:type="pct"/>
                  <w:vMerge w:val="restart"/>
                  <w:noWrap w:val="0"/>
                  <w:vAlign w:val="center"/>
                </w:tcPr>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18" w:type="pct"/>
                  <w:vMerge w:val="continue"/>
                  <w:noWrap w:val="0"/>
                  <w:vAlign w:val="center"/>
                </w:tcPr>
                <w:p>
                  <w:pPr>
                    <w:pStyle w:val="101"/>
                    <w:jc w:val="center"/>
                    <w:rPr>
                      <w:color w:val="000000" w:themeColor="text1"/>
                      <w:highlight w:val="none"/>
                      <w14:textFill>
                        <w14:solidFill>
                          <w14:schemeClr w14:val="tx1"/>
                        </w14:solidFill>
                      </w14:textFill>
                    </w:rPr>
                  </w:pPr>
                </w:p>
              </w:tc>
              <w:tc>
                <w:tcPr>
                  <w:tcW w:w="429" w:type="pct"/>
                  <w:vMerge w:val="continue"/>
                  <w:noWrap w:val="0"/>
                  <w:vAlign w:val="center"/>
                </w:tcPr>
                <w:p>
                  <w:pPr>
                    <w:pStyle w:val="101"/>
                    <w:jc w:val="center"/>
                    <w:rPr>
                      <w:color w:val="000000" w:themeColor="text1"/>
                      <w:highlight w:val="none"/>
                      <w14:textFill>
                        <w14:solidFill>
                          <w14:schemeClr w14:val="tx1"/>
                        </w14:solidFill>
                      </w14:textFill>
                    </w:rPr>
                  </w:pPr>
                </w:p>
              </w:tc>
              <w:tc>
                <w:tcPr>
                  <w:tcW w:w="331" w:type="pct"/>
                  <w:vMerge w:val="continue"/>
                  <w:noWrap w:val="0"/>
                  <w:vAlign w:val="center"/>
                </w:tcPr>
                <w:p>
                  <w:pPr>
                    <w:pStyle w:val="101"/>
                    <w:jc w:val="center"/>
                    <w:rPr>
                      <w:color w:val="000000" w:themeColor="text1"/>
                      <w:highlight w:val="none"/>
                      <w14:textFill>
                        <w14:solidFill>
                          <w14:schemeClr w14:val="tx1"/>
                        </w14:solidFill>
                      </w14:textFill>
                    </w:rPr>
                  </w:pPr>
                </w:p>
              </w:tc>
              <w:tc>
                <w:tcPr>
                  <w:tcW w:w="376" w:type="pct"/>
                  <w:noWrap w:val="0"/>
                  <w:vAlign w:val="center"/>
                </w:tcPr>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核算</w:t>
                  </w:r>
                </w:p>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方法</w:t>
                  </w:r>
                </w:p>
              </w:tc>
              <w:tc>
                <w:tcPr>
                  <w:tcW w:w="500" w:type="pct"/>
                  <w:noWrap w:val="0"/>
                  <w:vAlign w:val="center"/>
                </w:tcPr>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废气产生量kg/h</w:t>
                  </w:r>
                </w:p>
              </w:tc>
              <w:tc>
                <w:tcPr>
                  <w:tcW w:w="460" w:type="pct"/>
                  <w:noWrap w:val="0"/>
                  <w:vAlign w:val="center"/>
                </w:tcPr>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工艺</w:t>
                  </w:r>
                </w:p>
              </w:tc>
              <w:tc>
                <w:tcPr>
                  <w:tcW w:w="509" w:type="pct"/>
                  <w:noWrap w:val="0"/>
                  <w:vAlign w:val="center"/>
                </w:tcPr>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效率</w:t>
                  </w:r>
                </w:p>
              </w:tc>
              <w:tc>
                <w:tcPr>
                  <w:tcW w:w="388" w:type="pct"/>
                  <w:noWrap w:val="0"/>
                  <w:vAlign w:val="center"/>
                </w:tcPr>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核算方法</w:t>
                  </w:r>
                </w:p>
              </w:tc>
              <w:tc>
                <w:tcPr>
                  <w:tcW w:w="500" w:type="pct"/>
                  <w:noWrap w:val="0"/>
                  <w:vAlign w:val="center"/>
                </w:tcPr>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排放量</w:t>
                  </w:r>
                </w:p>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kg/h</w:t>
                  </w:r>
                </w:p>
              </w:tc>
              <w:tc>
                <w:tcPr>
                  <w:tcW w:w="484" w:type="pct"/>
                  <w:vMerge w:val="continue"/>
                  <w:noWrap w:val="0"/>
                  <w:vAlign w:val="center"/>
                </w:tcPr>
                <w:p>
                  <w:pPr>
                    <w:pStyle w:val="101"/>
                    <w:jc w:val="center"/>
                    <w:rPr>
                      <w:color w:val="000000" w:themeColor="text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018" w:type="pct"/>
                  <w:noWrap w:val="0"/>
                  <w:vAlign w:val="center"/>
                </w:tcPr>
                <w:p>
                  <w:pPr>
                    <w:pStyle w:val="101"/>
                    <w:jc w:val="center"/>
                    <w:rPr>
                      <w:rFonts w:hint="eastAsia" w:eastAsia="宋体"/>
                      <w:color w:val="000000" w:themeColor="text1"/>
                      <w:highlight w:val="green"/>
                      <w:lang w:eastAsia="zh-CN"/>
                      <w14:textFill>
                        <w14:solidFill>
                          <w14:schemeClr w14:val="tx1"/>
                        </w14:solidFill>
                      </w14:textFill>
                    </w:rPr>
                  </w:pPr>
                  <w:r>
                    <w:rPr>
                      <w:rFonts w:hint="eastAsia"/>
                      <w:color w:val="000000" w:themeColor="text1"/>
                      <w:highlight w:val="green"/>
                      <w:lang w:eastAsia="zh-CN"/>
                      <w14:textFill>
                        <w14:solidFill>
                          <w14:schemeClr w14:val="tx1"/>
                        </w14:solidFill>
                      </w14:textFill>
                    </w:rPr>
                    <w:t>堆场粉尘</w:t>
                  </w:r>
                </w:p>
              </w:tc>
              <w:tc>
                <w:tcPr>
                  <w:tcW w:w="429" w:type="pct"/>
                  <w:noWrap w:val="0"/>
                  <w:vAlign w:val="center"/>
                </w:tcPr>
                <w:p>
                  <w:pPr>
                    <w:pStyle w:val="101"/>
                    <w:jc w:val="center"/>
                    <w:rPr>
                      <w:color w:val="000000" w:themeColor="text1"/>
                      <w:highlight w:val="green"/>
                      <w14:textFill>
                        <w14:solidFill>
                          <w14:schemeClr w14:val="tx1"/>
                        </w14:solidFill>
                      </w14:textFill>
                    </w:rPr>
                  </w:pPr>
                  <w:r>
                    <w:rPr>
                      <w:color w:val="000000" w:themeColor="text1"/>
                      <w:highlight w:val="green"/>
                      <w14:textFill>
                        <w14:solidFill>
                          <w14:schemeClr w14:val="tx1"/>
                        </w14:solidFill>
                      </w14:textFill>
                    </w:rPr>
                    <w:t>堆场</w:t>
                  </w:r>
                </w:p>
              </w:tc>
              <w:tc>
                <w:tcPr>
                  <w:tcW w:w="331" w:type="pct"/>
                  <w:noWrap w:val="0"/>
                  <w:vAlign w:val="center"/>
                </w:tcPr>
                <w:p>
                  <w:pPr>
                    <w:pStyle w:val="101"/>
                    <w:jc w:val="center"/>
                    <w:rPr>
                      <w:color w:val="000000" w:themeColor="text1"/>
                      <w:highlight w:val="green"/>
                      <w14:textFill>
                        <w14:solidFill>
                          <w14:schemeClr w14:val="tx1"/>
                        </w14:solidFill>
                      </w14:textFill>
                    </w:rPr>
                  </w:pPr>
                  <w:r>
                    <w:rPr>
                      <w:color w:val="000000" w:themeColor="text1"/>
                      <w:highlight w:val="green"/>
                      <w14:textFill>
                        <w14:solidFill>
                          <w14:schemeClr w14:val="tx1"/>
                        </w14:solidFill>
                      </w14:textFill>
                    </w:rPr>
                    <w:t>粉尘</w:t>
                  </w:r>
                </w:p>
              </w:tc>
              <w:tc>
                <w:tcPr>
                  <w:tcW w:w="376" w:type="pct"/>
                  <w:noWrap w:val="0"/>
                  <w:vAlign w:val="center"/>
                </w:tcPr>
                <w:p>
                  <w:pPr>
                    <w:pStyle w:val="101"/>
                    <w:jc w:val="center"/>
                    <w:rPr>
                      <w:color w:val="000000" w:themeColor="text1"/>
                      <w:highlight w:val="green"/>
                      <w14:textFill>
                        <w14:solidFill>
                          <w14:schemeClr w14:val="tx1"/>
                        </w14:solidFill>
                      </w14:textFill>
                    </w:rPr>
                  </w:pPr>
                  <w:r>
                    <w:rPr>
                      <w:rFonts w:hint="eastAsia"/>
                      <w:color w:val="000000" w:themeColor="text1"/>
                      <w:highlight w:val="green"/>
                      <w14:textFill>
                        <w14:solidFill>
                          <w14:schemeClr w14:val="tx1"/>
                        </w14:solidFill>
                      </w14:textFill>
                    </w:rPr>
                    <w:t>系数</w:t>
                  </w:r>
                  <w:r>
                    <w:rPr>
                      <w:color w:val="000000" w:themeColor="text1"/>
                      <w:highlight w:val="green"/>
                      <w14:textFill>
                        <w14:solidFill>
                          <w14:schemeClr w14:val="tx1"/>
                        </w14:solidFill>
                      </w14:textFill>
                    </w:rPr>
                    <w:t>法</w:t>
                  </w:r>
                </w:p>
              </w:tc>
              <w:tc>
                <w:tcPr>
                  <w:tcW w:w="500" w:type="pct"/>
                  <w:noWrap w:val="0"/>
                  <w:vAlign w:val="center"/>
                </w:tcPr>
                <w:p>
                  <w:pPr>
                    <w:pStyle w:val="101"/>
                    <w:jc w:val="center"/>
                    <w:rPr>
                      <w:rFonts w:hint="default" w:eastAsia="宋体"/>
                      <w:color w:val="000000" w:themeColor="text1"/>
                      <w:highlight w:val="green"/>
                      <w:lang w:val="en-US" w:eastAsia="zh-CN"/>
                      <w14:textFill>
                        <w14:solidFill>
                          <w14:schemeClr w14:val="tx1"/>
                        </w14:solidFill>
                      </w14:textFill>
                    </w:rPr>
                  </w:pPr>
                  <w:r>
                    <w:rPr>
                      <w:rFonts w:hint="eastAsia"/>
                      <w:color w:val="000000" w:themeColor="text1"/>
                      <w:highlight w:val="green"/>
                      <w:lang w:val="en-US" w:eastAsia="zh-CN"/>
                      <w14:textFill>
                        <w14:solidFill>
                          <w14:schemeClr w14:val="tx1"/>
                        </w14:solidFill>
                      </w14:textFill>
                    </w:rPr>
                    <w:t>67.88</w:t>
                  </w:r>
                </w:p>
              </w:tc>
              <w:tc>
                <w:tcPr>
                  <w:tcW w:w="460" w:type="pct"/>
                  <w:vMerge w:val="restart"/>
                  <w:noWrap w:val="0"/>
                  <w:vAlign w:val="center"/>
                </w:tcPr>
                <w:p>
                  <w:pPr>
                    <w:pStyle w:val="101"/>
                    <w:jc w:val="center"/>
                    <w:rPr>
                      <w:color w:val="000000" w:themeColor="text1"/>
                      <w:highlight w:val="green"/>
                      <w14:textFill>
                        <w14:solidFill>
                          <w14:schemeClr w14:val="tx1"/>
                        </w14:solidFill>
                      </w14:textFill>
                    </w:rPr>
                  </w:pPr>
                  <w:r>
                    <w:rPr>
                      <w:color w:val="000000" w:themeColor="text1"/>
                      <w:highlight w:val="green"/>
                      <w14:textFill>
                        <w14:solidFill>
                          <w14:schemeClr w14:val="tx1"/>
                        </w14:solidFill>
                      </w14:textFill>
                    </w:rPr>
                    <w:t>设置</w:t>
                  </w:r>
                  <w:r>
                    <w:rPr>
                      <w:rFonts w:hint="eastAsia"/>
                      <w:color w:val="000000" w:themeColor="text1"/>
                      <w:highlight w:val="green"/>
                      <w:lang w:eastAsia="zh-CN"/>
                      <w14:textFill>
                        <w14:solidFill>
                          <w14:schemeClr w14:val="tx1"/>
                        </w14:solidFill>
                      </w14:textFill>
                    </w:rPr>
                    <w:t>防风抑尘网</w:t>
                  </w:r>
                  <w:r>
                    <w:rPr>
                      <w:rFonts w:hint="eastAsia"/>
                      <w:color w:val="000000" w:themeColor="text1"/>
                      <w:highlight w:val="green"/>
                      <w:lang w:val="en-US" w:eastAsia="zh-CN"/>
                      <w14:textFill>
                        <w14:solidFill>
                          <w14:schemeClr w14:val="tx1"/>
                        </w14:solidFill>
                      </w14:textFill>
                    </w:rPr>
                    <w:t>+</w:t>
                  </w:r>
                  <w:r>
                    <w:rPr>
                      <w:color w:val="000000" w:themeColor="text1"/>
                      <w:highlight w:val="green"/>
                      <w14:textFill>
                        <w14:solidFill>
                          <w14:schemeClr w14:val="tx1"/>
                        </w14:solidFill>
                      </w14:textFill>
                    </w:rPr>
                    <w:t>洒水抑尘</w:t>
                  </w:r>
                </w:p>
              </w:tc>
              <w:tc>
                <w:tcPr>
                  <w:tcW w:w="509" w:type="pct"/>
                  <w:vMerge w:val="restart"/>
                  <w:noWrap w:val="0"/>
                  <w:vAlign w:val="center"/>
                </w:tcPr>
                <w:p>
                  <w:pPr>
                    <w:pStyle w:val="101"/>
                    <w:jc w:val="center"/>
                    <w:rPr>
                      <w:rFonts w:hint="default"/>
                      <w:color w:val="000000" w:themeColor="text1"/>
                      <w:highlight w:val="green"/>
                      <w:lang w:val="en-US"/>
                      <w14:textFill>
                        <w14:solidFill>
                          <w14:schemeClr w14:val="tx1"/>
                        </w14:solidFill>
                      </w14:textFill>
                    </w:rPr>
                  </w:pPr>
                  <w:r>
                    <w:rPr>
                      <w:rFonts w:hint="eastAsia"/>
                      <w:color w:val="000000" w:themeColor="text1"/>
                      <w:highlight w:val="green"/>
                      <w:lang w:val="en-US" w:eastAsia="zh-CN"/>
                      <w14:textFill>
                        <w14:solidFill>
                          <w14:schemeClr w14:val="tx1"/>
                        </w14:solidFill>
                      </w14:textFill>
                    </w:rPr>
                    <w:t>74%</w:t>
                  </w:r>
                </w:p>
              </w:tc>
              <w:tc>
                <w:tcPr>
                  <w:tcW w:w="388" w:type="pct"/>
                  <w:noWrap w:val="0"/>
                  <w:vAlign w:val="center"/>
                </w:tcPr>
                <w:p>
                  <w:pPr>
                    <w:pStyle w:val="101"/>
                    <w:jc w:val="center"/>
                    <w:rPr>
                      <w:color w:val="000000" w:themeColor="text1"/>
                      <w:highlight w:val="green"/>
                      <w14:textFill>
                        <w14:solidFill>
                          <w14:schemeClr w14:val="tx1"/>
                        </w14:solidFill>
                      </w14:textFill>
                    </w:rPr>
                  </w:pPr>
                  <w:r>
                    <w:rPr>
                      <w:rFonts w:hint="eastAsia"/>
                      <w:color w:val="000000" w:themeColor="text1"/>
                      <w:highlight w:val="green"/>
                      <w14:textFill>
                        <w14:solidFill>
                          <w14:schemeClr w14:val="tx1"/>
                        </w14:solidFill>
                      </w14:textFill>
                    </w:rPr>
                    <w:t>系数</w:t>
                  </w:r>
                  <w:r>
                    <w:rPr>
                      <w:color w:val="000000" w:themeColor="text1"/>
                      <w:highlight w:val="green"/>
                      <w14:textFill>
                        <w14:solidFill>
                          <w14:schemeClr w14:val="tx1"/>
                        </w14:solidFill>
                      </w14:textFill>
                    </w:rPr>
                    <w:t>法</w:t>
                  </w:r>
                </w:p>
              </w:tc>
              <w:tc>
                <w:tcPr>
                  <w:tcW w:w="500" w:type="pct"/>
                  <w:noWrap w:val="0"/>
                  <w:vAlign w:val="center"/>
                </w:tcPr>
                <w:p>
                  <w:pPr>
                    <w:pStyle w:val="101"/>
                    <w:jc w:val="center"/>
                    <w:rPr>
                      <w:rFonts w:hint="default" w:eastAsia="宋体"/>
                      <w:color w:val="000000" w:themeColor="text1"/>
                      <w:highlight w:val="green"/>
                      <w:lang w:val="en-US" w:eastAsia="zh-CN"/>
                      <w14:textFill>
                        <w14:solidFill>
                          <w14:schemeClr w14:val="tx1"/>
                        </w14:solidFill>
                      </w14:textFill>
                    </w:rPr>
                  </w:pPr>
                  <w:r>
                    <w:rPr>
                      <w:rFonts w:hint="eastAsia"/>
                      <w:color w:val="000000" w:themeColor="text1"/>
                      <w:highlight w:val="green"/>
                      <w:lang w:val="en-US" w:eastAsia="zh-CN"/>
                      <w14:textFill>
                        <w14:solidFill>
                          <w14:schemeClr w14:val="tx1"/>
                        </w14:solidFill>
                      </w14:textFill>
                    </w:rPr>
                    <w:t>7.07</w:t>
                  </w:r>
                </w:p>
              </w:tc>
              <w:tc>
                <w:tcPr>
                  <w:tcW w:w="484" w:type="pct"/>
                  <w:noWrap w:val="0"/>
                  <w:vAlign w:val="center"/>
                </w:tcPr>
                <w:p>
                  <w:pPr>
                    <w:pStyle w:val="101"/>
                    <w:jc w:val="center"/>
                    <w:rPr>
                      <w:color w:val="000000" w:themeColor="text1"/>
                      <w:highlight w:val="green"/>
                      <w14:textFill>
                        <w14:solidFill>
                          <w14:schemeClr w14:val="tx1"/>
                        </w14:solidFill>
                      </w14:textFill>
                    </w:rPr>
                  </w:pPr>
                  <w:r>
                    <w:rPr>
                      <w:rFonts w:hint="eastAsia"/>
                      <w:color w:val="000000" w:themeColor="text1"/>
                      <w:highlight w:val="green"/>
                      <w14:textFill>
                        <w14:solidFill>
                          <w14:schemeClr w14:val="tx1"/>
                        </w14:solidFill>
                      </w14:textFill>
                    </w:rPr>
                    <w:t>2</w:t>
                  </w:r>
                  <w:r>
                    <w:rPr>
                      <w:rFonts w:hint="eastAsia"/>
                      <w:color w:val="000000" w:themeColor="text1"/>
                      <w:highlight w:val="green"/>
                      <w:lang w:val="en-US" w:eastAsia="zh-CN"/>
                      <w14:textFill>
                        <w14:solidFill>
                          <w14:schemeClr w14:val="tx1"/>
                        </w14:solidFill>
                      </w14:textFill>
                    </w:rPr>
                    <w:t>80</w:t>
                  </w:r>
                  <w:r>
                    <w:rPr>
                      <w:rFonts w:hint="eastAsia"/>
                      <w:color w:val="000000" w:themeColor="text1"/>
                      <w:highlight w:val="green"/>
                      <w14:textFill>
                        <w14:solidFill>
                          <w14:schemeClr w14:val="tx1"/>
                        </w14:solidFill>
                      </w14:textFill>
                    </w:rPr>
                    <w:t>0</w:t>
                  </w:r>
                  <w:r>
                    <w:rPr>
                      <w:color w:val="000000" w:themeColor="text1"/>
                      <w:highlight w:val="green"/>
                      <w14:textFill>
                        <w14:solidFill>
                          <w14:schemeClr w14:val="tx1"/>
                        </w14:solidFill>
                      </w14:textFill>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18" w:type="pct"/>
                  <w:noWrap w:val="0"/>
                  <w:vAlign w:val="center"/>
                </w:tcPr>
                <w:p>
                  <w:pPr>
                    <w:pStyle w:val="101"/>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成品放置区粉尘</w:t>
                  </w:r>
                </w:p>
              </w:tc>
              <w:tc>
                <w:tcPr>
                  <w:tcW w:w="429" w:type="pct"/>
                  <w:noWrap w:val="0"/>
                  <w:vAlign w:val="center"/>
                </w:tcPr>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堆场</w:t>
                  </w:r>
                </w:p>
              </w:tc>
              <w:tc>
                <w:tcPr>
                  <w:tcW w:w="331" w:type="pct"/>
                  <w:noWrap w:val="0"/>
                  <w:vAlign w:val="center"/>
                </w:tcPr>
                <w:p>
                  <w:pPr>
                    <w:pStyle w:val="101"/>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粉尘</w:t>
                  </w:r>
                </w:p>
              </w:tc>
              <w:tc>
                <w:tcPr>
                  <w:tcW w:w="376" w:type="pct"/>
                  <w:noWrap w:val="0"/>
                  <w:vAlign w:val="center"/>
                </w:tcPr>
                <w:p>
                  <w:pPr>
                    <w:pStyle w:val="101"/>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系数</w:t>
                  </w:r>
                  <w:r>
                    <w:rPr>
                      <w:color w:val="000000" w:themeColor="text1"/>
                      <w:highlight w:val="none"/>
                      <w14:textFill>
                        <w14:solidFill>
                          <w14:schemeClr w14:val="tx1"/>
                        </w14:solidFill>
                      </w14:textFill>
                    </w:rPr>
                    <w:t>法</w:t>
                  </w:r>
                </w:p>
              </w:tc>
              <w:tc>
                <w:tcPr>
                  <w:tcW w:w="500" w:type="pct"/>
                  <w:noWrap w:val="0"/>
                  <w:vAlign w:val="center"/>
                </w:tcPr>
                <w:p>
                  <w:pPr>
                    <w:pStyle w:val="101"/>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95.03</w:t>
                  </w:r>
                </w:p>
              </w:tc>
              <w:tc>
                <w:tcPr>
                  <w:tcW w:w="460" w:type="pct"/>
                  <w:vMerge w:val="continue"/>
                  <w:noWrap w:val="0"/>
                  <w:vAlign w:val="center"/>
                </w:tcPr>
                <w:p>
                  <w:pPr>
                    <w:pStyle w:val="101"/>
                    <w:jc w:val="center"/>
                    <w:rPr>
                      <w:color w:val="000000" w:themeColor="text1"/>
                      <w:highlight w:val="none"/>
                      <w14:textFill>
                        <w14:solidFill>
                          <w14:schemeClr w14:val="tx1"/>
                        </w14:solidFill>
                      </w14:textFill>
                    </w:rPr>
                  </w:pPr>
                </w:p>
              </w:tc>
              <w:tc>
                <w:tcPr>
                  <w:tcW w:w="509" w:type="pct"/>
                  <w:vMerge w:val="continue"/>
                  <w:noWrap w:val="0"/>
                  <w:vAlign w:val="center"/>
                </w:tcPr>
                <w:p>
                  <w:pPr>
                    <w:pStyle w:val="101"/>
                    <w:jc w:val="center"/>
                    <w:rPr>
                      <w:color w:val="000000" w:themeColor="text1"/>
                      <w:highlight w:val="none"/>
                      <w14:textFill>
                        <w14:solidFill>
                          <w14:schemeClr w14:val="tx1"/>
                        </w14:solidFill>
                      </w14:textFill>
                    </w:rPr>
                  </w:pPr>
                </w:p>
              </w:tc>
              <w:tc>
                <w:tcPr>
                  <w:tcW w:w="388" w:type="pct"/>
                  <w:noWrap w:val="0"/>
                  <w:vAlign w:val="center"/>
                </w:tcPr>
                <w:p>
                  <w:pPr>
                    <w:pStyle w:val="101"/>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系数</w:t>
                  </w:r>
                  <w:r>
                    <w:rPr>
                      <w:color w:val="000000" w:themeColor="text1"/>
                      <w:highlight w:val="none"/>
                      <w14:textFill>
                        <w14:solidFill>
                          <w14:schemeClr w14:val="tx1"/>
                        </w14:solidFill>
                      </w14:textFill>
                    </w:rPr>
                    <w:t>法</w:t>
                  </w:r>
                </w:p>
              </w:tc>
              <w:tc>
                <w:tcPr>
                  <w:tcW w:w="500" w:type="pct"/>
                  <w:noWrap w:val="0"/>
                  <w:vAlign w:val="center"/>
                </w:tcPr>
                <w:p>
                  <w:pPr>
                    <w:pStyle w:val="101"/>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9.9</w:t>
                  </w:r>
                </w:p>
              </w:tc>
              <w:tc>
                <w:tcPr>
                  <w:tcW w:w="484" w:type="pct"/>
                  <w:noWrap w:val="0"/>
                  <w:vAlign w:val="center"/>
                </w:tcPr>
                <w:p>
                  <w:pPr>
                    <w:pStyle w:val="101"/>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200</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018" w:type="pct"/>
                  <w:noWrap w:val="0"/>
                  <w:vAlign w:val="center"/>
                </w:tcPr>
                <w:p>
                  <w:pPr>
                    <w:pStyle w:val="101"/>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一次筛分、磨机、二次筛分</w:t>
                  </w:r>
                  <w:r>
                    <w:rPr>
                      <w:rFonts w:hint="eastAsia" w:ascii="Times New Roman" w:hAnsi="Times New Roman" w:eastAsia="宋体" w:cs="Times New Roman"/>
                      <w:color w:val="000000" w:themeColor="text1"/>
                      <w:highlight w:val="none"/>
                      <w:lang w:eastAsia="zh-CN"/>
                      <w14:textFill>
                        <w14:solidFill>
                          <w14:schemeClr w14:val="tx1"/>
                        </w14:solidFill>
                      </w14:textFill>
                    </w:rPr>
                    <w:t>粉尘</w:t>
                  </w:r>
                </w:p>
              </w:tc>
              <w:tc>
                <w:tcPr>
                  <w:tcW w:w="429" w:type="pct"/>
                  <w:noWrap w:val="0"/>
                  <w:vAlign w:val="center"/>
                </w:tcPr>
                <w:p>
                  <w:pPr>
                    <w:pStyle w:val="101"/>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破碎</w:t>
                  </w:r>
                </w:p>
              </w:tc>
              <w:tc>
                <w:tcPr>
                  <w:tcW w:w="331" w:type="pct"/>
                  <w:noWrap w:val="0"/>
                  <w:vAlign w:val="center"/>
                </w:tcPr>
                <w:p>
                  <w:pPr>
                    <w:pStyle w:val="101"/>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粉尘</w:t>
                  </w:r>
                </w:p>
              </w:tc>
              <w:tc>
                <w:tcPr>
                  <w:tcW w:w="376" w:type="pct"/>
                  <w:noWrap w:val="0"/>
                  <w:vAlign w:val="center"/>
                </w:tcPr>
                <w:p>
                  <w:pPr>
                    <w:pStyle w:val="101"/>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系数</w:t>
                  </w:r>
                  <w:r>
                    <w:rPr>
                      <w:color w:val="000000" w:themeColor="text1"/>
                      <w:highlight w:val="none"/>
                      <w14:textFill>
                        <w14:solidFill>
                          <w14:schemeClr w14:val="tx1"/>
                        </w14:solidFill>
                      </w14:textFill>
                    </w:rPr>
                    <w:t>法</w:t>
                  </w:r>
                </w:p>
              </w:tc>
              <w:tc>
                <w:tcPr>
                  <w:tcW w:w="500" w:type="pct"/>
                  <w:noWrap w:val="0"/>
                  <w:vAlign w:val="center"/>
                </w:tcPr>
                <w:p>
                  <w:pPr>
                    <w:pStyle w:val="101"/>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2.84</w:t>
                  </w:r>
                </w:p>
              </w:tc>
              <w:tc>
                <w:tcPr>
                  <w:tcW w:w="460" w:type="pct"/>
                  <w:vMerge w:val="restart"/>
                  <w:noWrap w:val="0"/>
                  <w:vAlign w:val="center"/>
                </w:tcPr>
                <w:p>
                  <w:pPr>
                    <w:pStyle w:val="101"/>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采取</w:t>
                  </w:r>
                  <w:r>
                    <w:rPr>
                      <w:rFonts w:hint="default"/>
                      <w:b w:val="0"/>
                      <w:bCs w:val="0"/>
                      <w:color w:val="000000" w:themeColor="text1"/>
                      <w:sz w:val="21"/>
                      <w:szCs w:val="21"/>
                      <w:highlight w:val="none"/>
                      <w14:textFill>
                        <w14:solidFill>
                          <w14:schemeClr w14:val="tx1"/>
                        </w14:solidFill>
                      </w14:textFill>
                    </w:rPr>
                    <w:t>固定喷淋设施，洒水抑尘</w:t>
                  </w:r>
                </w:p>
              </w:tc>
              <w:tc>
                <w:tcPr>
                  <w:tcW w:w="509" w:type="pct"/>
                  <w:vMerge w:val="restart"/>
                  <w:noWrap w:val="0"/>
                  <w:vAlign w:val="center"/>
                </w:tcPr>
                <w:p>
                  <w:pPr>
                    <w:pStyle w:val="101"/>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80%</w:t>
                  </w:r>
                </w:p>
              </w:tc>
              <w:tc>
                <w:tcPr>
                  <w:tcW w:w="388" w:type="pct"/>
                  <w:noWrap w:val="0"/>
                  <w:vAlign w:val="center"/>
                </w:tcPr>
                <w:p>
                  <w:pPr>
                    <w:pStyle w:val="101"/>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系数</w:t>
                  </w:r>
                  <w:r>
                    <w:rPr>
                      <w:color w:val="000000" w:themeColor="text1"/>
                      <w:highlight w:val="none"/>
                      <w14:textFill>
                        <w14:solidFill>
                          <w14:schemeClr w14:val="tx1"/>
                        </w14:solidFill>
                      </w14:textFill>
                    </w:rPr>
                    <w:t>法</w:t>
                  </w:r>
                </w:p>
              </w:tc>
              <w:tc>
                <w:tcPr>
                  <w:tcW w:w="500" w:type="pct"/>
                  <w:noWrap w:val="0"/>
                  <w:vAlign w:val="center"/>
                </w:tcPr>
                <w:p>
                  <w:pPr>
                    <w:pStyle w:val="101"/>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2.84</w:t>
                  </w:r>
                </w:p>
              </w:tc>
              <w:tc>
                <w:tcPr>
                  <w:tcW w:w="484" w:type="pct"/>
                  <w:noWrap w:val="0"/>
                  <w:vAlign w:val="center"/>
                </w:tcPr>
                <w:p>
                  <w:pPr>
                    <w:pStyle w:val="101"/>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200</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018" w:type="pct"/>
                  <w:noWrap w:val="0"/>
                  <w:vAlign w:val="center"/>
                </w:tcPr>
                <w:p>
                  <w:pPr>
                    <w:pStyle w:val="101"/>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整形及三次筛分</w:t>
                  </w:r>
                  <w:r>
                    <w:rPr>
                      <w:rFonts w:hint="eastAsia" w:ascii="Times New Roman" w:hAnsi="Times New Roman" w:eastAsia="宋体" w:cs="Times New Roman"/>
                      <w:color w:val="000000" w:themeColor="text1"/>
                      <w:highlight w:val="none"/>
                      <w:lang w:eastAsia="zh-CN"/>
                      <w14:textFill>
                        <w14:solidFill>
                          <w14:schemeClr w14:val="tx1"/>
                        </w14:solidFill>
                      </w14:textFill>
                    </w:rPr>
                    <w:t>粉尘</w:t>
                  </w:r>
                </w:p>
              </w:tc>
              <w:tc>
                <w:tcPr>
                  <w:tcW w:w="429" w:type="pct"/>
                  <w:noWrap w:val="0"/>
                  <w:vAlign w:val="center"/>
                </w:tcPr>
                <w:p>
                  <w:pPr>
                    <w:pStyle w:val="101"/>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整形</w:t>
                  </w:r>
                </w:p>
              </w:tc>
              <w:tc>
                <w:tcPr>
                  <w:tcW w:w="331" w:type="pct"/>
                  <w:noWrap w:val="0"/>
                  <w:vAlign w:val="center"/>
                </w:tcPr>
                <w:p>
                  <w:pPr>
                    <w:pStyle w:val="101"/>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粉尘</w:t>
                  </w:r>
                </w:p>
              </w:tc>
              <w:tc>
                <w:tcPr>
                  <w:tcW w:w="376" w:type="pct"/>
                  <w:noWrap w:val="0"/>
                  <w:vAlign w:val="center"/>
                </w:tcPr>
                <w:p>
                  <w:pPr>
                    <w:pStyle w:val="101"/>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系数</w:t>
                  </w:r>
                  <w:r>
                    <w:rPr>
                      <w:color w:val="000000" w:themeColor="text1"/>
                      <w:highlight w:val="none"/>
                      <w14:textFill>
                        <w14:solidFill>
                          <w14:schemeClr w14:val="tx1"/>
                        </w14:solidFill>
                      </w14:textFill>
                    </w:rPr>
                    <w:t>法</w:t>
                  </w:r>
                </w:p>
              </w:tc>
              <w:tc>
                <w:tcPr>
                  <w:tcW w:w="500" w:type="pct"/>
                  <w:noWrap w:val="0"/>
                  <w:vAlign w:val="center"/>
                </w:tcPr>
                <w:p>
                  <w:pPr>
                    <w:pStyle w:val="101"/>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2.84</w:t>
                  </w:r>
                </w:p>
              </w:tc>
              <w:tc>
                <w:tcPr>
                  <w:tcW w:w="460" w:type="pct"/>
                  <w:vMerge w:val="continue"/>
                  <w:noWrap w:val="0"/>
                  <w:vAlign w:val="center"/>
                </w:tcPr>
                <w:p>
                  <w:pPr>
                    <w:pStyle w:val="101"/>
                    <w:jc w:val="center"/>
                    <w:rPr>
                      <w:rFonts w:hint="default"/>
                      <w:b w:val="0"/>
                      <w:bCs w:val="0"/>
                      <w:color w:val="000000" w:themeColor="text1"/>
                      <w:sz w:val="21"/>
                      <w:szCs w:val="21"/>
                      <w:highlight w:val="none"/>
                      <w:lang w:val="en-US" w:eastAsia="zh-CN"/>
                      <w14:textFill>
                        <w14:solidFill>
                          <w14:schemeClr w14:val="tx1"/>
                        </w14:solidFill>
                      </w14:textFill>
                    </w:rPr>
                  </w:pPr>
                </w:p>
              </w:tc>
              <w:tc>
                <w:tcPr>
                  <w:tcW w:w="509" w:type="pct"/>
                  <w:vMerge w:val="continue"/>
                  <w:noWrap w:val="0"/>
                  <w:vAlign w:val="center"/>
                </w:tcPr>
                <w:p>
                  <w:pPr>
                    <w:pStyle w:val="101"/>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388" w:type="pct"/>
                  <w:noWrap w:val="0"/>
                  <w:vAlign w:val="center"/>
                </w:tcPr>
                <w:p>
                  <w:pPr>
                    <w:pStyle w:val="101"/>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系数</w:t>
                  </w:r>
                  <w:r>
                    <w:rPr>
                      <w:color w:val="000000" w:themeColor="text1"/>
                      <w:highlight w:val="none"/>
                      <w14:textFill>
                        <w14:solidFill>
                          <w14:schemeClr w14:val="tx1"/>
                        </w14:solidFill>
                      </w14:textFill>
                    </w:rPr>
                    <w:t>法</w:t>
                  </w:r>
                </w:p>
              </w:tc>
              <w:tc>
                <w:tcPr>
                  <w:tcW w:w="500" w:type="pct"/>
                  <w:noWrap w:val="0"/>
                  <w:vAlign w:val="center"/>
                </w:tcPr>
                <w:p>
                  <w:pPr>
                    <w:pStyle w:val="101"/>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2.84</w:t>
                  </w:r>
                </w:p>
              </w:tc>
              <w:tc>
                <w:tcPr>
                  <w:tcW w:w="484" w:type="pct"/>
                  <w:noWrap w:val="0"/>
                  <w:vAlign w:val="center"/>
                </w:tcPr>
                <w:p>
                  <w:pPr>
                    <w:pStyle w:val="101"/>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200</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10"/>
                  <w:noWrap w:val="0"/>
                  <w:vAlign w:val="center"/>
                </w:tcPr>
                <w:p>
                  <w:pPr>
                    <w:pStyle w:val="101"/>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注：</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破碎</w:t>
                  </w:r>
                  <w:r>
                    <w:rPr>
                      <w:rFonts w:hint="eastAsia"/>
                      <w:color w:val="000000" w:themeColor="text1"/>
                      <w:highlight w:val="none"/>
                      <w:lang w:eastAsia="zh-CN"/>
                      <w14:textFill>
                        <w14:solidFill>
                          <w14:schemeClr w14:val="tx1"/>
                        </w14:solidFill>
                      </w14:textFill>
                    </w:rPr>
                    <w:t>、整形</w:t>
                  </w:r>
                  <w:r>
                    <w:rPr>
                      <w:color w:val="000000" w:themeColor="text1"/>
                      <w:highlight w:val="none"/>
                      <w14:textFill>
                        <w14:solidFill>
                          <w14:schemeClr w14:val="tx1"/>
                        </w14:solidFill>
                      </w14:textFill>
                    </w:rPr>
                    <w:t>粉尘</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筛分粉尘均在生产车间内产生，</w:t>
                  </w:r>
                  <w:r>
                    <w:rPr>
                      <w:rFonts w:hint="default"/>
                      <w:b w:val="0"/>
                      <w:bCs w:val="0"/>
                      <w:color w:val="000000" w:themeColor="text1"/>
                      <w:sz w:val="21"/>
                      <w:szCs w:val="21"/>
                      <w:highlight w:val="none"/>
                      <w:lang w:val="en-US" w:eastAsia="zh-CN"/>
                      <w14:textFill>
                        <w14:solidFill>
                          <w14:schemeClr w14:val="tx1"/>
                        </w14:solidFill>
                      </w14:textFill>
                    </w:rPr>
                    <w:t>采取</w:t>
                  </w:r>
                  <w:r>
                    <w:rPr>
                      <w:rFonts w:hint="default"/>
                      <w:b w:val="0"/>
                      <w:bCs w:val="0"/>
                      <w:color w:val="000000" w:themeColor="text1"/>
                      <w:sz w:val="21"/>
                      <w:szCs w:val="21"/>
                      <w:highlight w:val="none"/>
                      <w14:textFill>
                        <w14:solidFill>
                          <w14:schemeClr w14:val="tx1"/>
                        </w14:solidFill>
                      </w14:textFill>
                    </w:rPr>
                    <w:t>固定喷淋设施，洒水抑尘，抑尘效率80%</w:t>
                  </w:r>
                  <w:r>
                    <w:rPr>
                      <w:color w:val="000000" w:themeColor="text1"/>
                      <w:highlight w:val="none"/>
                      <w14:textFill>
                        <w14:solidFill>
                          <w14:schemeClr w14:val="tx1"/>
                        </w14:solidFill>
                      </w14:textFill>
                    </w:rPr>
                    <w:t>，定时清理，不对外排放</w:t>
                  </w:r>
                </w:p>
              </w:tc>
            </w:tr>
          </w:tbl>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非正常工况分析</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本项目非正常工况为除尘器发生故障，污染物排放控制措施达不到应有效果，事故状态各污染物去除效率按</w:t>
            </w:r>
            <w:r>
              <w:rPr>
                <w:rFonts w:hint="eastAsia" w:cs="Times New Roman"/>
                <w:color w:val="000000" w:themeColor="text1"/>
                <w:sz w:val="24"/>
                <w:szCs w:val="24"/>
                <w:highlight w:val="none"/>
                <w:lang w:val="en-US" w:eastAsia="zh-CN"/>
                <w14:textFill>
                  <w14:solidFill>
                    <w14:schemeClr w14:val="tx1"/>
                  </w14:solidFill>
                </w14:textFill>
              </w:rPr>
              <w:t>90</w:t>
            </w:r>
            <w:r>
              <w:rPr>
                <w:rFonts w:hint="default" w:ascii="Times New Roman" w:hAnsi="Times New Roman" w:eastAsia="宋体" w:cs="Times New Roman"/>
                <w:color w:val="000000" w:themeColor="text1"/>
                <w:sz w:val="24"/>
                <w:szCs w:val="24"/>
                <w:highlight w:val="none"/>
                <w14:textFill>
                  <w14:solidFill>
                    <w14:schemeClr w14:val="tx1"/>
                  </w14:solidFill>
                </w14:textFill>
              </w:rPr>
              <w:t>%计。本项目非正常工况排放量核算表详见表4-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污染源非正常排放量核算表</w:t>
            </w:r>
          </w:p>
          <w:tbl>
            <w:tblPr>
              <w:tblStyle w:val="30"/>
              <w:tblW w:w="4992"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34"/>
              <w:gridCol w:w="951"/>
              <w:gridCol w:w="1160"/>
              <w:gridCol w:w="695"/>
              <w:gridCol w:w="1409"/>
              <w:gridCol w:w="1347"/>
              <w:gridCol w:w="1038"/>
              <w:gridCol w:w="981"/>
              <w:gridCol w:w="74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7" w:hRule="atLeast"/>
              </w:trPr>
              <w:tc>
                <w:tcPr>
                  <w:tcW w:w="248" w:type="pct"/>
                  <w:noWrap w:val="0"/>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序号</w:t>
                  </w:r>
                </w:p>
              </w:tc>
              <w:tc>
                <w:tcPr>
                  <w:tcW w:w="542" w:type="pct"/>
                  <w:noWrap w:val="0"/>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污染源</w:t>
                  </w:r>
                </w:p>
              </w:tc>
              <w:tc>
                <w:tcPr>
                  <w:tcW w:w="661" w:type="pct"/>
                  <w:noWrap w:val="0"/>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非正常排放原因</w:t>
                  </w:r>
                </w:p>
              </w:tc>
              <w:tc>
                <w:tcPr>
                  <w:tcW w:w="396" w:type="pct"/>
                  <w:noWrap w:val="0"/>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污染物</w:t>
                  </w:r>
                </w:p>
              </w:tc>
              <w:tc>
                <w:tcPr>
                  <w:tcW w:w="803" w:type="pct"/>
                  <w:noWrap w:val="0"/>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非正常排放浓度/mg/m</w:t>
                  </w:r>
                  <w:r>
                    <w:rPr>
                      <w:rFonts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768" w:type="pct"/>
                  <w:noWrap w:val="0"/>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非正常排放速率/kg/h</w:t>
                  </w:r>
                </w:p>
              </w:tc>
              <w:tc>
                <w:tcPr>
                  <w:tcW w:w="592" w:type="pct"/>
                  <w:noWrap w:val="0"/>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单次持续时间/h</w:t>
                  </w:r>
                </w:p>
              </w:tc>
              <w:tc>
                <w:tcPr>
                  <w:tcW w:w="559" w:type="pct"/>
                  <w:noWrap w:val="0"/>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年发生频次/次</w:t>
                  </w:r>
                </w:p>
              </w:tc>
              <w:tc>
                <w:tcPr>
                  <w:tcW w:w="426" w:type="pct"/>
                  <w:noWrap w:val="0"/>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应对措施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7" w:hRule="atLeast"/>
              </w:trPr>
              <w:tc>
                <w:tcPr>
                  <w:tcW w:w="248" w:type="pct"/>
                  <w:noWrap w:val="0"/>
                  <w:vAlign w:val="center"/>
                </w:tcPr>
                <w:p>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542" w:type="pct"/>
                  <w:noWrap w:val="0"/>
                  <w:vAlign w:val="center"/>
                </w:tcPr>
                <w:p>
                  <w:pPr>
                    <w:pStyle w:val="101"/>
                    <w:rPr>
                      <w:rFonts w:hint="eastAsia" w:eastAsia="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一次筛分、磨机、二次筛分</w:t>
                  </w:r>
                  <w:r>
                    <w:rPr>
                      <w:rFonts w:hint="eastAsia"/>
                      <w:color w:val="000000" w:themeColor="text1"/>
                      <w:highlight w:val="none"/>
                      <w14:textFill>
                        <w14:solidFill>
                          <w14:schemeClr w14:val="tx1"/>
                        </w14:solidFill>
                      </w14:textFill>
                    </w:rPr>
                    <w:t>排气筒DA00</w:t>
                  </w:r>
                  <w:r>
                    <w:rPr>
                      <w:rFonts w:hint="eastAsia"/>
                      <w:color w:val="000000" w:themeColor="text1"/>
                      <w:highlight w:val="none"/>
                      <w:lang w:val="en-US" w:eastAsia="zh-CN"/>
                      <w14:textFill>
                        <w14:solidFill>
                          <w14:schemeClr w14:val="tx1"/>
                        </w14:solidFill>
                      </w14:textFill>
                    </w:rPr>
                    <w:t>1</w:t>
                  </w:r>
                </w:p>
              </w:tc>
              <w:tc>
                <w:tcPr>
                  <w:tcW w:w="661" w:type="pct"/>
                  <w:noWrap w:val="0"/>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除尘器发生故障</w:t>
                  </w:r>
                </w:p>
              </w:tc>
              <w:tc>
                <w:tcPr>
                  <w:tcW w:w="396" w:type="pct"/>
                  <w:noWrap w:val="0"/>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颗粒物</w:t>
                  </w:r>
                </w:p>
              </w:tc>
              <w:tc>
                <w:tcPr>
                  <w:tcW w:w="80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1275.8</w:t>
                  </w:r>
                </w:p>
              </w:tc>
              <w:tc>
                <w:tcPr>
                  <w:tcW w:w="76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12.76</w:t>
                  </w:r>
                </w:p>
              </w:tc>
              <w:tc>
                <w:tcPr>
                  <w:tcW w:w="592" w:type="pct"/>
                  <w:noWrap w:val="0"/>
                  <w:vAlign w:val="center"/>
                </w:tcPr>
                <w:p>
                  <w:pPr>
                    <w:jc w:val="center"/>
                    <w:rPr>
                      <w:rFonts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0.5</w:t>
                  </w:r>
                </w:p>
              </w:tc>
              <w:tc>
                <w:tcPr>
                  <w:tcW w:w="559" w:type="pct"/>
                  <w:noWrap w:val="0"/>
                  <w:vAlign w:val="center"/>
                </w:tcPr>
                <w:p>
                  <w:pPr>
                    <w:jc w:val="center"/>
                    <w:rPr>
                      <w:rFonts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w:t>
                  </w:r>
                </w:p>
              </w:tc>
              <w:tc>
                <w:tcPr>
                  <w:tcW w:w="426" w:type="pct"/>
                  <w:noWrap w:val="0"/>
                  <w:vAlign w:val="center"/>
                </w:tcPr>
                <w:p>
                  <w:pPr>
                    <w:jc w:val="center"/>
                    <w:rPr>
                      <w:rFonts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停产检修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7" w:hRule="atLeast"/>
              </w:trPr>
              <w:tc>
                <w:tcPr>
                  <w:tcW w:w="248" w:type="pct"/>
                  <w:noWrap w:val="0"/>
                  <w:vAlign w:val="center"/>
                </w:tcPr>
                <w:p>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542" w:type="pct"/>
                  <w:noWrap w:val="0"/>
                  <w:vAlign w:val="center"/>
                </w:tcPr>
                <w:p>
                  <w:pPr>
                    <w:pStyle w:val="101"/>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整形及三次筛分</w:t>
                  </w:r>
                  <w:r>
                    <w:rPr>
                      <w:rFonts w:hint="eastAsia"/>
                      <w:color w:val="000000" w:themeColor="text1"/>
                      <w:highlight w:val="none"/>
                      <w14:textFill>
                        <w14:solidFill>
                          <w14:schemeClr w14:val="tx1"/>
                        </w14:solidFill>
                      </w14:textFill>
                    </w:rPr>
                    <w:t>排气筒DA00</w:t>
                  </w:r>
                  <w:r>
                    <w:rPr>
                      <w:rFonts w:hint="eastAsia"/>
                      <w:color w:val="000000" w:themeColor="text1"/>
                      <w:highlight w:val="none"/>
                      <w:lang w:val="en-US" w:eastAsia="zh-CN"/>
                      <w14:textFill>
                        <w14:solidFill>
                          <w14:schemeClr w14:val="tx1"/>
                        </w14:solidFill>
                      </w14:textFill>
                    </w:rPr>
                    <w:t>2</w:t>
                  </w:r>
                </w:p>
              </w:tc>
              <w:tc>
                <w:tcPr>
                  <w:tcW w:w="661" w:type="pct"/>
                  <w:noWrap w:val="0"/>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除尘器发生故障</w:t>
                  </w:r>
                </w:p>
              </w:tc>
              <w:tc>
                <w:tcPr>
                  <w:tcW w:w="396" w:type="pct"/>
                  <w:noWrap w:val="0"/>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颗粒物</w:t>
                  </w:r>
                </w:p>
              </w:tc>
              <w:tc>
                <w:tcPr>
                  <w:tcW w:w="80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1275.8</w:t>
                  </w:r>
                </w:p>
              </w:tc>
              <w:tc>
                <w:tcPr>
                  <w:tcW w:w="76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12.76</w:t>
                  </w:r>
                </w:p>
              </w:tc>
              <w:tc>
                <w:tcPr>
                  <w:tcW w:w="592" w:type="pct"/>
                  <w:noWrap w:val="0"/>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0.5</w:t>
                  </w:r>
                </w:p>
              </w:tc>
              <w:tc>
                <w:tcPr>
                  <w:tcW w:w="559" w:type="pct"/>
                  <w:noWrap w:val="0"/>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w:t>
                  </w:r>
                </w:p>
              </w:tc>
              <w:tc>
                <w:tcPr>
                  <w:tcW w:w="426" w:type="pct"/>
                  <w:noWrap w:val="0"/>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停产检修</w:t>
                  </w:r>
                </w:p>
              </w:tc>
            </w:tr>
          </w:tbl>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可行性分析</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green"/>
                <w:lang w:val="en-US" w:eastAsia="zh-CN"/>
                <w14:textFill>
                  <w14:solidFill>
                    <w14:schemeClr w14:val="tx1"/>
                  </w14:solidFill>
                </w14:textFill>
              </w:rPr>
              <w:t>参照</w:t>
            </w:r>
            <w:r>
              <w:rPr>
                <w:rFonts w:hint="default" w:ascii="Times New Roman" w:hAnsi="Times New Roman" w:eastAsia="宋体" w:cs="Times New Roman"/>
                <w:color w:val="000000" w:themeColor="text1"/>
                <w:sz w:val="24"/>
                <w:szCs w:val="24"/>
                <w:highlight w:val="green"/>
                <w:lang w:val="en-US" w:eastAsia="zh-CN"/>
                <w14:textFill>
                  <w14:solidFill>
                    <w14:schemeClr w14:val="tx1"/>
                  </w14:solidFill>
                </w14:textFill>
              </w:rPr>
              <w:t>《排污许可证申请与核发技术规范 陶瓷砖瓦工业》（HJ954-2018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，6.2.1废气可行技术中“对于陶瓷砖瓦等生产过程的有组织排放颗粒物，主要采用袋式除尘、电除尘、电袋复合除尘、湿式电除尘等技术，可根据需要采用多级除尘。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cs="Times New Roman"/>
                <w:color w:val="000000" w:themeColor="text1"/>
                <w:sz w:val="24"/>
                <w:szCs w:val="24"/>
                <w:lang w:val="en-US" w:eastAsia="zh-CN"/>
                <w14:textFill>
                  <w14:solidFill>
                    <w14:schemeClr w14:val="tx1"/>
                  </w14:solidFill>
                </w14:textFill>
              </w:rPr>
              <w:t>磨机、整形机及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筛分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工序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产生的废气经集气装置收集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布袋除尘器处理，由15m高排气筒排放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无组织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颗粒物采取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设置固定喷淋设施</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洒水抑尘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露天堆场的物料上加盖苫布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等措施减少颗粒物的排放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大气污染防治措施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为可行技术。</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布袋</w:t>
            </w:r>
            <w:r>
              <w:rPr>
                <w:rFonts w:hint="eastAsia" w:ascii="Times New Roman" w:hAnsi="Times New Roman" w:eastAsia="宋体" w:cs="Times New Roman"/>
                <w:color w:val="000000" w:themeColor="text1"/>
                <w:sz w:val="24"/>
                <w:szCs w:val="24"/>
                <w14:textFill>
                  <w14:solidFill>
                    <w14:schemeClr w14:val="tx1"/>
                  </w14:solidFill>
                </w14:textFill>
              </w:rPr>
              <w:t>除尘器是一种干式滤尘装置。它适用于捕集细小、干燥、非纤维性粉尘。滤袋采用纺织的</w:t>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"https://baike.baidu.com/item/%E6%BB%A4%E5%B8%83/11040667" \t "https://baike.baidu.com/item/%E8%A2%8B%E5%BC%8F%E9%99%A4%E5%B0%98%E5%99%A8/_blank"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滤布</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t>或非纺织的毡制成，利用纤维织物的过滤作用对含尘气体进行过滤，当含尘气体进入袋式除尘器后，颗粒大、比重大的粉尘，由于重力的作用沉降下来，落入灰斗，含有较细小粉尘的气体在通过滤料时，粉尘被阻留，使气体得到净化。</w:t>
            </w:r>
            <w:r>
              <w:rPr>
                <w:rFonts w:hint="eastAsia" w:ascii="Times New Roman" w:hAnsi="Times New Roman" w:eastAsia="宋体" w:cs="Times New Roman"/>
                <w:color w:val="000000" w:themeColor="text1"/>
                <w:sz w:val="24"/>
                <w:szCs w:val="24"/>
                <w14:textFill>
                  <w14:solidFill>
                    <w14:schemeClr w14:val="tx1"/>
                  </w14:solidFill>
                </w14:textFill>
              </w:rPr>
              <w:t>碎石加工粉尘为干性、细小粉尘，适用于布袋除尘器处理，碎石加工行业广泛使用布袋除尘器进行粉尘治理，治理效果稳定。布袋除尘器除尘效率粉尘粒子的气体效率较高，一般可达</w:t>
            </w:r>
            <w:r>
              <w:rPr>
                <w:rFonts w:hint="eastAsia" w:cs="Times New Roman"/>
                <w:color w:val="000000" w:themeColor="text1"/>
                <w:sz w:val="24"/>
                <w:szCs w:val="24"/>
                <w:lang w:eastAsia="zh-CN"/>
                <w14:textFill>
                  <w14:solidFill>
                    <w14:schemeClr w14:val="tx1"/>
                  </w14:solidFill>
                </w14:textFill>
              </w:rPr>
              <w:t>99.7</w:t>
            </w:r>
            <w:r>
              <w:rPr>
                <w:rFonts w:hint="eastAsia" w:ascii="Times New Roman" w:hAnsi="Times New Roman" w:eastAsia="宋体" w:cs="Times New Roman"/>
                <w:color w:val="000000" w:themeColor="text1"/>
                <w:sz w:val="24"/>
                <w:szCs w:val="24"/>
                <w14:textFill>
                  <w14:solidFill>
                    <w14:schemeClr w14:val="tx1"/>
                  </w14:solidFill>
                </w14:textFill>
              </w:rPr>
              <w:t>%，运行稳定可靠，操作、维护简单，因此对于碎石加工粉尘治理可行。</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本项目排气筒周围20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0m范围内，最高建筑物为5m，根据《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大气污染物综合排放标准》（GB 16297-1996）中，排气筒高度应高出周围200m范围内的建筑物5m以上，本项目排气筒（DA001）高度为15m，排气筒（</w:t>
            </w:r>
            <w:r>
              <w:rPr>
                <w:rFonts w:hint="eastAsia" w:cs="Times New Roman"/>
                <w:color w:val="000000" w:themeColor="text1"/>
                <w:sz w:val="24"/>
                <w:szCs w:val="24"/>
                <w:lang w:val="en-US" w:eastAsia="zh-CN"/>
                <w14:textFill>
                  <w14:solidFill>
                    <w14:schemeClr w14:val="tx1"/>
                  </w14:solidFill>
                </w14:textFill>
              </w:rPr>
              <w:t>DA002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）高度为15m</w:t>
            </w:r>
            <w:r>
              <w:rPr>
                <w:rFonts w:hint="eastAsia" w:cs="Times New Roman"/>
                <w:color w:val="000000" w:themeColor="text1"/>
                <w:sz w:val="24"/>
                <w:szCs w:val="24"/>
                <w:lang w:val="en-US" w:eastAsia="zh-CN"/>
                <w14:textFill>
                  <w14:solidFill>
                    <w14:schemeClr w14:val="tx1"/>
                  </w14:solidFill>
                </w14:textFill>
              </w:rPr>
              <w:t>，</w:t>
            </w:r>
            <w:r>
              <w:rPr>
                <w:rFonts w:hint="eastAsia" w:hAnsi="宋体" w:cs="Times New Roman"/>
                <w:color w:val="000000" w:themeColor="text1"/>
                <w:kern w:val="0"/>
                <w:sz w:val="24"/>
                <w:highlight w:val="none"/>
                <w:lang w:val="en-US" w:eastAsia="zh-CN"/>
                <w14:textFill>
                  <w14:solidFill>
                    <w14:schemeClr w14:val="tx1"/>
                  </w14:solidFill>
                </w14:textFill>
              </w:rPr>
              <w:t>本项目有2个排气筒，均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符合《大气污染物综合排放标准》（GB 16297-1996）有关排气筒高度的要求。</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排放口基本情况</w:t>
            </w: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4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排放口基本情况表</w:t>
            </w:r>
          </w:p>
          <w:tbl>
            <w:tblPr>
              <w:tblStyle w:val="30"/>
              <w:tblW w:w="498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42"/>
              <w:gridCol w:w="590"/>
              <w:gridCol w:w="1264"/>
              <w:gridCol w:w="1131"/>
              <w:gridCol w:w="776"/>
              <w:gridCol w:w="1031"/>
              <w:gridCol w:w="660"/>
              <w:gridCol w:w="868"/>
              <w:gridCol w:w="17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0" w:hRule="atLeast"/>
                <w:tblHeader/>
                <w:jc w:val="center"/>
              </w:trPr>
              <w:tc>
                <w:tcPr>
                  <w:tcW w:w="367" w:type="pct"/>
                  <w:vMerge w:val="restar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排放口编号</w:t>
                  </w:r>
                </w:p>
              </w:tc>
              <w:tc>
                <w:tcPr>
                  <w:tcW w:w="337" w:type="pct"/>
                  <w:vMerge w:val="restar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排放口名称</w:t>
                  </w:r>
                </w:p>
              </w:tc>
              <w:tc>
                <w:tcPr>
                  <w:tcW w:w="1368" w:type="pct"/>
                  <w:gridSpan w:val="2"/>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排放口地理坐标</w:t>
                  </w:r>
                </w:p>
              </w:tc>
              <w:tc>
                <w:tcPr>
                  <w:tcW w:w="443" w:type="pct"/>
                  <w:vMerge w:val="restar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排气筒高度（m）</w:t>
                  </w:r>
                </w:p>
              </w:tc>
              <w:tc>
                <w:tcPr>
                  <w:tcW w:w="589" w:type="pct"/>
                  <w:vMerge w:val="restar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排气筒出口内径（m）</w:t>
                  </w:r>
                </w:p>
              </w:tc>
              <w:tc>
                <w:tcPr>
                  <w:tcW w:w="377" w:type="pct"/>
                  <w:vMerge w:val="restar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排气温度（℃）</w:t>
                  </w:r>
                </w:p>
              </w:tc>
              <w:tc>
                <w:tcPr>
                  <w:tcW w:w="496" w:type="pct"/>
                  <w:vMerge w:val="restar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lang w:eastAsia="zh-CN"/>
                      <w14:textFill>
                        <w14:solidFill>
                          <w14:schemeClr w14:val="tx1"/>
                        </w14:solidFill>
                      </w14:textFill>
                    </w:rPr>
                  </w:pPr>
                  <w:r>
                    <w:rPr>
                      <w:rFonts w:hint="default"/>
                      <w:b w:val="0"/>
                      <w:bCs w:val="0"/>
                      <w:color w:val="000000" w:themeColor="text1"/>
                      <w:sz w:val="21"/>
                      <w:szCs w:val="21"/>
                      <w:lang w:eastAsia="zh-CN"/>
                      <w14:textFill>
                        <w14:solidFill>
                          <w14:schemeClr w14:val="tx1"/>
                        </w14:solidFill>
                      </w14:textFill>
                    </w:rPr>
                    <w:t>类型</w:t>
                  </w:r>
                </w:p>
              </w:tc>
              <w:tc>
                <w:tcPr>
                  <w:tcW w:w="1020" w:type="pct"/>
                  <w:vMerge w:val="restar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lang w:eastAsia="zh-CN"/>
                      <w14:textFill>
                        <w14:solidFill>
                          <w14:schemeClr w14:val="tx1"/>
                        </w14:solidFill>
                      </w14:textFill>
                    </w:rPr>
                  </w:pPr>
                  <w:r>
                    <w:rPr>
                      <w:rFonts w:hint="default"/>
                      <w:b w:val="0"/>
                      <w:bCs w:val="0"/>
                      <w:color w:val="000000" w:themeColor="text1"/>
                      <w:sz w:val="21"/>
                      <w:szCs w:val="21"/>
                      <w:lang w:eastAsia="zh-CN"/>
                      <w14:textFill>
                        <w14:solidFill>
                          <w14:schemeClr w14:val="tx1"/>
                        </w14:solidFill>
                      </w14:textFill>
                    </w:rPr>
                    <w:t>执行标准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tblHeader/>
                <w:jc w:val="center"/>
              </w:trPr>
              <w:tc>
                <w:tcPr>
                  <w:tcW w:w="367" w:type="pct"/>
                  <w:vMerge w:val="continue"/>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14:textFill>
                        <w14:solidFill>
                          <w14:schemeClr w14:val="tx1"/>
                        </w14:solidFill>
                      </w14:textFill>
                    </w:rPr>
                  </w:pPr>
                </w:p>
              </w:tc>
              <w:tc>
                <w:tcPr>
                  <w:tcW w:w="337" w:type="pct"/>
                  <w:vMerge w:val="continue"/>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14:textFill>
                        <w14:solidFill>
                          <w14:schemeClr w14:val="tx1"/>
                        </w14:solidFill>
                      </w14:textFill>
                    </w:rPr>
                  </w:pPr>
                </w:p>
              </w:tc>
              <w:tc>
                <w:tcPr>
                  <w:tcW w:w="722" w:type="pc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经度</w:t>
                  </w:r>
                </w:p>
              </w:tc>
              <w:tc>
                <w:tcPr>
                  <w:tcW w:w="645" w:type="pc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纬度</w:t>
                  </w:r>
                </w:p>
              </w:tc>
              <w:tc>
                <w:tcPr>
                  <w:tcW w:w="443" w:type="pct"/>
                  <w:vMerge w:val="continue"/>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14:textFill>
                        <w14:solidFill>
                          <w14:schemeClr w14:val="tx1"/>
                        </w14:solidFill>
                      </w14:textFill>
                    </w:rPr>
                  </w:pPr>
                </w:p>
              </w:tc>
              <w:tc>
                <w:tcPr>
                  <w:tcW w:w="589" w:type="pct"/>
                  <w:vMerge w:val="continue"/>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14:textFill>
                        <w14:solidFill>
                          <w14:schemeClr w14:val="tx1"/>
                        </w14:solidFill>
                      </w14:textFill>
                    </w:rPr>
                  </w:pPr>
                </w:p>
              </w:tc>
              <w:tc>
                <w:tcPr>
                  <w:tcW w:w="377" w:type="pct"/>
                  <w:vMerge w:val="continue"/>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14:textFill>
                        <w14:solidFill>
                          <w14:schemeClr w14:val="tx1"/>
                        </w14:solidFill>
                      </w14:textFill>
                    </w:rPr>
                  </w:pPr>
                </w:p>
              </w:tc>
              <w:tc>
                <w:tcPr>
                  <w:tcW w:w="496" w:type="pct"/>
                  <w:vMerge w:val="continue"/>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14:textFill>
                        <w14:solidFill>
                          <w14:schemeClr w14:val="tx1"/>
                        </w14:solidFill>
                      </w14:textFill>
                    </w:rPr>
                  </w:pPr>
                </w:p>
              </w:tc>
              <w:tc>
                <w:tcPr>
                  <w:tcW w:w="1020" w:type="pct"/>
                  <w:vMerge w:val="continue"/>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tblHeader/>
                <w:jc w:val="center"/>
              </w:trPr>
              <w:tc>
                <w:tcPr>
                  <w:tcW w:w="367" w:type="pc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highlight w:val="none"/>
                      <w:lang w:val="en-US" w:eastAsia="zh-CN"/>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DA001</w:t>
                  </w:r>
                </w:p>
              </w:tc>
              <w:tc>
                <w:tcPr>
                  <w:tcW w:w="337" w:type="pc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highlight w:val="none"/>
                      <w:lang w:val="en-US" w:eastAsia="zh-CN"/>
                      <w14:textFill>
                        <w14:solidFill>
                          <w14:schemeClr w14:val="tx1"/>
                        </w14:solidFill>
                      </w14:textFill>
                    </w:rPr>
                  </w:pPr>
                  <w:r>
                    <w:rPr>
                      <w:rFonts w:hint="default"/>
                      <w:b w:val="0"/>
                      <w:bCs w:val="0"/>
                      <w:color w:val="000000" w:themeColor="text1"/>
                      <w:sz w:val="21"/>
                      <w:szCs w:val="21"/>
                      <w:highlight w:val="none"/>
                      <w:lang w:eastAsia="zh-CN"/>
                      <w14:textFill>
                        <w14:solidFill>
                          <w14:schemeClr w14:val="tx1"/>
                        </w14:solidFill>
                      </w14:textFill>
                    </w:rPr>
                    <w:t>排气筒</w:t>
                  </w:r>
                  <w:r>
                    <w:rPr>
                      <w:rFonts w:hint="eastAsia"/>
                      <w:b w:val="0"/>
                      <w:bCs w:val="0"/>
                      <w:color w:val="000000" w:themeColor="text1"/>
                      <w:sz w:val="21"/>
                      <w:szCs w:val="21"/>
                      <w:highlight w:val="none"/>
                      <w:lang w:val="en-US" w:eastAsia="zh-CN"/>
                      <w14:textFill>
                        <w14:solidFill>
                          <w14:schemeClr w14:val="tx1"/>
                        </w14:solidFill>
                      </w14:textFill>
                    </w:rPr>
                    <w:t>1</w:t>
                  </w:r>
                </w:p>
              </w:tc>
              <w:tc>
                <w:tcPr>
                  <w:tcW w:w="722" w:type="pct"/>
                  <w:tcBorders>
                    <w:tl2br w:val="nil"/>
                    <w:tr2bl w:val="nil"/>
                  </w:tcBorders>
                  <w:noWrap w:val="0"/>
                  <w:vAlign w:val="center"/>
                </w:tcPr>
                <w:p>
                  <w:pPr>
                    <w:keepNext w:val="0"/>
                    <w:keepLines w:val="0"/>
                    <w:pageBreakBefore w:val="0"/>
                    <w:kinsoku/>
                    <w:wordWrap/>
                    <w:overflowPunct/>
                    <w:topLinePunct w:val="0"/>
                    <w:bidi w:val="0"/>
                    <w:ind w:right="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127.403297</w:t>
                  </w:r>
                </w:p>
              </w:tc>
              <w:tc>
                <w:tcPr>
                  <w:tcW w:w="645" w:type="pct"/>
                  <w:tcBorders>
                    <w:tl2br w:val="nil"/>
                    <w:tr2bl w:val="nil"/>
                  </w:tcBorders>
                  <w:noWrap w:val="0"/>
                  <w:vAlign w:val="center"/>
                </w:tcPr>
                <w:p>
                  <w:pPr>
                    <w:keepNext w:val="0"/>
                    <w:keepLines w:val="0"/>
                    <w:pageBreakBefore w:val="0"/>
                    <w:kinsoku/>
                    <w:wordWrap/>
                    <w:overflowPunct/>
                    <w:topLinePunct w:val="0"/>
                    <w:bidi w:val="0"/>
                    <w:ind w:right="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47.043957</w:t>
                  </w:r>
                </w:p>
              </w:tc>
              <w:tc>
                <w:tcPr>
                  <w:tcW w:w="443" w:type="pc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15</w:t>
                  </w:r>
                </w:p>
              </w:tc>
              <w:tc>
                <w:tcPr>
                  <w:tcW w:w="589" w:type="pc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0.3</w:t>
                  </w:r>
                </w:p>
              </w:tc>
              <w:tc>
                <w:tcPr>
                  <w:tcW w:w="377" w:type="pc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20</w:t>
                  </w:r>
                </w:p>
              </w:tc>
              <w:tc>
                <w:tcPr>
                  <w:tcW w:w="496" w:type="pc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eastAsia="zh-CN"/>
                      <w14:textFill>
                        <w14:solidFill>
                          <w14:schemeClr w14:val="tx1"/>
                        </w14:solidFill>
                      </w14:textFill>
                    </w:rPr>
                    <w:t>一般排放口</w:t>
                  </w:r>
                </w:p>
              </w:tc>
              <w:tc>
                <w:tcPr>
                  <w:tcW w:w="1020" w:type="pct"/>
                  <w:vMerge w:val="restar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14:textFill>
                        <w14:solidFill>
                          <w14:schemeClr w14:val="tx1"/>
                        </w14:solidFill>
                      </w14:textFill>
                    </w:rPr>
                    <w:t>《大气污染物综合排放标准》（GB16297-1996）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tblHeader/>
                <w:jc w:val="center"/>
              </w:trPr>
              <w:tc>
                <w:tcPr>
                  <w:tcW w:w="367" w:type="pct"/>
                  <w:tcBorders>
                    <w:tl2br w:val="nil"/>
                    <w:tr2bl w:val="nil"/>
                  </w:tcBorders>
                  <w:noWrap w:val="0"/>
                  <w:vAlign w:val="center"/>
                </w:tcPr>
                <w:p>
                  <w:pPr>
                    <w:keepNext w:val="0"/>
                    <w:keepLines w:val="0"/>
                    <w:pageBreakBefore w:val="0"/>
                    <w:kinsoku/>
                    <w:wordWrap/>
                    <w:overflowPunct/>
                    <w:topLinePunct w:val="0"/>
                    <w:bidi w:val="0"/>
                    <w:ind w:right="0" w:right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DA002</w:t>
                  </w:r>
                </w:p>
              </w:tc>
              <w:tc>
                <w:tcPr>
                  <w:tcW w:w="337" w:type="pct"/>
                  <w:tcBorders>
                    <w:tl2br w:val="nil"/>
                    <w:tr2bl w:val="nil"/>
                  </w:tcBorders>
                  <w:noWrap w:val="0"/>
                  <w:vAlign w:val="center"/>
                </w:tcPr>
                <w:p>
                  <w:pPr>
                    <w:keepNext w:val="0"/>
                    <w:keepLines w:val="0"/>
                    <w:pageBreakBefore w:val="0"/>
                    <w:kinsoku/>
                    <w:wordWrap/>
                    <w:overflowPunct/>
                    <w:topLinePunct w:val="0"/>
                    <w:bidi w:val="0"/>
                    <w:ind w:right="0" w:right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b w:val="0"/>
                      <w:bCs w:val="0"/>
                      <w:color w:val="000000" w:themeColor="text1"/>
                      <w:sz w:val="21"/>
                      <w:szCs w:val="21"/>
                      <w:highlight w:val="none"/>
                      <w:lang w:eastAsia="zh-CN"/>
                      <w14:textFill>
                        <w14:solidFill>
                          <w14:schemeClr w14:val="tx1"/>
                        </w14:solidFill>
                      </w14:textFill>
                    </w:rPr>
                    <w:t>排气筒</w:t>
                  </w:r>
                  <w:r>
                    <w:rPr>
                      <w:rFonts w:hint="eastAsia"/>
                      <w:b w:val="0"/>
                      <w:bCs w:val="0"/>
                      <w:color w:val="000000" w:themeColor="text1"/>
                      <w:sz w:val="21"/>
                      <w:szCs w:val="21"/>
                      <w:highlight w:val="none"/>
                      <w:lang w:val="en-US" w:eastAsia="zh-CN"/>
                      <w14:textFill>
                        <w14:solidFill>
                          <w14:schemeClr w14:val="tx1"/>
                        </w14:solidFill>
                      </w14:textFill>
                    </w:rPr>
                    <w:t>2</w:t>
                  </w:r>
                </w:p>
              </w:tc>
              <w:tc>
                <w:tcPr>
                  <w:tcW w:w="722" w:type="pct"/>
                  <w:tcBorders>
                    <w:tl2br w:val="nil"/>
                    <w:tr2bl w:val="nil"/>
                  </w:tcBorders>
                  <w:noWrap w:val="0"/>
                  <w:vAlign w:val="center"/>
                </w:tcPr>
                <w:p>
                  <w:pPr>
                    <w:keepNext w:val="0"/>
                    <w:keepLines w:val="0"/>
                    <w:pageBreakBefore w:val="0"/>
                    <w:kinsoku/>
                    <w:wordWrap/>
                    <w:overflowPunct/>
                    <w:topLinePunct w:val="0"/>
                    <w:bidi w:val="0"/>
                    <w:ind w:right="0" w:right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127.403416</w:t>
                  </w:r>
                </w:p>
              </w:tc>
              <w:tc>
                <w:tcPr>
                  <w:tcW w:w="645" w:type="pct"/>
                  <w:tcBorders>
                    <w:tl2br w:val="nil"/>
                    <w:tr2bl w:val="nil"/>
                  </w:tcBorders>
                  <w:noWrap w:val="0"/>
                  <w:vAlign w:val="center"/>
                </w:tcPr>
                <w:p>
                  <w:pPr>
                    <w:keepNext w:val="0"/>
                    <w:keepLines w:val="0"/>
                    <w:pageBreakBefore w:val="0"/>
                    <w:kinsoku/>
                    <w:wordWrap/>
                    <w:overflowPunct/>
                    <w:topLinePunct w:val="0"/>
                    <w:bidi w:val="0"/>
                    <w:ind w:right="0" w:right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47.043233</w:t>
                  </w:r>
                </w:p>
              </w:tc>
              <w:tc>
                <w:tcPr>
                  <w:tcW w:w="443" w:type="pct"/>
                  <w:tcBorders>
                    <w:tl2br w:val="nil"/>
                    <w:tr2bl w:val="nil"/>
                  </w:tcBorders>
                  <w:noWrap w:val="0"/>
                  <w:vAlign w:val="center"/>
                </w:tcPr>
                <w:p>
                  <w:pPr>
                    <w:keepNext w:val="0"/>
                    <w:keepLines w:val="0"/>
                    <w:pageBreakBefore w:val="0"/>
                    <w:kinsoku/>
                    <w:wordWrap/>
                    <w:overflowPunct/>
                    <w:topLinePunct w:val="0"/>
                    <w:bidi w:val="0"/>
                    <w:ind w:right="0" w:right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15</w:t>
                  </w:r>
                </w:p>
              </w:tc>
              <w:tc>
                <w:tcPr>
                  <w:tcW w:w="589" w:type="pct"/>
                  <w:tcBorders>
                    <w:tl2br w:val="nil"/>
                    <w:tr2bl w:val="nil"/>
                  </w:tcBorders>
                  <w:noWrap w:val="0"/>
                  <w:vAlign w:val="center"/>
                </w:tcPr>
                <w:p>
                  <w:pPr>
                    <w:keepNext w:val="0"/>
                    <w:keepLines w:val="0"/>
                    <w:pageBreakBefore w:val="0"/>
                    <w:kinsoku/>
                    <w:wordWrap/>
                    <w:overflowPunct/>
                    <w:topLinePunct w:val="0"/>
                    <w:bidi w:val="0"/>
                    <w:ind w:right="0" w:rightChars="0"/>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0.3</w:t>
                  </w:r>
                </w:p>
              </w:tc>
              <w:tc>
                <w:tcPr>
                  <w:tcW w:w="377" w:type="pct"/>
                  <w:tcBorders>
                    <w:tl2br w:val="nil"/>
                    <w:tr2bl w:val="nil"/>
                  </w:tcBorders>
                  <w:noWrap w:val="0"/>
                  <w:vAlign w:val="center"/>
                </w:tcPr>
                <w:p>
                  <w:pPr>
                    <w:keepNext w:val="0"/>
                    <w:keepLines w:val="0"/>
                    <w:pageBreakBefore w:val="0"/>
                    <w:kinsoku/>
                    <w:wordWrap/>
                    <w:overflowPunct/>
                    <w:topLinePunct w:val="0"/>
                    <w:bidi w:val="0"/>
                    <w:ind w:right="0" w:right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20</w:t>
                  </w:r>
                </w:p>
              </w:tc>
              <w:tc>
                <w:tcPr>
                  <w:tcW w:w="496" w:type="pct"/>
                  <w:tcBorders>
                    <w:tl2br w:val="nil"/>
                    <w:tr2bl w:val="nil"/>
                  </w:tcBorders>
                  <w:noWrap w:val="0"/>
                  <w:vAlign w:val="center"/>
                </w:tcPr>
                <w:p>
                  <w:pPr>
                    <w:keepNext w:val="0"/>
                    <w:keepLines w:val="0"/>
                    <w:pageBreakBefore w:val="0"/>
                    <w:kinsoku/>
                    <w:wordWrap/>
                    <w:overflowPunct/>
                    <w:topLinePunct w:val="0"/>
                    <w:bidi w:val="0"/>
                    <w:ind w:right="0" w:right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b w:val="0"/>
                      <w:bCs w:val="0"/>
                      <w:color w:val="000000" w:themeColor="text1"/>
                      <w:sz w:val="21"/>
                      <w:szCs w:val="21"/>
                      <w:lang w:eastAsia="zh-CN"/>
                      <w14:textFill>
                        <w14:solidFill>
                          <w14:schemeClr w14:val="tx1"/>
                        </w14:solidFill>
                      </w14:textFill>
                    </w:rPr>
                    <w:t>一般排放口</w:t>
                  </w:r>
                </w:p>
              </w:tc>
              <w:tc>
                <w:tcPr>
                  <w:tcW w:w="1020" w:type="pct"/>
                  <w:vMerge w:val="continue"/>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1.</w:t>
            </w:r>
            <w:r>
              <w:rPr>
                <w:rFonts w:hint="eastAsia"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szCs w:val="24"/>
                <w14:textFill>
                  <w14:solidFill>
                    <w14:schemeClr w14:val="tx1"/>
                  </w14:solidFill>
                </w14:textFill>
              </w:rPr>
              <w:t>监测</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计划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根据《排污单位自行监测技术指南 总则》（HJ819-2017），废气监测要求详见</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下表</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5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监测要求</w:t>
            </w:r>
          </w:p>
          <w:tbl>
            <w:tblPr>
              <w:tblStyle w:val="30"/>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1616"/>
              <w:gridCol w:w="1420"/>
              <w:gridCol w:w="1462"/>
              <w:gridCol w:w="2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监测类别</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监测点位</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监测因子</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监测频次</w:t>
                  </w:r>
                </w:p>
              </w:tc>
              <w:tc>
                <w:tcPr>
                  <w:tcW w:w="16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0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有组织废气</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14:textFill>
                        <w14:solidFill>
                          <w14:schemeClr w14:val="tx1"/>
                        </w14:solidFill>
                      </w14:textFill>
                    </w:rPr>
                    <w:t>DA001排气筒</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颗粒物</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1次/年</w:t>
                  </w:r>
                </w:p>
              </w:tc>
              <w:tc>
                <w:tcPr>
                  <w:tcW w:w="162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14:textFill>
                        <w14:solidFill>
                          <w14:schemeClr w14:val="tx1"/>
                        </w14:solidFill>
                      </w14:textFill>
                    </w:rPr>
                    <w:t>《大气污染物综合排放标准》（GB16297-1996）表2</w:t>
                  </w:r>
                  <w:r>
                    <w:rPr>
                      <w:rFonts w:hint="default"/>
                      <w:b w:val="0"/>
                      <w:bCs w:val="0"/>
                      <w:color w:val="000000" w:themeColor="text1"/>
                      <w:sz w:val="21"/>
                      <w:szCs w:val="21"/>
                      <w:lang w:val="en-US" w:eastAsia="zh-CN"/>
                      <w14:textFill>
                        <w14:solidFill>
                          <w14:schemeClr w14:val="tx1"/>
                        </w14:solidFill>
                      </w14:textFill>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0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lang w:val="en-US" w:eastAsia="zh-CN"/>
                      <w14:textFill>
                        <w14:solidFill>
                          <w14:schemeClr w14:val="tx1"/>
                        </w14:solidFill>
                      </w14:textFill>
                    </w:rPr>
                  </w:pP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 w:val="21"/>
                      <w:szCs w:val="21"/>
                      <w:lang w:eastAsia="zh-CN"/>
                      <w14:textFill>
                        <w14:solidFill>
                          <w14:schemeClr w14:val="tx1"/>
                        </w14:solidFill>
                      </w14:textFill>
                    </w:rPr>
                    <w:t>DA002</w:t>
                  </w:r>
                  <w:r>
                    <w:rPr>
                      <w:rFonts w:hint="default"/>
                      <w:b w:val="0"/>
                      <w:bCs w:val="0"/>
                      <w:color w:val="000000" w:themeColor="text1"/>
                      <w:sz w:val="21"/>
                      <w:szCs w:val="21"/>
                      <w14:textFill>
                        <w14:solidFill>
                          <w14:schemeClr w14:val="tx1"/>
                        </w14:solidFill>
                      </w14:textFill>
                    </w:rPr>
                    <w:t>排气筒</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b w:val="0"/>
                      <w:bCs w:val="0"/>
                      <w:color w:val="000000" w:themeColor="text1"/>
                      <w:sz w:val="21"/>
                      <w:szCs w:val="21"/>
                      <w14:textFill>
                        <w14:solidFill>
                          <w14:schemeClr w14:val="tx1"/>
                        </w14:solidFill>
                      </w14:textFill>
                    </w:rPr>
                    <w:t>颗粒物</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b w:val="0"/>
                      <w:bCs w:val="0"/>
                      <w:color w:val="000000" w:themeColor="text1"/>
                      <w:sz w:val="21"/>
                      <w:szCs w:val="21"/>
                      <w14:textFill>
                        <w14:solidFill>
                          <w14:schemeClr w14:val="tx1"/>
                        </w14:solidFill>
                      </w14:textFill>
                    </w:rPr>
                    <w:t>1次/年</w:t>
                  </w:r>
                </w:p>
              </w:tc>
              <w:tc>
                <w:tcPr>
                  <w:tcW w:w="16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无组织废气</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14:textFill>
                        <w14:solidFill>
                          <w14:schemeClr w14:val="tx1"/>
                        </w14:solidFill>
                      </w14:textFill>
                    </w:rPr>
                    <w:t>厂界</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14:textFill>
                        <w14:solidFill>
                          <w14:schemeClr w14:val="tx1"/>
                        </w14:solidFill>
                      </w14:textFill>
                    </w:rPr>
                    <w:t>颗粒物</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1次/年</w:t>
                  </w:r>
                </w:p>
              </w:tc>
              <w:tc>
                <w:tcPr>
                  <w:tcW w:w="16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b w:val="0"/>
                      <w:bCs w:val="0"/>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1.</w:t>
            </w:r>
            <w:r>
              <w:rPr>
                <w:rFonts w:hint="eastAsia" w:cs="Times New Roman"/>
                <w:b w:val="0"/>
                <w:bCs w:val="0"/>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环境影响分析</w:t>
            </w:r>
          </w:p>
          <w:p>
            <w:pPr>
              <w:pStyle w:val="103"/>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auto"/>
                <w:kern w:val="0"/>
                <w:sz w:val="24"/>
                <w:szCs w:val="24"/>
                <w:highlight w:val="none"/>
                <w:lang w:val="en-US" w:eastAsia="zh-CN" w:bidi="ar-SA"/>
              </w:rPr>
              <w:t>绥化市</w:t>
            </w:r>
            <w:r>
              <w:rPr>
                <w:rFonts w:hint="eastAsia" w:ascii="Times New Roman" w:hAnsi="Times New Roman" w:eastAsia="宋体" w:cs="Times New Roman"/>
                <w:b w:val="0"/>
                <w:bCs/>
                <w:color w:val="auto"/>
                <w:kern w:val="0"/>
                <w:sz w:val="24"/>
                <w:szCs w:val="24"/>
                <w:highlight w:val="none"/>
                <w:lang w:val="en-US" w:eastAsia="zh-CN" w:bidi="ar-SA"/>
              </w:rPr>
              <w:t>基本大气污染物</w:t>
            </w:r>
            <w:r>
              <w:rPr>
                <w:rFonts w:hint="default" w:ascii="Times New Roman" w:hAnsi="Times New Roman" w:eastAsia="宋体" w:cs="Times New Roman"/>
                <w:b w:val="0"/>
                <w:bCs/>
                <w:color w:val="auto"/>
                <w:kern w:val="0"/>
                <w:sz w:val="24"/>
                <w:szCs w:val="24"/>
                <w:highlight w:val="none"/>
                <w:lang w:val="en-US" w:eastAsia="zh-CN" w:bidi="ar-SA"/>
              </w:rPr>
              <w:t>满足《环境空气质量标准》（GB3095-2012）及修改单中二级限值要求</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项目生产产生的废气对环境空气会产生一定的影响，本项目拟采用的污染防治措施、经处理后的污染物排放浓度与排放速率均符合标准要求，对环境的影响降到了最低，对环境质量影响不大；本项目为碎石加工项目，原料外购，</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成分</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上没有有毒有害物质，产生的废气经处理后，排放的污染物对周边农田影响不大。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废水</w:t>
            </w:r>
          </w:p>
          <w:p>
            <w:pPr>
              <w:pStyle w:val="104"/>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本项目产生的废水主要为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生活污水。</w:t>
            </w:r>
          </w:p>
          <w:p>
            <w:pPr>
              <w:pStyle w:val="104"/>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本项目职工人数12人，根据《黑龙江省地方标准 用水定额》（DB23/T727-2021）U983，项目职工用水量按80L/人·d计，职工年工作时间200d计，则生活用水量为0.96m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/d（192m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/a）。生活污水排水量为用水量的80%，0.768m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/d（153.6m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/a），排入防渗旱厕。抑尘用水全部蒸发，不外排。</w:t>
            </w: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表4-6</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废水源强核算表</w:t>
            </w:r>
          </w:p>
          <w:tbl>
            <w:tblPr>
              <w:tblStyle w:val="95"/>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41"/>
              <w:gridCol w:w="326"/>
              <w:gridCol w:w="452"/>
              <w:gridCol w:w="631"/>
              <w:gridCol w:w="441"/>
              <w:gridCol w:w="646"/>
              <w:gridCol w:w="745"/>
              <w:gridCol w:w="665"/>
              <w:gridCol w:w="511"/>
              <w:gridCol w:w="603"/>
              <w:gridCol w:w="407"/>
              <w:gridCol w:w="530"/>
              <w:gridCol w:w="590"/>
              <w:gridCol w:w="745"/>
              <w:gridCol w:w="623"/>
              <w:gridCol w:w="51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19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工序/生产线</w:t>
                  </w:r>
                </w:p>
              </w:tc>
              <w:tc>
                <w:tcPr>
                  <w:tcW w:w="18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装置</w:t>
                  </w:r>
                </w:p>
              </w:tc>
              <w:tc>
                <w:tcPr>
                  <w:tcW w:w="26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污染源</w:t>
                  </w:r>
                </w:p>
              </w:tc>
              <w:tc>
                <w:tcPr>
                  <w:tcW w:w="36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污染物</w:t>
                  </w:r>
                </w:p>
              </w:tc>
              <w:tc>
                <w:tcPr>
                  <w:tcW w:w="1418"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污染物产生</w:t>
                  </w:r>
                </w:p>
              </w:tc>
              <w:tc>
                <w:tcPr>
                  <w:tcW w:w="86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治理措施</w:t>
                  </w:r>
                </w:p>
              </w:tc>
              <w:tc>
                <w:tcPr>
                  <w:tcW w:w="141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污染物排放</w:t>
                  </w:r>
                </w:p>
              </w:tc>
              <w:tc>
                <w:tcPr>
                  <w:tcW w:w="294" w:type="pct"/>
                  <w:vMerge w:val="restart"/>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排放时间/h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61" w:hRule="atLeast"/>
                <w:jc w:val="center"/>
              </w:trPr>
              <w:tc>
                <w:tcPr>
                  <w:tcW w:w="19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p>
              </w:tc>
              <w:tc>
                <w:tcPr>
                  <w:tcW w:w="18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p>
              </w:tc>
              <w:tc>
                <w:tcPr>
                  <w:tcW w:w="26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p>
              </w:tc>
              <w:tc>
                <w:tcPr>
                  <w:tcW w:w="36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p>
              </w:tc>
              <w:tc>
                <w:tcPr>
                  <w:tcW w:w="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核算方法</w:t>
                  </w:r>
                </w:p>
              </w:tc>
              <w:tc>
                <w:tcPr>
                  <w:tcW w:w="3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废水产生量（t/a）</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产生浓度（mg/L)</w:t>
                  </w:r>
                </w:p>
              </w:tc>
              <w:tc>
                <w:tcPr>
                  <w:tcW w:w="3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产生量（t/a)</w:t>
                  </w:r>
                </w:p>
              </w:tc>
              <w:tc>
                <w:tcPr>
                  <w:tcW w:w="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工艺</w:t>
                  </w:r>
                </w:p>
              </w:tc>
              <w:tc>
                <w:tcPr>
                  <w:tcW w:w="332" w:type="pct"/>
                  <w:tcBorders>
                    <w:right w:val="single" w:color="000000" w:sz="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效率（%）</w:t>
                  </w:r>
                </w:p>
              </w:tc>
              <w:tc>
                <w:tcPr>
                  <w:tcW w:w="233" w:type="pct"/>
                  <w:tcBorders>
                    <w:left w:val="single" w:color="000000" w:sz="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是否为可行技术</w:t>
                  </w:r>
                </w:p>
              </w:tc>
              <w:tc>
                <w:tcPr>
                  <w:tcW w:w="3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排放方式</w:t>
                  </w:r>
                </w:p>
              </w:tc>
              <w:tc>
                <w:tcPr>
                  <w:tcW w:w="3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废水排放量（t/a)</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排放浓度（mg/L)</w:t>
                  </w:r>
                </w:p>
              </w:tc>
              <w:tc>
                <w:tcPr>
                  <w:tcW w:w="3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排放量（t/a)</w:t>
                  </w:r>
                </w:p>
              </w:tc>
              <w:tc>
                <w:tcPr>
                  <w:tcW w:w="294"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98" w:type="pct"/>
                  <w:vMerge w:val="restart"/>
                  <w:tcBorders>
                    <w:tl2br w:val="nil"/>
                    <w:tr2bl w:val="nil"/>
                  </w:tcBorders>
                  <w:vAlign w:val="center"/>
                </w:tcPr>
                <w:p>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生活污水</w:t>
                  </w:r>
                </w:p>
              </w:tc>
              <w:tc>
                <w:tcPr>
                  <w:tcW w:w="189" w:type="pct"/>
                  <w:vMerge w:val="restart"/>
                  <w:tcBorders>
                    <w:tl2br w:val="nil"/>
                    <w:tr2bl w:val="nil"/>
                  </w:tcBorders>
                  <w:vAlign w:val="center"/>
                </w:tcPr>
                <w:p>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61" w:type="pct"/>
                  <w:vMerge w:val="restart"/>
                  <w:tcBorders>
                    <w:tl2br w:val="nil"/>
                    <w:tr2bl w:val="nil"/>
                  </w:tcBorders>
                  <w:vAlign w:val="center"/>
                </w:tcPr>
                <w:p>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生活污水</w:t>
                  </w:r>
                </w:p>
              </w:tc>
              <w:tc>
                <w:tcPr>
                  <w:tcW w:w="363" w:type="pct"/>
                  <w:tcBorders>
                    <w:tl2br w:val="nil"/>
                    <w:tr2bl w:val="nil"/>
                  </w:tcBorders>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color w:val="auto"/>
                      <w:kern w:val="0"/>
                      <w:sz w:val="21"/>
                      <w:szCs w:val="21"/>
                      <w:highlight w:val="none"/>
                    </w:rPr>
                    <w:t>COD</w:t>
                  </w:r>
                </w:p>
              </w:tc>
              <w:tc>
                <w:tcPr>
                  <w:tcW w:w="254" w:type="pct"/>
                  <w:vMerge w:val="restart"/>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产污系数法</w:t>
                  </w:r>
                </w:p>
              </w:tc>
              <w:tc>
                <w:tcPr>
                  <w:tcW w:w="371" w:type="pct"/>
                  <w:vMerge w:val="restart"/>
                  <w:tcBorders>
                    <w:tl2br w:val="nil"/>
                    <w:tr2bl w:val="nil"/>
                  </w:tcBorders>
                  <w:vAlign w:val="center"/>
                </w:tcPr>
                <w:p>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153.6</w:t>
                  </w:r>
                </w:p>
              </w:tc>
              <w:tc>
                <w:tcPr>
                  <w:tcW w:w="411" w:type="pct"/>
                  <w:tcBorders>
                    <w:tl2br w:val="nil"/>
                    <w:tr2bl w:val="nil"/>
                  </w:tcBorders>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auto"/>
                      <w:kern w:val="0"/>
                      <w:sz w:val="21"/>
                      <w:szCs w:val="21"/>
                      <w:highlight w:val="none"/>
                    </w:rPr>
                    <w:t>300</w:t>
                  </w:r>
                </w:p>
              </w:tc>
              <w:tc>
                <w:tcPr>
                  <w:tcW w:w="381" w:type="pct"/>
                  <w:tcBorders>
                    <w:tl2br w:val="nil"/>
                    <w:tr2bl w:val="nil"/>
                  </w:tcBorders>
                  <w:vAlign w:val="center"/>
                </w:tcPr>
                <w:p>
                  <w:pPr>
                    <w:autoSpaceDE w:val="0"/>
                    <w:autoSpaceDN w:val="0"/>
                    <w:contextualSpacing/>
                    <w:jc w:val="center"/>
                    <w:rPr>
                      <w:rFonts w:hint="default"/>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0.05</w:t>
                  </w:r>
                </w:p>
              </w:tc>
              <w:tc>
                <w:tcPr>
                  <w:tcW w:w="294" w:type="pct"/>
                  <w:vMerge w:val="restart"/>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防渗旱厕</w:t>
                  </w:r>
                </w:p>
              </w:tc>
              <w:tc>
                <w:tcPr>
                  <w:tcW w:w="332" w:type="pct"/>
                  <w:vMerge w:val="restart"/>
                  <w:tcBorders>
                    <w:right w:val="single" w:color="000000" w:sz="2" w:space="0"/>
                    <w:tl2br w:val="nil"/>
                    <w:tr2bl w:val="nil"/>
                  </w:tcBorders>
                  <w:vAlign w:val="center"/>
                </w:tcPr>
                <w:p>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33" w:type="pct"/>
                  <w:vMerge w:val="restart"/>
                  <w:tcBorders>
                    <w:left w:val="single" w:color="000000" w:sz="2" w:space="0"/>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是</w:t>
                  </w:r>
                </w:p>
              </w:tc>
              <w:tc>
                <w:tcPr>
                  <w:tcW w:w="305" w:type="pct"/>
                  <w:vMerge w:val="restart"/>
                  <w:tcBorders>
                    <w:tl2br w:val="nil"/>
                    <w:tr2bl w:val="nil"/>
                  </w:tcBorders>
                  <w:vAlign w:val="center"/>
                </w:tcPr>
                <w:p>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不排放</w:t>
                  </w:r>
                </w:p>
              </w:tc>
              <w:tc>
                <w:tcPr>
                  <w:tcW w:w="339" w:type="pct"/>
                  <w:vMerge w:val="restart"/>
                  <w:tcBorders>
                    <w:tl2br w:val="nil"/>
                    <w:tr2bl w:val="nil"/>
                  </w:tcBorders>
                  <w:vAlign w:val="center"/>
                </w:tcPr>
                <w:p>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11" w:type="pct"/>
                  <w:tcBorders>
                    <w:tl2br w:val="nil"/>
                    <w:tr2bl w:val="nil"/>
                  </w:tcBorders>
                  <w:vAlign w:val="center"/>
                </w:tcPr>
                <w:p>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357" w:type="pct"/>
                  <w:tcBorders>
                    <w:tl2br w:val="nil"/>
                    <w:tr2bl w:val="nil"/>
                  </w:tcBorders>
                  <w:vAlign w:val="center"/>
                </w:tcPr>
                <w:p>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294" w:type="pct"/>
                  <w:vMerge w:val="restart"/>
                  <w:tcBorders>
                    <w:tl2br w:val="nil"/>
                    <w:tr2bl w:val="nil"/>
                  </w:tcBorders>
                  <w:vAlign w:val="center"/>
                </w:tcPr>
                <w:p>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98"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189"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261"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363" w:type="pct"/>
                  <w:tcBorders>
                    <w:tl2br w:val="nil"/>
                    <w:tr2bl w:val="nil"/>
                  </w:tcBorders>
                  <w:vAlign w:val="center"/>
                </w:tcPr>
                <w:p>
                  <w:pPr>
                    <w:jc w:val="center"/>
                    <w:rPr>
                      <w:b w:val="0"/>
                      <w:bCs w:val="0"/>
                      <w:color w:val="000000" w:themeColor="text1"/>
                      <w:sz w:val="21"/>
                      <w:szCs w:val="21"/>
                      <w14:textFill>
                        <w14:solidFill>
                          <w14:schemeClr w14:val="tx1"/>
                        </w14:solidFill>
                      </w14:textFill>
                    </w:rPr>
                  </w:pPr>
                  <w:r>
                    <w:rPr>
                      <w:rFonts w:ascii="Times New Roman" w:hAnsi="Times New Roman" w:eastAsia="宋体" w:cs="Times New Roman"/>
                      <w:color w:val="auto"/>
                      <w:kern w:val="0"/>
                      <w:sz w:val="21"/>
                      <w:szCs w:val="21"/>
                      <w:highlight w:val="none"/>
                    </w:rPr>
                    <w:t>BOD</w:t>
                  </w:r>
                  <w:r>
                    <w:rPr>
                      <w:rFonts w:ascii="Times New Roman" w:hAnsi="Times New Roman" w:eastAsia="宋体" w:cs="Times New Roman"/>
                      <w:color w:val="auto"/>
                      <w:kern w:val="0"/>
                      <w:sz w:val="21"/>
                      <w:szCs w:val="21"/>
                      <w:highlight w:val="none"/>
                      <w:vertAlign w:val="subscript"/>
                    </w:rPr>
                    <w:t>5</w:t>
                  </w:r>
                </w:p>
              </w:tc>
              <w:tc>
                <w:tcPr>
                  <w:tcW w:w="254"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371"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411" w:type="pct"/>
                  <w:tcBorders>
                    <w:tl2br w:val="nil"/>
                    <w:tr2bl w:val="nil"/>
                  </w:tcBorders>
                  <w:vAlign w:val="center"/>
                </w:tcPr>
                <w:p>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color w:val="auto"/>
                      <w:kern w:val="0"/>
                      <w:sz w:val="21"/>
                      <w:szCs w:val="21"/>
                      <w:highlight w:val="none"/>
                    </w:rPr>
                    <w:t>150</w:t>
                  </w:r>
                </w:p>
              </w:tc>
              <w:tc>
                <w:tcPr>
                  <w:tcW w:w="381" w:type="pct"/>
                  <w:tcBorders>
                    <w:tl2br w:val="nil"/>
                    <w:tr2bl w:val="nil"/>
                  </w:tcBorders>
                  <w:vAlign w:val="center"/>
                </w:tcPr>
                <w:p>
                  <w:pPr>
                    <w:autoSpaceDE w:val="0"/>
                    <w:autoSpaceDN w:val="0"/>
                    <w:contextualSpacing/>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0.025</w:t>
                  </w:r>
                </w:p>
              </w:tc>
              <w:tc>
                <w:tcPr>
                  <w:tcW w:w="294"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332" w:type="pct"/>
                  <w:vMerge w:val="continue"/>
                  <w:tcBorders>
                    <w:right w:val="single" w:color="000000" w:sz="2" w:space="0"/>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233" w:type="pct"/>
                  <w:vMerge w:val="continue"/>
                  <w:tcBorders>
                    <w:left w:val="single" w:color="000000" w:sz="2" w:space="0"/>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305"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339"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411" w:type="pct"/>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357" w:type="pct"/>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294"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98"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189"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261"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363" w:type="pct"/>
                  <w:tcBorders>
                    <w:tl2br w:val="nil"/>
                    <w:tr2bl w:val="nil"/>
                  </w:tcBorders>
                  <w:vAlign w:val="center"/>
                </w:tcPr>
                <w:p>
                  <w:pPr>
                    <w:jc w:val="center"/>
                    <w:rPr>
                      <w:b w:val="0"/>
                      <w:bCs w:val="0"/>
                      <w:color w:val="000000" w:themeColor="text1"/>
                      <w:sz w:val="21"/>
                      <w:szCs w:val="21"/>
                      <w14:textFill>
                        <w14:solidFill>
                          <w14:schemeClr w14:val="tx1"/>
                        </w14:solidFill>
                      </w14:textFill>
                    </w:rPr>
                  </w:pPr>
                  <w:r>
                    <w:rPr>
                      <w:rFonts w:ascii="Times New Roman" w:hAnsi="Times New Roman" w:eastAsia="宋体" w:cs="Times New Roman"/>
                      <w:color w:val="auto"/>
                      <w:kern w:val="0"/>
                      <w:sz w:val="21"/>
                      <w:szCs w:val="21"/>
                      <w:highlight w:val="none"/>
                    </w:rPr>
                    <w:t>SS</w:t>
                  </w:r>
                </w:p>
              </w:tc>
              <w:tc>
                <w:tcPr>
                  <w:tcW w:w="254"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371" w:type="pct"/>
                  <w:vMerge w:val="continue"/>
                  <w:tcBorders>
                    <w:tl2br w:val="nil"/>
                    <w:tr2bl w:val="nil"/>
                  </w:tcBorders>
                  <w:vAlign w:val="center"/>
                </w:tcPr>
                <w:p>
                  <w:pPr>
                    <w:spacing w:line="240" w:lineRule="auto"/>
                    <w:jc w:val="center"/>
                    <w:rPr>
                      <w:rFonts w:hint="default"/>
                      <w:color w:val="000000" w:themeColor="text1"/>
                      <w:sz w:val="21"/>
                      <w:szCs w:val="21"/>
                      <w:highlight w:val="none"/>
                      <w:lang w:val="en-US" w:eastAsia="zh-CN"/>
                      <w14:textFill>
                        <w14:solidFill>
                          <w14:schemeClr w14:val="tx1"/>
                        </w14:solidFill>
                      </w14:textFill>
                    </w:rPr>
                  </w:pPr>
                </w:p>
              </w:tc>
              <w:tc>
                <w:tcPr>
                  <w:tcW w:w="411" w:type="pct"/>
                  <w:tcBorders>
                    <w:tl2br w:val="nil"/>
                    <w:tr2bl w:val="nil"/>
                  </w:tcBorders>
                  <w:vAlign w:val="center"/>
                </w:tcPr>
                <w:p>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color w:val="auto"/>
                      <w:kern w:val="0"/>
                      <w:sz w:val="21"/>
                      <w:szCs w:val="21"/>
                      <w:highlight w:val="none"/>
                    </w:rPr>
                    <w:t>120</w:t>
                  </w:r>
                </w:p>
              </w:tc>
              <w:tc>
                <w:tcPr>
                  <w:tcW w:w="381" w:type="pct"/>
                  <w:tcBorders>
                    <w:tl2br w:val="nil"/>
                    <w:tr2bl w:val="nil"/>
                  </w:tcBorders>
                  <w:vAlign w:val="center"/>
                </w:tcPr>
                <w:p>
                  <w:pPr>
                    <w:autoSpaceDE w:val="0"/>
                    <w:autoSpaceDN w:val="0"/>
                    <w:contextualSpacing/>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0.02</w:t>
                  </w:r>
                </w:p>
              </w:tc>
              <w:tc>
                <w:tcPr>
                  <w:tcW w:w="294"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332" w:type="pct"/>
                  <w:vMerge w:val="continue"/>
                  <w:tcBorders>
                    <w:right w:val="single" w:color="000000" w:sz="2" w:space="0"/>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233" w:type="pct"/>
                  <w:vMerge w:val="continue"/>
                  <w:tcBorders>
                    <w:left w:val="single" w:color="000000" w:sz="2" w:space="0"/>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305"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339" w:type="pct"/>
                  <w:vMerge w:val="continue"/>
                  <w:tcBorders>
                    <w:tl2br w:val="nil"/>
                    <w:tr2bl w:val="nil"/>
                  </w:tcBorders>
                  <w:vAlign w:val="center"/>
                </w:tcPr>
                <w:p>
                  <w:pPr>
                    <w:spacing w:line="240" w:lineRule="auto"/>
                    <w:jc w:val="center"/>
                    <w:rPr>
                      <w:rFonts w:hint="default"/>
                      <w:color w:val="000000" w:themeColor="text1"/>
                      <w:sz w:val="21"/>
                      <w:szCs w:val="21"/>
                      <w:highlight w:val="none"/>
                      <w:lang w:val="en-US" w:eastAsia="zh-CN"/>
                      <w14:textFill>
                        <w14:solidFill>
                          <w14:schemeClr w14:val="tx1"/>
                        </w14:solidFill>
                      </w14:textFill>
                    </w:rPr>
                  </w:pPr>
                </w:p>
              </w:tc>
              <w:tc>
                <w:tcPr>
                  <w:tcW w:w="411" w:type="pct"/>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357" w:type="pct"/>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294" w:type="pct"/>
                  <w:vMerge w:val="continue"/>
                  <w:tcBorders>
                    <w:tl2br w:val="nil"/>
                    <w:tr2bl w:val="nil"/>
                  </w:tcBorders>
                  <w:vAlign w:val="center"/>
                </w:tcPr>
                <w:p>
                  <w:pPr>
                    <w:spacing w:line="240" w:lineRule="auto"/>
                    <w:jc w:val="center"/>
                    <w:rPr>
                      <w:rFonts w:hint="eastAsia"/>
                      <w:color w:val="000000" w:themeColor="text1"/>
                      <w:sz w:val="18"/>
                      <w:szCs w:val="18"/>
                      <w:highlight w:val="no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98"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189"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261"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363" w:type="pct"/>
                  <w:tcBorders>
                    <w:tl2br w:val="nil"/>
                    <w:tr2bl w:val="nil"/>
                  </w:tcBorders>
                  <w:vAlign w:val="center"/>
                </w:tcPr>
                <w:p>
                  <w:pPr>
                    <w:jc w:val="center"/>
                    <w:rPr>
                      <w:rFonts w:hint="eastAsia"/>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color w:val="auto"/>
                      <w:kern w:val="0"/>
                      <w:sz w:val="21"/>
                      <w:szCs w:val="21"/>
                      <w:highlight w:val="none"/>
                    </w:rPr>
                    <w:t>NH</w:t>
                  </w:r>
                  <w:r>
                    <w:rPr>
                      <w:rFonts w:ascii="Times New Roman" w:hAnsi="Times New Roman" w:eastAsia="宋体" w:cs="Times New Roman"/>
                      <w:color w:val="auto"/>
                      <w:kern w:val="0"/>
                      <w:sz w:val="21"/>
                      <w:szCs w:val="21"/>
                      <w:highlight w:val="none"/>
                      <w:vertAlign w:val="subscript"/>
                    </w:rPr>
                    <w:t>3</w:t>
                  </w:r>
                  <w:r>
                    <w:rPr>
                      <w:rFonts w:ascii="Times New Roman" w:hAnsi="Times New Roman" w:eastAsia="宋体" w:cs="Times New Roman"/>
                      <w:color w:val="auto"/>
                      <w:kern w:val="0"/>
                      <w:sz w:val="21"/>
                      <w:szCs w:val="21"/>
                      <w:highlight w:val="none"/>
                    </w:rPr>
                    <w:t>-N</w:t>
                  </w:r>
                </w:p>
              </w:tc>
              <w:tc>
                <w:tcPr>
                  <w:tcW w:w="254"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371" w:type="pct"/>
                  <w:vMerge w:val="continue"/>
                  <w:tcBorders>
                    <w:tl2br w:val="nil"/>
                    <w:tr2bl w:val="nil"/>
                  </w:tcBorders>
                  <w:vAlign w:val="center"/>
                </w:tcPr>
                <w:p>
                  <w:pPr>
                    <w:spacing w:line="240" w:lineRule="auto"/>
                    <w:jc w:val="center"/>
                    <w:rPr>
                      <w:rFonts w:hint="default"/>
                      <w:color w:val="000000" w:themeColor="text1"/>
                      <w:sz w:val="21"/>
                      <w:szCs w:val="21"/>
                      <w:highlight w:val="none"/>
                      <w:lang w:val="en-US" w:eastAsia="zh-CN"/>
                      <w14:textFill>
                        <w14:solidFill>
                          <w14:schemeClr w14:val="tx1"/>
                        </w14:solidFill>
                      </w14:textFill>
                    </w:rPr>
                  </w:pPr>
                </w:p>
              </w:tc>
              <w:tc>
                <w:tcPr>
                  <w:tcW w:w="411" w:type="pct"/>
                  <w:tcBorders>
                    <w:tl2br w:val="nil"/>
                    <w:tr2bl w:val="nil"/>
                  </w:tcBorders>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auto"/>
                      <w:kern w:val="0"/>
                      <w:sz w:val="21"/>
                      <w:szCs w:val="21"/>
                      <w:highlight w:val="none"/>
                    </w:rPr>
                    <w:t>30</w:t>
                  </w:r>
                </w:p>
              </w:tc>
              <w:tc>
                <w:tcPr>
                  <w:tcW w:w="381" w:type="pct"/>
                  <w:tcBorders>
                    <w:tl2br w:val="nil"/>
                    <w:tr2bl w:val="nil"/>
                  </w:tcBorders>
                  <w:vAlign w:val="center"/>
                </w:tcPr>
                <w:p>
                  <w:pPr>
                    <w:autoSpaceDE w:val="0"/>
                    <w:autoSpaceDN w:val="0"/>
                    <w:contextualSpacing/>
                    <w:jc w:val="center"/>
                    <w:rPr>
                      <w:rFonts w:hint="default"/>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0.005</w:t>
                  </w:r>
                </w:p>
              </w:tc>
              <w:tc>
                <w:tcPr>
                  <w:tcW w:w="294"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332" w:type="pct"/>
                  <w:vMerge w:val="continue"/>
                  <w:tcBorders>
                    <w:right w:val="single" w:color="000000" w:sz="2" w:space="0"/>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233" w:type="pct"/>
                  <w:vMerge w:val="continue"/>
                  <w:tcBorders>
                    <w:left w:val="single" w:color="000000" w:sz="2" w:space="0"/>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305" w:type="pct"/>
                  <w:vMerge w:val="continue"/>
                  <w:tcBorders>
                    <w:tl2br w:val="nil"/>
                    <w:tr2bl w:val="nil"/>
                  </w:tcBorders>
                  <w:vAlign w:val="center"/>
                </w:tcPr>
                <w:p>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339" w:type="pct"/>
                  <w:vMerge w:val="continue"/>
                  <w:tcBorders>
                    <w:tl2br w:val="nil"/>
                    <w:tr2bl w:val="nil"/>
                  </w:tcBorders>
                  <w:vAlign w:val="center"/>
                </w:tcPr>
                <w:p>
                  <w:pPr>
                    <w:spacing w:line="240" w:lineRule="auto"/>
                    <w:jc w:val="center"/>
                    <w:rPr>
                      <w:rFonts w:hint="default"/>
                      <w:color w:val="000000" w:themeColor="text1"/>
                      <w:sz w:val="21"/>
                      <w:szCs w:val="21"/>
                      <w:highlight w:val="none"/>
                      <w:lang w:val="en-US" w:eastAsia="zh-CN"/>
                      <w14:textFill>
                        <w14:solidFill>
                          <w14:schemeClr w14:val="tx1"/>
                        </w14:solidFill>
                      </w14:textFill>
                    </w:rPr>
                  </w:pPr>
                </w:p>
              </w:tc>
              <w:tc>
                <w:tcPr>
                  <w:tcW w:w="411" w:type="pct"/>
                  <w:tcBorders>
                    <w:tl2br w:val="nil"/>
                    <w:tr2bl w:val="nil"/>
                  </w:tcBorders>
                  <w:vAlign w:val="center"/>
                </w:tcPr>
                <w:p>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357" w:type="pct"/>
                  <w:tcBorders>
                    <w:tl2br w:val="nil"/>
                    <w:tr2bl w:val="nil"/>
                  </w:tcBorders>
                  <w:vAlign w:val="center"/>
                </w:tcPr>
                <w:p>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294" w:type="pct"/>
                  <w:vMerge w:val="continue"/>
                  <w:tcBorders>
                    <w:tl2br w:val="nil"/>
                    <w:tr2bl w:val="nil"/>
                  </w:tcBorders>
                  <w:vAlign w:val="center"/>
                </w:tcPr>
                <w:p>
                  <w:pPr>
                    <w:spacing w:line="240" w:lineRule="auto"/>
                    <w:jc w:val="center"/>
                    <w:rPr>
                      <w:rFonts w:hint="eastAsia"/>
                      <w:color w:val="000000" w:themeColor="text1"/>
                      <w:sz w:val="18"/>
                      <w:szCs w:val="18"/>
                      <w:highlight w:val="none"/>
                      <w:lang w:val="en-US" w:eastAsia="zh-CN"/>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contextualSpacing/>
              <w:textAlignment w:val="auto"/>
              <w:rPr>
                <w:rFonts w:hint="eastAsia"/>
                <w:color w:val="000000" w:themeColor="text1"/>
                <w:kern w:val="0"/>
                <w:sz w:val="24"/>
                <w:lang w:eastAsia="zh-CN"/>
                <w14:textFill>
                  <w14:solidFill>
                    <w14:schemeClr w14:val="tx1"/>
                  </w14:solidFill>
                </w14:textFill>
              </w:rPr>
            </w:pPr>
            <w:r>
              <w:rPr>
                <w:rFonts w:hint="eastAsia"/>
                <w:color w:val="000000" w:themeColor="text1"/>
                <w:kern w:val="0"/>
                <w:sz w:val="24"/>
                <w14:textFill>
                  <w14:solidFill>
                    <w14:schemeClr w14:val="tx1"/>
                  </w14:solidFill>
                </w14:textFill>
              </w:rPr>
              <w:t>本项目对堆场和破碎区域的雨水进行收集和处理，并全部经沉淀处理后回用于降尘，以减少对周边地表水的不利影响。厂区雨水设计参照巴彦县地区暴雨强度进行，本项目初期雨水考虑收集前15min雨水</w:t>
            </w:r>
            <w:r>
              <w:rPr>
                <w:rFonts w:hint="eastAsia"/>
                <w:color w:val="000000" w:themeColor="text1"/>
                <w:kern w:val="0"/>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初期雨水量计算公式如下：</w:t>
            </w:r>
          </w:p>
          <w:p>
            <w:pPr>
              <w:pStyle w:val="44"/>
              <w:keepNext w:val="0"/>
              <w:keepLines w:val="0"/>
              <w:pageBreakBefore w:val="0"/>
              <w:widowControl w:val="0"/>
              <w:kinsoku/>
              <w:wordWrap/>
              <w:overflowPunct/>
              <w:topLinePunct w:val="0"/>
              <w:bidi w:val="0"/>
              <w:adjustRightInd/>
              <w:snapToGrid/>
              <w:spacing w:line="360" w:lineRule="auto"/>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position w:val="-10"/>
                <w:highlight w:val="none"/>
                <w:lang w:val="en-US" w:eastAsia="zh-CN"/>
                <w14:textFill>
                  <w14:solidFill>
                    <w14:schemeClr w14:val="tx1"/>
                  </w14:solidFill>
                </w14:textFill>
              </w:rPr>
              <w:object>
                <v:shape id="_x0000_i1034" o:spt="75" type="#_x0000_t75" style="height:16pt;width:81pt;" o:ole="t" filled="f" o:preferrelative="t" stroked="f" coordsize="21600,21600">
                  <v:path/>
                  <v:fill on="f" focussize="0,0"/>
                  <v:stroke on="f"/>
                  <v:imagedata r:id="rId27" o:title=""/>
                  <o:lock v:ext="edit" aspectratio="t"/>
                  <w10:wrap type="none"/>
                  <w10:anchorlock/>
                </v:shape>
                <o:OLEObject Type="Embed" ProgID="Equation.KSEE3" ShapeID="_x0000_i1034" DrawAspect="Content" ObjectID="_1468075734" r:id="rId26">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式中：</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object>
                <v:shape id="_x0000_i1035" o:spt="75" type="#_x0000_t75" style="height:12pt;width:13pt;" o:ole="t" filled="f" o:preferrelative="t" stroked="f" coordsize="21600,21600">
                  <v:path/>
                  <v:fill on="f" focussize="0,0"/>
                  <v:stroke on="f"/>
                  <v:imagedata r:id="rId29" o:title=""/>
                  <o:lock v:ext="edit" aspectratio="t"/>
                  <w10:wrap type="none"/>
                  <w10:anchorlock/>
                </v:shape>
                <o:OLEObject Type="Embed" ProgID="Equation.KSEE3" ShapeID="_x0000_i1035" DrawAspect="Content" ObjectID="_1468075735" r:id="rId28">
                  <o:LockedField>false</o:LockedField>
                </o:OLEObject>
              </w:objec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—径流系数，取0.9；</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object>
                <v:shape id="_x0000_i1036" o:spt="75" type="#_x0000_t75" style="height:13pt;width:13pt;" o:ole="t" filled="f" o:preferrelative="t" stroked="f" coordsize="21600,21600">
                  <v:path/>
                  <v:fill on="f" focussize="0,0"/>
                  <v:stroke on="f"/>
                  <v:imagedata r:id="rId31" o:title=""/>
                  <o:lock v:ext="edit" aspectratio="t"/>
                  <w10:wrap type="none"/>
                  <w10:anchorlock/>
                </v:shape>
                <o:OLEObject Type="Embed" ProgID="Equation.KSEE3" ShapeID="_x0000_i1036" DrawAspect="Content" ObjectID="_1468075736" r:id="rId30">
                  <o:LockedField>false</o:LockedField>
                </o:OLEObject>
              </w:objec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—汇水面积，本项目占地面积</w:t>
            </w:r>
            <w:r>
              <w:rPr>
                <w:rFonts w:hint="eastAsia" w:cs="Times New Roman"/>
                <w:color w:val="000000" w:themeColor="text1"/>
                <w:kern w:val="0"/>
                <w:sz w:val="24"/>
                <w:szCs w:val="24"/>
                <w:highlight w:val="none"/>
                <w:lang w:val="en-US" w:eastAsia="zh-CN" w:bidi="ar"/>
                <w14:textFill>
                  <w14:solidFill>
                    <w14:schemeClr w14:val="tx1"/>
                  </w14:solidFill>
                </w14:textFill>
              </w:rPr>
              <w:t>3.75</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hm</w:t>
            </w:r>
            <w:r>
              <w:rPr>
                <w:rFonts w:hint="eastAsia"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position w:val="-10"/>
                <w:sz w:val="24"/>
                <w:szCs w:val="24"/>
                <w:highlight w:val="none"/>
                <w:lang w:val="en-US" w:eastAsia="zh-CN" w:bidi="ar"/>
                <w14:textFill>
                  <w14:solidFill>
                    <w14:schemeClr w14:val="tx1"/>
                  </w14:solidFill>
                </w14:textFill>
              </w:rPr>
              <w:object>
                <v:shape id="_x0000_i1037" o:spt="75" type="#_x0000_t75" style="height:13pt;width:10pt;" o:ole="t" filled="f" o:preferrelative="t" stroked="f" coordsize="21600,21600">
                  <v:path/>
                  <v:fill on="f" focussize="0,0"/>
                  <v:stroke on="f"/>
                  <v:imagedata r:id="rId33" o:title=""/>
                  <o:lock v:ext="edit" aspectratio="t"/>
                  <w10:wrap type="none"/>
                  <w10:anchorlock/>
                </v:shape>
                <o:OLEObject Type="Embed" ProgID="Equation.KSEE3" ShapeID="_x0000_i1037" DrawAspect="Content" ObjectID="_1468075737" r:id="rId32">
                  <o:LockedField>false</o:LockedField>
                </o:OLEObject>
              </w:objec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—设计暴雨强度（L/s·hm</w:t>
            </w:r>
            <w:r>
              <w:rPr>
                <w:rFonts w:hint="eastAsia"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position w:val="-6"/>
                <w:sz w:val="24"/>
                <w:szCs w:val="24"/>
                <w:highlight w:val="none"/>
                <w:lang w:val="en-US" w:eastAsia="zh-CN" w:bidi="ar"/>
                <w14:textFill>
                  <w14:solidFill>
                    <w14:schemeClr w14:val="tx1"/>
                  </w14:solidFill>
                </w14:textFill>
              </w:rPr>
              <w:object>
                <v:shape id="_x0000_i1038" o:spt="75" type="#_x0000_t75" style="height:12pt;width:6.95pt;" o:ole="t" filled="f" o:preferrelative="t" stroked="f" coordsize="21600,21600">
                  <v:path/>
                  <v:fill on="f" focussize="0,0"/>
                  <v:stroke on="f"/>
                  <v:imagedata r:id="rId35" o:title=""/>
                  <o:lock v:ext="edit" aspectratio="t"/>
                  <w10:wrap type="none"/>
                  <w10:anchorlock/>
                </v:shape>
                <o:OLEObject Type="Embed" ProgID="Equation.KSEE3" ShapeID="_x0000_i1038" DrawAspect="Content" ObjectID="_1468075738" r:id="rId34">
                  <o:LockedField>false</o:LockedField>
                </o:OLEObject>
              </w:objec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—降雨历时，一般取15min。</w:t>
            </w:r>
          </w:p>
          <w:p>
            <w:pPr>
              <w:pStyle w:val="44"/>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eastAsia="宋体" w:cs="Times New Roman"/>
                <w:color w:val="000000" w:themeColor="text1"/>
                <w:kern w:val="0"/>
                <w:sz w:val="24"/>
                <w:szCs w:val="24"/>
                <w:highlight w:val="none"/>
                <w:lang w:val="en-US" w:eastAsia="zh-CN" w:bidi="ar"/>
                <w14:textFill>
                  <w14:solidFill>
                    <w14:schemeClr w14:val="tx1"/>
                  </w14:solidFill>
                </w14:textFill>
              </w:rPr>
              <w:t>暴雨强度</w:t>
            </w:r>
            <w:r>
              <w:rPr>
                <w:rFonts w:hint="eastAsia" w:ascii="Times New Roman" w:hAnsi="Times New Roman" w:eastAsia="宋体" w:cs="Times New Roman"/>
                <w:color w:val="000000" w:themeColor="text1"/>
                <w:kern w:val="0"/>
                <w:position w:val="-10"/>
                <w:sz w:val="24"/>
                <w:szCs w:val="24"/>
                <w:highlight w:val="none"/>
                <w:lang w:val="en-US" w:eastAsia="zh-CN" w:bidi="ar"/>
                <w14:textFill>
                  <w14:solidFill>
                    <w14:schemeClr w14:val="tx1"/>
                  </w14:solidFill>
                </w14:textFill>
              </w:rPr>
              <w:object>
                <v:shape id="_x0000_i1039" o:spt="75" type="#_x0000_t75" style="height:13pt;width:10pt;" o:ole="t" filled="f" o:preferrelative="t" stroked="f" coordsize="21600,21600">
                  <v:path/>
                  <v:fill on="f" focussize="0,0"/>
                  <v:stroke on="f"/>
                  <v:imagedata r:id="rId33" o:title=""/>
                  <o:lock v:ext="edit" aspectratio="t"/>
                  <w10:wrap type="none"/>
                  <w10:anchorlock/>
                </v:shape>
                <o:OLEObject Type="Embed" ProgID="Equation.KSEE3" ShapeID="_x0000_i1039" DrawAspect="Content" ObjectID="_1468075739" r:id="rId36">
                  <o:LockedField>false</o:LockedField>
                </o:OLEObject>
              </w:object>
            </w:r>
            <w:r>
              <w:rPr>
                <w:rFonts w:hint="eastAsia" w:ascii="Times New Roman" w:eastAsia="宋体" w:cs="Times New Roman"/>
                <w:color w:val="000000" w:themeColor="text1"/>
                <w:kern w:val="0"/>
                <w:sz w:val="24"/>
                <w:szCs w:val="24"/>
                <w:highlight w:val="none"/>
                <w:lang w:val="en-US" w:eastAsia="zh-CN" w:bidi="ar"/>
                <w14:textFill>
                  <w14:solidFill>
                    <w14:schemeClr w14:val="tx1"/>
                  </w14:solidFill>
                </w14:textFill>
              </w:rPr>
              <w:t>采取哈尔滨市暴雨强度计算公式：</w:t>
            </w:r>
          </w:p>
          <w:p>
            <w:pPr>
              <w:pStyle w:val="44"/>
              <w:jc w:val="cente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position w:val="-28"/>
                <w:sz w:val="24"/>
                <w:szCs w:val="24"/>
                <w:highlight w:val="none"/>
                <w:lang w:val="en-US" w:eastAsia="zh-CN" w:bidi="ar"/>
                <w14:textFill>
                  <w14:solidFill>
                    <w14:schemeClr w14:val="tx1"/>
                  </w14:solidFill>
                </w14:textFill>
              </w:rPr>
              <w:object>
                <v:shape id="_x0000_i1040" o:spt="75" type="#_x0000_t75" style="height:39.8pt;width:127.8pt;" o:ole="t" filled="f" o:preferrelative="t" stroked="f" coordsize="21600,21600">
                  <v:path/>
                  <v:fill on="f" focussize="0,0"/>
                  <v:stroke on="f"/>
                  <v:imagedata r:id="rId38" o:title=""/>
                  <o:lock v:ext="edit" aspectratio="t"/>
                  <w10:wrap type="none"/>
                  <w10:anchorlock/>
                </v:shape>
                <o:OLEObject Type="Embed" ProgID="Equation.KSEE3" ShapeID="_x0000_i1040" DrawAspect="Content" ObjectID="_1468075740" r:id="rId37">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eastAsia="宋体" w:cs="Times New Roman"/>
                <w:color w:val="000000" w:themeColor="text1"/>
                <w:kern w:val="0"/>
                <w:sz w:val="24"/>
                <w:szCs w:val="24"/>
                <w:highlight w:val="none"/>
                <w:lang w:val="en-US" w:eastAsia="zh-CN" w:bidi="ar"/>
                <w14:textFill>
                  <w14:solidFill>
                    <w14:schemeClr w14:val="tx1"/>
                  </w14:solidFill>
                </w14:textFill>
              </w:rPr>
              <w:t>式中：</w:t>
            </w:r>
            <w:r>
              <w:rPr>
                <w:rFonts w:hint="eastAsia" w:ascii="Times New Roman" w:hAnsi="Times New Roman" w:eastAsia="宋体" w:cs="Times New Roman"/>
                <w:color w:val="000000" w:themeColor="text1"/>
                <w:kern w:val="0"/>
                <w:position w:val="-10"/>
                <w:sz w:val="24"/>
                <w:szCs w:val="24"/>
                <w:highlight w:val="none"/>
                <w:lang w:val="en-US" w:eastAsia="zh-CN" w:bidi="ar"/>
                <w14:textFill>
                  <w14:solidFill>
                    <w14:schemeClr w14:val="tx1"/>
                  </w14:solidFill>
                </w14:textFill>
              </w:rPr>
              <w:object>
                <v:shape id="_x0000_i1041" o:spt="75" type="#_x0000_t75" style="height:13pt;width:10pt;" o:ole="t" filled="f" o:preferrelative="t" stroked="f" coordsize="21600,21600">
                  <v:path/>
                  <v:fill on="f" focussize="0,0"/>
                  <v:stroke on="f"/>
                  <v:imagedata r:id="rId33" o:title=""/>
                  <o:lock v:ext="edit" aspectratio="t"/>
                  <w10:wrap type="none"/>
                  <w10:anchorlock/>
                </v:shape>
                <o:OLEObject Type="Embed" ProgID="Equation.KSEE3" ShapeID="_x0000_i1041" DrawAspect="Content" ObjectID="_1468075741" r:id="rId39">
                  <o:LockedField>false</o:LockedField>
                </o:OLEObject>
              </w:objec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—暴雨强度（L/s·hm</w:t>
            </w:r>
            <w:r>
              <w:rPr>
                <w:rFonts w:hint="eastAsia"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position w:val="-4"/>
                <w:sz w:val="24"/>
                <w:szCs w:val="24"/>
                <w:highlight w:val="none"/>
                <w:lang w:val="en-US" w:eastAsia="zh-CN" w:bidi="ar"/>
                <w14:textFill>
                  <w14:solidFill>
                    <w14:schemeClr w14:val="tx1"/>
                  </w14:solidFill>
                </w14:textFill>
              </w:rPr>
              <w:object>
                <v:shape id="_x0000_i1042" o:spt="75" type="#_x0000_t75" style="height:13pt;width:12pt;" o:ole="t" filled="f" o:preferrelative="t" stroked="f" coordsize="21600,21600">
                  <v:path/>
                  <v:fill on="f" focussize="0,0"/>
                  <v:stroke on="f"/>
                  <v:imagedata r:id="rId41" o:title=""/>
                  <o:lock v:ext="edit" aspectratio="t"/>
                  <w10:wrap type="none"/>
                  <w10:anchorlock/>
                </v:shape>
                <o:OLEObject Type="Embed" ProgID="Equation.KSEE3" ShapeID="_x0000_i1042" DrawAspect="Content" ObjectID="_1468075742" r:id="rId40">
                  <o:LockedField>false</o:LockedField>
                </o:OLEObject>
              </w:objec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—重现期，2a；</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position w:val="-6"/>
                <w:sz w:val="24"/>
                <w:szCs w:val="24"/>
                <w:highlight w:val="none"/>
                <w:lang w:val="en-US" w:eastAsia="zh-CN" w:bidi="ar"/>
                <w14:textFill>
                  <w14:solidFill>
                    <w14:schemeClr w14:val="tx1"/>
                  </w14:solidFill>
                </w14:textFill>
              </w:rPr>
              <w:object>
                <v:shape id="_x0000_i1043" o:spt="75" type="#_x0000_t75" style="height:12pt;width:6.95pt;" o:ole="t" filled="f" o:preferrelative="t" stroked="f" coordsize="21600,21600">
                  <v:path/>
                  <v:fill on="f" focussize="0,0"/>
                  <v:stroke on="f"/>
                  <v:imagedata r:id="rId35" o:title=""/>
                  <o:lock v:ext="edit" aspectratio="t"/>
                  <w10:wrap type="none"/>
                  <w10:anchorlock/>
                </v:shape>
                <o:OLEObject Type="Embed" ProgID="Equation.KSEE3" ShapeID="_x0000_i1043" DrawAspect="Content" ObjectID="_1468075743" r:id="rId42">
                  <o:LockedField>false</o:LockedField>
                </o:OLEObject>
              </w:objec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—降雨历时，15min。</w:t>
            </w:r>
          </w:p>
          <w:p>
            <w:pPr>
              <w:pStyle w:val="2"/>
              <w:spacing w:line="360" w:lineRule="auto"/>
              <w:ind w:left="0" w:leftChars="0" w:firstLine="480" w:firstLineChars="200"/>
              <w:rPr>
                <w:rFonts w:hint="eastAsia" w:ascii="Times New Roman" w:eastAsia="宋体" w:cs="Times New Roman"/>
                <w:color w:val="000000" w:themeColor="text1"/>
                <w:kern w:val="0"/>
                <w:sz w:val="24"/>
                <w:szCs w:val="24"/>
                <w:highlight w:val="yellow"/>
                <w:lang w:val="en-US" w:eastAsia="zh-CN" w:bidi="ar"/>
                <w14:textFill>
                  <w14:solidFill>
                    <w14:schemeClr w14:val="tx1"/>
                  </w14:solidFill>
                </w14:textFill>
              </w:rPr>
            </w:pPr>
            <w:r>
              <w:rPr>
                <w:rFonts w:hint="eastAsia" w:ascii="Times New Roman" w:eastAsia="宋体" w:cs="Times New Roman"/>
                <w:color w:val="000000" w:themeColor="text1"/>
                <w:kern w:val="0"/>
                <w:sz w:val="24"/>
                <w:szCs w:val="24"/>
                <w:highlight w:val="none"/>
                <w:lang w:val="en-US" w:eastAsia="zh-CN" w:bidi="ar"/>
                <w14:textFill>
                  <w14:solidFill>
                    <w14:schemeClr w14:val="tx1"/>
                  </w14:solidFill>
                </w14:textFill>
              </w:rPr>
              <w:t>计算结果</w:t>
            </w:r>
            <w:r>
              <w:rPr>
                <w:rFonts w:hint="default" w:ascii="Times New Roman" w:eastAsia="宋体" w:cs="Times New Roman"/>
                <w:color w:val="000000" w:themeColor="text1"/>
                <w:kern w:val="0"/>
                <w:sz w:val="24"/>
                <w:szCs w:val="24"/>
                <w:highlight w:val="none"/>
                <w:lang w:val="en-US" w:eastAsia="zh-CN" w:bidi="ar"/>
                <w14:textFill>
                  <w14:solidFill>
                    <w14:schemeClr w14:val="tx1"/>
                  </w14:solidFill>
                </w14:textFill>
              </w:rPr>
              <w:t>Q=</w:t>
            </w:r>
            <w:r>
              <w:rPr>
                <w:rFonts w:hint="eastAsia" w:cs="Times New Roman"/>
                <w:color w:val="000000" w:themeColor="text1"/>
                <w:kern w:val="0"/>
                <w:sz w:val="24"/>
                <w:szCs w:val="24"/>
                <w:highlight w:val="none"/>
                <w:lang w:val="en-US" w:eastAsia="zh-CN" w:bidi="ar"/>
                <w14:textFill>
                  <w14:solidFill>
                    <w14:schemeClr w14:val="tx1"/>
                  </w14:solidFill>
                </w14:textFill>
              </w:rPr>
              <w:t>656.44</w:t>
            </w:r>
            <w:r>
              <w:rPr>
                <w:rFonts w:hint="default" w:ascii="Times New Roman" w:eastAsia="宋体" w:cs="Times New Roman"/>
                <w:color w:val="000000" w:themeColor="text1"/>
                <w:kern w:val="0"/>
                <w:sz w:val="24"/>
                <w:szCs w:val="24"/>
                <w:highlight w:val="none"/>
                <w:lang w:val="en-US" w:eastAsia="zh-CN" w:bidi="ar"/>
                <w14:textFill>
                  <w14:solidFill>
                    <w14:schemeClr w14:val="tx1"/>
                  </w14:solidFill>
                </w14:textFill>
              </w:rPr>
              <w:t>m</w:t>
            </w:r>
            <w:r>
              <w:rPr>
                <w:rFonts w:hint="default" w:asci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eastAsia" w:ascii="Times New Roman" w:eastAsia="宋体" w:cs="Times New Roman"/>
                <w:color w:val="000000" w:themeColor="text1"/>
                <w:kern w:val="0"/>
                <w:sz w:val="24"/>
                <w:szCs w:val="24"/>
                <w:highlight w:val="none"/>
                <w:lang w:val="en-US" w:eastAsia="zh-CN" w:bidi="ar"/>
                <w14:textFill>
                  <w14:solidFill>
                    <w14:schemeClr w14:val="tx1"/>
                  </w14:solidFill>
                </w14:textFill>
              </w:rPr>
              <w:t>。在</w:t>
            </w:r>
            <w:r>
              <w:rPr>
                <w:rFonts w:hint="eastAsia" w:cs="Times New Roman"/>
                <w:color w:val="000000" w:themeColor="text1"/>
                <w:kern w:val="0"/>
                <w:sz w:val="24"/>
                <w:szCs w:val="24"/>
                <w:highlight w:val="none"/>
                <w:lang w:val="en-US" w:eastAsia="zh-CN" w:bidi="ar"/>
                <w14:textFill>
                  <w14:solidFill>
                    <w14:schemeClr w14:val="tx1"/>
                  </w14:solidFill>
                </w14:textFill>
              </w:rPr>
              <w:t>厂区南侧</w:t>
            </w:r>
            <w:r>
              <w:rPr>
                <w:rFonts w:hint="eastAsia" w:ascii="Times New Roman" w:eastAsia="宋体" w:cs="Times New Roman"/>
                <w:color w:val="000000" w:themeColor="text1"/>
                <w:kern w:val="0"/>
                <w:sz w:val="24"/>
                <w:szCs w:val="24"/>
                <w:highlight w:val="none"/>
                <w:lang w:val="en-US" w:eastAsia="zh-CN" w:bidi="ar"/>
                <w14:textFill>
                  <w14:solidFill>
                    <w14:schemeClr w14:val="tx1"/>
                  </w14:solidFill>
                </w14:textFill>
              </w:rPr>
              <w:t>地势较低处建</w:t>
            </w:r>
            <w:r>
              <w:rPr>
                <w:rFonts w:hint="default" w:ascii="Times New Roman" w:eastAsia="宋体" w:cs="Times New Roman"/>
                <w:color w:val="000000" w:themeColor="text1"/>
                <w:kern w:val="0"/>
                <w:sz w:val="24"/>
                <w:szCs w:val="24"/>
                <w:highlight w:val="none"/>
                <w:lang w:val="en-US" w:eastAsia="zh-CN" w:bidi="ar"/>
                <w14:textFill>
                  <w14:solidFill>
                    <w14:schemeClr w14:val="tx1"/>
                  </w14:solidFill>
                </w14:textFill>
              </w:rPr>
              <w:t>1</w:t>
            </w:r>
            <w:r>
              <w:rPr>
                <w:rFonts w:hint="eastAsia" w:ascii="Times New Roman" w:eastAsia="宋体" w:cs="Times New Roman"/>
                <w:color w:val="000000" w:themeColor="text1"/>
                <w:kern w:val="0"/>
                <w:sz w:val="24"/>
                <w:szCs w:val="24"/>
                <w:highlight w:val="none"/>
                <w:lang w:val="en-US" w:eastAsia="zh-CN" w:bidi="ar"/>
                <w14:textFill>
                  <w14:solidFill>
                    <w14:schemeClr w14:val="tx1"/>
                  </w14:solidFill>
                </w14:textFill>
              </w:rPr>
              <w:t>座容积</w:t>
            </w:r>
            <w:r>
              <w:rPr>
                <w:rFonts w:hint="eastAsia" w:cs="Times New Roman"/>
                <w:color w:val="000000" w:themeColor="text1"/>
                <w:kern w:val="0"/>
                <w:sz w:val="24"/>
                <w:szCs w:val="24"/>
                <w:highlight w:val="none"/>
                <w:lang w:val="en-US" w:eastAsia="zh-CN" w:bidi="ar"/>
                <w14:textFill>
                  <w14:solidFill>
                    <w14:schemeClr w14:val="tx1"/>
                  </w14:solidFill>
                </w14:textFill>
              </w:rPr>
              <w:t>700</w:t>
            </w:r>
            <w:r>
              <w:rPr>
                <w:rFonts w:hint="default" w:ascii="Times New Roman" w:eastAsia="宋体" w:cs="Times New Roman"/>
                <w:color w:val="000000" w:themeColor="text1"/>
                <w:kern w:val="0"/>
                <w:sz w:val="24"/>
                <w:szCs w:val="24"/>
                <w:highlight w:val="none"/>
                <w:lang w:val="en-US" w:eastAsia="zh-CN" w:bidi="ar"/>
                <w14:textFill>
                  <w14:solidFill>
                    <w14:schemeClr w14:val="tx1"/>
                  </w14:solidFill>
                </w14:textFill>
              </w:rPr>
              <w:t>m</w:t>
            </w:r>
            <w:r>
              <w:rPr>
                <w:rFonts w:hint="default" w:asci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eastAsia" w:ascii="Times New Roman" w:eastAsia="宋体" w:cs="Times New Roman"/>
                <w:color w:val="000000" w:themeColor="text1"/>
                <w:kern w:val="0"/>
                <w:sz w:val="24"/>
                <w:szCs w:val="24"/>
                <w:highlight w:val="none"/>
                <w:lang w:val="en-US" w:eastAsia="zh-CN" w:bidi="ar"/>
                <w14:textFill>
                  <w14:solidFill>
                    <w14:schemeClr w14:val="tx1"/>
                  </w14:solidFill>
                </w14:textFill>
              </w:rPr>
              <w:t>初期雨水收集池，</w:t>
            </w:r>
            <w:r>
              <w:rPr>
                <w:rFonts w:hint="eastAsia" w:ascii="Times New Roman" w:eastAsia="宋体" w:cs="Times New Roman"/>
                <w:color w:val="000000" w:themeColor="text1"/>
                <w:kern w:val="0"/>
                <w:sz w:val="24"/>
                <w:szCs w:val="24"/>
                <w:highlight w:val="yellow"/>
                <w:lang w:val="en-US" w:eastAsia="zh-CN" w:bidi="ar"/>
                <w14:textFill>
                  <w14:solidFill>
                    <w14:schemeClr w14:val="tx1"/>
                  </w14:solidFill>
                </w14:textFill>
              </w:rPr>
              <w:t>沉淀后回用于场地抑尘洒水。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yellow"/>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yellow"/>
                <w:lang w:val="en-US" w:eastAsia="zh-CN" w:bidi="ar"/>
                <w14:textFill>
                  <w14:solidFill>
                    <w14:schemeClr w14:val="tx1"/>
                  </w14:solidFill>
                </w14:textFill>
              </w:rPr>
              <w:t>厂区面积37500㎡，可洒水降尘的面积约为30000㎡，按照2L/㎡·次规格计算，可知洒水降尘水量约为60m³/次，考虑到厂区堆场属于无组织粉尘主要产生因素，洒水降尘可多次进行，具体次数还需运营期根据实际情况实施；故本项目收集的初期雨水在运营期内可以通过洒水降尘等方式处理并不外排。</w:t>
            </w:r>
          </w:p>
          <w:p>
            <w:pPr>
              <w:pStyle w:val="2"/>
              <w:spacing w:line="360" w:lineRule="auto"/>
              <w:ind w:left="0" w:leftChars="0" w:firstLine="480" w:firstLineChars="200"/>
              <w:rPr>
                <w:rFonts w:hint="default" w:ascii="Times New Roman" w:hAnsi="Times New Roman" w:eastAsia="宋体" w:cs="Times New Roman"/>
                <w:b/>
                <w:bCs/>
                <w:color w:val="000000" w:themeColor="text1"/>
                <w:sz w:val="24"/>
                <w:szCs w:val="24"/>
                <w:highlight w:val="yellow"/>
                <w:lang w:val="en-US" w:eastAsia="zh-CN"/>
                <w14:textFill>
                  <w14:solidFill>
                    <w14:schemeClr w14:val="tx1"/>
                  </w14:solidFill>
                </w14:textFill>
              </w:rPr>
            </w:pPr>
            <w:r>
              <w:rPr>
                <w:rFonts w:hint="eastAsia"/>
                <w:color w:val="000000" w:themeColor="text1"/>
                <w:kern w:val="0"/>
                <w:sz w:val="24"/>
                <w:highlight w:val="yellow"/>
                <w14:textFill>
                  <w14:solidFill>
                    <w14:schemeClr w14:val="tx1"/>
                  </w14:solidFill>
                </w14:textFill>
              </w:rPr>
              <w:t>本项目产生的废水均不外排，因此不会对地表水体产生影响。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噪声产生及治理措施</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3.1噪声源强及降噪措施</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本项目运营期的产生的噪声</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主要为</w:t>
            </w:r>
            <w:r>
              <w:rPr>
                <w:rFonts w:hint="default" w:ascii="Times New Roman" w:hAnsi="Times New Roman" w:eastAsia="宋体" w:cs="Times New Roman"/>
                <w:b w:val="0"/>
                <w:bCs w:val="0"/>
                <w:color w:val="000000" w:themeColor="text1"/>
                <w:sz w:val="24"/>
                <w:szCs w:val="24"/>
                <w14:textFill>
                  <w14:solidFill>
                    <w14:schemeClr w14:val="tx1"/>
                  </w14:solidFill>
                </w14:textFill>
              </w:rPr>
              <w:t>机械设备噪声，噪声主要来生产设备</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和移动机械</w:t>
            </w:r>
            <w:r>
              <w:rPr>
                <w:rFonts w:hint="default" w:ascii="Times New Roman" w:hAnsi="Times New Roman" w:eastAsia="宋体" w:cs="Times New Roman"/>
                <w:b w:val="0"/>
                <w:bCs w:val="0"/>
                <w:color w:val="000000" w:themeColor="text1"/>
                <w:sz w:val="24"/>
                <w:szCs w:val="24"/>
                <w14:textFill>
                  <w14:solidFill>
                    <w14:schemeClr w14:val="tx1"/>
                  </w14:solidFill>
                </w14:textFill>
              </w:rPr>
              <w:t>，噪声源类型为固定噪声源</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和移动噪声源</w:t>
            </w:r>
            <w:r>
              <w:rPr>
                <w:rFonts w:hint="default" w:ascii="Times New Roman" w:hAnsi="Times New Roman" w:eastAsia="宋体" w:cs="Times New Roman"/>
                <w:b w:val="0"/>
                <w:bCs w:val="0"/>
                <w:color w:val="000000" w:themeColor="text1"/>
                <w:sz w:val="24"/>
                <w:szCs w:val="24"/>
                <w14:textFill>
                  <w14:solidFill>
                    <w14:schemeClr w14:val="tx1"/>
                  </w14:solidFill>
                </w14:textFill>
              </w:rPr>
              <w:t>。项目主要</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噪声污染源相关参数</w:t>
            </w:r>
            <w:r>
              <w:rPr>
                <w:rFonts w:hint="default" w:ascii="Times New Roman" w:hAnsi="Times New Roman" w:eastAsia="宋体" w:cs="Times New Roman"/>
                <w:b w:val="0"/>
                <w:bCs w:val="0"/>
                <w:color w:val="000000" w:themeColor="text1"/>
                <w:sz w:val="24"/>
                <w:szCs w:val="24"/>
                <w14:textFill>
                  <w14:solidFill>
                    <w14:schemeClr w14:val="tx1"/>
                  </w14:solidFill>
                </w14:textFill>
              </w:rPr>
              <w:t>见下表。</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 xml:space="preserve">7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室内</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噪声污染源相关参数一览表</w:t>
            </w:r>
          </w:p>
          <w:tbl>
            <w:tblPr>
              <w:tblStyle w:val="31"/>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735"/>
              <w:gridCol w:w="426"/>
              <w:gridCol w:w="508"/>
              <w:gridCol w:w="636"/>
              <w:gridCol w:w="584"/>
              <w:gridCol w:w="654"/>
              <w:gridCol w:w="479"/>
              <w:gridCol w:w="639"/>
              <w:gridCol w:w="640"/>
              <w:gridCol w:w="741"/>
              <w:gridCol w:w="645"/>
              <w:gridCol w:w="753"/>
              <w:gridCol w:w="5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建筑物名称</w:t>
                  </w:r>
                </w:p>
              </w:tc>
              <w:tc>
                <w:tcPr>
                  <w:tcW w:w="42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声源名称</w:t>
                  </w:r>
                </w:p>
              </w:tc>
              <w:tc>
                <w:tcPr>
                  <w:tcW w:w="24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型号</w:t>
                  </w:r>
                </w:p>
              </w:tc>
              <w:tc>
                <w:tcPr>
                  <w:tcW w:w="2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声功率级</w:t>
                  </w:r>
                </w:p>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dB</w:t>
                  </w:r>
                </w:p>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36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声控制措施</w:t>
                  </w:r>
                </w:p>
              </w:tc>
              <w:tc>
                <w:tcPr>
                  <w:tcW w:w="963"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空间相</w:t>
                  </w:r>
                </w:p>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对位置</w:t>
                  </w:r>
                </w:p>
              </w:tc>
              <w:tc>
                <w:tcPr>
                  <w:tcW w:w="36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距室内边界距离m</w:t>
                  </w:r>
                </w:p>
              </w:tc>
              <w:tc>
                <w:tcPr>
                  <w:tcW w:w="36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室内边界声级dB</w:t>
                  </w:r>
                </w:p>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42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运行时段</w:t>
                  </w:r>
                </w:p>
              </w:tc>
              <w:tc>
                <w:tcPr>
                  <w:tcW w:w="37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建筑物插入损失dB</w:t>
                  </w:r>
                </w:p>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76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4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2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4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6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3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X</w:t>
                  </w:r>
                </w:p>
              </w:tc>
              <w:tc>
                <w:tcPr>
                  <w:tcW w:w="37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Y</w:t>
                  </w:r>
                </w:p>
              </w:tc>
              <w:tc>
                <w:tcPr>
                  <w:tcW w:w="2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Z</w:t>
                  </w: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6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2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声压级</w:t>
                  </w:r>
                </w:p>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dB(A)</w:t>
                  </w:r>
                </w:p>
              </w:tc>
              <w:tc>
                <w:tcPr>
                  <w:tcW w:w="34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restart"/>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生产车间</w:t>
                  </w:r>
                </w:p>
              </w:tc>
              <w:tc>
                <w:tcPr>
                  <w:tcW w:w="421" w:type="pct"/>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磨机</w:t>
                  </w:r>
                </w:p>
              </w:tc>
              <w:tc>
                <w:tcPr>
                  <w:tcW w:w="2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89" w:type="pct"/>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85</w:t>
                  </w:r>
                </w:p>
              </w:tc>
              <w:tc>
                <w:tcPr>
                  <w:tcW w:w="36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已选用低噪声设备，厂房封闭、加装减震、隔声设施</w:t>
                  </w:r>
                </w:p>
              </w:tc>
              <w:tc>
                <w:tcPr>
                  <w:tcW w:w="33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61.5</w:t>
                  </w:r>
                </w:p>
              </w:tc>
              <w:tc>
                <w:tcPr>
                  <w:tcW w:w="37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-27.1</w:t>
                  </w:r>
                </w:p>
              </w:tc>
              <w:tc>
                <w:tcPr>
                  <w:tcW w:w="2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3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w:t>
                  </w:r>
                </w:p>
              </w:tc>
              <w:tc>
                <w:tcPr>
                  <w:tcW w:w="367" w:type="pct"/>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76</w:t>
                  </w:r>
                </w:p>
              </w:tc>
              <w:tc>
                <w:tcPr>
                  <w:tcW w:w="42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2000h</w:t>
                  </w:r>
                </w:p>
              </w:tc>
              <w:tc>
                <w:tcPr>
                  <w:tcW w:w="3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w:t>
                  </w:r>
                </w:p>
              </w:tc>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56</w:t>
                  </w:r>
                </w:p>
              </w:tc>
              <w:tc>
                <w:tcPr>
                  <w:tcW w:w="34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420" w:type="pct"/>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21"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磨机</w:t>
                  </w:r>
                </w:p>
              </w:tc>
              <w:tc>
                <w:tcPr>
                  <w:tcW w:w="2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89" w:type="pct"/>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85</w:t>
                  </w:r>
                </w:p>
              </w:tc>
              <w:tc>
                <w:tcPr>
                  <w:tcW w:w="36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3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61.5</w:t>
                  </w:r>
                </w:p>
              </w:tc>
              <w:tc>
                <w:tcPr>
                  <w:tcW w:w="37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-18.2</w:t>
                  </w:r>
                </w:p>
              </w:tc>
              <w:tc>
                <w:tcPr>
                  <w:tcW w:w="2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3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c>
                <w:tcPr>
                  <w:tcW w:w="367" w:type="pct"/>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74</w:t>
                  </w:r>
                </w:p>
              </w:tc>
              <w:tc>
                <w:tcPr>
                  <w:tcW w:w="42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w:t>
                  </w:r>
                </w:p>
              </w:tc>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54</w:t>
                  </w:r>
                </w:p>
              </w:tc>
              <w:tc>
                <w:tcPr>
                  <w:tcW w:w="34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0" w:type="pct"/>
                  <w:vMerge w:val="continue"/>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21" w:type="pct"/>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振动筛</w:t>
                  </w:r>
                </w:p>
              </w:tc>
              <w:tc>
                <w:tcPr>
                  <w:tcW w:w="2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89" w:type="pct"/>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85</w:t>
                  </w:r>
                </w:p>
              </w:tc>
              <w:tc>
                <w:tcPr>
                  <w:tcW w:w="36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3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61.5</w:t>
                  </w:r>
                </w:p>
              </w:tc>
              <w:tc>
                <w:tcPr>
                  <w:tcW w:w="37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-10.4</w:t>
                  </w:r>
                </w:p>
              </w:tc>
              <w:tc>
                <w:tcPr>
                  <w:tcW w:w="2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0.5</w:t>
                  </w:r>
                </w:p>
              </w:tc>
              <w:tc>
                <w:tcPr>
                  <w:tcW w:w="3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w:t>
                  </w:r>
                </w:p>
              </w:tc>
              <w:tc>
                <w:tcPr>
                  <w:tcW w:w="367" w:type="pct"/>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75</w:t>
                  </w:r>
                </w:p>
              </w:tc>
              <w:tc>
                <w:tcPr>
                  <w:tcW w:w="42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w:t>
                  </w:r>
                </w:p>
              </w:tc>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55</w:t>
                  </w:r>
                </w:p>
              </w:tc>
              <w:tc>
                <w:tcPr>
                  <w:tcW w:w="34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20" w:type="pct"/>
                  <w:vMerge w:val="continue"/>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21" w:type="pct"/>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振动筛</w:t>
                  </w:r>
                </w:p>
              </w:tc>
              <w:tc>
                <w:tcPr>
                  <w:tcW w:w="2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89" w:type="pct"/>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p>
              </w:tc>
              <w:tc>
                <w:tcPr>
                  <w:tcW w:w="36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3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61.5</w:t>
                  </w:r>
                </w:p>
              </w:tc>
              <w:tc>
                <w:tcPr>
                  <w:tcW w:w="37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w:t>
                  </w:r>
                </w:p>
              </w:tc>
              <w:tc>
                <w:tcPr>
                  <w:tcW w:w="2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0.5</w:t>
                  </w:r>
                </w:p>
              </w:tc>
              <w:tc>
                <w:tcPr>
                  <w:tcW w:w="3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11</w:t>
                  </w:r>
                </w:p>
              </w:tc>
              <w:tc>
                <w:tcPr>
                  <w:tcW w:w="367" w:type="pct"/>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73</w:t>
                  </w:r>
                </w:p>
              </w:tc>
              <w:tc>
                <w:tcPr>
                  <w:tcW w:w="42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w:t>
                  </w:r>
                </w:p>
              </w:tc>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53</w:t>
                  </w:r>
                </w:p>
              </w:tc>
              <w:tc>
                <w:tcPr>
                  <w:tcW w:w="34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20" w:type="pct"/>
                  <w:vMerge w:val="continue"/>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21" w:type="pct"/>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整形机</w:t>
                  </w:r>
                </w:p>
              </w:tc>
              <w:tc>
                <w:tcPr>
                  <w:tcW w:w="2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89" w:type="pct"/>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85</w:t>
                  </w:r>
                </w:p>
              </w:tc>
              <w:tc>
                <w:tcPr>
                  <w:tcW w:w="36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3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61.5</w:t>
                  </w:r>
                </w:p>
              </w:tc>
              <w:tc>
                <w:tcPr>
                  <w:tcW w:w="37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11.9</w:t>
                  </w:r>
                </w:p>
              </w:tc>
              <w:tc>
                <w:tcPr>
                  <w:tcW w:w="2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0.5</w:t>
                  </w:r>
                </w:p>
              </w:tc>
              <w:tc>
                <w:tcPr>
                  <w:tcW w:w="3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12</w:t>
                  </w:r>
                </w:p>
              </w:tc>
              <w:tc>
                <w:tcPr>
                  <w:tcW w:w="367" w:type="pct"/>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72</w:t>
                  </w:r>
                </w:p>
              </w:tc>
              <w:tc>
                <w:tcPr>
                  <w:tcW w:w="42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w:t>
                  </w:r>
                </w:p>
              </w:tc>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52</w:t>
                  </w:r>
                </w:p>
              </w:tc>
              <w:tc>
                <w:tcPr>
                  <w:tcW w:w="34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20" w:type="pct"/>
                  <w:vMerge w:val="continue"/>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21" w:type="pct"/>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风机</w:t>
                  </w:r>
                </w:p>
              </w:tc>
              <w:tc>
                <w:tcPr>
                  <w:tcW w:w="2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89" w:type="pct"/>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90</w:t>
                  </w:r>
                </w:p>
              </w:tc>
              <w:tc>
                <w:tcPr>
                  <w:tcW w:w="36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3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61.5</w:t>
                  </w:r>
                </w:p>
              </w:tc>
              <w:tc>
                <w:tcPr>
                  <w:tcW w:w="37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22</w:t>
                  </w:r>
                </w:p>
              </w:tc>
              <w:tc>
                <w:tcPr>
                  <w:tcW w:w="2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2.5</w:t>
                  </w:r>
                </w:p>
              </w:tc>
              <w:tc>
                <w:tcPr>
                  <w:tcW w:w="3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367" w:type="pct"/>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72</w:t>
                  </w:r>
                </w:p>
              </w:tc>
              <w:tc>
                <w:tcPr>
                  <w:tcW w:w="42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w:t>
                  </w:r>
                </w:p>
              </w:tc>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52</w:t>
                  </w:r>
                </w:p>
              </w:tc>
              <w:tc>
                <w:tcPr>
                  <w:tcW w:w="34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室外</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噪声污染源相关参数一览表</w:t>
            </w:r>
          </w:p>
          <w:tbl>
            <w:tblPr>
              <w:tblStyle w:val="3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738"/>
              <w:gridCol w:w="887"/>
              <w:gridCol w:w="887"/>
              <w:gridCol w:w="908"/>
              <w:gridCol w:w="1204"/>
              <w:gridCol w:w="1182"/>
              <w:gridCol w:w="13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声源名称</w:t>
                  </w:r>
                </w:p>
              </w:tc>
              <w:tc>
                <w:tcPr>
                  <w:tcW w:w="42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型号</w:t>
                  </w:r>
                </w:p>
              </w:tc>
              <w:tc>
                <w:tcPr>
                  <w:tcW w:w="1527"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空间相对位置</w:t>
                  </w:r>
                </w:p>
              </w:tc>
              <w:tc>
                <w:tcPr>
                  <w:tcW w:w="68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声</w:t>
                  </w:r>
                  <w:r>
                    <w:rPr>
                      <w:rFonts w:hint="eastAsia"/>
                      <w:b w:val="0"/>
                      <w:bCs w:val="0"/>
                      <w:color w:val="000000" w:themeColor="text1"/>
                      <w:sz w:val="21"/>
                      <w:szCs w:val="21"/>
                      <w:lang w:val="en-US" w:eastAsia="zh-CN"/>
                      <w14:textFill>
                        <w14:solidFill>
                          <w14:schemeClr w14:val="tx1"/>
                        </w14:solidFill>
                      </w14:textFill>
                    </w:rPr>
                    <w:t>功率</w:t>
                  </w:r>
                  <w:r>
                    <w:rPr>
                      <w:rFonts w:hint="default"/>
                      <w:b w:val="0"/>
                      <w:bCs w:val="0"/>
                      <w:color w:val="000000" w:themeColor="text1"/>
                      <w:sz w:val="21"/>
                      <w:szCs w:val="21"/>
                      <w:lang w:val="en-US" w:eastAsia="zh-CN"/>
                      <w14:textFill>
                        <w14:solidFill>
                          <w14:schemeClr w14:val="tx1"/>
                        </w14:solidFill>
                      </w14:textFill>
                    </w:rPr>
                    <w:t>级dB(A)</w:t>
                  </w:r>
                </w:p>
              </w:tc>
              <w:tc>
                <w:tcPr>
                  <w:tcW w:w="67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声源控制措施</w:t>
                  </w:r>
                </w:p>
              </w:tc>
              <w:tc>
                <w:tcPr>
                  <w:tcW w:w="79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8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p>
              </w:tc>
              <w:tc>
                <w:tcPr>
                  <w:tcW w:w="42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p>
              </w:tc>
              <w:tc>
                <w:tcPr>
                  <w:tcW w:w="5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X</w:t>
                  </w:r>
                </w:p>
              </w:tc>
              <w:tc>
                <w:tcPr>
                  <w:tcW w:w="5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Y</w:t>
                  </w:r>
                </w:p>
              </w:tc>
              <w:tc>
                <w:tcPr>
                  <w:tcW w:w="5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Z</w:t>
                  </w:r>
                </w:p>
              </w:tc>
              <w:tc>
                <w:tcPr>
                  <w:tcW w:w="68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p>
              </w:tc>
              <w:tc>
                <w:tcPr>
                  <w:tcW w:w="67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p>
              </w:tc>
              <w:tc>
                <w:tcPr>
                  <w:tcW w:w="79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97" w:type="pc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铲车</w:t>
                  </w:r>
                </w:p>
              </w:tc>
              <w:tc>
                <w:tcPr>
                  <w:tcW w:w="4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w:t>
                  </w:r>
                </w:p>
              </w:tc>
              <w:tc>
                <w:tcPr>
                  <w:tcW w:w="5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30</w:t>
                  </w:r>
                </w:p>
              </w:tc>
              <w:tc>
                <w:tcPr>
                  <w:tcW w:w="5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45</w:t>
                  </w:r>
                </w:p>
              </w:tc>
              <w:tc>
                <w:tcPr>
                  <w:tcW w:w="5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0</w:t>
                  </w:r>
                </w:p>
              </w:tc>
              <w:tc>
                <w:tcPr>
                  <w:tcW w:w="686" w:type="pc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80</w:t>
                  </w:r>
                </w:p>
              </w:tc>
              <w:tc>
                <w:tcPr>
                  <w:tcW w:w="67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eastAsia"/>
                      <w:b w:val="0"/>
                      <w:bCs w:val="0"/>
                      <w:color w:val="000000" w:themeColor="text1"/>
                      <w:sz w:val="21"/>
                      <w:szCs w:val="21"/>
                      <w:lang w:val="en-US" w:eastAsia="zh-CN"/>
                      <w14:textFill>
                        <w14:solidFill>
                          <w14:schemeClr w14:val="tx1"/>
                        </w14:solidFill>
                      </w14:textFill>
                    </w:rPr>
                  </w:pPr>
                  <w:r>
                    <w:rPr>
                      <w:b w:val="0"/>
                      <w:bCs w:val="0"/>
                      <w:color w:val="000000" w:themeColor="text1"/>
                      <w:sz w:val="21"/>
                      <w:szCs w:val="21"/>
                      <w14:textFill>
                        <w14:solidFill>
                          <w14:schemeClr w14:val="tx1"/>
                        </w14:solidFill>
                      </w14:textFill>
                    </w:rPr>
                    <w:t>选用低噪声设备</w:t>
                  </w:r>
                  <w:r>
                    <w:rPr>
                      <w:rFonts w:hint="eastAsia"/>
                      <w:b w:val="0"/>
                      <w:bCs w:val="0"/>
                      <w:color w:val="000000" w:themeColor="text1"/>
                      <w:sz w:val="21"/>
                      <w:szCs w:val="21"/>
                      <w:lang w:eastAsia="zh-CN"/>
                      <w14:textFill>
                        <w14:solidFill>
                          <w14:schemeClr w14:val="tx1"/>
                        </w14:solidFill>
                      </w14:textFill>
                    </w:rPr>
                    <w:t>，</w:t>
                  </w:r>
                  <w:r>
                    <w:rPr>
                      <w:rFonts w:hint="default"/>
                      <w:b w:val="0"/>
                      <w:bCs w:val="0"/>
                      <w:color w:val="000000" w:themeColor="text1"/>
                      <w:sz w:val="21"/>
                      <w:szCs w:val="21"/>
                      <w14:textFill>
                        <w14:solidFill>
                          <w14:schemeClr w14:val="tx1"/>
                        </w14:solidFill>
                      </w14:textFill>
                    </w:rPr>
                    <w:t>加装减震设施</w:t>
                  </w:r>
                </w:p>
              </w:tc>
              <w:tc>
                <w:tcPr>
                  <w:tcW w:w="79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8：00-17：00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97" w:type="pct"/>
                  <w:tcBorders>
                    <w:tl2br w:val="nil"/>
                    <w:tr2bl w:val="nil"/>
                  </w:tcBorders>
                  <w:noWrap w:val="0"/>
                  <w:vAlign w:val="center"/>
                </w:tcPr>
                <w:p>
                  <w:pPr>
                    <w:keepNext w:val="0"/>
                    <w:keepLines w:val="0"/>
                    <w:pageBreakBefore w:val="0"/>
                    <w:kinsoku/>
                    <w:wordWrap/>
                    <w:overflowPunct/>
                    <w:topLinePunct w:val="0"/>
                    <w:bidi w:val="0"/>
                    <w:adjustRightInd w:val="0"/>
                    <w:snapToGrid w:val="0"/>
                    <w:ind w:right="0"/>
                    <w:jc w:val="center"/>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翻斗车</w:t>
                  </w:r>
                </w:p>
              </w:tc>
              <w:tc>
                <w:tcPr>
                  <w:tcW w:w="4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w:t>
                  </w:r>
                </w:p>
              </w:tc>
              <w:tc>
                <w:tcPr>
                  <w:tcW w:w="5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25</w:t>
                  </w:r>
                </w:p>
              </w:tc>
              <w:tc>
                <w:tcPr>
                  <w:tcW w:w="5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10</w:t>
                  </w:r>
                </w:p>
              </w:tc>
              <w:tc>
                <w:tcPr>
                  <w:tcW w:w="5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0</w:t>
                  </w:r>
                </w:p>
              </w:tc>
              <w:tc>
                <w:tcPr>
                  <w:tcW w:w="686" w:type="pct"/>
                  <w:tcBorders>
                    <w:tl2br w:val="nil"/>
                    <w:tr2bl w:val="nil"/>
                  </w:tcBorders>
                  <w:noWrap w:val="0"/>
                  <w:vAlign w:val="center"/>
                </w:tcPr>
                <w:p>
                  <w:pPr>
                    <w:keepNext w:val="0"/>
                    <w:keepLines w:val="0"/>
                    <w:pageBreakBefore w:val="0"/>
                    <w:kinsoku/>
                    <w:wordWrap/>
                    <w:overflowPunct/>
                    <w:topLinePunct w:val="0"/>
                    <w:bidi w:val="0"/>
                    <w:ind w:right="0"/>
                    <w:jc w:val="center"/>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80</w:t>
                  </w:r>
                </w:p>
              </w:tc>
              <w:tc>
                <w:tcPr>
                  <w:tcW w:w="67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p>
              </w:tc>
              <w:tc>
                <w:tcPr>
                  <w:tcW w:w="79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3.2噪声预测</w:t>
            </w:r>
          </w:p>
          <w:p>
            <w:pPr>
              <w:adjustRightInd w:val="0"/>
              <w:snapToGrid w:val="0"/>
              <w:spacing w:line="360" w:lineRule="auto"/>
              <w:ind w:firstLine="440" w:firstLineChars="200"/>
              <w:rPr>
                <w:bCs/>
                <w:color w:val="auto"/>
                <w:spacing w:val="-10"/>
                <w:sz w:val="24"/>
              </w:rPr>
            </w:pPr>
            <w:r>
              <w:rPr>
                <w:bCs/>
                <w:color w:val="auto"/>
                <w:spacing w:val="-10"/>
                <w:sz w:val="24"/>
              </w:rPr>
              <w:t>预测模式采用《环境影响评价技术导则-声环境》（HJ2.4-2021）中推荐的预测模式。采用环安噪声软件进行预测。</w:t>
            </w:r>
          </w:p>
          <w:p>
            <w:pPr>
              <w:adjustRightInd w:val="0"/>
              <w:snapToGrid w:val="0"/>
              <w:spacing w:line="360" w:lineRule="auto"/>
              <w:ind w:firstLine="440" w:firstLineChars="200"/>
              <w:rPr>
                <w:bCs/>
                <w:color w:val="auto"/>
                <w:spacing w:val="-10"/>
                <w:sz w:val="24"/>
              </w:rPr>
            </w:pPr>
            <w:r>
              <w:rPr>
                <w:bCs/>
                <w:color w:val="auto"/>
                <w:spacing w:val="-10"/>
                <w:sz w:val="24"/>
              </w:rPr>
              <w:fldChar w:fldCharType="begin"/>
            </w:r>
            <w:r>
              <w:rPr>
                <w:bCs/>
                <w:color w:val="auto"/>
                <w:spacing w:val="-10"/>
                <w:sz w:val="24"/>
              </w:rPr>
              <w:instrText xml:space="preserve"> </w:instrText>
            </w:r>
            <w:r>
              <w:rPr>
                <w:rFonts w:hint="eastAsia"/>
                <w:bCs/>
                <w:color w:val="auto"/>
                <w:spacing w:val="-10"/>
                <w:sz w:val="24"/>
              </w:rPr>
              <w:instrText xml:space="preserve">= 1 \* GB3</w:instrText>
            </w:r>
            <w:r>
              <w:rPr>
                <w:bCs/>
                <w:color w:val="auto"/>
                <w:spacing w:val="-10"/>
                <w:sz w:val="24"/>
              </w:rPr>
              <w:instrText xml:space="preserve"> </w:instrText>
            </w:r>
            <w:r>
              <w:rPr>
                <w:bCs/>
                <w:color w:val="auto"/>
                <w:spacing w:val="-10"/>
                <w:sz w:val="24"/>
              </w:rPr>
              <w:fldChar w:fldCharType="separate"/>
            </w:r>
            <w:r>
              <w:rPr>
                <w:rFonts w:hint="eastAsia"/>
                <w:bCs/>
                <w:color w:val="auto"/>
                <w:spacing w:val="-10"/>
                <w:sz w:val="24"/>
              </w:rPr>
              <w:t>①</w:t>
            </w:r>
            <w:r>
              <w:rPr>
                <w:bCs/>
                <w:color w:val="auto"/>
                <w:spacing w:val="-10"/>
                <w:sz w:val="24"/>
              </w:rPr>
              <w:fldChar w:fldCharType="end"/>
            </w:r>
            <w:r>
              <w:rPr>
                <w:bCs/>
                <w:color w:val="auto"/>
                <w:spacing w:val="-10"/>
                <w:sz w:val="24"/>
              </w:rPr>
              <w:t>室内设备噪声影响预测采用室内声场扩散衰减模式，具体如下：</w:t>
            </w:r>
          </w:p>
          <w:p>
            <w:pPr>
              <w:pStyle w:val="109"/>
              <w:spacing w:line="360" w:lineRule="auto"/>
              <w:ind w:firstLine="0" w:firstLineChars="0"/>
              <w:jc w:val="center"/>
              <w:rPr>
                <w:rFonts w:eastAsia="仿宋"/>
                <w:color w:val="auto"/>
                <w:vertAlign w:val="subscript"/>
              </w:rPr>
            </w:pPr>
            <w:r>
              <w:rPr>
                <w:rFonts w:hint="eastAsia" w:eastAsia="仿宋"/>
                <w:color w:val="auto"/>
                <w:position w:val="-24"/>
                <w:sz w:val="24"/>
                <w:lang w:eastAsia="zh-CN"/>
              </w:rPr>
              <w:object>
                <v:shape id="_x0000_i1044" o:spt="75" type="#_x0000_t75" style="height:37.8pt;width:199.05pt;" o:ole="t" filled="f" o:preferrelative="t" stroked="f" coordsize="21600,21600">
                  <v:path/>
                  <v:fill on="f" focussize="0,0"/>
                  <v:stroke on="f"/>
                  <v:imagedata r:id="rId44" o:title=""/>
                  <o:lock v:ext="edit" aspectratio="t"/>
                  <w10:wrap type="none"/>
                  <w10:anchorlock/>
                </v:shape>
                <o:OLEObject Type="Embed" ProgID="Equation.KSEE3" ShapeID="_x0000_i1044" DrawAspect="Content" ObjectID="_1468075744" r:id="rId43">
                  <o:LockedField>false</o:LockedField>
                </o:OLEObject>
              </w:object>
            </w:r>
          </w:p>
          <w:p>
            <w:pPr>
              <w:adjustRightInd w:val="0"/>
              <w:snapToGrid w:val="0"/>
              <w:spacing w:line="360" w:lineRule="auto"/>
              <w:ind w:firstLine="440" w:firstLineChars="200"/>
              <w:rPr>
                <w:bCs/>
                <w:color w:val="auto"/>
                <w:spacing w:val="-10"/>
                <w:sz w:val="24"/>
              </w:rPr>
            </w:pPr>
            <w:r>
              <w:rPr>
                <w:bCs/>
                <w:color w:val="auto"/>
                <w:spacing w:val="-10"/>
                <w:sz w:val="24"/>
              </w:rPr>
              <w:t>式中：</w:t>
            </w:r>
            <w:r>
              <w:rPr>
                <w:bCs/>
                <w:color w:val="auto"/>
                <w:spacing w:val="-10"/>
                <w:position w:val="-4"/>
                <w:sz w:val="24"/>
              </w:rPr>
              <w:object>
                <v:shape id="_x0000_i1045" o:spt="75" type="#_x0000_t75" style="height:13pt;width:16pt;" o:ole="t" filled="f" o:preferrelative="t" stroked="f" coordsize="21600,21600">
                  <v:path/>
                  <v:fill on="f" focussize="0,0"/>
                  <v:stroke on="f"/>
                  <v:imagedata r:id="rId46" o:title=""/>
                  <o:lock v:ext="edit" aspectratio="t"/>
                  <w10:wrap type="none"/>
                  <w10:anchorlock/>
                </v:shape>
                <o:OLEObject Type="Embed" ProgID="Equation.KSEE3" ShapeID="_x0000_i1045" DrawAspect="Content" ObjectID="_1468075745" r:id="rId45">
                  <o:LockedField>false</o:LockedField>
                </o:OLEObject>
              </w:object>
            </w:r>
            <w:r>
              <w:rPr>
                <w:bCs/>
                <w:color w:val="auto"/>
                <w:spacing w:val="-10"/>
                <w:sz w:val="24"/>
              </w:rPr>
              <w:t>——预测点的噪声级（dB）；</w:t>
            </w:r>
          </w:p>
          <w:p>
            <w:pPr>
              <w:adjustRightInd w:val="0"/>
              <w:snapToGrid w:val="0"/>
              <w:spacing w:line="360" w:lineRule="auto"/>
              <w:ind w:firstLine="440" w:firstLineChars="200"/>
              <w:rPr>
                <w:bCs/>
                <w:color w:val="auto"/>
                <w:spacing w:val="-10"/>
                <w:sz w:val="24"/>
              </w:rPr>
            </w:pPr>
            <w:r>
              <w:rPr>
                <w:bCs/>
                <w:color w:val="auto"/>
                <w:spacing w:val="-10"/>
                <w:position w:val="-6"/>
                <w:sz w:val="24"/>
              </w:rPr>
              <w:object>
                <v:shape id="_x0000_i1046" o:spt="75" type="#_x0000_t75" style="height:13.95pt;width:18pt;" o:ole="t" filled="f" o:preferrelative="t" stroked="f" coordsize="21600,21600">
                  <v:path/>
                  <v:fill on="f" focussize="0,0"/>
                  <v:stroke on="f"/>
                  <v:imagedata r:id="rId48" o:title=""/>
                  <o:lock v:ext="edit" aspectratio="t"/>
                  <w10:wrap type="none"/>
                  <w10:anchorlock/>
                </v:shape>
                <o:OLEObject Type="Embed" ProgID="Equation.KSEE3" ShapeID="_x0000_i1046" DrawAspect="Content" ObjectID="_1468075746" r:id="rId47">
                  <o:LockedField>false</o:LockedField>
                </o:OLEObject>
              </w:object>
            </w:r>
            <w:r>
              <w:rPr>
                <w:bCs/>
                <w:color w:val="auto"/>
                <w:spacing w:val="-10"/>
                <w:sz w:val="24"/>
              </w:rPr>
              <w:t>——声源声功率级（dB）；</w:t>
            </w:r>
          </w:p>
          <w:p>
            <w:pPr>
              <w:adjustRightInd w:val="0"/>
              <w:snapToGrid w:val="0"/>
              <w:spacing w:line="360" w:lineRule="auto"/>
              <w:ind w:firstLine="440" w:firstLineChars="200"/>
              <w:rPr>
                <w:bCs/>
                <w:color w:val="auto"/>
                <w:spacing w:val="-10"/>
                <w:sz w:val="24"/>
              </w:rPr>
            </w:pPr>
            <w:r>
              <w:rPr>
                <w:bCs/>
                <w:color w:val="auto"/>
                <w:spacing w:val="-10"/>
                <w:position w:val="-10"/>
                <w:sz w:val="24"/>
              </w:rPr>
              <w:object>
                <v:shape id="_x0000_i1047" o:spt="75" type="#_x0000_t75" style="height:16pt;width:12pt;" o:ole="t" filled="f" o:preferrelative="t" stroked="f" coordsize="21600,21600">
                  <v:path/>
                  <v:fill on="f" focussize="0,0"/>
                  <v:stroke on="f"/>
                  <v:imagedata r:id="rId50" o:title=""/>
                  <o:lock v:ext="edit" aspectratio="t"/>
                  <w10:wrap type="none"/>
                  <w10:anchorlock/>
                </v:shape>
                <o:OLEObject Type="Embed" ProgID="Equation.KSEE3" ShapeID="_x0000_i1047" DrawAspect="Content" ObjectID="_1468075747" r:id="rId49">
                  <o:LockedField>false</o:LockedField>
                </o:OLEObject>
              </w:object>
            </w:r>
            <w:r>
              <w:rPr>
                <w:bCs/>
                <w:color w:val="auto"/>
                <w:spacing w:val="-10"/>
                <w:sz w:val="24"/>
              </w:rPr>
              <w:t>——室内空间指向因子，（完全自由空间Q=1，半自由空间Q=2，1/4自由空间Q=4，1/8自由空间Q=8）</w:t>
            </w:r>
          </w:p>
          <w:p>
            <w:pPr>
              <w:adjustRightInd w:val="0"/>
              <w:snapToGrid w:val="0"/>
              <w:spacing w:line="360" w:lineRule="auto"/>
              <w:ind w:firstLine="440" w:firstLineChars="200"/>
              <w:rPr>
                <w:bCs/>
                <w:color w:val="auto"/>
                <w:spacing w:val="-10"/>
                <w:sz w:val="24"/>
              </w:rPr>
            </w:pPr>
            <w:r>
              <w:rPr>
                <w:bCs/>
                <w:color w:val="auto"/>
                <w:spacing w:val="-10"/>
                <w:position w:val="-4"/>
                <w:sz w:val="24"/>
              </w:rPr>
              <w:object>
                <v:shape id="_x0000_i1048" o:spt="75" type="#_x0000_t75" style="height:13pt;width:12pt;" o:ole="t" filled="f" o:preferrelative="t" stroked="f" coordsize="21600,21600">
                  <v:path/>
                  <v:fill on="f" focussize="0,0"/>
                  <v:stroke on="f"/>
                  <v:imagedata r:id="rId52" o:title=""/>
                  <o:lock v:ext="edit" aspectratio="t"/>
                  <w10:wrap type="none"/>
                  <w10:anchorlock/>
                </v:shape>
                <o:OLEObject Type="Embed" ProgID="Equation.KSEE3" ShapeID="_x0000_i1048" DrawAspect="Content" ObjectID="_1468075748" r:id="rId51">
                  <o:LockedField>false</o:LockedField>
                </o:OLEObject>
              </w:object>
            </w:r>
            <w:r>
              <w:rPr>
                <w:bCs/>
                <w:color w:val="auto"/>
                <w:spacing w:val="-10"/>
                <w:sz w:val="24"/>
              </w:rPr>
              <w:t>——预测点离声源距离（m）；</w:t>
            </w:r>
          </w:p>
          <w:p>
            <w:pPr>
              <w:adjustRightInd w:val="0"/>
              <w:snapToGrid w:val="0"/>
              <w:spacing w:line="360" w:lineRule="auto"/>
              <w:ind w:firstLine="440" w:firstLineChars="200"/>
              <w:rPr>
                <w:bCs/>
                <w:color w:val="auto"/>
                <w:spacing w:val="-10"/>
                <w:sz w:val="24"/>
              </w:rPr>
            </w:pPr>
            <w:r>
              <w:rPr>
                <w:bCs/>
                <w:color w:val="auto"/>
                <w:spacing w:val="-10"/>
                <w:position w:val="-10"/>
                <w:sz w:val="24"/>
              </w:rPr>
              <w:object>
                <v:shape id="_x0000_i1049" o:spt="75" type="#_x0000_t75" style="height:13pt;width:12pt;" o:ole="t" filled="f" o:preferrelative="t" stroked="f" coordsize="21600,21600">
                  <v:path/>
                  <v:fill on="f" focussize="0,0"/>
                  <v:stroke on="f"/>
                  <v:imagedata r:id="rId54" o:title=""/>
                  <o:lock v:ext="edit" aspectratio="t"/>
                  <w10:wrap type="none"/>
                  <w10:anchorlock/>
                </v:shape>
                <o:OLEObject Type="Embed" ProgID="Equation.KSEE3" ShapeID="_x0000_i1049" DrawAspect="Content" ObjectID="_1468075749" r:id="rId53">
                  <o:LockedField>false</o:LockedField>
                </o:OLEObject>
              </w:object>
            </w:r>
            <w:r>
              <w:rPr>
                <w:bCs/>
                <w:color w:val="auto"/>
                <w:spacing w:val="-10"/>
                <w:sz w:val="24"/>
              </w:rPr>
              <w:t>——室内房间常数（由房间材料决定）；</w:t>
            </w:r>
          </w:p>
          <w:p>
            <w:pPr>
              <w:adjustRightInd w:val="0"/>
              <w:snapToGrid w:val="0"/>
              <w:spacing w:line="360" w:lineRule="auto"/>
              <w:ind w:firstLine="440" w:firstLineChars="200"/>
              <w:rPr>
                <w:bCs/>
                <w:color w:val="auto"/>
                <w:spacing w:val="-10"/>
                <w:sz w:val="24"/>
              </w:rPr>
            </w:pPr>
            <w:r>
              <w:rPr>
                <w:bCs/>
                <w:color w:val="auto"/>
                <w:spacing w:val="-10"/>
                <w:position w:val="-6"/>
                <w:sz w:val="24"/>
              </w:rPr>
              <w:object>
                <v:shape id="_x0000_i1050" o:spt="75" type="#_x0000_t75" style="height:13.95pt;width:12pt;" o:ole="t" filled="f" o:preferrelative="t" stroked="f" coordsize="21600,21600">
                  <v:path/>
                  <v:fill on="f" focussize="0,0"/>
                  <v:stroke on="f"/>
                  <v:imagedata r:id="rId56" o:title=""/>
                  <o:lock v:ext="edit" aspectratio="t"/>
                  <w10:wrap type="none"/>
                  <w10:anchorlock/>
                </v:shape>
                <o:OLEObject Type="Embed" ProgID="Equation.KSEE3" ShapeID="_x0000_i1050" DrawAspect="Content" ObjectID="_1468075750" r:id="rId55">
                  <o:LockedField>false</o:LockedField>
                </o:OLEObject>
              </w:object>
            </w:r>
            <w:r>
              <w:rPr>
                <w:bCs/>
                <w:color w:val="auto"/>
                <w:spacing w:val="-10"/>
                <w:sz w:val="24"/>
              </w:rPr>
              <w:t>——空气中的声速（m/s）；</w:t>
            </w:r>
          </w:p>
          <w:p>
            <w:pPr>
              <w:adjustRightInd w:val="0"/>
              <w:snapToGrid w:val="0"/>
              <w:spacing w:line="360" w:lineRule="auto"/>
              <w:ind w:firstLine="440" w:firstLineChars="200"/>
              <w:rPr>
                <w:rFonts w:hint="eastAsia" w:eastAsia="宋体"/>
                <w:bCs/>
                <w:color w:val="auto"/>
                <w:spacing w:val="-10"/>
                <w:sz w:val="24"/>
                <w:lang w:eastAsia="zh-CN"/>
              </w:rPr>
            </w:pPr>
            <w:r>
              <w:rPr>
                <w:bCs/>
                <w:color w:val="auto"/>
                <w:spacing w:val="-10"/>
                <w:position w:val="-4"/>
                <w:sz w:val="24"/>
              </w:rPr>
              <w:object>
                <v:shape id="_x0000_i1051" o:spt="75" type="#_x0000_t75" style="height:13pt;width:19pt;" o:ole="t" filled="f" o:preferrelative="t" stroked="f" coordsize="21600,21600">
                  <v:path/>
                  <v:fill on="f" focussize="0,0"/>
                  <v:stroke on="f"/>
                  <v:imagedata r:id="rId58" o:title=""/>
                  <o:lock v:ext="edit" aspectratio="t"/>
                  <w10:wrap type="none"/>
                  <w10:anchorlock/>
                </v:shape>
                <o:OLEObject Type="Embed" ProgID="Equation.KSEE3" ShapeID="_x0000_i1051" DrawAspect="Content" ObjectID="_1468075751" r:id="rId57">
                  <o:LockedField>false</o:LockedField>
                </o:OLEObject>
              </w:object>
            </w:r>
            <w:r>
              <w:rPr>
                <w:bCs/>
                <w:color w:val="auto"/>
                <w:spacing w:val="-10"/>
                <w:sz w:val="24"/>
              </w:rPr>
              <w:t>——隔墙的传声损失（dB）。</w:t>
            </w:r>
          </w:p>
          <w:p>
            <w:pPr>
              <w:adjustRightInd w:val="0"/>
              <w:snapToGrid w:val="0"/>
              <w:spacing w:line="360" w:lineRule="auto"/>
              <w:ind w:firstLine="440" w:firstLineChars="200"/>
              <w:rPr>
                <w:bCs/>
                <w:color w:val="auto"/>
                <w:spacing w:val="-10"/>
                <w:sz w:val="24"/>
              </w:rPr>
            </w:pPr>
            <w:r>
              <w:rPr>
                <w:bCs/>
                <w:color w:val="auto"/>
                <w:spacing w:val="-10"/>
                <w:sz w:val="24"/>
              </w:rPr>
              <w:fldChar w:fldCharType="begin"/>
            </w:r>
            <w:r>
              <w:rPr>
                <w:bCs/>
                <w:color w:val="auto"/>
                <w:spacing w:val="-10"/>
                <w:sz w:val="24"/>
              </w:rPr>
              <w:instrText xml:space="preserve"> </w:instrText>
            </w:r>
            <w:r>
              <w:rPr>
                <w:rFonts w:hint="eastAsia"/>
                <w:bCs/>
                <w:color w:val="auto"/>
                <w:spacing w:val="-10"/>
                <w:sz w:val="24"/>
              </w:rPr>
              <w:instrText xml:space="preserve">= 2 \* GB3</w:instrText>
            </w:r>
            <w:r>
              <w:rPr>
                <w:bCs/>
                <w:color w:val="auto"/>
                <w:spacing w:val="-10"/>
                <w:sz w:val="24"/>
              </w:rPr>
              <w:instrText xml:space="preserve"> </w:instrText>
            </w:r>
            <w:r>
              <w:rPr>
                <w:bCs/>
                <w:color w:val="auto"/>
                <w:spacing w:val="-10"/>
                <w:sz w:val="24"/>
              </w:rPr>
              <w:fldChar w:fldCharType="separate"/>
            </w:r>
            <w:r>
              <w:rPr>
                <w:rFonts w:hint="eastAsia"/>
                <w:bCs/>
                <w:color w:val="auto"/>
                <w:spacing w:val="-10"/>
                <w:sz w:val="24"/>
              </w:rPr>
              <w:t>②</w:t>
            </w:r>
            <w:r>
              <w:rPr>
                <w:bCs/>
                <w:color w:val="auto"/>
                <w:spacing w:val="-10"/>
                <w:sz w:val="24"/>
              </w:rPr>
              <w:fldChar w:fldCharType="end"/>
            </w:r>
            <w:r>
              <w:rPr>
                <w:bCs/>
                <w:color w:val="auto"/>
                <w:spacing w:val="-10"/>
                <w:sz w:val="24"/>
              </w:rPr>
              <w:t>室外设备噪声影响预测采用室外声场扩散衰减模式，具体如下：</w:t>
            </w:r>
          </w:p>
          <w:p>
            <w:pPr>
              <w:pStyle w:val="109"/>
              <w:spacing w:line="360" w:lineRule="auto"/>
              <w:ind w:firstLine="0"/>
              <w:jc w:val="center"/>
              <w:rPr>
                <w:rFonts w:eastAsia="仿宋"/>
                <w:color w:val="auto"/>
                <w:sz w:val="10"/>
                <w:szCs w:val="10"/>
              </w:rPr>
            </w:pPr>
            <w:r>
              <w:rPr>
                <w:rFonts w:eastAsia="仿宋"/>
                <w:color w:val="auto"/>
                <w:position w:val="-12"/>
                <w:sz w:val="10"/>
                <w:szCs w:val="10"/>
              </w:rPr>
              <w:object>
                <v:shape id="_x0000_i1052" o:spt="75" type="#_x0000_t75" style="height:22.45pt;width:109.65pt;" o:ole="t" filled="f" o:preferrelative="t" stroked="f" coordsize="21600,21600">
                  <v:path/>
                  <v:fill on="f" focussize="0,0"/>
                  <v:stroke on="f"/>
                  <v:imagedata r:id="rId60" o:title=""/>
                  <o:lock v:ext="edit" aspectratio="t"/>
                  <w10:wrap type="none"/>
                  <w10:anchorlock/>
                </v:shape>
                <o:OLEObject Type="Embed" ProgID="Equation.3" ShapeID="_x0000_i1052" DrawAspect="Content" ObjectID="_1468075752" r:id="rId59">
                  <o:LockedField>false</o:LockedField>
                </o:OLEObject>
              </w:object>
            </w:r>
          </w:p>
          <w:p>
            <w:pPr>
              <w:pStyle w:val="109"/>
              <w:spacing w:line="360" w:lineRule="auto"/>
              <w:ind w:firstLine="0"/>
              <w:jc w:val="center"/>
              <w:rPr>
                <w:rFonts w:eastAsia="仿宋"/>
                <w:color w:val="auto"/>
                <w:sz w:val="10"/>
                <w:szCs w:val="10"/>
              </w:rPr>
            </w:pPr>
            <w:r>
              <w:rPr>
                <w:rFonts w:eastAsia="仿宋"/>
                <w:color w:val="auto"/>
                <w:position w:val="-14"/>
                <w:sz w:val="10"/>
                <w:szCs w:val="10"/>
              </w:rPr>
              <w:object>
                <v:shape id="_x0000_i1053" o:spt="75" type="#_x0000_t75" style="height:26.25pt;width:218.2pt;" o:ole="t" filled="f" o:preferrelative="t" stroked="f" coordsize="21600,21600">
                  <v:path/>
                  <v:fill on="f" focussize="0,0"/>
                  <v:stroke on="f"/>
                  <v:imagedata r:id="rId62" o:title=""/>
                  <o:lock v:ext="edit" aspectratio="t"/>
                  <w10:wrap type="none"/>
                  <w10:anchorlock/>
                </v:shape>
                <o:OLEObject Type="Embed" ProgID="Equation.3" ShapeID="_x0000_i1053" DrawAspect="Content" ObjectID="_1468075753" r:id="rId61">
                  <o:LockedField>false</o:LockedField>
                </o:OLEObject>
              </w:object>
            </w:r>
          </w:p>
          <w:p>
            <w:pPr>
              <w:adjustRightInd w:val="0"/>
              <w:snapToGrid w:val="0"/>
              <w:spacing w:line="360" w:lineRule="auto"/>
              <w:ind w:firstLine="440" w:firstLineChars="200"/>
              <w:rPr>
                <w:bCs/>
                <w:color w:val="auto"/>
                <w:spacing w:val="-10"/>
                <w:sz w:val="24"/>
              </w:rPr>
            </w:pPr>
            <w:r>
              <w:rPr>
                <w:bCs/>
                <w:color w:val="auto"/>
                <w:spacing w:val="-10"/>
                <w:sz w:val="24"/>
              </w:rPr>
              <w:t>式中：</w:t>
            </w:r>
            <w:r>
              <w:rPr>
                <w:bCs/>
                <w:color w:val="auto"/>
                <w:spacing w:val="-10"/>
                <w:position w:val="-10"/>
                <w:sz w:val="24"/>
              </w:rPr>
              <w:object>
                <v:shape id="_x0000_i1054" o:spt="75" type="#_x0000_t75" style="height:16pt;width:29pt;" o:ole="t" filled="f" o:preferrelative="t" stroked="f" coordsize="21600,21600">
                  <v:path/>
                  <v:fill on="f" focussize="0,0"/>
                  <v:stroke on="f"/>
                  <v:imagedata r:id="rId64" o:title=""/>
                  <o:lock v:ext="edit" aspectratio="t"/>
                  <w10:wrap type="none"/>
                  <w10:anchorlock/>
                </v:shape>
                <o:OLEObject Type="Embed" ProgID="Equation.KSEE3" ShapeID="_x0000_i1054" DrawAspect="Content" ObjectID="_1468075754" r:id="rId63">
                  <o:LockedField>false</o:LockedField>
                </o:OLEObject>
              </w:object>
            </w:r>
            <w:r>
              <w:rPr>
                <w:bCs/>
                <w:color w:val="auto"/>
                <w:spacing w:val="-10"/>
                <w:sz w:val="24"/>
              </w:rPr>
              <w:t>——预测点的噪声值，dB；</w:t>
            </w:r>
          </w:p>
          <w:p>
            <w:pPr>
              <w:adjustRightInd w:val="0"/>
              <w:snapToGrid w:val="0"/>
              <w:spacing w:line="360" w:lineRule="auto"/>
              <w:ind w:firstLine="440" w:firstLineChars="200"/>
              <w:rPr>
                <w:bCs/>
                <w:color w:val="auto"/>
                <w:spacing w:val="-10"/>
                <w:sz w:val="24"/>
              </w:rPr>
            </w:pPr>
            <w:r>
              <w:rPr>
                <w:bCs/>
                <w:color w:val="auto"/>
                <w:spacing w:val="-10"/>
                <w:position w:val="-10"/>
                <w:sz w:val="24"/>
              </w:rPr>
              <w:object>
                <v:shape id="_x0000_i1055" o:spt="75" type="#_x0000_t75" style="height:16pt;width:31.95pt;" o:ole="t" filled="f" o:preferrelative="t" stroked="f" coordsize="21600,21600">
                  <v:path/>
                  <v:fill on="f" focussize="0,0"/>
                  <v:stroke on="f"/>
                  <v:imagedata r:id="rId66" o:title=""/>
                  <o:lock v:ext="edit" aspectratio="t"/>
                  <w10:wrap type="none"/>
                  <w10:anchorlock/>
                </v:shape>
                <o:OLEObject Type="Embed" ProgID="Equation.KSEE3" ShapeID="_x0000_i1055" DrawAspect="Content" ObjectID="_1468075755" r:id="rId65">
                  <o:LockedField>false</o:LockedField>
                </o:OLEObject>
              </w:object>
            </w:r>
            <w:r>
              <w:rPr>
                <w:bCs/>
                <w:color w:val="auto"/>
                <w:spacing w:val="-10"/>
                <w:sz w:val="24"/>
              </w:rPr>
              <w:t>——参照点的噪声值，dB；</w:t>
            </w:r>
          </w:p>
          <w:p>
            <w:pPr>
              <w:adjustRightInd w:val="0"/>
              <w:snapToGrid w:val="0"/>
              <w:spacing w:line="360" w:lineRule="auto"/>
              <w:ind w:firstLine="440" w:firstLineChars="200"/>
              <w:rPr>
                <w:bCs/>
                <w:color w:val="auto"/>
                <w:spacing w:val="-10"/>
                <w:sz w:val="24"/>
              </w:rPr>
            </w:pPr>
            <w:r>
              <w:rPr>
                <w:bCs/>
                <w:color w:val="auto"/>
                <w:spacing w:val="-10"/>
                <w:position w:val="-4"/>
                <w:sz w:val="24"/>
              </w:rPr>
              <w:object>
                <v:shape id="_x0000_i1056" o:spt="75" type="#_x0000_t75" style="height:10pt;width:8pt;" o:ole="t" filled="f" o:preferrelative="t" stroked="f" coordsize="21600,21600">
                  <v:path/>
                  <v:fill on="f" focussize="0,0"/>
                  <v:stroke on="f"/>
                  <v:imagedata r:id="rId68" o:title=""/>
                  <o:lock v:ext="edit" aspectratio="t"/>
                  <w10:wrap type="none"/>
                  <w10:anchorlock/>
                </v:shape>
                <o:OLEObject Type="Embed" ProgID="Equation.KSEE3" ShapeID="_x0000_i1056" DrawAspect="Content" ObjectID="_1468075756" r:id="rId67">
                  <o:LockedField>false</o:LockedField>
                </o:OLEObject>
              </w:object>
            </w:r>
            <w:r>
              <w:rPr>
                <w:bCs/>
                <w:color w:val="auto"/>
                <w:spacing w:val="-10"/>
                <w:sz w:val="24"/>
              </w:rPr>
              <w:t>、</w:t>
            </w:r>
            <w:r>
              <w:rPr>
                <w:bCs/>
                <w:color w:val="auto"/>
                <w:spacing w:val="-10"/>
                <w:position w:val="-6"/>
                <w:sz w:val="24"/>
              </w:rPr>
              <w:object>
                <v:shape id="_x0000_i1057" o:spt="75" type="#_x0000_t75" style="height:11pt;width:12pt;" o:ole="t" filled="f" o:preferrelative="t" stroked="f" coordsize="21600,21600">
                  <v:path/>
                  <v:fill on="f" focussize="0,0"/>
                  <v:stroke on="f"/>
                  <v:imagedata r:id="rId70" o:title=""/>
                  <o:lock v:ext="edit" aspectratio="t"/>
                  <w10:wrap type="none"/>
                  <w10:anchorlock/>
                </v:shape>
                <o:OLEObject Type="Embed" ProgID="Equation.KSEE3" ShapeID="_x0000_i1057" DrawAspect="Content" ObjectID="_1468075757" r:id="rId69">
                  <o:LockedField>false</o:LockedField>
                </o:OLEObject>
              </w:object>
            </w:r>
            <w:r>
              <w:rPr>
                <w:bCs/>
                <w:color w:val="auto"/>
                <w:spacing w:val="-10"/>
                <w:sz w:val="24"/>
              </w:rPr>
              <w:t>——预测点、参照点到噪声源处的距离，m；</w:t>
            </w:r>
          </w:p>
          <w:p>
            <w:pPr>
              <w:adjustRightInd w:val="0"/>
              <w:snapToGrid w:val="0"/>
              <w:spacing w:line="360" w:lineRule="auto"/>
              <w:ind w:firstLine="440" w:firstLineChars="200"/>
              <w:rPr>
                <w:bCs/>
                <w:color w:val="auto"/>
                <w:spacing w:val="-10"/>
                <w:sz w:val="24"/>
              </w:rPr>
            </w:pPr>
            <w:r>
              <w:rPr>
                <w:bCs/>
                <w:color w:val="auto"/>
                <w:spacing w:val="-10"/>
                <w:position w:val="-4"/>
                <w:sz w:val="24"/>
              </w:rPr>
              <w:object>
                <v:shape id="_x0000_i1058" o:spt="75" type="#_x0000_t75" style="height:13pt;width:12pt;" o:ole="t" filled="f" o:preferrelative="t" stroked="f" coordsize="21600,21600">
                  <v:path/>
                  <v:fill on="f" focussize="0,0"/>
                  <v:stroke on="f"/>
                  <v:imagedata r:id="rId72" o:title=""/>
                  <o:lock v:ext="edit" aspectratio="t"/>
                  <w10:wrap type="none"/>
                  <w10:anchorlock/>
                </v:shape>
                <o:OLEObject Type="Embed" ProgID="Equation.KSEE3" ShapeID="_x0000_i1058" DrawAspect="Content" ObjectID="_1468075758" r:id="rId71">
                  <o:LockedField>false</o:LockedField>
                </o:OLEObject>
              </w:object>
            </w:r>
            <w:r>
              <w:rPr>
                <w:bCs/>
                <w:color w:val="auto"/>
                <w:spacing w:val="-10"/>
                <w:sz w:val="24"/>
              </w:rPr>
              <w:t>——户外传播引起的衰减值，dB；</w:t>
            </w:r>
          </w:p>
          <w:p>
            <w:pPr>
              <w:adjustRightInd w:val="0"/>
              <w:snapToGrid w:val="0"/>
              <w:spacing w:line="360" w:lineRule="auto"/>
              <w:ind w:firstLine="440" w:firstLineChars="200"/>
              <w:rPr>
                <w:bCs/>
                <w:color w:val="auto"/>
                <w:spacing w:val="-10"/>
                <w:sz w:val="24"/>
              </w:rPr>
            </w:pPr>
            <w:r>
              <w:rPr>
                <w:bCs/>
                <w:color w:val="auto"/>
                <w:spacing w:val="-10"/>
                <w:position w:val="-6"/>
                <w:sz w:val="24"/>
              </w:rPr>
              <w:object>
                <v:shape id="_x0000_i1059" o:spt="75" type="#_x0000_t75" style="height:13.95pt;width:21pt;" o:ole="t" filled="f" o:preferrelative="t" stroked="f" coordsize="21600,21600">
                  <v:path/>
                  <v:fill on="f" focussize="0,0"/>
                  <v:stroke on="f"/>
                  <v:imagedata r:id="rId74" o:title=""/>
                  <o:lock v:ext="edit" aspectratio="t"/>
                  <w10:wrap type="none"/>
                  <w10:anchorlock/>
                </v:shape>
                <o:OLEObject Type="Embed" ProgID="Equation.KSEE3" ShapeID="_x0000_i1059" DrawAspect="Content" ObjectID="_1468075759" r:id="rId73">
                  <o:LockedField>false</o:LockedField>
                </o:OLEObject>
              </w:object>
            </w:r>
            <w:r>
              <w:rPr>
                <w:bCs/>
                <w:color w:val="auto"/>
                <w:spacing w:val="-10"/>
                <w:sz w:val="24"/>
              </w:rPr>
              <w:t>——几何发散衰减，</w:t>
            </w:r>
            <w:r>
              <w:rPr>
                <w:bCs/>
                <w:i/>
                <w:iCs/>
                <w:color w:val="auto"/>
                <w:spacing w:val="-10"/>
                <w:sz w:val="24"/>
              </w:rPr>
              <w:t>A</w:t>
            </w:r>
            <w:r>
              <w:rPr>
                <w:bCs/>
                <w:i/>
                <w:iCs/>
                <w:color w:val="auto"/>
                <w:spacing w:val="-10"/>
                <w:sz w:val="24"/>
                <w:vertAlign w:val="subscript"/>
              </w:rPr>
              <w:t>div</w:t>
            </w:r>
            <w:r>
              <w:rPr>
                <w:bCs/>
                <w:color w:val="auto"/>
                <w:spacing w:val="-10"/>
                <w:sz w:val="24"/>
              </w:rPr>
              <w:t>=20lg</w:t>
            </w:r>
            <w:r>
              <w:rPr>
                <w:rFonts w:hint="eastAsia"/>
                <w:bCs/>
                <w:color w:val="auto"/>
                <w:spacing w:val="-10"/>
                <w:sz w:val="24"/>
                <w:lang w:val="en-US" w:eastAsia="zh-CN"/>
              </w:rPr>
              <w:t>(</w:t>
            </w:r>
            <w:r>
              <w:rPr>
                <w:bCs/>
                <w:color w:val="auto"/>
                <w:spacing w:val="-10"/>
                <w:sz w:val="24"/>
              </w:rPr>
              <w:t>r/r</w:t>
            </w:r>
            <w:r>
              <w:rPr>
                <w:bCs/>
                <w:color w:val="auto"/>
                <w:spacing w:val="-10"/>
                <w:sz w:val="24"/>
                <w:vertAlign w:val="subscript"/>
              </w:rPr>
              <w:t>0</w:t>
            </w:r>
            <w:r>
              <w:rPr>
                <w:rFonts w:hint="eastAsia"/>
                <w:bCs/>
                <w:color w:val="auto"/>
                <w:spacing w:val="-10"/>
                <w:sz w:val="24"/>
                <w:vertAlign w:val="baseline"/>
                <w:lang w:val="en-US" w:eastAsia="zh-CN"/>
              </w:rPr>
              <w:t>)</w:t>
            </w:r>
            <w:r>
              <w:rPr>
                <w:bCs/>
                <w:color w:val="auto"/>
                <w:spacing w:val="-10"/>
                <w:sz w:val="24"/>
              </w:rPr>
              <w:t>，dB；</w:t>
            </w:r>
          </w:p>
          <w:p>
            <w:pPr>
              <w:adjustRightInd w:val="0"/>
              <w:snapToGrid w:val="0"/>
              <w:spacing w:line="360" w:lineRule="auto"/>
              <w:ind w:firstLine="440" w:firstLineChars="200"/>
              <w:rPr>
                <w:bCs/>
                <w:color w:val="auto"/>
                <w:spacing w:val="-10"/>
                <w:sz w:val="24"/>
              </w:rPr>
            </w:pPr>
            <w:r>
              <w:rPr>
                <w:bCs/>
                <w:color w:val="auto"/>
                <w:spacing w:val="-10"/>
                <w:position w:val="-6"/>
                <w:sz w:val="24"/>
              </w:rPr>
              <w:object>
                <v:shape id="_x0000_i1060" o:spt="75" type="#_x0000_t75" style="height:13.95pt;width:23pt;" o:ole="t" filled="f" o:preferrelative="t" stroked="f" coordsize="21600,21600">
                  <v:path/>
                  <v:fill on="f" focussize="0,0"/>
                  <v:stroke on="f"/>
                  <v:imagedata r:id="rId76" o:title=""/>
                  <o:lock v:ext="edit" aspectratio="t"/>
                  <w10:wrap type="none"/>
                  <w10:anchorlock/>
                </v:shape>
                <o:OLEObject Type="Embed" ProgID="Equation.KSEE3" ShapeID="_x0000_i1060" DrawAspect="Content" ObjectID="_1468075760" r:id="rId75">
                  <o:LockedField>false</o:LockedField>
                </o:OLEObject>
              </w:object>
            </w:r>
            <w:r>
              <w:rPr>
                <w:bCs/>
                <w:color w:val="auto"/>
                <w:spacing w:val="-10"/>
                <w:sz w:val="24"/>
              </w:rPr>
              <w:t>——空气吸收引起的衰减，</w:t>
            </w:r>
            <w:r>
              <w:rPr>
                <w:b w:val="0"/>
                <w:bCs/>
                <w:i/>
                <w:iCs/>
                <w:color w:val="auto"/>
                <w:spacing w:val="-10"/>
                <w:sz w:val="24"/>
              </w:rPr>
              <w:t>A</w:t>
            </w:r>
            <w:r>
              <w:rPr>
                <w:b w:val="0"/>
                <w:bCs/>
                <w:i/>
                <w:iCs/>
                <w:color w:val="auto"/>
                <w:spacing w:val="-10"/>
                <w:sz w:val="24"/>
                <w:vertAlign w:val="subscript"/>
              </w:rPr>
              <w:t>atm</w:t>
            </w:r>
            <w:r>
              <w:rPr>
                <w:bCs/>
                <w:color w:val="auto"/>
                <w:spacing w:val="-10"/>
                <w:sz w:val="24"/>
              </w:rPr>
              <w:t>=a</w:t>
            </w:r>
            <w:r>
              <w:rPr>
                <w:rFonts w:hint="eastAsia"/>
                <w:bCs/>
                <w:color w:val="auto"/>
                <w:spacing w:val="-10"/>
                <w:sz w:val="24"/>
                <w:lang w:val="en-US" w:eastAsia="zh-CN"/>
              </w:rPr>
              <w:t>(</w:t>
            </w:r>
            <w:r>
              <w:rPr>
                <w:bCs/>
                <w:color w:val="auto"/>
                <w:spacing w:val="-10"/>
                <w:sz w:val="24"/>
              </w:rPr>
              <w:t>r-r</w:t>
            </w:r>
            <w:r>
              <w:rPr>
                <w:bCs/>
                <w:color w:val="auto"/>
                <w:spacing w:val="-10"/>
                <w:sz w:val="24"/>
                <w:vertAlign w:val="subscript"/>
              </w:rPr>
              <w:t>0</w:t>
            </w:r>
            <w:r>
              <w:rPr>
                <w:rFonts w:hint="eastAsia"/>
                <w:bCs/>
                <w:color w:val="auto"/>
                <w:spacing w:val="-10"/>
                <w:sz w:val="24"/>
                <w:lang w:val="en-US" w:eastAsia="zh-CN"/>
              </w:rPr>
              <w:t>)</w:t>
            </w:r>
            <w:r>
              <w:rPr>
                <w:bCs/>
                <w:color w:val="auto"/>
                <w:spacing w:val="-10"/>
                <w:sz w:val="24"/>
              </w:rPr>
              <w:t>/1000，dB；</w:t>
            </w:r>
          </w:p>
          <w:p>
            <w:pPr>
              <w:adjustRightInd w:val="0"/>
              <w:snapToGrid w:val="0"/>
              <w:spacing w:line="360" w:lineRule="auto"/>
              <w:ind w:firstLine="440" w:firstLineChars="200"/>
              <w:rPr>
                <w:bCs/>
                <w:color w:val="auto"/>
                <w:spacing w:val="-10"/>
                <w:sz w:val="24"/>
              </w:rPr>
            </w:pPr>
            <w:r>
              <w:rPr>
                <w:bCs/>
                <w:color w:val="auto"/>
                <w:spacing w:val="-10"/>
                <w:position w:val="-6"/>
                <w:sz w:val="24"/>
              </w:rPr>
              <w:object>
                <v:shape id="_x0000_i1061" o:spt="75" type="#_x0000_t75" style="height:13.95pt;width:21pt;" o:ole="t" filled="f" o:preferrelative="t" stroked="f" coordsize="21600,21600">
                  <v:path/>
                  <v:fill on="f" focussize="0,0"/>
                  <v:stroke on="f"/>
                  <v:imagedata r:id="rId78" o:title=""/>
                  <o:lock v:ext="edit" aspectratio="t"/>
                  <w10:wrap type="none"/>
                  <w10:anchorlock/>
                </v:shape>
                <o:OLEObject Type="Embed" ProgID="Equation.KSEE3" ShapeID="_x0000_i1061" DrawAspect="Content" ObjectID="_1468075761" r:id="rId77">
                  <o:LockedField>false</o:LockedField>
                </o:OLEObject>
              </w:object>
            </w:r>
            <w:r>
              <w:rPr>
                <w:bCs/>
                <w:color w:val="auto"/>
                <w:spacing w:val="-10"/>
                <w:sz w:val="24"/>
              </w:rPr>
              <w:t>——屏障引起的衰减，dB；</w:t>
            </w:r>
          </w:p>
          <w:p>
            <w:pPr>
              <w:adjustRightInd w:val="0"/>
              <w:snapToGrid w:val="0"/>
              <w:spacing w:line="360" w:lineRule="auto"/>
              <w:ind w:firstLine="440" w:firstLineChars="200"/>
              <w:rPr>
                <w:bCs/>
                <w:color w:val="auto"/>
                <w:spacing w:val="-10"/>
                <w:sz w:val="24"/>
              </w:rPr>
            </w:pPr>
            <w:r>
              <w:rPr>
                <w:bCs/>
                <w:color w:val="auto"/>
                <w:spacing w:val="-10"/>
                <w:position w:val="-8"/>
                <w:sz w:val="24"/>
              </w:rPr>
              <w:object>
                <v:shape id="_x0000_i1062" o:spt="75" type="#_x0000_t75" style="height:15pt;width:18pt;" o:ole="t" filled="f" o:preferrelative="t" stroked="f" coordsize="21600,21600">
                  <v:path/>
                  <v:fill on="f" focussize="0,0"/>
                  <v:stroke on="f"/>
                  <v:imagedata r:id="rId80" o:title=""/>
                  <o:lock v:ext="edit" aspectratio="t"/>
                  <w10:wrap type="none"/>
                  <w10:anchorlock/>
                </v:shape>
                <o:OLEObject Type="Embed" ProgID="Equation.KSEE3" ShapeID="_x0000_i1062" DrawAspect="Content" ObjectID="_1468075762" r:id="rId79">
                  <o:LockedField>false</o:LockedField>
                </o:OLEObject>
              </w:object>
            </w:r>
            <w:r>
              <w:rPr>
                <w:bCs/>
                <w:color w:val="auto"/>
                <w:spacing w:val="-10"/>
                <w:sz w:val="24"/>
              </w:rPr>
              <w:t>——地面效应衰减，dB（计算了屏障衰减后，不再考虑地面效应衰减）；</w:t>
            </w:r>
          </w:p>
          <w:p>
            <w:pPr>
              <w:adjustRightInd w:val="0"/>
              <w:snapToGrid w:val="0"/>
              <w:spacing w:line="360" w:lineRule="auto"/>
              <w:ind w:firstLine="440" w:firstLineChars="200"/>
              <w:rPr>
                <w:bCs/>
                <w:color w:val="auto"/>
                <w:spacing w:val="-10"/>
                <w:sz w:val="24"/>
              </w:rPr>
            </w:pPr>
            <w:r>
              <w:rPr>
                <w:bCs/>
                <w:color w:val="auto"/>
                <w:spacing w:val="-10"/>
                <w:position w:val="-6"/>
                <w:sz w:val="24"/>
              </w:rPr>
              <w:object>
                <v:shape id="_x0000_i1063" o:spt="75" type="#_x0000_t75" style="height:13.95pt;width:24.95pt;" o:ole="t" filled="f" o:preferrelative="t" stroked="f" coordsize="21600,21600">
                  <v:path/>
                  <v:fill on="f" focussize="0,0"/>
                  <v:stroke on="f"/>
                  <v:imagedata r:id="rId82" o:title=""/>
                  <o:lock v:ext="edit" aspectratio="t"/>
                  <w10:wrap type="none"/>
                  <w10:anchorlock/>
                </v:shape>
                <o:OLEObject Type="Embed" ProgID="Equation.KSEE3" ShapeID="_x0000_i1063" DrawAspect="Content" ObjectID="_1468075763" r:id="rId81">
                  <o:LockedField>false</o:LockedField>
                </o:OLEObject>
              </w:object>
            </w:r>
            <w:r>
              <w:rPr>
                <w:bCs/>
                <w:color w:val="auto"/>
                <w:spacing w:val="-10"/>
                <w:sz w:val="24"/>
              </w:rPr>
              <w:t>——其他多方面原因引起的衰减，dB（0.025dB/m）。</w:t>
            </w:r>
          </w:p>
          <w:p>
            <w:pPr>
              <w:adjustRightInd w:val="0"/>
              <w:snapToGrid w:val="0"/>
              <w:spacing w:line="360" w:lineRule="auto"/>
              <w:ind w:firstLine="440" w:firstLineChars="200"/>
              <w:rPr>
                <w:bCs/>
                <w:color w:val="auto"/>
                <w:spacing w:val="-10"/>
                <w:sz w:val="24"/>
              </w:rPr>
            </w:pPr>
            <w:r>
              <w:rPr>
                <w:bCs/>
                <w:color w:val="auto"/>
                <w:spacing w:val="-10"/>
                <w:sz w:val="24"/>
              </w:rPr>
              <w:fldChar w:fldCharType="begin"/>
            </w:r>
            <w:r>
              <w:rPr>
                <w:bCs/>
                <w:color w:val="auto"/>
                <w:spacing w:val="-10"/>
                <w:sz w:val="24"/>
              </w:rPr>
              <w:instrText xml:space="preserve"> </w:instrText>
            </w:r>
            <w:r>
              <w:rPr>
                <w:rFonts w:hint="eastAsia"/>
                <w:bCs/>
                <w:color w:val="auto"/>
                <w:spacing w:val="-10"/>
                <w:sz w:val="24"/>
              </w:rPr>
              <w:instrText xml:space="preserve">= 3 \* GB3</w:instrText>
            </w:r>
            <w:r>
              <w:rPr>
                <w:bCs/>
                <w:color w:val="auto"/>
                <w:spacing w:val="-10"/>
                <w:sz w:val="24"/>
              </w:rPr>
              <w:instrText xml:space="preserve"> </w:instrText>
            </w:r>
            <w:r>
              <w:rPr>
                <w:bCs/>
                <w:color w:val="auto"/>
                <w:spacing w:val="-10"/>
                <w:sz w:val="24"/>
              </w:rPr>
              <w:fldChar w:fldCharType="separate"/>
            </w:r>
            <w:r>
              <w:rPr>
                <w:rFonts w:hint="eastAsia"/>
                <w:bCs/>
                <w:color w:val="auto"/>
                <w:spacing w:val="-10"/>
                <w:sz w:val="24"/>
              </w:rPr>
              <w:t>③</w:t>
            </w:r>
            <w:r>
              <w:rPr>
                <w:bCs/>
                <w:color w:val="auto"/>
                <w:spacing w:val="-10"/>
                <w:sz w:val="24"/>
              </w:rPr>
              <w:fldChar w:fldCharType="end"/>
            </w:r>
            <w:r>
              <w:rPr>
                <w:bCs/>
                <w:color w:val="auto"/>
                <w:spacing w:val="-10"/>
                <w:sz w:val="24"/>
              </w:rPr>
              <w:t>噪声叠加公式：</w:t>
            </w:r>
          </w:p>
          <w:p>
            <w:pPr>
              <w:adjustRightInd w:val="0"/>
              <w:snapToGrid w:val="0"/>
              <w:spacing w:line="360" w:lineRule="auto"/>
              <w:ind w:firstLine="0" w:firstLineChars="0"/>
              <w:jc w:val="center"/>
              <w:rPr>
                <w:rFonts w:eastAsia="仿宋"/>
                <w:color w:val="auto"/>
              </w:rPr>
            </w:pPr>
            <w:r>
              <w:rPr>
                <w:rFonts w:eastAsia="仿宋"/>
                <w:color w:val="auto"/>
                <w:position w:val="-30"/>
              </w:rPr>
              <w:object>
                <v:shape id="_x0000_i1064" o:spt="75" type="#_x0000_t75" style="height:40.9pt;width:127.9pt;" o:ole="t" filled="f" o:preferrelative="t" stroked="f" coordsize="21600,21600">
                  <v:path/>
                  <v:fill on="f" focussize="0,0"/>
                  <v:stroke on="f"/>
                  <v:imagedata r:id="rId84" o:title=""/>
                  <o:lock v:ext="edit" aspectratio="t"/>
                  <w10:wrap type="none"/>
                  <w10:anchorlock/>
                </v:shape>
                <o:OLEObject Type="Embed" ProgID="Equation.3" ShapeID="_x0000_i1064" DrawAspect="Content" ObjectID="_1468075764" r:id="rId83">
                  <o:LockedField>false</o:LockedField>
                </o:OLEObject>
              </w:object>
            </w:r>
          </w:p>
          <w:p>
            <w:pPr>
              <w:adjustRightInd w:val="0"/>
              <w:snapToGrid w:val="0"/>
              <w:spacing w:line="360" w:lineRule="auto"/>
              <w:ind w:firstLine="440" w:firstLineChars="200"/>
              <w:rPr>
                <w:rFonts w:ascii="Times New Roman" w:hAnsi="Times New Roman" w:eastAsia="宋体" w:cs="Times New Roman"/>
                <w:bCs/>
                <w:color w:val="auto"/>
                <w:spacing w:val="-10"/>
                <w:sz w:val="24"/>
              </w:rPr>
            </w:pPr>
            <w:r>
              <w:rPr>
                <w:bCs/>
                <w:color w:val="auto"/>
                <w:spacing w:val="-10"/>
                <w:sz w:val="24"/>
              </w:rPr>
              <w:t>式中：</w:t>
            </w:r>
            <w:r>
              <w:rPr>
                <w:rFonts w:ascii="Times New Roman" w:hAnsi="Times New Roman" w:eastAsia="宋体" w:cs="Times New Roman"/>
                <w:bCs/>
                <w:color w:val="auto"/>
                <w:spacing w:val="-10"/>
                <w:position w:val="-8"/>
                <w:sz w:val="24"/>
              </w:rPr>
              <w:object>
                <v:shape id="_x0000_i1065" o:spt="75" type="#_x0000_t75" style="height:17.1pt;width:19.5pt;" o:ole="t" filled="f" o:preferrelative="t" stroked="f" coordsize="21600,21600">
                  <v:path/>
                  <v:fill on="f" focussize="0,0"/>
                  <v:stroke on="f"/>
                  <v:imagedata r:id="rId86" o:title=""/>
                  <o:lock v:ext="edit" aspectratio="t"/>
                  <w10:wrap type="none"/>
                  <w10:anchorlock/>
                </v:shape>
                <o:OLEObject Type="Embed" ProgID="Equation.3" ShapeID="_x0000_i1065" DrawAspect="Content" ObjectID="_1468075765" r:id="rId85">
                  <o:LockedField>false</o:LockedField>
                </o:OLEObject>
              </w:object>
            </w:r>
            <w:r>
              <w:rPr>
                <w:rFonts w:ascii="Times New Roman" w:hAnsi="Times New Roman" w:eastAsia="宋体" w:cs="Times New Roman"/>
                <w:bCs/>
                <w:color w:val="auto"/>
                <w:spacing w:val="-10"/>
                <w:sz w:val="24"/>
              </w:rPr>
              <w:t>——预测点处的等效声级，dB（A）；</w:t>
            </w:r>
          </w:p>
          <w:p>
            <w:pPr>
              <w:adjustRightInd w:val="0"/>
              <w:snapToGrid w:val="0"/>
              <w:spacing w:line="360" w:lineRule="auto"/>
              <w:ind w:firstLine="440" w:firstLineChars="200"/>
              <w:rPr>
                <w:rFonts w:ascii="Times New Roman" w:hAnsi="Times New Roman" w:eastAsia="宋体" w:cs="Times New Roman"/>
                <w:bCs/>
                <w:color w:val="auto"/>
                <w:spacing w:val="-10"/>
                <w:sz w:val="24"/>
              </w:rPr>
            </w:pPr>
            <w:r>
              <w:rPr>
                <w:rFonts w:ascii="Times New Roman" w:hAnsi="Times New Roman" w:eastAsia="宋体" w:cs="Times New Roman"/>
                <w:bCs/>
                <w:color w:val="auto"/>
                <w:spacing w:val="-10"/>
                <w:position w:val="-8"/>
                <w:sz w:val="24"/>
              </w:rPr>
              <w:object>
                <v:shape id="_x0000_i1066" o:spt="75" type="#_x0000_t75" style="height:15.45pt;width:19.55pt;" o:ole="t" filled="f" o:preferrelative="t" stroked="f" coordsize="21600,21600">
                  <v:path/>
                  <v:fill on="f" focussize="0,0"/>
                  <v:stroke on="f"/>
                  <v:imagedata r:id="rId88" o:title=""/>
                  <o:lock v:ext="edit" aspectratio="t"/>
                  <w10:wrap type="none"/>
                  <w10:anchorlock/>
                </v:shape>
                <o:OLEObject Type="Embed" ProgID="Equation.3" ShapeID="_x0000_i1066" DrawAspect="Content" ObjectID="_1468075766" r:id="rId87">
                  <o:LockedField>false</o:LockedField>
                </o:OLEObject>
              </w:object>
            </w:r>
            <w:r>
              <w:rPr>
                <w:rFonts w:ascii="Times New Roman" w:hAnsi="Times New Roman" w:eastAsia="宋体" w:cs="Times New Roman"/>
                <w:bCs/>
                <w:color w:val="auto"/>
                <w:spacing w:val="-10"/>
                <w:sz w:val="24"/>
              </w:rPr>
              <w:t>——第</w:t>
            </w:r>
            <w:r>
              <w:rPr>
                <w:rFonts w:ascii="Times New Roman" w:hAnsi="Times New Roman" w:eastAsia="宋体" w:cs="Times New Roman"/>
                <w:bCs/>
                <w:color w:val="auto"/>
                <w:spacing w:val="-10"/>
                <w:sz w:val="24"/>
              </w:rPr>
              <w:object>
                <v:shape id="_x0000_i1067" o:spt="75" type="#_x0000_t75" style="height:12.75pt;width:5.25pt;" o:ole="t" filled="f" o:preferrelative="t" stroked="f" coordsize="21600,21600">
                  <v:path/>
                  <v:fill on="f" focussize="0,0"/>
                  <v:stroke on="f"/>
                  <v:imagedata r:id="rId90" o:title=""/>
                  <o:lock v:ext="edit" aspectratio="t"/>
                  <w10:wrap type="none"/>
                  <w10:anchorlock/>
                </v:shape>
                <o:OLEObject Type="Embed" ProgID="Equation.3" ShapeID="_x0000_i1067" DrawAspect="Content" ObjectID="_1468075767" r:id="rId89">
                  <o:LockedField>false</o:LockedField>
                </o:OLEObject>
              </w:object>
            </w:r>
            <w:r>
              <w:rPr>
                <w:rFonts w:ascii="Times New Roman" w:hAnsi="Times New Roman" w:eastAsia="宋体" w:cs="Times New Roman"/>
                <w:bCs/>
                <w:color w:val="auto"/>
                <w:spacing w:val="-10"/>
                <w:sz w:val="24"/>
              </w:rPr>
              <w:t>个点声源对预测点的等效声级，dB（A）。</w:t>
            </w:r>
          </w:p>
          <w:p>
            <w:pPr>
              <w:adjustRightInd w:val="0"/>
              <w:snapToGrid w:val="0"/>
              <w:spacing w:line="360" w:lineRule="auto"/>
              <w:ind w:firstLine="440" w:firstLineChars="200"/>
              <w:rPr>
                <w:bCs/>
                <w:color w:val="auto"/>
                <w:spacing w:val="-10"/>
                <w:sz w:val="24"/>
              </w:rPr>
            </w:pPr>
            <w:r>
              <w:rPr>
                <w:bCs/>
                <w:color w:val="auto"/>
                <w:spacing w:val="-10"/>
                <w:sz w:val="24"/>
              </w:rPr>
              <w:fldChar w:fldCharType="begin"/>
            </w:r>
            <w:r>
              <w:rPr>
                <w:bCs/>
                <w:color w:val="auto"/>
                <w:spacing w:val="-10"/>
                <w:sz w:val="24"/>
              </w:rPr>
              <w:instrText xml:space="preserve"> </w:instrText>
            </w:r>
            <w:r>
              <w:rPr>
                <w:rFonts w:hint="eastAsia"/>
                <w:bCs/>
                <w:color w:val="auto"/>
                <w:spacing w:val="-10"/>
                <w:sz w:val="24"/>
              </w:rPr>
              <w:instrText xml:space="preserve">= 4 \* GB3</w:instrText>
            </w:r>
            <w:r>
              <w:rPr>
                <w:bCs/>
                <w:color w:val="auto"/>
                <w:spacing w:val="-10"/>
                <w:sz w:val="24"/>
              </w:rPr>
              <w:instrText xml:space="preserve"> </w:instrText>
            </w:r>
            <w:r>
              <w:rPr>
                <w:bCs/>
                <w:color w:val="auto"/>
                <w:spacing w:val="-10"/>
                <w:sz w:val="24"/>
              </w:rPr>
              <w:fldChar w:fldCharType="separate"/>
            </w:r>
            <w:r>
              <w:rPr>
                <w:rFonts w:hint="eastAsia"/>
                <w:bCs/>
                <w:color w:val="auto"/>
                <w:spacing w:val="-10"/>
                <w:sz w:val="24"/>
              </w:rPr>
              <w:t>④</w:t>
            </w:r>
            <w:r>
              <w:rPr>
                <w:bCs/>
                <w:color w:val="auto"/>
                <w:spacing w:val="-10"/>
                <w:sz w:val="24"/>
              </w:rPr>
              <w:fldChar w:fldCharType="end"/>
            </w:r>
            <w:r>
              <w:rPr>
                <w:bCs/>
                <w:color w:val="auto"/>
                <w:spacing w:val="-10"/>
                <w:sz w:val="24"/>
              </w:rPr>
              <w:t>预测结果</w:t>
            </w:r>
          </w:p>
          <w:p>
            <w:pPr>
              <w:adjustRightInd w:val="0"/>
              <w:snapToGrid w:val="0"/>
              <w:spacing w:line="360" w:lineRule="auto"/>
              <w:ind w:firstLine="440" w:firstLineChars="200"/>
              <w:rPr>
                <w:bCs/>
                <w:color w:val="auto"/>
                <w:spacing w:val="-10"/>
                <w:sz w:val="24"/>
              </w:rPr>
            </w:pPr>
            <w:r>
              <w:rPr>
                <w:bCs/>
                <w:color w:val="auto"/>
                <w:spacing w:val="-10"/>
                <w:sz w:val="24"/>
              </w:rPr>
              <w:t>本项目采用了噪声治理措施，根据项目的机械设备声级、所在位置，利用噪声预测模式和方法，对厂界噪声进行预测计算，得到项目建成后各预测点的昼间和夜间噪声级，噪声影响预测结果见表4-</w:t>
            </w:r>
            <w:r>
              <w:rPr>
                <w:rFonts w:hint="eastAsia"/>
                <w:bCs/>
                <w:color w:val="auto"/>
                <w:spacing w:val="-10"/>
                <w:sz w:val="24"/>
                <w:lang w:val="en-US" w:eastAsia="zh-CN"/>
              </w:rPr>
              <w:t>11</w:t>
            </w:r>
            <w:r>
              <w:rPr>
                <w:bCs/>
                <w:color w:val="auto"/>
                <w:spacing w:val="-10"/>
                <w:sz w:val="24"/>
              </w:rPr>
              <w:t>。</w:t>
            </w:r>
          </w:p>
          <w:p>
            <w:pPr>
              <w:jc w:val="center"/>
              <w:rPr>
                <w:b/>
                <w:color w:val="auto"/>
                <w:sz w:val="24"/>
                <w:szCs w:val="24"/>
              </w:rPr>
            </w:pPr>
          </w:p>
          <w:p>
            <w:pPr>
              <w:jc w:val="center"/>
              <w:rPr>
                <w:b/>
                <w:color w:val="auto"/>
                <w:sz w:val="24"/>
                <w:szCs w:val="24"/>
              </w:rPr>
            </w:pPr>
            <w:r>
              <w:rPr>
                <w:b/>
                <w:color w:val="auto"/>
                <w:sz w:val="24"/>
                <w:szCs w:val="24"/>
              </w:rPr>
              <w:t>表4-</w:t>
            </w:r>
            <w:r>
              <w:rPr>
                <w:rFonts w:hint="eastAsia"/>
                <w:b/>
                <w:color w:val="auto"/>
                <w:sz w:val="24"/>
                <w:szCs w:val="24"/>
                <w:lang w:val="en-US" w:eastAsia="zh-CN"/>
              </w:rPr>
              <w:t>9</w:t>
            </w:r>
            <w:r>
              <w:rPr>
                <w:b/>
                <w:color w:val="auto"/>
                <w:sz w:val="24"/>
                <w:szCs w:val="24"/>
              </w:rPr>
              <w:t xml:space="preserve"> 厂界噪声预测结果  单位：dB（A）</w:t>
            </w:r>
          </w:p>
          <w:tbl>
            <w:tblPr>
              <w:tblStyle w:val="30"/>
              <w:tblW w:w="84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1916"/>
              <w:gridCol w:w="1769"/>
              <w:gridCol w:w="29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805" w:type="dxa"/>
                  <w:vMerge w:val="restart"/>
                  <w:tcBorders>
                    <w:top w:val="single" w:color="auto" w:sz="12" w:space="0"/>
                  </w:tcBorders>
                  <w:noWrap/>
                  <w:vAlign w:val="center"/>
                </w:tcPr>
                <w:p>
                  <w:pPr>
                    <w:spacing w:line="0" w:lineRule="atLeast"/>
                    <w:jc w:val="center"/>
                    <w:rPr>
                      <w:color w:val="auto"/>
                      <w:szCs w:val="21"/>
                    </w:rPr>
                  </w:pPr>
                  <w:r>
                    <w:rPr>
                      <w:color w:val="auto"/>
                      <w:szCs w:val="21"/>
                    </w:rPr>
                    <w:t>预测点位</w:t>
                  </w:r>
                </w:p>
              </w:tc>
              <w:tc>
                <w:tcPr>
                  <w:tcW w:w="1916" w:type="dxa"/>
                  <w:tcBorders>
                    <w:top w:val="single" w:color="auto" w:sz="12" w:space="0"/>
                    <w:bottom w:val="single" w:color="auto" w:sz="4" w:space="0"/>
                  </w:tcBorders>
                  <w:noWrap/>
                  <w:vAlign w:val="center"/>
                </w:tcPr>
                <w:p>
                  <w:pPr>
                    <w:pStyle w:val="103"/>
                    <w:spacing w:line="0" w:lineRule="atLeast"/>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昼间</w:t>
                  </w:r>
                </w:p>
              </w:tc>
              <w:tc>
                <w:tcPr>
                  <w:tcW w:w="1769" w:type="dxa"/>
                  <w:tcBorders>
                    <w:top w:val="single" w:color="auto" w:sz="12" w:space="0"/>
                    <w:bottom w:val="single" w:color="auto" w:sz="4" w:space="0"/>
                  </w:tcBorders>
                  <w:noWrap/>
                  <w:vAlign w:val="center"/>
                </w:tcPr>
                <w:p>
                  <w:pPr>
                    <w:pStyle w:val="103"/>
                    <w:spacing w:line="0" w:lineRule="atLeast"/>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夜间</w:t>
                  </w:r>
                </w:p>
              </w:tc>
              <w:tc>
                <w:tcPr>
                  <w:tcW w:w="2983" w:type="dxa"/>
                  <w:vMerge w:val="restart"/>
                  <w:tcBorders>
                    <w:top w:val="single" w:color="auto" w:sz="12" w:space="0"/>
                  </w:tcBorders>
                  <w:noWrap/>
                  <w:vAlign w:val="center"/>
                </w:tcPr>
                <w:p>
                  <w:pPr>
                    <w:jc w:val="center"/>
                    <w:rPr>
                      <w:rFonts w:eastAsia="仿宋"/>
                      <w:color w:val="auto"/>
                      <w:szCs w:val="21"/>
                    </w:rPr>
                  </w:pPr>
                  <w:r>
                    <w:rPr>
                      <w:rFonts w:eastAsia="仿宋"/>
                      <w:color w:val="auto"/>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805" w:type="dxa"/>
                  <w:vMerge w:val="continue"/>
                  <w:noWrap/>
                  <w:vAlign w:val="center"/>
                </w:tcPr>
                <w:p>
                  <w:pPr>
                    <w:spacing w:line="0" w:lineRule="atLeast"/>
                    <w:jc w:val="center"/>
                    <w:rPr>
                      <w:color w:val="auto"/>
                      <w:szCs w:val="21"/>
                    </w:rPr>
                  </w:pPr>
                </w:p>
              </w:tc>
              <w:tc>
                <w:tcPr>
                  <w:tcW w:w="1916" w:type="dxa"/>
                  <w:tcBorders>
                    <w:top w:val="single" w:color="auto" w:sz="4" w:space="0"/>
                  </w:tcBorders>
                  <w:noWrap/>
                  <w:vAlign w:val="center"/>
                </w:tcPr>
                <w:p>
                  <w:pPr>
                    <w:pStyle w:val="103"/>
                    <w:spacing w:line="0" w:lineRule="atLeast"/>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贡献值</w:t>
                  </w:r>
                </w:p>
              </w:tc>
              <w:tc>
                <w:tcPr>
                  <w:tcW w:w="1769" w:type="dxa"/>
                  <w:tcBorders>
                    <w:top w:val="single" w:color="auto" w:sz="4" w:space="0"/>
                  </w:tcBorders>
                  <w:noWrap/>
                  <w:vAlign w:val="center"/>
                </w:tcPr>
                <w:p>
                  <w:pPr>
                    <w:pStyle w:val="103"/>
                    <w:spacing w:line="0" w:lineRule="atLeast"/>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贡献值</w:t>
                  </w:r>
                </w:p>
              </w:tc>
              <w:tc>
                <w:tcPr>
                  <w:tcW w:w="2983" w:type="dxa"/>
                  <w:vMerge w:val="continue"/>
                  <w:tcBorders>
                    <w:bottom w:val="single" w:color="auto" w:sz="4" w:space="0"/>
                  </w:tcBorders>
                  <w:noWrap/>
                  <w:vAlign w:val="center"/>
                </w:tcPr>
                <w:p>
                  <w:pPr>
                    <w:jc w:val="center"/>
                    <w:rPr>
                      <w:rFonts w:eastAsia="仿宋"/>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5" w:type="dxa"/>
                  <w:noWrap/>
                  <w:vAlign w:val="center"/>
                </w:tcPr>
                <w:p>
                  <w:pPr>
                    <w:spacing w:line="0" w:lineRule="atLeast"/>
                    <w:jc w:val="center"/>
                    <w:rPr>
                      <w:color w:val="auto"/>
                      <w:szCs w:val="21"/>
                    </w:rPr>
                  </w:pPr>
                  <w:r>
                    <w:rPr>
                      <w:color w:val="auto"/>
                      <w:szCs w:val="21"/>
                    </w:rPr>
                    <w:t>东</w:t>
                  </w:r>
                </w:p>
              </w:tc>
              <w:tc>
                <w:tcPr>
                  <w:tcW w:w="1916" w:type="dxa"/>
                  <w:noWrap/>
                  <w:vAlign w:val="center"/>
                </w:tcPr>
                <w:p>
                  <w:pPr>
                    <w:pStyle w:val="103"/>
                    <w:spacing w:line="0" w:lineRule="atLeast"/>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34.21</w:t>
                  </w:r>
                </w:p>
              </w:tc>
              <w:tc>
                <w:tcPr>
                  <w:tcW w:w="1769" w:type="dxa"/>
                  <w:noWrap/>
                  <w:vAlign w:val="center"/>
                </w:tcPr>
                <w:p>
                  <w:pPr>
                    <w:pStyle w:val="103"/>
                    <w:spacing w:line="0" w:lineRule="atLeast"/>
                    <w:ind w:firstLine="0" w:firstLineChars="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34.21</w:t>
                  </w:r>
                </w:p>
              </w:tc>
              <w:tc>
                <w:tcPr>
                  <w:tcW w:w="2983" w:type="dxa"/>
                  <w:vMerge w:val="restart"/>
                  <w:tcBorders>
                    <w:top w:val="single" w:color="auto" w:sz="4" w:space="0"/>
                  </w:tcBorders>
                  <w:noWrap/>
                  <w:vAlign w:val="center"/>
                </w:tcPr>
                <w:p>
                  <w:pPr>
                    <w:spacing w:line="0" w:lineRule="atLeast"/>
                    <w:jc w:val="center"/>
                    <w:rPr>
                      <w:rFonts w:eastAsia="仿宋"/>
                      <w:color w:val="auto"/>
                      <w:szCs w:val="21"/>
                    </w:rPr>
                  </w:pPr>
                  <w:r>
                    <w:rPr>
                      <w:color w:val="auto"/>
                      <w:szCs w:val="21"/>
                    </w:rPr>
                    <w:t>厂界满足《工业企业厂界环境噪声排放标准》（GB12348—2008）中2类标准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5" w:type="dxa"/>
                  <w:noWrap/>
                  <w:vAlign w:val="center"/>
                </w:tcPr>
                <w:p>
                  <w:pPr>
                    <w:spacing w:line="0" w:lineRule="atLeast"/>
                    <w:jc w:val="center"/>
                    <w:rPr>
                      <w:color w:val="auto"/>
                      <w:szCs w:val="21"/>
                    </w:rPr>
                  </w:pPr>
                  <w:r>
                    <w:rPr>
                      <w:color w:val="auto"/>
                      <w:szCs w:val="21"/>
                    </w:rPr>
                    <w:t>南</w:t>
                  </w:r>
                </w:p>
              </w:tc>
              <w:tc>
                <w:tcPr>
                  <w:tcW w:w="1916" w:type="dxa"/>
                  <w:noWrap/>
                  <w:vAlign w:val="center"/>
                </w:tcPr>
                <w:p>
                  <w:pPr>
                    <w:pStyle w:val="103"/>
                    <w:spacing w:line="0" w:lineRule="atLeast"/>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33.56</w:t>
                  </w:r>
                </w:p>
              </w:tc>
              <w:tc>
                <w:tcPr>
                  <w:tcW w:w="1769" w:type="dxa"/>
                  <w:noWrap/>
                  <w:vAlign w:val="center"/>
                </w:tcPr>
                <w:p>
                  <w:pPr>
                    <w:pStyle w:val="103"/>
                    <w:spacing w:line="0" w:lineRule="atLeast"/>
                    <w:ind w:firstLine="0" w:firstLineChars="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33.56</w:t>
                  </w:r>
                </w:p>
              </w:tc>
              <w:tc>
                <w:tcPr>
                  <w:tcW w:w="2983" w:type="dxa"/>
                  <w:vMerge w:val="continue"/>
                  <w:noWrap/>
                  <w:vAlign w:val="center"/>
                </w:tcPr>
                <w:p>
                  <w:pPr>
                    <w:jc w:val="center"/>
                    <w:rPr>
                      <w:rFonts w:eastAsia="仿宋"/>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5" w:type="dxa"/>
                  <w:noWrap/>
                  <w:vAlign w:val="center"/>
                </w:tcPr>
                <w:p>
                  <w:pPr>
                    <w:spacing w:line="0" w:lineRule="atLeast"/>
                    <w:jc w:val="center"/>
                    <w:rPr>
                      <w:color w:val="auto"/>
                      <w:szCs w:val="21"/>
                    </w:rPr>
                  </w:pPr>
                  <w:r>
                    <w:rPr>
                      <w:color w:val="auto"/>
                      <w:szCs w:val="21"/>
                    </w:rPr>
                    <w:t>西</w:t>
                  </w:r>
                </w:p>
              </w:tc>
              <w:tc>
                <w:tcPr>
                  <w:tcW w:w="1916" w:type="dxa"/>
                  <w:noWrap/>
                  <w:vAlign w:val="center"/>
                </w:tcPr>
                <w:p>
                  <w:pPr>
                    <w:pStyle w:val="103"/>
                    <w:spacing w:line="0" w:lineRule="atLeast"/>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47.14</w:t>
                  </w:r>
                </w:p>
              </w:tc>
              <w:tc>
                <w:tcPr>
                  <w:tcW w:w="1769" w:type="dxa"/>
                  <w:noWrap/>
                  <w:vAlign w:val="center"/>
                </w:tcPr>
                <w:p>
                  <w:pPr>
                    <w:pStyle w:val="103"/>
                    <w:spacing w:line="0" w:lineRule="atLeast"/>
                    <w:ind w:firstLine="0" w:firstLineChars="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47.14</w:t>
                  </w:r>
                </w:p>
              </w:tc>
              <w:tc>
                <w:tcPr>
                  <w:tcW w:w="2983" w:type="dxa"/>
                  <w:vMerge w:val="continue"/>
                  <w:noWrap/>
                  <w:vAlign w:val="center"/>
                </w:tcPr>
                <w:p>
                  <w:pPr>
                    <w:jc w:val="center"/>
                    <w:rPr>
                      <w:rFonts w:eastAsia="仿宋"/>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5" w:type="dxa"/>
                  <w:noWrap/>
                  <w:vAlign w:val="center"/>
                </w:tcPr>
                <w:p>
                  <w:pPr>
                    <w:spacing w:line="0" w:lineRule="atLeast"/>
                    <w:jc w:val="center"/>
                    <w:rPr>
                      <w:color w:val="auto"/>
                      <w:szCs w:val="21"/>
                    </w:rPr>
                  </w:pPr>
                  <w:r>
                    <w:rPr>
                      <w:color w:val="auto"/>
                      <w:szCs w:val="21"/>
                    </w:rPr>
                    <w:t>北</w:t>
                  </w:r>
                </w:p>
              </w:tc>
              <w:tc>
                <w:tcPr>
                  <w:tcW w:w="1916" w:type="dxa"/>
                  <w:noWrap/>
                  <w:vAlign w:val="center"/>
                </w:tcPr>
                <w:p>
                  <w:pPr>
                    <w:pStyle w:val="103"/>
                    <w:spacing w:line="0" w:lineRule="atLeast"/>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47.23</w:t>
                  </w:r>
                </w:p>
              </w:tc>
              <w:tc>
                <w:tcPr>
                  <w:tcW w:w="1769" w:type="dxa"/>
                  <w:noWrap/>
                  <w:vAlign w:val="center"/>
                </w:tcPr>
                <w:p>
                  <w:pPr>
                    <w:pStyle w:val="103"/>
                    <w:spacing w:line="0" w:lineRule="atLeast"/>
                    <w:ind w:firstLine="0" w:firstLineChars="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47.23</w:t>
                  </w:r>
                </w:p>
              </w:tc>
              <w:tc>
                <w:tcPr>
                  <w:tcW w:w="2983" w:type="dxa"/>
                  <w:vMerge w:val="continue"/>
                  <w:noWrap/>
                  <w:vAlign w:val="center"/>
                </w:tcPr>
                <w:p>
                  <w:pPr>
                    <w:jc w:val="center"/>
                    <w:rPr>
                      <w:rFonts w:eastAsia="仿宋"/>
                      <w:color w:val="auto"/>
                      <w:szCs w:val="21"/>
                    </w:rPr>
                  </w:pPr>
                </w:p>
              </w:tc>
            </w:tr>
          </w:tbl>
          <w:p>
            <w:pPr>
              <w:pStyle w:val="100"/>
              <w:ind w:firstLine="42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本项目厂界外50m范围内无声环境保护目标，企业夜间不生产，各生产设备均位于车间内，采取减振、消声、隔声等措施后，</w:t>
            </w:r>
            <w:r>
              <w:rPr>
                <w:rFonts w:hint="eastAsia" w:cs="Times New Roman"/>
                <w:color w:val="000000" w:themeColor="text1"/>
                <w:sz w:val="24"/>
                <w:szCs w:val="24"/>
                <w:lang w:val="en-US" w:eastAsia="zh-CN"/>
                <w14:textFill>
                  <w14:solidFill>
                    <w14:schemeClr w14:val="tx1"/>
                  </w14:solidFill>
                </w14:textFill>
              </w:rPr>
              <w:t>厂界四周</w:t>
            </w:r>
            <w:r>
              <w:rPr>
                <w:rFonts w:hint="default" w:ascii="Times New Roman" w:hAnsi="Times New Roman" w:eastAsia="宋体" w:cs="Times New Roman"/>
                <w:color w:val="000000" w:themeColor="text1"/>
                <w:sz w:val="24"/>
                <w:szCs w:val="24"/>
                <w14:textFill>
                  <w14:solidFill>
                    <w14:schemeClr w14:val="tx1"/>
                  </w14:solidFill>
                </w14:textFill>
              </w:rPr>
              <w:t>满足《工业企业厂界环境噪声排放标准》（GB12348-2008）表1中昼间2类标准，同时运营期落实好报告中提出的监测要求，发现超标及时采取降噪措施，保证厂界噪声达标排放，对周围声环境影响较小</w:t>
            </w:r>
            <w:r>
              <w:rPr>
                <w:rFonts w:hint="eastAsia" w:cs="Times New Roman"/>
                <w:color w:val="000000" w:themeColor="text1"/>
                <w:sz w:val="24"/>
                <w:szCs w:val="24"/>
                <w:lang w:eastAsia="zh-CN"/>
                <w14:textFill>
                  <w14:solidFill>
                    <w14:schemeClr w14:val="tx1"/>
                  </w14:solidFill>
                </w14:textFill>
              </w:rPr>
              <w:t>，项目运输过程中选择远离居民区等环境敏感点的路线进行运输，对环境无影响，符合要求</w:t>
            </w:r>
            <w:r>
              <w:rPr>
                <w:rFonts w:hint="default"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治</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理</w:t>
            </w:r>
            <w:r>
              <w:rPr>
                <w:rFonts w:hint="default" w:ascii="Times New Roman" w:hAnsi="Times New Roman" w:eastAsia="宋体" w:cs="Times New Roman"/>
                <w:b w:val="0"/>
                <w:bCs w:val="0"/>
                <w:color w:val="000000" w:themeColor="text1"/>
                <w:sz w:val="24"/>
                <w:szCs w:val="24"/>
                <w14:textFill>
                  <w14:solidFill>
                    <w14:schemeClr w14:val="tx1"/>
                  </w14:solidFill>
                </w14:textFill>
              </w:rPr>
              <w:t>措施及影响分析</w:t>
            </w:r>
          </w:p>
          <w:p>
            <w:pPr>
              <w:spacing w:line="360" w:lineRule="auto"/>
              <w:ind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为降低噪声影响，本项目采取的降噪措施主要有：</w:t>
            </w:r>
          </w:p>
          <w:p>
            <w:pPr>
              <w:spacing w:line="360" w:lineRule="auto"/>
              <w:ind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①设备</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上</w:t>
            </w:r>
            <w:r>
              <w:rPr>
                <w:rFonts w:hint="default" w:ascii="Times New Roman" w:hAnsi="Times New Roman" w:eastAsia="宋体" w:cs="Times New Roman"/>
                <w:b w:val="0"/>
                <w:bCs w:val="0"/>
                <w:color w:val="000000" w:themeColor="text1"/>
                <w:sz w:val="24"/>
                <w:szCs w:val="24"/>
                <w14:textFill>
                  <w14:solidFill>
                    <w14:schemeClr w14:val="tx1"/>
                  </w14:solidFill>
                </w14:textFill>
              </w:rPr>
              <w:t>选择</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了</w:t>
            </w:r>
            <w:r>
              <w:rPr>
                <w:rFonts w:hint="default" w:ascii="Times New Roman" w:hAnsi="Times New Roman" w:eastAsia="宋体" w:cs="Times New Roman"/>
                <w:b w:val="0"/>
                <w:bCs w:val="0"/>
                <w:color w:val="000000" w:themeColor="text1"/>
                <w:sz w:val="24"/>
                <w:szCs w:val="24"/>
                <w14:textFill>
                  <w14:solidFill>
                    <w14:schemeClr w14:val="tx1"/>
                  </w14:solidFill>
                </w14:textFill>
              </w:rPr>
              <w:t>噪声低、能耗低的设备，以减小噪声源的声级。合理布局，从而降低噪声对工作人员的影响。</w:t>
            </w:r>
          </w:p>
          <w:p>
            <w:pPr>
              <w:spacing w:line="360" w:lineRule="auto"/>
              <w:ind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②采取减振、隔声、消音等综合治理措施，有效降低噪声对环境的影响。</w:t>
            </w:r>
          </w:p>
          <w:p>
            <w:pPr>
              <w:spacing w:line="360" w:lineRule="auto"/>
              <w:ind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③在车间生产过程中，车间的门应关好，并保证窗户完好，经过墙壁的隔挡降噪和距离衰减。</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④对设备应进行定期维修、养护，避免因设备松动、部件的震动而加大其工作时的声级；对近距离操作员工进行个体防护。</w:t>
            </w:r>
          </w:p>
          <w:p>
            <w:pPr>
              <w:pStyle w:val="2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highlight w:val="green"/>
                <w:lang w:val="en-US" w:eastAsia="zh-CN"/>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⑤运输车辆控制车速，禁止使用超过噪声限值的运输车辆，汽车运输机械设备应安装消声器和禁用高音喇叭，机动车辆必须加强维修和保养，保持技术性能良好，在经过运输</w:t>
            </w:r>
            <w:r>
              <w:rPr>
                <w:rFonts w:hint="default" w:ascii="Times New Roman" w:hAnsi="Times New Roman" w:eastAsia="宋体" w:cs="Times New Roman"/>
                <w:b w:val="0"/>
                <w:bCs w:val="0"/>
                <w:color w:val="000000" w:themeColor="text1"/>
                <w:sz w:val="24"/>
                <w:szCs w:val="24"/>
                <w:highlight w:val="green"/>
                <w:lang w:val="en-US" w:eastAsia="zh-CN"/>
                <w14:textFill>
                  <w14:solidFill>
                    <w14:schemeClr w14:val="tx1"/>
                  </w14:solidFill>
                </w14:textFill>
              </w:rPr>
              <w:t>道路沿途村落时，禁止鸣笛、限制车速（速度≤20km/h），合理安排运输车辆工作时间，22：00—次日6:00禁止运输工作</w:t>
            </w:r>
            <w:r>
              <w:rPr>
                <w:rFonts w:hint="eastAsia" w:ascii="Times New Roman" w:cs="Times New Roman"/>
                <w:b w:val="0"/>
                <w:bCs w:val="0"/>
                <w:color w:val="000000" w:themeColor="text1"/>
                <w:sz w:val="24"/>
                <w:szCs w:val="24"/>
                <w:highlight w:val="green"/>
                <w:lang w:val="en-US" w:eastAsia="zh-CN"/>
                <w14:textFill>
                  <w14:solidFill>
                    <w14:schemeClr w14:val="tx1"/>
                  </w14:solidFill>
                </w14:textFill>
              </w:rPr>
              <w:t>，噪声防治措施图解，详见图4-1</w:t>
            </w:r>
            <w:r>
              <w:rPr>
                <w:rFonts w:hint="default" w:ascii="Times New Roman" w:hAnsi="Times New Roman" w:eastAsia="宋体" w:cs="Times New Roman"/>
                <w:b w:val="0"/>
                <w:bCs w:val="0"/>
                <w:color w:val="000000" w:themeColor="text1"/>
                <w:sz w:val="24"/>
                <w:szCs w:val="24"/>
                <w:highlight w:val="green"/>
                <w:lang w:val="en-US" w:eastAsia="zh-CN"/>
                <w14:textFill>
                  <w14:solidFill>
                    <w14:schemeClr w14:val="tx1"/>
                  </w14:solidFill>
                </w14:textFill>
              </w:rPr>
              <w:t>。</w:t>
            </w:r>
          </w:p>
          <w:p>
            <w:pPr>
              <w:pStyle w:val="2"/>
              <w:jc w:val="center"/>
              <w:rPr>
                <w:rFonts w:hint="default" w:ascii="Times New Roman" w:hAnsi="Times New Roman" w:eastAsia="宋体" w:cs="Times New Roman"/>
                <w:b w:val="0"/>
                <w:bCs w:val="0"/>
                <w:color w:val="000000" w:themeColor="text1"/>
                <w:sz w:val="24"/>
                <w:szCs w:val="24"/>
                <w:highlight w:val="green"/>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lightGray"/>
                <w:lang w:val="en-US" w:eastAsia="zh-CN"/>
                <w14:textFill>
                  <w14:solidFill>
                    <w14:schemeClr w14:val="tx1"/>
                  </w14:solidFill>
                </w14:textFill>
              </w:rPr>
              <w:object>
                <v:shape id="_x0000_i1068" o:spt="75" type="#_x0000_t75" style="height:179.4pt;width:318pt;" o:ole="t" filled="f" o:preferrelative="t" stroked="f" coordsize="21600,21600">
                  <v:path/>
                  <v:fill on="f" focussize="0,0"/>
                  <v:stroke on="f"/>
                  <v:imagedata r:id="rId92" o:title=""/>
                  <o:lock v:ext="edit" aspectratio="t"/>
                  <w10:wrap type="none"/>
                  <w10:anchorlock/>
                </v:shape>
                <o:OLEObject Type="Embed" ProgID="Visio.Drawing.15" ShapeID="_x0000_i1068" DrawAspect="Content" ObjectID="_1468075768" r:id="rId91">
                  <o:LockedField>false</o:LockedField>
                </o:OLEObject>
              </w:object>
            </w:r>
          </w:p>
          <w:p>
            <w:pPr>
              <w:jc w:val="center"/>
              <w:rPr>
                <w:rFonts w:hint="default"/>
                <w:b/>
                <w:bCs/>
                <w:sz w:val="24"/>
                <w:szCs w:val="24"/>
                <w:highlight w:val="green"/>
                <w:lang w:val="en-US" w:eastAsia="zh-CN"/>
              </w:rPr>
            </w:pPr>
            <w:r>
              <w:rPr>
                <w:rFonts w:hint="eastAsia"/>
                <w:b/>
                <w:bCs/>
                <w:sz w:val="24"/>
                <w:szCs w:val="24"/>
                <w:highlight w:val="green"/>
                <w:lang w:val="en-US" w:eastAsia="zh-CN"/>
              </w:rPr>
              <w:t>图4-1 噪声防治措施图解</w:t>
            </w:r>
          </w:p>
          <w:p>
            <w:pPr>
              <w:spacing w:line="360" w:lineRule="auto"/>
              <w:ind w:firstLine="480" w:firstLineChars="20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经过上述处理后，噪声源的源强可较大程度地减少，经过距离衰减后，厂界噪声能够达到《工业企业厂界环境噪声排放标准》（GB12348-2008）中</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类标准要求</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沿线村屯声环境满足《声环境质量标准》（GB3096-2008）2类标准。</w:t>
            </w:r>
          </w:p>
          <w:p>
            <w:pPr>
              <w:spacing w:line="360" w:lineRule="auto"/>
              <w:ind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14:textFill>
                  <w14:solidFill>
                    <w14:schemeClr w14:val="tx1"/>
                  </w14:solidFill>
                </w14:textFill>
              </w:rPr>
              <w:t>监测管理要求</w:t>
            </w:r>
          </w:p>
          <w:p>
            <w:pPr>
              <w:spacing w:line="360" w:lineRule="auto"/>
              <w:ind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根据《排污单位自行监测技术指南 总则》（HJ819-2017），本项目噪声监测计划如下：</w:t>
            </w:r>
          </w:p>
          <w:p>
            <w:pPr>
              <w:bidi w:val="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 xml:space="preserve">10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噪声监测计划表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3"/>
              <w:gridCol w:w="2450"/>
              <w:gridCol w:w="3149"/>
              <w:gridCol w:w="13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3" w:type="pct"/>
                  <w:noWrap w:val="0"/>
                  <w:vAlign w:val="center"/>
                </w:tcPr>
                <w:p>
                  <w:pPr>
                    <w:pStyle w:val="75"/>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类别</w:t>
                  </w:r>
                </w:p>
              </w:tc>
              <w:tc>
                <w:tcPr>
                  <w:tcW w:w="1396" w:type="pct"/>
                  <w:noWrap w:val="0"/>
                  <w:vAlign w:val="center"/>
                </w:tcPr>
                <w:p>
                  <w:pPr>
                    <w:pStyle w:val="75"/>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监测位点</w:t>
                  </w:r>
                </w:p>
              </w:tc>
              <w:tc>
                <w:tcPr>
                  <w:tcW w:w="1794" w:type="pct"/>
                  <w:noWrap w:val="0"/>
                  <w:vAlign w:val="center"/>
                </w:tcPr>
                <w:p>
                  <w:pPr>
                    <w:pStyle w:val="75"/>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监测项目</w:t>
                  </w:r>
                </w:p>
              </w:tc>
              <w:tc>
                <w:tcPr>
                  <w:tcW w:w="775" w:type="pct"/>
                  <w:noWrap w:val="0"/>
                  <w:vAlign w:val="center"/>
                </w:tcPr>
                <w:p>
                  <w:pPr>
                    <w:pStyle w:val="75"/>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3" w:type="pct"/>
                  <w:noWrap w:val="0"/>
                  <w:vAlign w:val="center"/>
                </w:tcPr>
                <w:p>
                  <w:pPr>
                    <w:pStyle w:val="75"/>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噪声</w:t>
                  </w:r>
                </w:p>
              </w:tc>
              <w:tc>
                <w:tcPr>
                  <w:tcW w:w="1396" w:type="pct"/>
                  <w:noWrap w:val="0"/>
                  <w:vAlign w:val="center"/>
                </w:tcPr>
                <w:p>
                  <w:pPr>
                    <w:pStyle w:val="75"/>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 xml:space="preserve">厂界外1m </w:t>
                  </w:r>
                </w:p>
              </w:tc>
              <w:tc>
                <w:tcPr>
                  <w:tcW w:w="1794" w:type="pct"/>
                  <w:noWrap w:val="0"/>
                  <w:vAlign w:val="center"/>
                </w:tcPr>
                <w:p>
                  <w:pPr>
                    <w:pStyle w:val="75"/>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昼间、夜间等效连续A声级</w:t>
                  </w:r>
                </w:p>
              </w:tc>
              <w:tc>
                <w:tcPr>
                  <w:tcW w:w="775" w:type="pct"/>
                  <w:noWrap w:val="0"/>
                  <w:vAlign w:val="center"/>
                </w:tcPr>
                <w:p>
                  <w:pPr>
                    <w:pStyle w:val="75"/>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1次/季度</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eastAsia" w:cs="Times New Roman"/>
                <w:b/>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固体废弃物</w:t>
            </w:r>
          </w:p>
          <w:p>
            <w:pPr>
              <w:keepNext w:val="0"/>
              <w:keepLines w:val="0"/>
              <w:pageBreakBefore w:val="0"/>
              <w:kinsoku/>
              <w:wordWrap/>
              <w:overflowPunct/>
              <w:topLinePunct w:val="0"/>
              <w:autoSpaceDE/>
              <w:autoSpaceDN/>
              <w:bidi w:val="0"/>
              <w:adjustRightInd w:val="0"/>
              <w:spacing w:line="360" w:lineRule="auto"/>
              <w:ind w:leftChars="0" w:right="0" w:firstLine="480" w:firstLineChars="2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本项目固体废物主要为生活垃圾、</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一般固体废物和危险废物。一般固体废物包括</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布袋除尘器收尘、</w:t>
            </w:r>
            <w:r>
              <w:rPr>
                <w:rFonts w:hint="default" w:ascii="Times New Roman" w:hAnsi="Times New Roman" w:eastAsia="宋体" w:cs="Times New Roman"/>
                <w:color w:val="000000" w:themeColor="text1"/>
                <w:sz w:val="24"/>
                <w:szCs w:val="24"/>
                <w14:textFill>
                  <w14:solidFill>
                    <w14:schemeClr w14:val="tx1"/>
                  </w14:solidFill>
                </w14:textFill>
              </w:rPr>
              <w:t>车间沉降粉尘</w:t>
            </w:r>
            <w:r>
              <w:rPr>
                <w:rFonts w:hint="default" w:ascii="Times New Roman" w:hAnsi="Times New Roman" w:eastAsia="宋体" w:cs="Times New Roman"/>
                <w:color w:val="000000" w:themeColor="text1"/>
                <w:sz w:val="24"/>
                <w:szCs w:val="24"/>
                <w:lang w:eastAsia="zh-CN"/>
                <w14:textFill>
                  <w14:solidFill>
                    <w14:schemeClr w14:val="tx1"/>
                  </w14:solidFill>
                </w14:textFill>
              </w:rPr>
              <w:t>、废布袋</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筛分出来的</w:t>
            </w:r>
            <w:r>
              <w:rPr>
                <w:rFonts w:hint="eastAsia" w:cs="Times New Roman"/>
                <w:color w:val="000000" w:themeColor="text1"/>
                <w:sz w:val="24"/>
                <w:szCs w:val="24"/>
                <w:lang w:val="en-US" w:eastAsia="zh-CN"/>
                <w14:textFill>
                  <w14:solidFill>
                    <w14:schemeClr w14:val="tx1"/>
                  </w14:solidFill>
                </w14:textFill>
              </w:rPr>
              <w:t>不合格的产品</w:t>
            </w:r>
            <w:r>
              <w:rPr>
                <w:rFonts w:hint="default" w:ascii="Times New Roman" w:hAnsi="Times New Roman" w:eastAsia="宋体" w:cs="Times New Roman"/>
                <w:color w:val="000000" w:themeColor="text1"/>
                <w:sz w:val="24"/>
                <w:szCs w:val="24"/>
                <w:lang w:eastAsia="zh-CN"/>
                <w14:textFill>
                  <w14:solidFill>
                    <w14:schemeClr w14:val="tx1"/>
                  </w14:solidFill>
                </w14:textFill>
              </w:rPr>
              <w:t>。危险废物包括废机油与润滑油。</w:t>
            </w:r>
            <w:r>
              <w:rPr>
                <w:rFonts w:hint="default" w:ascii="Times New Roman" w:hAnsi="Times New Roman" w:eastAsia="宋体" w:cs="Times New Roman"/>
                <w:b w:val="0"/>
                <w:bCs w:val="0"/>
                <w:color w:val="000000" w:themeColor="text1"/>
                <w:sz w:val="24"/>
                <w:szCs w:val="24"/>
                <w14:textFill>
                  <w14:solidFill>
                    <w14:schemeClr w14:val="tx1"/>
                  </w14:solidFill>
                </w14:textFill>
              </w:rPr>
              <w:t>各污染物产生及处置排放情况如下：</w:t>
            </w:r>
          </w:p>
          <w:p>
            <w:pPr>
              <w:pStyle w:val="100"/>
              <w:ind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1 \* GB3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①</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t>生活垃圾</w:t>
            </w:r>
          </w:p>
          <w:p>
            <w:pPr>
              <w:pStyle w:val="100"/>
              <w:ind w:firstLine="42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员工生活垃圾产生量按0.5kg/人·d计，本项目职工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14:textFill>
                  <w14:solidFill>
                    <w14:schemeClr w14:val="tx1"/>
                  </w14:solidFill>
                </w14:textFill>
              </w:rPr>
              <w:t>人，生活垃圾产生量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14:textFill>
                  <w14:solidFill>
                    <w14:schemeClr w14:val="tx1"/>
                  </w14:solidFill>
                </w14:textFill>
              </w:rPr>
              <w:t>t/a，生活垃圾经集中收集后委托</w:t>
            </w:r>
            <w:r>
              <w:rPr>
                <w:rFonts w:hint="default" w:ascii="Times New Roman" w:hAnsi="Times New Roman" w:eastAsia="宋体" w:cs="Times New Roman"/>
                <w:color w:val="000000" w:themeColor="text1"/>
                <w:sz w:val="24"/>
                <w:szCs w:val="24"/>
                <w:lang w:eastAsia="zh-CN"/>
                <w14:textFill>
                  <w14:solidFill>
                    <w14:schemeClr w14:val="tx1"/>
                  </w14:solidFill>
                </w14:textFill>
              </w:rPr>
              <w:t>市政</w:t>
            </w:r>
            <w:r>
              <w:rPr>
                <w:rFonts w:hint="default" w:ascii="Times New Roman" w:hAnsi="Times New Roman" w:eastAsia="宋体" w:cs="Times New Roman"/>
                <w:color w:val="000000" w:themeColor="text1"/>
                <w:sz w:val="24"/>
                <w:szCs w:val="24"/>
                <w14:textFill>
                  <w14:solidFill>
                    <w14:schemeClr w14:val="tx1"/>
                  </w14:solidFill>
                </w14:textFill>
              </w:rPr>
              <w:t>环卫部门清运处理。</w:t>
            </w:r>
          </w:p>
          <w:p>
            <w:pPr>
              <w:pStyle w:val="100"/>
              <w:ind w:firstLine="42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 2 \* GB3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②</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布袋除尘器收尘</w:t>
            </w:r>
          </w:p>
          <w:p>
            <w:pPr>
              <w:pStyle w:val="100"/>
              <w:ind w:firstLine="42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一次筛分、磨机、二次筛分</w:t>
            </w:r>
            <w:r>
              <w:rPr>
                <w:rFonts w:hint="default" w:ascii="Times New Roman" w:hAnsi="Times New Roman" w:eastAsia="宋体" w:cs="Times New Roman"/>
                <w:color w:val="000000" w:themeColor="text1"/>
                <w:sz w:val="24"/>
                <w:szCs w:val="24"/>
                <w:highlight w:val="none"/>
                <w14:textFill>
                  <w14:solidFill>
                    <w14:schemeClr w14:val="tx1"/>
                  </w14:solidFill>
                </w14:textFill>
              </w:rPr>
              <w:t>粉尘布袋除尘器收尘量为</w:t>
            </w:r>
            <w:r>
              <w:rPr>
                <w:rFonts w:hint="eastAsia" w:cs="Times New Roman"/>
                <w:color w:val="000000" w:themeColor="text1"/>
                <w:sz w:val="24"/>
                <w:szCs w:val="24"/>
                <w:highlight w:val="none"/>
                <w:lang w:val="en-US" w:eastAsia="zh-CN"/>
                <w14:textFill>
                  <w14:solidFill>
                    <w14:schemeClr w14:val="tx1"/>
                  </w14:solidFill>
                </w14:textFill>
              </w:rPr>
              <w:t>254.38</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r>
              <w:rPr>
                <w:rFonts w:hint="eastAsia" w:cs="Times New Roman"/>
                <w:color w:val="000000" w:themeColor="text1"/>
                <w:sz w:val="24"/>
                <w:szCs w:val="24"/>
                <w:highlight w:val="none"/>
                <w:lang w:eastAsia="zh-CN"/>
                <w14:textFill>
                  <w14:solidFill>
                    <w14:schemeClr w14:val="tx1"/>
                  </w14:solidFill>
                </w14:textFill>
              </w:rPr>
              <w:t>；整形及三次筛分</w:t>
            </w:r>
            <w:r>
              <w:rPr>
                <w:rFonts w:hint="default" w:ascii="Times New Roman" w:hAnsi="Times New Roman" w:eastAsia="宋体" w:cs="Times New Roman"/>
                <w:color w:val="000000" w:themeColor="text1"/>
                <w:sz w:val="24"/>
                <w:szCs w:val="24"/>
                <w:highlight w:val="none"/>
                <w14:textFill>
                  <w14:solidFill>
                    <w14:schemeClr w14:val="tx1"/>
                  </w14:solidFill>
                </w14:textFill>
              </w:rPr>
              <w:t>粉尘布袋除尘器收尘量为</w:t>
            </w:r>
            <w:r>
              <w:rPr>
                <w:rFonts w:hint="eastAsia" w:cs="Times New Roman"/>
                <w:color w:val="000000" w:themeColor="text1"/>
                <w:sz w:val="24"/>
                <w:szCs w:val="24"/>
                <w:highlight w:val="none"/>
                <w:lang w:val="en-US" w:eastAsia="zh-CN"/>
                <w14:textFill>
                  <w14:solidFill>
                    <w14:schemeClr w14:val="tx1"/>
                  </w14:solidFill>
                </w14:textFill>
              </w:rPr>
              <w:t>254.38</w:t>
            </w:r>
            <w:r>
              <w:rPr>
                <w:rFonts w:hint="default" w:ascii="Times New Roman" w:hAnsi="Times New Roman" w:eastAsia="宋体" w:cs="Times New Roman"/>
                <w:color w:val="000000" w:themeColor="text1"/>
                <w:sz w:val="24"/>
                <w:szCs w:val="24"/>
                <w:highlight w:val="none"/>
                <w14:textFill>
                  <w14:solidFill>
                    <w14:schemeClr w14:val="tx1"/>
                  </w14:solidFill>
                </w14:textFill>
              </w:rPr>
              <w:t>t/a；布袋除尘收集粉尘总计</w:t>
            </w:r>
            <w:r>
              <w:rPr>
                <w:rFonts w:hint="eastAsia" w:cs="Times New Roman"/>
                <w:color w:val="000000" w:themeColor="text1"/>
                <w:sz w:val="24"/>
                <w:szCs w:val="24"/>
                <w:highlight w:val="none"/>
                <w:lang w:val="en-US" w:eastAsia="zh-CN"/>
                <w14:textFill>
                  <w14:solidFill>
                    <w14:schemeClr w14:val="tx1"/>
                  </w14:solidFill>
                </w14:textFill>
              </w:rPr>
              <w:t>508.76</w:t>
            </w:r>
            <w:r>
              <w:rPr>
                <w:rFonts w:hint="default" w:ascii="Times New Roman" w:hAnsi="Times New Roman" w:eastAsia="宋体" w:cs="Times New Roman"/>
                <w:color w:val="000000" w:themeColor="text1"/>
                <w:sz w:val="24"/>
                <w:szCs w:val="24"/>
                <w:highlight w:val="none"/>
                <w14:textFill>
                  <w14:solidFill>
                    <w14:schemeClr w14:val="tx1"/>
                  </w14:solidFill>
                </w14:textFill>
              </w:rPr>
              <w:t>t/a；以上收尘均集中收集</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袋装收集暂存在石粉仓，收集</w:t>
            </w:r>
            <w:r>
              <w:rPr>
                <w:rFonts w:hint="default" w:ascii="Times New Roman" w:hAnsi="Times New Roman" w:eastAsia="宋体" w:cs="Times New Roman"/>
                <w:color w:val="000000" w:themeColor="text1"/>
                <w:sz w:val="24"/>
                <w:szCs w:val="24"/>
                <w:highlight w:val="none"/>
                <w14:textFill>
                  <w14:solidFill>
                    <w14:schemeClr w14:val="tx1"/>
                  </w14:solidFill>
                </w14:textFill>
              </w:rPr>
              <w:t>后外售。</w:t>
            </w:r>
          </w:p>
          <w:p>
            <w:pPr>
              <w:pStyle w:val="100"/>
              <w:ind w:firstLine="42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 3 \* GB3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③</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车间沉降粉尘</w:t>
            </w:r>
          </w:p>
          <w:p>
            <w:pPr>
              <w:pStyle w:val="100"/>
              <w:ind w:firstLine="42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生产车间</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采取</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固定喷淋设施，洒水抑尘</w:t>
            </w:r>
            <w:r>
              <w:rPr>
                <w:rFonts w:hint="default" w:ascii="Times New Roman" w:hAnsi="Times New Roman" w:eastAsia="宋体" w:cs="Times New Roman"/>
                <w:color w:val="000000" w:themeColor="text1"/>
                <w:sz w:val="24"/>
                <w:szCs w:val="24"/>
                <w:highlight w:val="none"/>
                <w14:textFill>
                  <w14:solidFill>
                    <w14:schemeClr w14:val="tx1"/>
                  </w14:solidFill>
                </w14:textFill>
              </w:rPr>
              <w:t>，产生量为</w:t>
            </w:r>
            <w:r>
              <w:rPr>
                <w:rFonts w:hint="eastAsia" w:cs="Times New Roman"/>
                <w:color w:val="000000" w:themeColor="text1"/>
                <w:sz w:val="24"/>
                <w:szCs w:val="24"/>
                <w:highlight w:val="none"/>
                <w:lang w:val="en-US" w:eastAsia="zh-CN"/>
                <w14:textFill>
                  <w14:solidFill>
                    <w14:schemeClr w14:val="tx1"/>
                  </w14:solidFill>
                </w14:textFill>
              </w:rPr>
              <w:t>45.36</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r>
              <w:rPr>
                <w:rFonts w:hint="eastAsia" w:cs="Times New Roman"/>
                <w:color w:val="000000" w:themeColor="text1"/>
                <w:sz w:val="24"/>
                <w:szCs w:val="24"/>
                <w:highlight w:val="none"/>
                <w:lang w:eastAsia="zh-CN"/>
                <w14:textFill>
                  <w14:solidFill>
                    <w14:schemeClr w14:val="tx1"/>
                  </w14:solidFill>
                </w14:textFill>
              </w:rPr>
              <w:t>一次筛分、磨机、二次筛分工序产生</w:t>
            </w:r>
            <w:r>
              <w:rPr>
                <w:rFonts w:hint="default" w:ascii="Times New Roman" w:hAnsi="Times New Roman" w:eastAsia="宋体" w:cs="Times New Roman"/>
                <w:color w:val="000000" w:themeColor="text1"/>
                <w:sz w:val="24"/>
                <w:szCs w:val="24"/>
                <w:highlight w:val="none"/>
                <w14:textFill>
                  <w14:solidFill>
                    <w14:schemeClr w14:val="tx1"/>
                  </w14:solidFill>
                </w14:textFill>
              </w:rPr>
              <w:t>量为</w:t>
            </w:r>
            <w:r>
              <w:rPr>
                <w:rFonts w:hint="eastAsia" w:cs="Times New Roman"/>
                <w:color w:val="000000" w:themeColor="text1"/>
                <w:sz w:val="24"/>
                <w:szCs w:val="24"/>
                <w:highlight w:val="none"/>
                <w:lang w:val="en-US" w:eastAsia="zh-CN"/>
                <w14:textFill>
                  <w14:solidFill>
                    <w14:schemeClr w14:val="tx1"/>
                  </w14:solidFill>
                </w14:textFill>
              </w:rPr>
              <w:t>22.68</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r>
              <w:rPr>
                <w:rFonts w:hint="eastAsia" w:cs="Times New Roman"/>
                <w:color w:val="000000" w:themeColor="text1"/>
                <w:sz w:val="24"/>
                <w:szCs w:val="24"/>
                <w:highlight w:val="none"/>
                <w:lang w:eastAsia="zh-CN"/>
                <w14:textFill>
                  <w14:solidFill>
                    <w14:schemeClr w14:val="tx1"/>
                  </w14:solidFill>
                </w14:textFill>
              </w:rPr>
              <w:t>整形及三次筛分工序</w:t>
            </w:r>
            <w:r>
              <w:rPr>
                <w:rFonts w:hint="default" w:ascii="Times New Roman" w:hAnsi="Times New Roman" w:eastAsia="宋体" w:cs="Times New Roman"/>
                <w:color w:val="000000" w:themeColor="text1"/>
                <w:sz w:val="24"/>
                <w:szCs w:val="24"/>
                <w:highlight w:val="none"/>
                <w14:textFill>
                  <w14:solidFill>
                    <w14:schemeClr w14:val="tx1"/>
                  </w14:solidFill>
                </w14:textFill>
              </w:rPr>
              <w:t>量为</w:t>
            </w:r>
            <w:r>
              <w:rPr>
                <w:rFonts w:hint="eastAsia" w:cs="Times New Roman"/>
                <w:color w:val="000000" w:themeColor="text1"/>
                <w:sz w:val="24"/>
                <w:szCs w:val="24"/>
                <w:highlight w:val="none"/>
                <w:lang w:val="en-US" w:eastAsia="zh-CN"/>
                <w14:textFill>
                  <w14:solidFill>
                    <w14:schemeClr w14:val="tx1"/>
                  </w14:solidFill>
                </w14:textFill>
              </w:rPr>
              <w:t>22.68</w:t>
            </w:r>
            <w:r>
              <w:rPr>
                <w:rFonts w:hint="default" w:ascii="Times New Roman" w:hAnsi="Times New Roman" w:eastAsia="宋体" w:cs="Times New Roman"/>
                <w:color w:val="000000" w:themeColor="text1"/>
                <w:sz w:val="24"/>
                <w:szCs w:val="24"/>
                <w:highlight w:val="none"/>
                <w14:textFill>
                  <w14:solidFill>
                    <w14:schemeClr w14:val="tx1"/>
                  </w14:solidFill>
                </w14:textFill>
              </w:rPr>
              <w:t>t/a，集中收集后外售。</w:t>
            </w:r>
          </w:p>
          <w:p>
            <w:pPr>
              <w:pStyle w:val="100"/>
              <w:ind w:firstLine="42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④废布袋</w:t>
            </w:r>
          </w:p>
          <w:p>
            <w:pPr>
              <w:pStyle w:val="100"/>
              <w:ind w:firstLine="42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除尘器布袋一年更换一次，约0.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02</w:t>
            </w:r>
            <w:r>
              <w:rPr>
                <w:rFonts w:hint="default" w:ascii="Times New Roman" w:hAnsi="Times New Roman" w:eastAsia="宋体" w:cs="Times New Roman"/>
                <w:color w:val="000000" w:themeColor="text1"/>
                <w:sz w:val="24"/>
                <w:szCs w:val="24"/>
                <w:lang w:eastAsia="zh-CN"/>
                <w14:textFill>
                  <w14:solidFill>
                    <w14:schemeClr w14:val="tx1"/>
                  </w14:solidFill>
                </w14:textFill>
              </w:rPr>
              <w:t>t/a，交由市政部门处置。</w:t>
            </w:r>
          </w:p>
          <w:p>
            <w:pPr>
              <w:pStyle w:val="100"/>
              <w:ind w:firstLine="42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eastAsia="zh-CN"/>
                <w14:textFill>
                  <w14:solidFill>
                    <w14:schemeClr w14:val="tx1"/>
                  </w14:solidFill>
                </w14:textFill>
              </w:rPr>
              <w:instrText xml:space="preserve"> = 5 \* GB3 \* MERGEFORMAT </w:instrTex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separate"/>
            </w:r>
            <w:r>
              <w:rPr>
                <w:color w:val="000000" w:themeColor="text1"/>
                <w14:textFill>
                  <w14:solidFill>
                    <w14:schemeClr w14:val="tx1"/>
                  </w14:solidFill>
                </w14:textFill>
              </w:rPr>
              <w:t>⑤</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筛分出来的</w:t>
            </w:r>
            <w:r>
              <w:rPr>
                <w:rFonts w:hint="eastAsia" w:cs="Times New Roman"/>
                <w:color w:val="000000" w:themeColor="text1"/>
                <w:sz w:val="24"/>
                <w:szCs w:val="24"/>
                <w:lang w:val="en-US" w:eastAsia="zh-CN"/>
                <w14:textFill>
                  <w14:solidFill>
                    <w14:schemeClr w14:val="tx1"/>
                  </w14:solidFill>
                </w14:textFill>
              </w:rPr>
              <w:t>不合格的产品</w:t>
            </w:r>
          </w:p>
          <w:p>
            <w:pPr>
              <w:pStyle w:val="100"/>
              <w:ind w:firstLine="42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筛分出来的</w:t>
            </w:r>
            <w:r>
              <w:rPr>
                <w:rFonts w:hint="eastAsia" w:cs="Times New Roman"/>
                <w:color w:val="000000" w:themeColor="text1"/>
                <w:sz w:val="24"/>
                <w:szCs w:val="24"/>
                <w:highlight w:val="none"/>
                <w:lang w:val="en-US" w:eastAsia="zh-CN"/>
                <w14:textFill>
                  <w14:solidFill>
                    <w14:schemeClr w14:val="tx1"/>
                  </w14:solidFill>
                </w14:textFill>
              </w:rPr>
              <w:t>不合格的产品</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约</w:t>
            </w:r>
            <w:r>
              <w:rPr>
                <w:rFonts w:hint="eastAsia" w:cs="Times New Roman"/>
                <w:color w:val="000000" w:themeColor="text1"/>
                <w:sz w:val="24"/>
                <w:szCs w:val="24"/>
                <w:highlight w:val="none"/>
                <w:lang w:val="en-US" w:eastAsia="zh-CN"/>
                <w14:textFill>
                  <w14:solidFill>
                    <w14:schemeClr w14:val="tx1"/>
                  </w14:solidFill>
                </w14:textFill>
              </w:rPr>
              <w:t>1445.88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集中收集外售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pStyle w:val="100"/>
              <w:ind w:firstLine="42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instrText xml:space="preserve"> = 6 \* GB3 \* MERGEFORMAT </w:instrTex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fldChar w:fldCharType="separate"/>
            </w:r>
            <w:r>
              <w:rPr>
                <w:color w:val="000000" w:themeColor="text1"/>
                <w14:textFill>
                  <w14:solidFill>
                    <w14:schemeClr w14:val="tx1"/>
                  </w14:solidFill>
                </w14:textFill>
              </w:rPr>
              <w:t>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废机油与润滑油</w:t>
            </w:r>
          </w:p>
          <w:p>
            <w:pPr>
              <w:pStyle w:val="100"/>
              <w:ind w:firstLine="42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本项目生产设备需要定期更换机油</w:t>
            </w:r>
            <w:r>
              <w:rPr>
                <w:rFonts w:hint="default" w:ascii="Times New Roman" w:hAnsi="Times New Roman" w:eastAsia="宋体" w:cs="Times New Roman"/>
                <w:color w:val="000000" w:themeColor="text1"/>
                <w:sz w:val="24"/>
                <w:szCs w:val="24"/>
                <w:lang w:eastAsia="zh-CN"/>
                <w14:textFill>
                  <w14:solidFill>
                    <w14:schemeClr w14:val="tx1"/>
                  </w14:solidFill>
                </w14:textFill>
              </w:rPr>
              <w:t>、润滑油</w:t>
            </w:r>
            <w:r>
              <w:rPr>
                <w:rFonts w:hint="default" w:ascii="Times New Roman" w:hAnsi="Times New Roman" w:eastAsia="宋体" w:cs="Times New Roman"/>
                <w:color w:val="000000" w:themeColor="text1"/>
                <w:sz w:val="24"/>
                <w:szCs w:val="24"/>
                <w14:textFill>
                  <w14:solidFill>
                    <w14:schemeClr w14:val="tx1"/>
                  </w14:solidFill>
                </w14:textFill>
              </w:rPr>
              <w:t>，根据企业提供资料，废机油</w:t>
            </w:r>
            <w:r>
              <w:rPr>
                <w:rFonts w:hint="default" w:ascii="Times New Roman" w:hAnsi="Times New Roman" w:eastAsia="宋体" w:cs="Times New Roman"/>
                <w:color w:val="000000" w:themeColor="text1"/>
                <w:sz w:val="24"/>
                <w:szCs w:val="24"/>
                <w:lang w:eastAsia="zh-CN"/>
                <w14:textFill>
                  <w14:solidFill>
                    <w14:schemeClr w14:val="tx1"/>
                  </w14:solidFill>
                </w14:textFill>
              </w:rPr>
              <w:t>与润滑油</w:t>
            </w:r>
            <w:r>
              <w:rPr>
                <w:rFonts w:hint="default" w:ascii="Times New Roman" w:hAnsi="Times New Roman" w:eastAsia="宋体" w:cs="Times New Roman"/>
                <w:color w:val="000000" w:themeColor="text1"/>
                <w:sz w:val="24"/>
                <w:szCs w:val="24"/>
                <w14:textFill>
                  <w14:solidFill>
                    <w14:schemeClr w14:val="tx1"/>
                  </w14:solidFill>
                </w14:textFill>
              </w:rPr>
              <w:t>产生量为0.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default" w:ascii="Times New Roman" w:hAnsi="Times New Roman" w:eastAsia="宋体" w:cs="Times New Roman"/>
                <w:color w:val="000000" w:themeColor="text1"/>
                <w:sz w:val="24"/>
                <w:szCs w:val="24"/>
                <w:highlight w:val="none"/>
                <w14:textFill>
                  <w14:solidFill>
                    <w14:schemeClr w14:val="tx1"/>
                  </w14:solidFill>
                </w14:textFill>
              </w:rPr>
              <w:t>废机油</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与润滑油</w:t>
            </w:r>
            <w:r>
              <w:rPr>
                <w:rFonts w:hint="default" w:ascii="Times New Roman" w:hAnsi="Times New Roman" w:eastAsia="宋体" w:cs="Times New Roman"/>
                <w:color w:val="000000" w:themeColor="text1"/>
                <w:sz w:val="24"/>
                <w:szCs w:val="24"/>
                <w:highlight w:val="none"/>
                <w14:textFill>
                  <w14:solidFill>
                    <w14:schemeClr w14:val="tx1"/>
                  </w14:solidFill>
                </w14:textFill>
              </w:rPr>
              <w:t>属于危险废物，收集后</w:t>
            </w:r>
            <w:r>
              <w:rPr>
                <w:rFonts w:hint="eastAsia" w:cs="Times New Roman"/>
                <w:color w:val="000000" w:themeColor="text1"/>
                <w:sz w:val="24"/>
                <w:szCs w:val="24"/>
                <w:highlight w:val="none"/>
                <w:lang w:val="en-US" w:eastAsia="zh-CN"/>
                <w14:textFill>
                  <w14:solidFill>
                    <w14:schemeClr w14:val="tx1"/>
                  </w14:solidFill>
                </w14:textFill>
              </w:rPr>
              <w:t>暂存在危险废物暂存间，交</w:t>
            </w:r>
            <w:r>
              <w:rPr>
                <w:rFonts w:hint="default" w:ascii="Times New Roman" w:hAnsi="Times New Roman" w:eastAsia="宋体" w:cs="Times New Roman"/>
                <w:color w:val="000000" w:themeColor="text1"/>
                <w:sz w:val="24"/>
                <w:szCs w:val="24"/>
                <w:highlight w:val="none"/>
                <w14:textFill>
                  <w14:solidFill>
                    <w14:schemeClr w14:val="tx1"/>
                  </w14:solidFill>
                </w14:textFill>
              </w:rPr>
              <w:t>由有资质的单位回收处置。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危险废物在贮存、运输和处置过程中要严格按照</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HYPERLINK "https://www.mee.gov.cn/ywgz/fgbz/bz/bzwb/gthw/wxfwjbffbz/202302/t20230224_1017500.shtml"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《危险废物贮存污染控制标准》（GB18597-2023）</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的要求进行，危险废物暂存间内占地面积5m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，建筑面积5m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，位于生产</w:t>
            </w:r>
            <w:r>
              <w:rPr>
                <w:rFonts w:hint="eastAsia" w:cs="Times New Roman"/>
                <w:color w:val="000000" w:themeColor="text1"/>
                <w:sz w:val="24"/>
                <w:szCs w:val="24"/>
                <w:highlight w:val="none"/>
                <w:lang w:val="en-US" w:eastAsia="zh-CN"/>
                <w14:textFill>
                  <w14:solidFill>
                    <w14:schemeClr w14:val="tx1"/>
                  </w14:solidFill>
                </w14:textFill>
              </w:rPr>
              <w:t>车间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内，危险废物暂存间内设置导流沟、事故收集池、废液池。</w:t>
            </w:r>
            <w:r>
              <w:rPr>
                <w:rFonts w:hint="default" w:ascii="Times New Roman" w:hAnsi="Times New Roman" w:eastAsia="宋体" w:cs="Times New Roman"/>
                <w:color w:val="000000" w:themeColor="text1"/>
                <w:sz w:val="24"/>
                <w:szCs w:val="24"/>
                <w:highlight w:val="none"/>
                <w14:textFill>
                  <w14:solidFill>
                    <w14:schemeClr w14:val="tx1"/>
                  </w14:solidFill>
                </w14:textFill>
              </w:rPr>
              <w:t>危废间满足“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六</w:t>
            </w:r>
            <w:r>
              <w:rPr>
                <w:rFonts w:hint="default" w:ascii="Times New Roman" w:hAnsi="Times New Roman" w:eastAsia="宋体" w:cs="Times New Roman"/>
                <w:color w:val="000000" w:themeColor="text1"/>
                <w:sz w:val="24"/>
                <w:szCs w:val="24"/>
                <w:highlight w:val="none"/>
                <w14:textFill>
                  <w14:solidFill>
                    <w14:schemeClr w14:val="tx1"/>
                  </w14:solidFill>
                </w14:textFill>
              </w:rPr>
              <w:t>防”（</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防风、防晒、防雨、防漏、防渗、防腐以及其他环境污染防治措施，不应露天堆放危险废物</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贮存设施应根据危险废物的类别、数量、形态、物理化学性质和污染防治等要求设置必要的贮存分区，避免不相容的危险废物接触、混合。贮存设施或贮存分区内地面、墙面裙脚、堵截泄漏的围堰、接触危险废物的隔板和墙体等应采用坚固的材料建造，表面无裂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 xml:space="preserve">-7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cm/s），或至少2mm厚高密度聚乙烯膜等人工防渗材料（渗透系数不大于10</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cm/s），或其他防渗性能等效的材料。同一贮存设施宜采用相同的防渗、防腐工艺（包括防渗、防腐结构或材料），防渗、防腐材料应覆盖所有可能与废物及其渗滤液、渗漏液等接触的构筑物表面；采用不同防渗、防腐工艺应分别建设贮存分区。贮存设施应采取技术和管理措施防止无关人员进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危险废物堆放处要设置环境保护图形标志；</w:t>
            </w:r>
          </w:p>
          <w:p>
            <w:pPr>
              <w:spacing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危险废物贮存前应进行检验，并注册登记，做好记录，记录上须注明危险废物的名称、来源、数量、特性和包装容器的类别、入库日期、存放库位、废物出库日期及接收单位名称</w:t>
            </w:r>
            <w:r>
              <w:rPr>
                <w:rFonts w:hint="eastAsia" w:cs="Times New Roman"/>
                <w:color w:val="000000" w:themeColor="text1"/>
                <w:sz w:val="24"/>
                <w:szCs w:val="24"/>
                <w:highlight w:val="none"/>
                <w:lang w:val="en-US" w:eastAsia="zh-CN"/>
                <w14:textFill>
                  <w14:solidFill>
                    <w14:schemeClr w14:val="tx1"/>
                  </w14:solidFill>
                </w14:textFill>
              </w:rPr>
              <w:t>。</w:t>
            </w:r>
          </w:p>
          <w:p>
            <w:pPr>
              <w:pStyle w:val="100"/>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定期对贮存危险废物的包装容器及贮存设施进行检查，发现破损，应及时采取措施清理更换。</w:t>
            </w:r>
          </w:p>
          <w:p>
            <w:pPr>
              <w:pStyle w:val="100"/>
              <w:ind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根据《国家危险废物名录》，废机油</w:t>
            </w:r>
            <w:r>
              <w:rPr>
                <w:rFonts w:hint="default" w:ascii="Times New Roman" w:hAnsi="Times New Roman" w:eastAsia="宋体" w:cs="Times New Roman"/>
                <w:color w:val="000000" w:themeColor="text1"/>
                <w:sz w:val="24"/>
                <w:szCs w:val="24"/>
                <w:lang w:eastAsia="zh-CN"/>
                <w14:textFill>
                  <w14:solidFill>
                    <w14:schemeClr w14:val="tx1"/>
                  </w14:solidFill>
                </w14:textFill>
              </w:rPr>
              <w:t>、润滑油</w:t>
            </w:r>
            <w:r>
              <w:rPr>
                <w:rFonts w:hint="default" w:ascii="Times New Roman" w:hAnsi="Times New Roman" w:eastAsia="宋体" w:cs="Times New Roman"/>
                <w:color w:val="000000" w:themeColor="text1"/>
                <w:sz w:val="24"/>
                <w:szCs w:val="24"/>
                <w14:textFill>
                  <w14:solidFill>
                    <w14:schemeClr w14:val="tx1"/>
                  </w14:solidFill>
                </w14:textFill>
              </w:rPr>
              <w:t>属于危险废物（HW08-900-214-08），本项目危险废物汇总表见下表。</w:t>
            </w:r>
          </w:p>
          <w:p>
            <w:pPr>
              <w:bidi w:val="0"/>
              <w:jc w:val="cente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表4-1</w:t>
            </w:r>
            <w:r>
              <w:rPr>
                <w:rFonts w:hint="eastAsia" w:cs="Times New Roman"/>
                <w:b/>
                <w:bCs/>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危险废物贮存场所基本情况</w:t>
            </w:r>
          </w:p>
          <w:tbl>
            <w:tblPr>
              <w:tblStyle w:val="30"/>
              <w:tblW w:w="0" w:type="auto"/>
              <w:tblInd w:w="1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1051"/>
              <w:gridCol w:w="1051"/>
              <w:gridCol w:w="776"/>
              <w:gridCol w:w="1196"/>
              <w:gridCol w:w="678"/>
              <w:gridCol w:w="931"/>
              <w:gridCol w:w="931"/>
              <w:gridCol w:w="774"/>
              <w:gridCol w:w="8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522" w:type="dxa"/>
                  <w:tcBorders>
                    <w:tl2br w:val="nil"/>
                    <w:tr2bl w:val="nil"/>
                  </w:tcBorders>
                  <w:noWrap w:val="0"/>
                  <w:vAlign w:val="center"/>
                </w:tcPr>
                <w:p>
                  <w:pPr>
                    <w:pStyle w:val="101"/>
                    <w:jc w:val="cente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序号</w:t>
                  </w:r>
                </w:p>
              </w:tc>
              <w:tc>
                <w:tcPr>
                  <w:tcW w:w="1163" w:type="dxa"/>
                  <w:tcBorders>
                    <w:tl2br w:val="nil"/>
                    <w:tr2bl w:val="nil"/>
                  </w:tcBorders>
                  <w:noWrap w:val="0"/>
                  <w:vAlign w:val="center"/>
                </w:tcPr>
                <w:p>
                  <w:pPr>
                    <w:pStyle w:val="101"/>
                    <w:jc w:val="cente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贮存场所（设施）</w:t>
                  </w:r>
                </w:p>
                <w:p>
                  <w:pPr>
                    <w:pStyle w:val="101"/>
                    <w:jc w:val="cente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名称</w:t>
                  </w:r>
                </w:p>
              </w:tc>
              <w:tc>
                <w:tcPr>
                  <w:tcW w:w="1161" w:type="dxa"/>
                  <w:tcBorders>
                    <w:tl2br w:val="nil"/>
                    <w:tr2bl w:val="nil"/>
                  </w:tcBorders>
                  <w:noWrap w:val="0"/>
                  <w:vAlign w:val="center"/>
                </w:tcPr>
                <w:p>
                  <w:pPr>
                    <w:pStyle w:val="101"/>
                    <w:jc w:val="cente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危险废物名称</w:t>
                  </w:r>
                </w:p>
              </w:tc>
              <w:tc>
                <w:tcPr>
                  <w:tcW w:w="745" w:type="dxa"/>
                  <w:tcBorders>
                    <w:tl2br w:val="nil"/>
                    <w:tr2bl w:val="nil"/>
                  </w:tcBorders>
                  <w:noWrap w:val="0"/>
                  <w:vAlign w:val="center"/>
                </w:tcPr>
                <w:p>
                  <w:pPr>
                    <w:pStyle w:val="101"/>
                    <w:jc w:val="cente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危险废物类别</w:t>
                  </w:r>
                </w:p>
              </w:tc>
              <w:tc>
                <w:tcPr>
                  <w:tcW w:w="745" w:type="dxa"/>
                  <w:tcBorders>
                    <w:tl2br w:val="nil"/>
                    <w:tr2bl w:val="nil"/>
                  </w:tcBorders>
                  <w:noWrap w:val="0"/>
                  <w:vAlign w:val="center"/>
                </w:tcPr>
                <w:p>
                  <w:pPr>
                    <w:pStyle w:val="101"/>
                    <w:jc w:val="cente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危险废物代码</w:t>
                  </w:r>
                </w:p>
              </w:tc>
              <w:tc>
                <w:tcPr>
                  <w:tcW w:w="745" w:type="dxa"/>
                  <w:tcBorders>
                    <w:tl2br w:val="nil"/>
                    <w:tr2bl w:val="nil"/>
                  </w:tcBorders>
                  <w:noWrap w:val="0"/>
                  <w:vAlign w:val="center"/>
                </w:tcPr>
                <w:p>
                  <w:pPr>
                    <w:pStyle w:val="101"/>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位置</w:t>
                  </w:r>
                </w:p>
              </w:tc>
              <w:tc>
                <w:tcPr>
                  <w:tcW w:w="1065" w:type="dxa"/>
                  <w:tcBorders>
                    <w:tl2br w:val="nil"/>
                    <w:tr2bl w:val="nil"/>
                  </w:tcBorders>
                  <w:noWrap w:val="0"/>
                  <w:vAlign w:val="center"/>
                </w:tcPr>
                <w:p>
                  <w:pPr>
                    <w:pStyle w:val="101"/>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占地面积</w:t>
                  </w:r>
                </w:p>
              </w:tc>
              <w:tc>
                <w:tcPr>
                  <w:tcW w:w="1065" w:type="dxa"/>
                  <w:tcBorders>
                    <w:tl2br w:val="nil"/>
                    <w:tr2bl w:val="nil"/>
                  </w:tcBorders>
                  <w:noWrap w:val="0"/>
                  <w:vAlign w:val="center"/>
                </w:tcPr>
                <w:p>
                  <w:pPr>
                    <w:pStyle w:val="101"/>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贮存方式</w:t>
                  </w:r>
                </w:p>
              </w:tc>
              <w:tc>
                <w:tcPr>
                  <w:tcW w:w="852" w:type="dxa"/>
                  <w:tcBorders>
                    <w:tl2br w:val="nil"/>
                    <w:tr2bl w:val="nil"/>
                  </w:tcBorders>
                  <w:noWrap w:val="0"/>
                  <w:vAlign w:val="center"/>
                </w:tcPr>
                <w:p>
                  <w:pPr>
                    <w:pStyle w:val="101"/>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贮存</w:t>
                  </w:r>
                </w:p>
                <w:p>
                  <w:pPr>
                    <w:pStyle w:val="101"/>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能力</w:t>
                  </w:r>
                </w:p>
              </w:tc>
              <w:tc>
                <w:tcPr>
                  <w:tcW w:w="997" w:type="dxa"/>
                  <w:tcBorders>
                    <w:tl2br w:val="nil"/>
                    <w:tr2bl w:val="nil"/>
                  </w:tcBorders>
                  <w:noWrap w:val="0"/>
                  <w:vAlign w:val="center"/>
                </w:tcPr>
                <w:p>
                  <w:pPr>
                    <w:pStyle w:val="101"/>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贮存</w:t>
                  </w:r>
                </w:p>
                <w:p>
                  <w:pPr>
                    <w:pStyle w:val="101"/>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2" w:type="dxa"/>
                  <w:tcBorders>
                    <w:tl2br w:val="nil"/>
                    <w:tr2bl w:val="nil"/>
                  </w:tcBorders>
                  <w:noWrap w:val="0"/>
                  <w:vAlign w:val="center"/>
                </w:tcPr>
                <w:p>
                  <w:pPr>
                    <w:pStyle w:val="101"/>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1163" w:type="dxa"/>
                  <w:tcBorders>
                    <w:tl2br w:val="nil"/>
                    <w:tr2bl w:val="nil"/>
                  </w:tcBorders>
                  <w:noWrap w:val="0"/>
                  <w:vAlign w:val="center"/>
                </w:tcPr>
                <w:p>
                  <w:pPr>
                    <w:pStyle w:val="101"/>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危险废物暂存间</w:t>
                  </w:r>
                </w:p>
              </w:tc>
              <w:tc>
                <w:tcPr>
                  <w:tcW w:w="1161" w:type="dxa"/>
                  <w:tcBorders>
                    <w:tl2br w:val="nil"/>
                    <w:tr2bl w:val="nil"/>
                  </w:tcBorders>
                  <w:noWrap w:val="0"/>
                  <w:vAlign w:val="center"/>
                </w:tcPr>
                <w:p>
                  <w:pPr>
                    <w:pStyle w:val="101"/>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废</w:t>
                  </w:r>
                  <w:r>
                    <w:rPr>
                      <w:rFonts w:hint="eastAsia" w:ascii="Times New Roman" w:hAnsi="Times New Roman" w:eastAsia="宋体" w:cs="Times New Roman"/>
                      <w:color w:val="000000" w:themeColor="text1"/>
                      <w14:textFill>
                        <w14:solidFill>
                          <w14:schemeClr w14:val="tx1"/>
                        </w14:solidFill>
                      </w14:textFill>
                    </w:rPr>
                    <w:t>机</w:t>
                  </w:r>
                  <w:r>
                    <w:rPr>
                      <w:rFonts w:ascii="Times New Roman" w:hAnsi="Times New Roman" w:eastAsia="宋体" w:cs="Times New Roman"/>
                      <w:color w:val="000000" w:themeColor="text1"/>
                      <w14:textFill>
                        <w14:solidFill>
                          <w14:schemeClr w14:val="tx1"/>
                        </w14:solidFill>
                      </w14:textFill>
                    </w:rPr>
                    <w:t>油</w:t>
                  </w:r>
                  <w:r>
                    <w:rPr>
                      <w:rFonts w:hint="eastAsia" w:ascii="Times New Roman" w:hAnsi="Times New Roman" w:eastAsia="宋体" w:cs="Times New Roman"/>
                      <w:color w:val="000000" w:themeColor="text1"/>
                      <w:lang w:eastAsia="zh-CN"/>
                      <w14:textFill>
                        <w14:solidFill>
                          <w14:schemeClr w14:val="tx1"/>
                        </w14:solidFill>
                      </w14:textFill>
                    </w:rPr>
                    <w:t>、润滑油</w:t>
                  </w:r>
                </w:p>
              </w:tc>
              <w:tc>
                <w:tcPr>
                  <w:tcW w:w="745" w:type="dxa"/>
                  <w:tcBorders>
                    <w:tl2br w:val="nil"/>
                    <w:tr2bl w:val="nil"/>
                  </w:tcBorders>
                  <w:noWrap w:val="0"/>
                  <w:vAlign w:val="center"/>
                </w:tcPr>
                <w:p>
                  <w:pPr>
                    <w:pStyle w:val="101"/>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HW08</w:t>
                  </w:r>
                </w:p>
              </w:tc>
              <w:tc>
                <w:tcPr>
                  <w:tcW w:w="745" w:type="dxa"/>
                  <w:tcBorders>
                    <w:tl2br w:val="nil"/>
                    <w:tr2bl w:val="nil"/>
                  </w:tcBorders>
                  <w:noWrap w:val="0"/>
                  <w:vAlign w:val="center"/>
                </w:tcPr>
                <w:p>
                  <w:pPr>
                    <w:pStyle w:val="101"/>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900-214-08</w:t>
                  </w:r>
                </w:p>
              </w:tc>
              <w:tc>
                <w:tcPr>
                  <w:tcW w:w="745" w:type="dxa"/>
                  <w:tcBorders>
                    <w:tl2br w:val="nil"/>
                    <w:tr2bl w:val="nil"/>
                  </w:tcBorders>
                  <w:noWrap w:val="0"/>
                  <w:vAlign w:val="center"/>
                </w:tcPr>
                <w:p>
                  <w:pPr>
                    <w:pStyle w:val="101"/>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危险废物暂存间</w:t>
                  </w:r>
                </w:p>
              </w:tc>
              <w:tc>
                <w:tcPr>
                  <w:tcW w:w="1065" w:type="dxa"/>
                  <w:tcBorders>
                    <w:tl2br w:val="nil"/>
                    <w:tr2bl w:val="nil"/>
                  </w:tcBorders>
                  <w:noWrap w:val="0"/>
                  <w:vAlign w:val="center"/>
                </w:tcPr>
                <w:p>
                  <w:pPr>
                    <w:pStyle w:val="101"/>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w:t>
                  </w:r>
                </w:p>
              </w:tc>
              <w:tc>
                <w:tcPr>
                  <w:tcW w:w="1065" w:type="dxa"/>
                  <w:tcBorders>
                    <w:tl2br w:val="nil"/>
                    <w:tr2bl w:val="nil"/>
                  </w:tcBorders>
                  <w:noWrap w:val="0"/>
                  <w:vAlign w:val="center"/>
                </w:tcPr>
                <w:p>
                  <w:pPr>
                    <w:pStyle w:val="101"/>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桶装</w:t>
                  </w:r>
                </w:p>
              </w:tc>
              <w:tc>
                <w:tcPr>
                  <w:tcW w:w="852" w:type="dxa"/>
                  <w:tcBorders>
                    <w:tl2br w:val="nil"/>
                    <w:tr2bl w:val="nil"/>
                  </w:tcBorders>
                  <w:noWrap w:val="0"/>
                  <w:vAlign w:val="center"/>
                </w:tcPr>
                <w:p>
                  <w:pPr>
                    <w:pStyle w:val="101"/>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w:t>
                  </w:r>
                </w:p>
              </w:tc>
              <w:tc>
                <w:tcPr>
                  <w:tcW w:w="997" w:type="dxa"/>
                  <w:tcBorders>
                    <w:tl2br w:val="nil"/>
                    <w:tr2bl w:val="nil"/>
                  </w:tcBorders>
                  <w:noWrap w:val="0"/>
                  <w:vAlign w:val="center"/>
                </w:tcPr>
                <w:p>
                  <w:pPr>
                    <w:pStyle w:val="101"/>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每</w:t>
                  </w:r>
                  <w:r>
                    <w:rPr>
                      <w:rFonts w:hint="eastAsia" w:ascii="Times New Roman" w:hAnsi="Times New Roman" w:eastAsia="宋体" w:cs="Times New Roman"/>
                      <w:color w:val="000000" w:themeColor="text1"/>
                      <w14:textFill>
                        <w14:solidFill>
                          <w14:schemeClr w14:val="tx1"/>
                        </w14:solidFill>
                      </w14:textFill>
                    </w:rPr>
                    <w:t>3个月</w:t>
                  </w:r>
                </w:p>
              </w:tc>
            </w:tr>
          </w:tbl>
          <w:p>
            <w:pPr>
              <w:bidi w:val="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表4-1</w:t>
            </w:r>
            <w:r>
              <w:rPr>
                <w:rFonts w:hint="eastAsia" w:cs="Times New Roman"/>
                <w:b/>
                <w:bCs/>
                <w:color w:val="000000" w:themeColor="text1"/>
                <w:sz w:val="24"/>
                <w:szCs w:val="24"/>
                <w:lang w:val="en-US" w:eastAsia="zh-CN"/>
                <w14:textFill>
                  <w14:solidFill>
                    <w14:schemeClr w14:val="tx1"/>
                  </w14:solidFill>
                </w14:textFill>
              </w:rPr>
              <w:t xml:space="preserve">2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危险废物</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汇总表</w:t>
            </w:r>
          </w:p>
          <w:tbl>
            <w:tblPr>
              <w:tblStyle w:val="3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17"/>
              <w:gridCol w:w="776"/>
              <w:gridCol w:w="1196"/>
              <w:gridCol w:w="689"/>
              <w:gridCol w:w="874"/>
              <w:gridCol w:w="426"/>
              <w:gridCol w:w="645"/>
              <w:gridCol w:w="615"/>
              <w:gridCol w:w="546"/>
              <w:gridCol w:w="574"/>
              <w:gridCol w:w="12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423"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危险废物名称</w:t>
                  </w:r>
                </w:p>
              </w:tc>
              <w:tc>
                <w:tcPr>
                  <w:tcW w:w="444"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危险废物类别</w:t>
                  </w:r>
                </w:p>
              </w:tc>
              <w:tc>
                <w:tcPr>
                  <w:tcW w:w="572"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危险废物代码</w:t>
                  </w:r>
                </w:p>
              </w:tc>
              <w:tc>
                <w:tcPr>
                  <w:tcW w:w="377"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产生量</w:t>
                  </w:r>
                </w:p>
              </w:tc>
              <w:tc>
                <w:tcPr>
                  <w:tcW w:w="525"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产生工序及装置</w:t>
                  </w:r>
                </w:p>
              </w:tc>
              <w:tc>
                <w:tcPr>
                  <w:tcW w:w="256"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形</w:t>
                  </w:r>
                </w:p>
                <w:p>
                  <w:pPr>
                    <w:pStyle w:val="101"/>
                    <w:rPr>
                      <w:color w:val="000000" w:themeColor="text1"/>
                      <w14:textFill>
                        <w14:solidFill>
                          <w14:schemeClr w14:val="tx1"/>
                        </w14:solidFill>
                      </w14:textFill>
                    </w:rPr>
                  </w:pPr>
                  <w:r>
                    <w:rPr>
                      <w:color w:val="000000" w:themeColor="text1"/>
                      <w14:textFill>
                        <w14:solidFill>
                          <w14:schemeClr w14:val="tx1"/>
                        </w14:solidFill>
                      </w14:textFill>
                    </w:rPr>
                    <w:t>态</w:t>
                  </w:r>
                </w:p>
              </w:tc>
              <w:tc>
                <w:tcPr>
                  <w:tcW w:w="383"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主要成分</w:t>
                  </w:r>
                </w:p>
              </w:tc>
              <w:tc>
                <w:tcPr>
                  <w:tcW w:w="365"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有害成分</w:t>
                  </w:r>
                </w:p>
              </w:tc>
              <w:tc>
                <w:tcPr>
                  <w:tcW w:w="326"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产废周期</w:t>
                  </w:r>
                </w:p>
              </w:tc>
              <w:tc>
                <w:tcPr>
                  <w:tcW w:w="341"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746"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1</w:t>
                  </w:r>
                </w:p>
              </w:tc>
              <w:tc>
                <w:tcPr>
                  <w:tcW w:w="423" w:type="pct"/>
                  <w:noWrap w:val="0"/>
                  <w:vAlign w:val="center"/>
                </w:tcPr>
                <w:p>
                  <w:pPr>
                    <w:pStyle w:val="101"/>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废</w:t>
                  </w:r>
                  <w:r>
                    <w:rPr>
                      <w:rFonts w:hint="eastAsia"/>
                      <w:color w:val="000000" w:themeColor="text1"/>
                      <w14:textFill>
                        <w14:solidFill>
                          <w14:schemeClr w14:val="tx1"/>
                        </w14:solidFill>
                      </w14:textFill>
                    </w:rPr>
                    <w:t>机</w:t>
                  </w:r>
                  <w:r>
                    <w:rPr>
                      <w:color w:val="000000" w:themeColor="text1"/>
                      <w14:textFill>
                        <w14:solidFill>
                          <w14:schemeClr w14:val="tx1"/>
                        </w14:solidFill>
                      </w14:textFill>
                    </w:rPr>
                    <w:t>油</w:t>
                  </w:r>
                  <w:r>
                    <w:rPr>
                      <w:rFonts w:hint="eastAsia"/>
                      <w:color w:val="000000" w:themeColor="text1"/>
                      <w:lang w:eastAsia="zh-CN"/>
                      <w14:textFill>
                        <w14:solidFill>
                          <w14:schemeClr w14:val="tx1"/>
                        </w14:solidFill>
                      </w14:textFill>
                    </w:rPr>
                    <w:t>、润滑油</w:t>
                  </w:r>
                </w:p>
              </w:tc>
              <w:tc>
                <w:tcPr>
                  <w:tcW w:w="444"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HW08</w:t>
                  </w:r>
                </w:p>
              </w:tc>
              <w:tc>
                <w:tcPr>
                  <w:tcW w:w="572"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900-214-08</w:t>
                  </w:r>
                </w:p>
              </w:tc>
              <w:tc>
                <w:tcPr>
                  <w:tcW w:w="377" w:type="pct"/>
                  <w:noWrap w:val="0"/>
                  <w:vAlign w:val="center"/>
                </w:tcPr>
                <w:p>
                  <w:pPr>
                    <w:pStyle w:val="10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0.1t</w:t>
                  </w:r>
                  <w:r>
                    <w:rPr>
                      <w:color w:val="000000" w:themeColor="text1"/>
                      <w14:textFill>
                        <w14:solidFill>
                          <w14:schemeClr w14:val="tx1"/>
                        </w14:solidFill>
                      </w14:textFill>
                    </w:rPr>
                    <w:t>/a</w:t>
                  </w:r>
                </w:p>
              </w:tc>
              <w:tc>
                <w:tcPr>
                  <w:tcW w:w="525"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机器设备</w:t>
                  </w:r>
                </w:p>
              </w:tc>
              <w:tc>
                <w:tcPr>
                  <w:tcW w:w="256"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液态</w:t>
                  </w:r>
                </w:p>
              </w:tc>
              <w:tc>
                <w:tcPr>
                  <w:tcW w:w="383" w:type="pct"/>
                  <w:noWrap w:val="0"/>
                  <w:vAlign w:val="center"/>
                </w:tcPr>
                <w:p>
                  <w:pPr>
                    <w:pStyle w:val="101"/>
                    <w:rPr>
                      <w:color w:val="000000" w:themeColor="text1"/>
                      <w14:textFill>
                        <w14:solidFill>
                          <w14:schemeClr w14:val="tx1"/>
                        </w14:solidFill>
                      </w14:textFill>
                    </w:rPr>
                  </w:pPr>
                  <w:r>
                    <w:rPr>
                      <w:rFonts w:hint="eastAsia"/>
                      <w:color w:val="000000" w:themeColor="text1"/>
                      <w14:textFill>
                        <w14:solidFill>
                          <w14:schemeClr w14:val="tx1"/>
                        </w14:solidFill>
                      </w14:textFill>
                    </w:rPr>
                    <w:t>机</w:t>
                  </w:r>
                  <w:r>
                    <w:rPr>
                      <w:color w:val="000000" w:themeColor="text1"/>
                      <w14:textFill>
                        <w14:solidFill>
                          <w14:schemeClr w14:val="tx1"/>
                        </w14:solidFill>
                      </w14:textFill>
                    </w:rPr>
                    <w:t>油</w:t>
                  </w:r>
                </w:p>
              </w:tc>
              <w:tc>
                <w:tcPr>
                  <w:tcW w:w="365" w:type="pct"/>
                  <w:noWrap w:val="0"/>
                  <w:vAlign w:val="center"/>
                </w:tcPr>
                <w:p>
                  <w:pPr>
                    <w:pStyle w:val="101"/>
                    <w:rPr>
                      <w:color w:val="000000" w:themeColor="text1"/>
                      <w14:textFill>
                        <w14:solidFill>
                          <w14:schemeClr w14:val="tx1"/>
                        </w14:solidFill>
                      </w14:textFill>
                    </w:rPr>
                  </w:pPr>
                  <w:r>
                    <w:rPr>
                      <w:rFonts w:hint="eastAsia"/>
                      <w:color w:val="000000" w:themeColor="text1"/>
                      <w14:textFill>
                        <w14:solidFill>
                          <w14:schemeClr w14:val="tx1"/>
                        </w14:solidFill>
                      </w14:textFill>
                    </w:rPr>
                    <w:t>机</w:t>
                  </w:r>
                  <w:r>
                    <w:rPr>
                      <w:color w:val="000000" w:themeColor="text1"/>
                      <w14:textFill>
                        <w14:solidFill>
                          <w14:schemeClr w14:val="tx1"/>
                        </w14:solidFill>
                      </w14:textFill>
                    </w:rPr>
                    <w:t>油类</w:t>
                  </w:r>
                </w:p>
              </w:tc>
              <w:tc>
                <w:tcPr>
                  <w:tcW w:w="326"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每</w:t>
                  </w:r>
                  <w:r>
                    <w:rPr>
                      <w:rFonts w:hint="eastAsia"/>
                      <w:color w:val="000000" w:themeColor="text1"/>
                      <w14:textFill>
                        <w14:solidFill>
                          <w14:schemeClr w14:val="tx1"/>
                        </w14:solidFill>
                      </w14:textFill>
                    </w:rPr>
                    <w:t>3个月</w:t>
                  </w:r>
                </w:p>
              </w:tc>
              <w:tc>
                <w:tcPr>
                  <w:tcW w:w="341" w:type="pct"/>
                  <w:noWrap w:val="0"/>
                  <w:vAlign w:val="center"/>
                </w:tcPr>
                <w:p>
                  <w:pPr>
                    <w:pStyle w:val="101"/>
                    <w:rPr>
                      <w:color w:val="000000" w:themeColor="text1"/>
                      <w14:textFill>
                        <w14:solidFill>
                          <w14:schemeClr w14:val="tx1"/>
                        </w14:solidFill>
                      </w14:textFill>
                    </w:rPr>
                  </w:pPr>
                  <w:r>
                    <w:rPr>
                      <w:color w:val="000000" w:themeColor="text1"/>
                      <w14:textFill>
                        <w14:solidFill>
                          <w14:schemeClr w14:val="tx1"/>
                        </w14:solidFill>
                      </w14:textFill>
                    </w:rPr>
                    <w:t>毒性</w:t>
                  </w:r>
                </w:p>
              </w:tc>
              <w:tc>
                <w:tcPr>
                  <w:tcW w:w="746" w:type="pct"/>
                  <w:noWrap w:val="0"/>
                  <w:vAlign w:val="center"/>
                </w:tcPr>
                <w:p>
                  <w:pPr>
                    <w:pStyle w:val="101"/>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贮存：</w:t>
                  </w:r>
                  <w:r>
                    <w:rPr>
                      <w:rFonts w:hint="eastAsia"/>
                      <w:color w:val="000000" w:themeColor="text1"/>
                      <w:lang w:val="en-US" w:eastAsia="zh-CN"/>
                      <w14:textFill>
                        <w14:solidFill>
                          <w14:schemeClr w14:val="tx1"/>
                        </w14:solidFill>
                      </w14:textFill>
                    </w:rPr>
                    <w:t>贮存在危险废物暂存间，</w:t>
                  </w:r>
                </w:p>
                <w:p>
                  <w:pPr>
                    <w:pStyle w:val="101"/>
                    <w:rPr>
                      <w:color w:val="000000" w:themeColor="text1"/>
                      <w14:textFill>
                        <w14:solidFill>
                          <w14:schemeClr w14:val="tx1"/>
                        </w14:solidFill>
                      </w14:textFill>
                    </w:rPr>
                  </w:pPr>
                  <w:r>
                    <w:rPr>
                      <w:color w:val="000000" w:themeColor="text1"/>
                      <w14:textFill>
                        <w14:solidFill>
                          <w14:schemeClr w14:val="tx1"/>
                        </w14:solidFill>
                      </w14:textFill>
                    </w:rPr>
                    <w:t>处置：收集后由有资质的单位回收处置</w:t>
                  </w:r>
                </w:p>
              </w:tc>
            </w:tr>
          </w:tbl>
          <w:p>
            <w:pPr>
              <w:bidi w:val="0"/>
              <w:jc w:val="cente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表4-1</w:t>
            </w:r>
            <w:r>
              <w:rPr>
                <w:rFonts w:hint="eastAsia" w:cs="Times New Roman"/>
                <w:b/>
                <w:bCs/>
                <w:color w:val="000000" w:themeColor="text1"/>
                <w:sz w:val="24"/>
                <w:szCs w:val="24"/>
                <w:lang w:val="en-US" w:eastAsia="zh-CN"/>
                <w14:textFill>
                  <w14:solidFill>
                    <w14:schemeClr w14:val="tx1"/>
                  </w14:solidFill>
                </w14:textFill>
              </w:rPr>
              <w:t xml:space="preserve">3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固废产生情况一览表</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744"/>
              <w:gridCol w:w="1298"/>
              <w:gridCol w:w="1056"/>
              <w:gridCol w:w="717"/>
              <w:gridCol w:w="1100"/>
              <w:gridCol w:w="1007"/>
              <w:gridCol w:w="1046"/>
              <w:gridCol w:w="10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1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工序/生产线</w:t>
                  </w:r>
                </w:p>
              </w:tc>
              <w:tc>
                <w:tcPr>
                  <w:tcW w:w="42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装置</w:t>
                  </w:r>
                </w:p>
              </w:tc>
              <w:tc>
                <w:tcPr>
                  <w:tcW w:w="74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固体废物名称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及代码</w:t>
                  </w:r>
                </w:p>
              </w:tc>
              <w:tc>
                <w:tcPr>
                  <w:tcW w:w="60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固废属性</w:t>
                  </w:r>
                </w:p>
              </w:tc>
              <w:tc>
                <w:tcPr>
                  <w:tcW w:w="103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产生情况</w:t>
                  </w:r>
                </w:p>
              </w:tc>
              <w:tc>
                <w:tcPr>
                  <w:tcW w:w="117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处理措施</w:t>
                  </w:r>
                </w:p>
              </w:tc>
              <w:tc>
                <w:tcPr>
                  <w:tcW w:w="60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最终去向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4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核算方法</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产生量（t/a）</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工艺</w:t>
                  </w:r>
                </w:p>
              </w:tc>
              <w:tc>
                <w:tcPr>
                  <w:tcW w:w="5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处置量（t/a）</w:t>
                  </w:r>
                </w:p>
              </w:tc>
              <w:tc>
                <w:tcPr>
                  <w:tcW w:w="60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415" w:type="pct"/>
                  <w:noWrap w:val="0"/>
                  <w:vAlign w:val="center"/>
                </w:tcPr>
                <w:p>
                  <w:pPr>
                    <w:pStyle w:val="111"/>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员工生活</w:t>
                  </w:r>
                </w:p>
              </w:tc>
              <w:tc>
                <w:tcPr>
                  <w:tcW w:w="424" w:type="pct"/>
                  <w:noWrap w:val="0"/>
                  <w:vAlign w:val="center"/>
                </w:tcPr>
                <w:p>
                  <w:pPr>
                    <w:pStyle w:val="111"/>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员工生活</w:t>
                  </w:r>
                </w:p>
              </w:tc>
              <w:tc>
                <w:tcPr>
                  <w:tcW w:w="740" w:type="pct"/>
                  <w:noWrap w:val="0"/>
                  <w:vAlign w:val="center"/>
                </w:tcPr>
                <w:p>
                  <w:pPr>
                    <w:pStyle w:val="111"/>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系数法</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交由市政环卫部门清运</w:t>
                  </w:r>
                </w:p>
              </w:tc>
              <w:tc>
                <w:tcPr>
                  <w:tcW w:w="5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415" w:type="pct"/>
                  <w:vMerge w:val="restart"/>
                  <w:noWrap w:val="0"/>
                  <w:vAlign w:val="center"/>
                </w:tcPr>
                <w:p>
                  <w:pPr>
                    <w:pStyle w:val="111"/>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环保措施</w:t>
                  </w:r>
                </w:p>
              </w:tc>
              <w:tc>
                <w:tcPr>
                  <w:tcW w:w="424" w:type="pct"/>
                  <w:noWrap w:val="0"/>
                  <w:vAlign w:val="center"/>
                </w:tcPr>
                <w:p>
                  <w:pPr>
                    <w:pStyle w:val="111"/>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布袋除尘器收尘</w:t>
                  </w:r>
                </w:p>
              </w:tc>
              <w:tc>
                <w:tcPr>
                  <w:tcW w:w="740" w:type="pct"/>
                  <w:noWrap w:val="0"/>
                  <w:vAlign w:val="center"/>
                </w:tcPr>
                <w:p>
                  <w:pPr>
                    <w:pStyle w:val="7"/>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布袋除尘器收尘303-002-66</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第I类一般工业固体废物</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物料衡算法</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508.76</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暂存在石粉仓</w:t>
                  </w:r>
                </w:p>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415" w:type="pct"/>
                  <w:vMerge w:val="continue"/>
                  <w:noWrap w:val="0"/>
                  <w:vAlign w:val="center"/>
                </w:tcPr>
                <w:p>
                  <w:pPr>
                    <w:pStyle w:val="111"/>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24" w:type="pct"/>
                  <w:noWrap w:val="0"/>
                  <w:vAlign w:val="center"/>
                </w:tcPr>
                <w:p>
                  <w:pPr>
                    <w:pStyle w:val="111"/>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废布袋</w:t>
                  </w:r>
                </w:p>
              </w:tc>
              <w:tc>
                <w:tcPr>
                  <w:tcW w:w="740" w:type="pct"/>
                  <w:noWrap w:val="0"/>
                  <w:vAlign w:val="center"/>
                </w:tcPr>
                <w:p>
                  <w:pPr>
                    <w:pStyle w:val="7"/>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废布袋303-002-99</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第I类一般工业固体废物</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系数法</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0.02</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交由市政部门处置</w:t>
                  </w:r>
                </w:p>
              </w:tc>
              <w:tc>
                <w:tcPr>
                  <w:tcW w:w="5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0.02</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交由市政部门处置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415" w:type="pct"/>
                  <w:vMerge w:val="restart"/>
                  <w:noWrap w:val="0"/>
                  <w:vAlign w:val="center"/>
                </w:tcPr>
                <w:p>
                  <w:pPr>
                    <w:pStyle w:val="111"/>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生产线</w:t>
                  </w:r>
                </w:p>
              </w:tc>
              <w:tc>
                <w:tcPr>
                  <w:tcW w:w="424" w:type="pct"/>
                  <w:noWrap w:val="0"/>
                  <w:vAlign w:val="center"/>
                </w:tcPr>
                <w:p>
                  <w:pPr>
                    <w:pStyle w:val="111"/>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车间沉降粉尘</w:t>
                  </w:r>
                </w:p>
              </w:tc>
              <w:tc>
                <w:tcPr>
                  <w:tcW w:w="740" w:type="pct"/>
                  <w:noWrap w:val="0"/>
                  <w:vAlign w:val="center"/>
                </w:tcPr>
                <w:p>
                  <w:pPr>
                    <w:pStyle w:val="7"/>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粉尘</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303-002-66</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第I类一般工业固体废物</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物料衡算法</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45.36</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集中收集外售</w:t>
                  </w:r>
                </w:p>
              </w:tc>
              <w:tc>
                <w:tcPr>
                  <w:tcW w:w="5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45.36</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集中收集外售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415" w:type="pct"/>
                  <w:vMerge w:val="continue"/>
                  <w:noWrap w:val="0"/>
                  <w:vAlign w:val="center"/>
                </w:tcPr>
                <w:p>
                  <w:pPr>
                    <w:pStyle w:val="111"/>
                    <w:keepNext w:val="0"/>
                    <w:keepLines w:val="0"/>
                    <w:pageBreakBefore w:val="0"/>
                    <w:widowControl w:val="0"/>
                    <w:kinsoku/>
                    <w:wordWrap/>
                    <w:overflowPunct/>
                    <w:topLinePunct w:val="0"/>
                    <w:autoSpaceDE/>
                    <w:autoSpaceDN/>
                    <w:bidi w:val="0"/>
                    <w:adjustRightInd/>
                    <w:snapToGrid/>
                    <w:spacing w:line="300" w:lineRule="exact"/>
                    <w:ind w:left="0" w:firstLine="0" w:firstLineChars="0"/>
                    <w:jc w:val="both"/>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24" w:type="pct"/>
                  <w:noWrap w:val="0"/>
                  <w:vAlign w:val="center"/>
                </w:tcPr>
                <w:p>
                  <w:pPr>
                    <w:pStyle w:val="111"/>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筛分出来的</w:t>
                  </w:r>
                  <w:r>
                    <w:rPr>
                      <w:rFonts w:hint="eastAsia" w:cs="Times New Roman"/>
                      <w:b w:val="0"/>
                      <w:bCs w:val="0"/>
                      <w:color w:val="000000" w:themeColor="text1"/>
                      <w:sz w:val="21"/>
                      <w:szCs w:val="21"/>
                      <w:highlight w:val="none"/>
                      <w:lang w:val="en-US" w:eastAsia="zh-CN"/>
                      <w14:textFill>
                        <w14:solidFill>
                          <w14:schemeClr w14:val="tx1"/>
                        </w14:solidFill>
                      </w14:textFill>
                    </w:rPr>
                    <w:t>不合格的产品</w:t>
                  </w:r>
                </w:p>
              </w:tc>
              <w:tc>
                <w:tcPr>
                  <w:tcW w:w="740" w:type="pct"/>
                  <w:noWrap w:val="0"/>
                  <w:vAlign w:val="center"/>
                </w:tcPr>
                <w:p>
                  <w:pPr>
                    <w:pStyle w:val="7"/>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筛分出来的</w:t>
                  </w:r>
                  <w:r>
                    <w:rPr>
                      <w:rFonts w:hint="eastAsia" w:cs="Times New Roman"/>
                      <w:b w:val="0"/>
                      <w:bCs w:val="0"/>
                      <w:color w:val="000000" w:themeColor="text1"/>
                      <w:sz w:val="21"/>
                      <w:szCs w:val="21"/>
                      <w:highlight w:val="none"/>
                      <w:lang w:val="en-US" w:eastAsia="zh-CN"/>
                      <w14:textFill>
                        <w14:solidFill>
                          <w14:schemeClr w14:val="tx1"/>
                        </w14:solidFill>
                      </w14:textFill>
                    </w:rPr>
                    <w:t>不合格的产品303-002-99</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第I类一般工业固体废物</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物料衡算法</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1445.88</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集中收集外售</w:t>
                  </w:r>
                </w:p>
              </w:tc>
              <w:tc>
                <w:tcPr>
                  <w:tcW w:w="5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1445.88</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集中收集外售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415" w:type="pct"/>
                  <w:noWrap w:val="0"/>
                  <w:vAlign w:val="center"/>
                </w:tcPr>
                <w:p>
                  <w:pPr>
                    <w:pStyle w:val="111"/>
                    <w:keepNext w:val="0"/>
                    <w:keepLines w:val="0"/>
                    <w:pageBreakBefore w:val="0"/>
                    <w:widowControl w:val="0"/>
                    <w:kinsoku/>
                    <w:wordWrap/>
                    <w:overflowPunct/>
                    <w:topLinePunct w:val="0"/>
                    <w:autoSpaceDE/>
                    <w:autoSpaceDN/>
                    <w:bidi w:val="0"/>
                    <w:adjustRightInd/>
                    <w:snapToGrid/>
                    <w:spacing w:line="300" w:lineRule="exact"/>
                    <w:ind w:left="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生产设备</w:t>
                  </w:r>
                </w:p>
              </w:tc>
              <w:tc>
                <w:tcPr>
                  <w:tcW w:w="424" w:type="pct"/>
                  <w:noWrap w:val="0"/>
                  <w:vAlign w:val="center"/>
                </w:tcPr>
                <w:p>
                  <w:pPr>
                    <w:pStyle w:val="111"/>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废机油、润滑油</w:t>
                  </w:r>
                </w:p>
              </w:tc>
              <w:tc>
                <w:tcPr>
                  <w:tcW w:w="740" w:type="pct"/>
                  <w:noWrap w:val="0"/>
                  <w:vAlign w:val="center"/>
                </w:tcPr>
                <w:p>
                  <w:pPr>
                    <w:pStyle w:val="7"/>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废矿物油</w:t>
                  </w:r>
                </w:p>
                <w:p>
                  <w:pPr>
                    <w:pStyle w:val="7"/>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900-</w:t>
                  </w:r>
                  <w:r>
                    <w:rPr>
                      <w:rFonts w:hint="eastAsia" w:eastAsia="宋体" w:cs="Times New Roman"/>
                      <w:color w:val="000000" w:themeColor="text1"/>
                      <w:sz w:val="21"/>
                      <w:szCs w:val="21"/>
                      <w:highlight w:val="none"/>
                      <w:lang w:val="en-US" w:eastAsia="zh-CN"/>
                      <w14:textFill>
                        <w14:solidFill>
                          <w14:schemeClr w14:val="tx1"/>
                        </w14:solidFill>
                      </w14:textFill>
                    </w:rPr>
                    <w:t>214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物料衡算法</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有资质单位收运、妥善处置</w:t>
                  </w:r>
                </w:p>
              </w:tc>
              <w:tc>
                <w:tcPr>
                  <w:tcW w:w="5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w:t>
                  </w:r>
                </w:p>
              </w:tc>
              <w:tc>
                <w:tcPr>
                  <w:tcW w:w="60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有资质单位收运、妥善处置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5000"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注：固废属性指第I类一般工业固体废物、第Ⅱ类一般工业固体废物、危险废物（按照《国家危险废物名录》划分）、生活垃圾等。</w:t>
                  </w:r>
                </w:p>
              </w:tc>
            </w:tr>
          </w:tbl>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5、地下水环境影响和保护措施</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本项目废水主要为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抑尘用水</w:t>
            </w:r>
            <w:r>
              <w:rPr>
                <w:rFonts w:hint="default" w:ascii="Times New Roman" w:hAnsi="Times New Roman" w:eastAsia="宋体" w:cs="Times New Roman"/>
                <w:color w:val="000000" w:themeColor="text1"/>
                <w:sz w:val="24"/>
                <w:szCs w:val="24"/>
                <w14:textFill>
                  <w14:solidFill>
                    <w14:schemeClr w14:val="tx1"/>
                  </w14:solidFill>
                </w14:textFill>
              </w:rPr>
              <w:t>及生活污水，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生活污水排入防渗旱厕，不外排；</w:t>
            </w:r>
            <w:r>
              <w:rPr>
                <w:rFonts w:hint="default" w:ascii="Times New Roman" w:hAnsi="Times New Roman" w:eastAsia="宋体" w:cs="Times New Roman"/>
                <w:color w:val="000000" w:themeColor="text1"/>
                <w:sz w:val="24"/>
                <w:szCs w:val="24"/>
                <w:lang w:eastAsia="zh-CN"/>
                <w14:textFill>
                  <w14:solidFill>
                    <w14:schemeClr w14:val="tx1"/>
                  </w14:solidFill>
                </w14:textFill>
              </w:rPr>
              <w:t>抑尘用水全部蒸发，不外排。</w:t>
            </w:r>
            <w:r>
              <w:rPr>
                <w:rFonts w:hint="default" w:ascii="Times New Roman" w:hAnsi="Times New Roman" w:eastAsia="宋体" w:cs="Times New Roman"/>
                <w:color w:val="000000" w:themeColor="text1"/>
                <w:sz w:val="24"/>
                <w:szCs w:val="24"/>
                <w14:textFill>
                  <w14:solidFill>
                    <w14:schemeClr w14:val="tx1"/>
                  </w14:solidFill>
                </w14:textFill>
              </w:rPr>
              <w:t>故地下水环境基本无影响。</w:t>
            </w:r>
          </w:p>
          <w:p>
            <w:pPr>
              <w:bidi w:val="0"/>
              <w:spacing w:line="360" w:lineRule="auto"/>
              <w:ind w:firstLine="480" w:firstLineChars="20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6、生态</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本项目占地范围内无特殊生态敏感区及重要生态敏感区等生态环境保护目标，对周边生态环境影响较小，</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无须设置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 xml:space="preserve">相应生态环境保护措施。 </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 xml:space="preserve">7、环境风险 </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7.1风险源调查</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①风险潜势判断</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根据《建设单位突发环境事件风险分级方法》（HJ941-2018）及《建设项目环境风险评价技术导则》（HJ619-2018）附录B对本项目涉及的主要风险源进行识别，本项目涉及的危险物质为废机油与润滑油。</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7.2风险潜势初判</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危险物质数量与临界量的比值（Q）计算式如下：</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Q＝q</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n</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n</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式中：q</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n</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——每种危险物质的最大存在总量，t；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n</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——每种危险物质的临界量，t；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根据《建设项目环境风险评价技术导则》（HJ619-2018）附录C计算公式计算后，本项目危险物质数量与临界量比值（Q）结果见下表。</w:t>
            </w:r>
          </w:p>
          <w:p>
            <w:pPr>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eastAsia" w:cs="Times New Roman"/>
                <w:b/>
                <w:bCs/>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建设项目Q值确定表</w:t>
            </w:r>
          </w:p>
          <w:tbl>
            <w:tblPr>
              <w:tblStyle w:val="3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35"/>
              <w:gridCol w:w="1137"/>
              <w:gridCol w:w="1460"/>
              <w:gridCol w:w="2017"/>
              <w:gridCol w:w="1989"/>
              <w:gridCol w:w="14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jc w:val="center"/>
              </w:trPr>
              <w:tc>
                <w:tcPr>
                  <w:tcW w:w="419" w:type="pct"/>
                  <w:noWrap w:val="0"/>
                  <w:tcMar>
                    <w:top w:w="15" w:type="dxa"/>
                    <w:left w:w="15" w:type="dxa"/>
                    <w:right w:w="15" w:type="dxa"/>
                  </w:tcMar>
                  <w:vAlign w:val="center"/>
                </w:tcPr>
                <w:p>
                  <w:pPr>
                    <w:widowControl/>
                    <w:jc w:val="center"/>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14:textFill>
                        <w14:solidFill>
                          <w14:schemeClr w14:val="tx1"/>
                        </w14:solidFill>
                      </w14:textFill>
                    </w:rPr>
                    <w:t>序号</w:t>
                  </w:r>
                </w:p>
              </w:tc>
              <w:tc>
                <w:tcPr>
                  <w:tcW w:w="648" w:type="pct"/>
                  <w:noWrap w:val="0"/>
                  <w:tcMar>
                    <w:top w:w="15" w:type="dxa"/>
                    <w:left w:w="15" w:type="dxa"/>
                    <w:right w:w="15" w:type="dxa"/>
                  </w:tcMar>
                  <w:vAlign w:val="center"/>
                </w:tcPr>
                <w:p>
                  <w:pPr>
                    <w:widowControl/>
                    <w:jc w:val="center"/>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14:textFill>
                        <w14:solidFill>
                          <w14:schemeClr w14:val="tx1"/>
                        </w14:solidFill>
                      </w14:textFill>
                    </w:rPr>
                    <w:t>名称</w:t>
                  </w:r>
                </w:p>
              </w:tc>
              <w:tc>
                <w:tcPr>
                  <w:tcW w:w="832" w:type="pct"/>
                  <w:noWrap w:val="0"/>
                  <w:tcMar>
                    <w:top w:w="15" w:type="dxa"/>
                    <w:left w:w="15" w:type="dxa"/>
                    <w:right w:w="15" w:type="dxa"/>
                  </w:tcMar>
                  <w:vAlign w:val="center"/>
                </w:tcPr>
                <w:p>
                  <w:pPr>
                    <w:widowControl/>
                    <w:jc w:val="center"/>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14:textFill>
                        <w14:solidFill>
                          <w14:schemeClr w14:val="tx1"/>
                        </w14:solidFill>
                      </w14:textFill>
                    </w:rPr>
                    <w:t>CAS 号</w:t>
                  </w:r>
                </w:p>
              </w:tc>
              <w:tc>
                <w:tcPr>
                  <w:tcW w:w="1149" w:type="pct"/>
                  <w:noWrap w:val="0"/>
                  <w:tcMar>
                    <w:top w:w="15" w:type="dxa"/>
                    <w:left w:w="15" w:type="dxa"/>
                    <w:right w:w="15" w:type="dxa"/>
                  </w:tcMar>
                  <w:vAlign w:val="center"/>
                </w:tcPr>
                <w:p>
                  <w:pPr>
                    <w:widowControl/>
                    <w:jc w:val="center"/>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14:textFill>
                        <w14:solidFill>
                          <w14:schemeClr w14:val="tx1"/>
                        </w14:solidFill>
                      </w14:textFill>
                    </w:rPr>
                    <w:t>最大储存量（t）</w:t>
                  </w:r>
                </w:p>
              </w:tc>
              <w:tc>
                <w:tcPr>
                  <w:tcW w:w="1133" w:type="pct"/>
                  <w:noWrap w:val="0"/>
                  <w:tcMar>
                    <w:top w:w="15" w:type="dxa"/>
                    <w:left w:w="15" w:type="dxa"/>
                    <w:right w:w="15" w:type="dxa"/>
                  </w:tcMar>
                  <w:vAlign w:val="center"/>
                </w:tcPr>
                <w:p>
                  <w:pPr>
                    <w:widowControl/>
                    <w:jc w:val="center"/>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14:textFill>
                        <w14:solidFill>
                          <w14:schemeClr w14:val="tx1"/>
                        </w14:solidFill>
                      </w14:textFill>
                    </w:rPr>
                    <w:t>临界量（t）</w:t>
                  </w:r>
                </w:p>
              </w:tc>
              <w:tc>
                <w:tcPr>
                  <w:tcW w:w="817" w:type="pct"/>
                  <w:noWrap w:val="0"/>
                  <w:tcMar>
                    <w:top w:w="15" w:type="dxa"/>
                    <w:left w:w="15" w:type="dxa"/>
                    <w:right w:w="15" w:type="dxa"/>
                  </w:tcMar>
                  <w:vAlign w:val="center"/>
                </w:tcPr>
                <w:p>
                  <w:pPr>
                    <w:widowControl/>
                    <w:jc w:val="center"/>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14:textFill>
                        <w14:solidFill>
                          <w14:schemeClr w14:val="tx1"/>
                        </w14:solidFill>
                      </w14:textFill>
                    </w:rPr>
                    <w:t>Q值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19" w:type="pct"/>
                  <w:noWrap w:val="0"/>
                  <w:tcMar>
                    <w:top w:w="15" w:type="dxa"/>
                    <w:left w:w="15" w:type="dxa"/>
                    <w:right w:w="15" w:type="dxa"/>
                  </w:tcMar>
                  <w:vAlign w:val="center"/>
                </w:tcPr>
                <w:p>
                  <w:pPr>
                    <w:widowControl/>
                    <w:jc w:val="center"/>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14:textFill>
                        <w14:solidFill>
                          <w14:schemeClr w14:val="tx1"/>
                        </w14:solidFill>
                      </w14:textFill>
                    </w:rPr>
                    <w:t>1</w:t>
                  </w:r>
                </w:p>
              </w:tc>
              <w:tc>
                <w:tcPr>
                  <w:tcW w:w="648" w:type="pct"/>
                  <w:noWrap w:val="0"/>
                  <w:tcMar>
                    <w:top w:w="15" w:type="dxa"/>
                    <w:left w:w="15" w:type="dxa"/>
                    <w:right w:w="15" w:type="dxa"/>
                  </w:tcMar>
                  <w:vAlign w:val="center"/>
                </w:tcPr>
                <w:p>
                  <w:pPr>
                    <w:widowControl/>
                    <w:jc w:val="center"/>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eastAsia="zh-CN"/>
                      <w14:textFill>
                        <w14:solidFill>
                          <w14:schemeClr w14:val="tx1"/>
                        </w14:solidFill>
                      </w14:textFill>
                    </w:rPr>
                    <w:t>废机油与润滑油</w:t>
                  </w:r>
                </w:p>
              </w:tc>
              <w:tc>
                <w:tcPr>
                  <w:tcW w:w="832" w:type="pct"/>
                  <w:noWrap w:val="0"/>
                  <w:tcMar>
                    <w:top w:w="15" w:type="dxa"/>
                    <w:left w:w="15" w:type="dxa"/>
                    <w:right w:w="15" w:type="dxa"/>
                  </w:tcMar>
                  <w:vAlign w:val="center"/>
                </w:tcPr>
                <w:p>
                  <w:pPr>
                    <w:widowControl/>
                    <w:jc w:val="center"/>
                    <w:rPr>
                      <w:rFonts w:hint="default" w:ascii="Times New Roman" w:hAnsi="Times New Roman" w:eastAsia="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1149" w:type="pct"/>
                  <w:noWrap w:val="0"/>
                  <w:tcMar>
                    <w:top w:w="15" w:type="dxa"/>
                    <w:left w:w="15" w:type="dxa"/>
                    <w:right w:w="15" w:type="dxa"/>
                  </w:tcMar>
                  <w:vAlign w:val="center"/>
                </w:tcPr>
                <w:p>
                  <w:pPr>
                    <w:widowControl/>
                    <w:jc w:val="center"/>
                    <w:rPr>
                      <w:rFonts w:hint="default" w:ascii="Times New Roman" w:hAnsi="Times New Roman" w:eastAsia="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0.1</w:t>
                  </w:r>
                </w:p>
              </w:tc>
              <w:tc>
                <w:tcPr>
                  <w:tcW w:w="1133" w:type="pct"/>
                  <w:noWrap w:val="0"/>
                  <w:tcMar>
                    <w:top w:w="15" w:type="dxa"/>
                    <w:left w:w="15" w:type="dxa"/>
                    <w:right w:w="15" w:type="dxa"/>
                  </w:tcMar>
                  <w:vAlign w:val="center"/>
                </w:tcPr>
                <w:p>
                  <w:pPr>
                    <w:widowControl/>
                    <w:jc w:val="center"/>
                    <w:rPr>
                      <w:rFonts w:hint="default" w:ascii="Times New Roman" w:hAnsi="Times New Roman" w:eastAsia="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2500</w:t>
                  </w:r>
                </w:p>
              </w:tc>
              <w:tc>
                <w:tcPr>
                  <w:tcW w:w="81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0.00004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9" w:type="pct"/>
                  <w:gridSpan w:val="3"/>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合计</w:t>
                  </w:r>
                </w:p>
              </w:tc>
              <w:tc>
                <w:tcPr>
                  <w:tcW w:w="1149" w:type="pct"/>
                  <w:noWrap w:val="0"/>
                  <w:tcMar>
                    <w:top w:w="17" w:type="dxa"/>
                    <w:left w:w="17" w:type="dxa"/>
                    <w:right w:w="1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w:t>
                  </w:r>
                </w:p>
              </w:tc>
              <w:tc>
                <w:tcPr>
                  <w:tcW w:w="1133" w:type="pct"/>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w:t>
                  </w:r>
                </w:p>
              </w:tc>
              <w:tc>
                <w:tcPr>
                  <w:tcW w:w="817" w:type="pct"/>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0.0000</w:t>
                  </w:r>
                  <w:r>
                    <w:rPr>
                      <w:rFonts w:hint="eastAsia"/>
                      <w:color w:val="000000" w:themeColor="text1"/>
                      <w:sz w:val="21"/>
                      <w:szCs w:val="21"/>
                      <w:highlight w:val="none"/>
                      <w:lang w:val="en-US" w:eastAsia="zh-CN"/>
                      <w14:textFill>
                        <w14:solidFill>
                          <w14:schemeClr w14:val="tx1"/>
                        </w14:solidFill>
                      </w14:textFill>
                    </w:rPr>
                    <w:t>4</w:t>
                  </w:r>
                </w:p>
              </w:tc>
            </w:tr>
          </w:tbl>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本项目废机油与润滑油最大产生量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0.1t，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机油与润滑油</w:t>
            </w:r>
            <w:r>
              <w:rPr>
                <w:rFonts w:hint="eastAsia" w:cs="Times New Roman"/>
                <w:color w:val="000000" w:themeColor="text1"/>
                <w:sz w:val="24"/>
                <w:szCs w:val="24"/>
                <w:highlight w:val="none"/>
                <w:lang w:val="en-US" w:eastAsia="zh-CN"/>
                <w14:textFill>
                  <w14:solidFill>
                    <w14:schemeClr w14:val="tx1"/>
                  </w14:solidFill>
                </w14:textFill>
              </w:rPr>
              <w:t>暂存在危险废物暂存间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交由有</w:t>
            </w:r>
            <w:r>
              <w:rPr>
                <w:rFonts w:hint="default" w:ascii="Times New Roman" w:hAnsi="Times New Roman" w:eastAsia="宋体" w:cs="Times New Roman"/>
                <w:color w:val="000000" w:themeColor="text1"/>
                <w:sz w:val="24"/>
                <w:szCs w:val="24"/>
                <w14:textFill>
                  <w14:solidFill>
                    <w14:schemeClr w14:val="tx1"/>
                  </w14:solidFill>
                </w14:textFill>
              </w:rPr>
              <w:t>资质的单位回收处置。</w:t>
            </w:r>
            <w:r>
              <w:rPr>
                <w:rFonts w:hint="default" w:ascii="Times New Roman" w:hAnsi="Times New Roman" w:eastAsia="宋体" w:cs="Times New Roman"/>
                <w:color w:val="000000" w:themeColor="text1"/>
                <w:sz w:val="24"/>
                <w:szCs w:val="24"/>
                <w:highlight w:val="none"/>
                <w14:textFill>
                  <w14:solidFill>
                    <w14:schemeClr w14:val="tx1"/>
                  </w14:solidFill>
                </w14:textFill>
              </w:rPr>
              <w:t>由表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4-1</w:t>
            </w:r>
            <w:r>
              <w:rPr>
                <w:rFonts w:hint="eastAsia"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可知，本项目Q=0.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00004</w:t>
            </w:r>
            <w:r>
              <w:rPr>
                <w:rFonts w:hint="default" w:ascii="Times New Roman" w:hAnsi="Times New Roman" w:eastAsia="宋体" w:cs="Times New Roman"/>
                <w:color w:val="000000" w:themeColor="text1"/>
                <w:sz w:val="24"/>
                <w:szCs w:val="24"/>
                <w:highlight w:val="none"/>
                <w14:textFill>
                  <w14:solidFill>
                    <w14:schemeClr w14:val="tx1"/>
                  </w14:solidFill>
                </w14:textFill>
              </w:rPr>
              <w:t>＜1，因此本项目环境风险潜势为Ⅰ。</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w:t>
            </w:r>
            <w:r>
              <w:rPr>
                <w:rFonts w:hint="default" w:ascii="Times New Roman" w:hAnsi="Times New Roman" w:eastAsia="宋体" w:cs="Times New Roman"/>
                <w:color w:val="000000" w:themeColor="text1"/>
                <w:sz w:val="24"/>
                <w:szCs w:val="24"/>
                <w:highlight w:val="none"/>
                <w14:textFill>
                  <w14:solidFill>
                    <w14:schemeClr w14:val="tx1"/>
                  </w14:solidFill>
                </w14:textFill>
              </w:rPr>
              <w:t>评价工作等级</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根据《建设项目环境风险评价技术导则》（HJ169-2018）中的规定，环境风险评价工作等级划分判据详见表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4-1</w:t>
            </w:r>
            <w:r>
              <w:rPr>
                <w:rFonts w:hint="eastAsia"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bidi w:val="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表4-1</w:t>
            </w:r>
            <w:r>
              <w:rPr>
                <w:rFonts w:hint="eastAsia"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评价工作等级</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756"/>
              <w:gridCol w:w="1754"/>
              <w:gridCol w:w="1755"/>
              <w:gridCol w:w="17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31" w:type="dxa"/>
                  <w:noWrap w:val="0"/>
                  <w:vAlign w:val="center"/>
                </w:tcPr>
                <w:p>
                  <w:pPr>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环境风险潜势</w:t>
                  </w:r>
                </w:p>
              </w:tc>
              <w:tc>
                <w:tcPr>
                  <w:tcW w:w="1730" w:type="dxa"/>
                  <w:noWrap w:val="0"/>
                  <w:vAlign w:val="center"/>
                </w:tcPr>
                <w:p>
                  <w:pPr>
                    <w:widowControl w:val="0"/>
                    <w:tabs>
                      <w:tab w:val="left" w:pos="6480"/>
                    </w:tabs>
                    <w:spacing w:line="240" w:lineRule="auto"/>
                    <w:jc w:val="center"/>
                    <w:textAlignment w:val="center"/>
                    <w:rPr>
                      <w:rFonts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Ⅳ、Ⅳ</w:t>
                  </w:r>
                  <w:r>
                    <w:rPr>
                      <w:rFonts w:ascii="Times New Roman" w:hAnsi="Times New Roman" w:eastAsia="宋体" w:cs="Times New Roman"/>
                      <w:b/>
                      <w:color w:val="000000" w:themeColor="text1"/>
                      <w:kern w:val="2"/>
                      <w:sz w:val="21"/>
                      <w:szCs w:val="21"/>
                      <w:highlight w:val="none"/>
                      <w:vertAlign w:val="superscript"/>
                      <w:lang w:val="en-US" w:eastAsia="zh-CN" w:bidi="ar-SA"/>
                      <w14:textFill>
                        <w14:solidFill>
                          <w14:schemeClr w14:val="tx1"/>
                        </w14:solidFill>
                      </w14:textFill>
                    </w:rPr>
                    <w:t>+</w:t>
                  </w:r>
                </w:p>
              </w:tc>
              <w:tc>
                <w:tcPr>
                  <w:tcW w:w="1728" w:type="dxa"/>
                  <w:noWrap w:val="0"/>
                  <w:vAlign w:val="center"/>
                </w:tcPr>
                <w:p>
                  <w:pPr>
                    <w:widowControl w:val="0"/>
                    <w:tabs>
                      <w:tab w:val="left" w:pos="6480"/>
                    </w:tabs>
                    <w:spacing w:line="240" w:lineRule="auto"/>
                    <w:jc w:val="center"/>
                    <w:textAlignment w:val="center"/>
                    <w:rPr>
                      <w:rFonts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Ⅲ</w:t>
                  </w:r>
                </w:p>
              </w:tc>
              <w:tc>
                <w:tcPr>
                  <w:tcW w:w="1729" w:type="dxa"/>
                  <w:noWrap w:val="0"/>
                  <w:vAlign w:val="center"/>
                </w:tcPr>
                <w:p>
                  <w:pPr>
                    <w:widowControl w:val="0"/>
                    <w:tabs>
                      <w:tab w:val="left" w:pos="6480"/>
                    </w:tabs>
                    <w:spacing w:line="240" w:lineRule="auto"/>
                    <w:jc w:val="center"/>
                    <w:textAlignment w:val="center"/>
                    <w:rPr>
                      <w:rFonts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Ⅱ</w:t>
                  </w:r>
                </w:p>
              </w:tc>
              <w:tc>
                <w:tcPr>
                  <w:tcW w:w="1729" w:type="dxa"/>
                  <w:noWrap w:val="0"/>
                  <w:vAlign w:val="center"/>
                </w:tcPr>
                <w:p>
                  <w:pPr>
                    <w:widowControl w:val="0"/>
                    <w:tabs>
                      <w:tab w:val="left" w:pos="6480"/>
                    </w:tabs>
                    <w:spacing w:line="240" w:lineRule="auto"/>
                    <w:jc w:val="center"/>
                    <w:textAlignment w:val="center"/>
                    <w:rPr>
                      <w:rFonts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31" w:type="dxa"/>
                  <w:noWrap w:val="0"/>
                  <w:vAlign w:val="center"/>
                </w:tcPr>
                <w:p>
                  <w:pPr>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评价工作等级</w:t>
                  </w:r>
                </w:p>
              </w:tc>
              <w:tc>
                <w:tcPr>
                  <w:tcW w:w="1730" w:type="dxa"/>
                  <w:noWrap w:val="0"/>
                  <w:vAlign w:val="center"/>
                </w:tcPr>
                <w:p>
                  <w:pPr>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一</w:t>
                  </w:r>
                </w:p>
              </w:tc>
              <w:tc>
                <w:tcPr>
                  <w:tcW w:w="1728" w:type="dxa"/>
                  <w:noWrap w:val="0"/>
                  <w:vAlign w:val="center"/>
                </w:tcPr>
                <w:p>
                  <w:pPr>
                    <w:widowControl w:val="0"/>
                    <w:tabs>
                      <w:tab w:val="left" w:pos="6480"/>
                    </w:tabs>
                    <w:spacing w:line="240" w:lineRule="auto"/>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二</w:t>
                  </w:r>
                </w:p>
              </w:tc>
              <w:tc>
                <w:tcPr>
                  <w:tcW w:w="1729" w:type="dxa"/>
                  <w:noWrap w:val="0"/>
                  <w:vAlign w:val="center"/>
                </w:tcPr>
                <w:p>
                  <w:pPr>
                    <w:widowControl w:val="0"/>
                    <w:tabs>
                      <w:tab w:val="left" w:pos="6480"/>
                    </w:tabs>
                    <w:spacing w:line="240" w:lineRule="auto"/>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三</w:t>
                  </w:r>
                </w:p>
              </w:tc>
              <w:tc>
                <w:tcPr>
                  <w:tcW w:w="1729" w:type="dxa"/>
                  <w:noWrap w:val="0"/>
                  <w:vAlign w:val="center"/>
                </w:tcPr>
                <w:p>
                  <w:pPr>
                    <w:widowControl w:val="0"/>
                    <w:tabs>
                      <w:tab w:val="left" w:pos="6480"/>
                    </w:tabs>
                    <w:spacing w:line="240" w:lineRule="auto"/>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简单分析</w:t>
                  </w:r>
                  <w:r>
                    <w:rPr>
                      <w:rFonts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47" w:type="dxa"/>
                  <w:gridSpan w:val="5"/>
                  <w:noWrap w:val="0"/>
                  <w:vAlign w:val="center"/>
                </w:tcPr>
                <w:p>
                  <w:pPr>
                    <w:jc w:val="left"/>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a是相对于详细评价工作内容而言，在描述危险物质、环境影响途径、环境危害后果、风险防范措施等方面给出定性的说明</w:t>
                  </w:r>
                </w:p>
              </w:tc>
            </w:tr>
          </w:tbl>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综上，本项目环境风险潜势为Ⅰ，环境风险仅开展简要分析。</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7.3</w:t>
            </w:r>
            <w:r>
              <w:rPr>
                <w:rFonts w:hint="default" w:ascii="Times New Roman" w:hAnsi="Times New Roman" w:eastAsia="宋体" w:cs="Times New Roman"/>
                <w:color w:val="000000" w:themeColor="text1"/>
                <w:sz w:val="24"/>
                <w:szCs w:val="24"/>
                <w14:textFill>
                  <w14:solidFill>
                    <w14:schemeClr w14:val="tx1"/>
                  </w14:solidFill>
                </w14:textFill>
              </w:rPr>
              <w:t>环境风险分析</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本项目为碎石加工生产项目，项目涉及的环境风险物质为项目设备维修过程中产生的废机油</w:t>
            </w:r>
            <w:r>
              <w:rPr>
                <w:rFonts w:hint="default" w:ascii="Times New Roman" w:hAnsi="Times New Roman" w:eastAsia="宋体" w:cs="Times New Roman"/>
                <w:color w:val="000000" w:themeColor="text1"/>
                <w:sz w:val="24"/>
                <w:szCs w:val="24"/>
                <w:lang w:eastAsia="zh-CN"/>
                <w14:textFill>
                  <w14:solidFill>
                    <w14:schemeClr w14:val="tx1"/>
                  </w14:solidFill>
                </w14:textFill>
              </w:rPr>
              <w:t>与润滑油</w:t>
            </w:r>
            <w:r>
              <w:rPr>
                <w:rFonts w:hint="default" w:ascii="Times New Roman" w:hAnsi="Times New Roman" w:eastAsia="宋体" w:cs="Times New Roman"/>
                <w:color w:val="000000" w:themeColor="text1"/>
                <w:sz w:val="24"/>
                <w:szCs w:val="24"/>
                <w14:textFill>
                  <w14:solidFill>
                    <w14:schemeClr w14:val="tx1"/>
                  </w14:solidFill>
                </w14:textFill>
              </w:rPr>
              <w:t>，属危险废物。废机油</w:t>
            </w:r>
            <w:r>
              <w:rPr>
                <w:rFonts w:hint="default" w:ascii="Times New Roman" w:hAnsi="Times New Roman" w:eastAsia="宋体" w:cs="Times New Roman"/>
                <w:color w:val="000000" w:themeColor="text1"/>
                <w:sz w:val="24"/>
                <w:szCs w:val="24"/>
                <w:lang w:eastAsia="zh-CN"/>
                <w14:textFill>
                  <w14:solidFill>
                    <w14:schemeClr w14:val="tx1"/>
                  </w14:solidFill>
                </w14:textFill>
              </w:rPr>
              <w:t>与润滑油</w:t>
            </w:r>
            <w:r>
              <w:rPr>
                <w:rFonts w:hint="default" w:ascii="Times New Roman" w:hAnsi="Times New Roman" w:eastAsia="宋体" w:cs="Times New Roman"/>
                <w:color w:val="000000" w:themeColor="text1"/>
                <w:sz w:val="24"/>
                <w:szCs w:val="24"/>
                <w14:textFill>
                  <w14:solidFill>
                    <w14:schemeClr w14:val="tx1"/>
                  </w14:solidFill>
                </w14:textFill>
              </w:rPr>
              <w:t>为液体，可燃、有毒。主要的危害为皮肤接触危害人体健康，以及发生泄漏、火灾事故及次生事故造成环境污染及人员伤亡。</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大气环境风险分析</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本项目为碎石加工项目。项目大气环境风险主要为废机油发生火灾等事故产生的次/伴生有毒有害气体在大气环境中扩散稀释，废机油具有可燃性，且成分复杂，有毒有害气体主要是废</w:t>
            </w:r>
            <w:r>
              <w:rPr>
                <w:rFonts w:hint="default" w:ascii="Times New Roman" w:hAnsi="Times New Roman" w:eastAsia="宋体" w:cs="Times New Roman"/>
                <w:color w:val="000000" w:themeColor="text1"/>
                <w:sz w:val="24"/>
                <w:szCs w:val="24"/>
                <w:lang w:eastAsia="zh-CN"/>
                <w14:textFill>
                  <w14:solidFill>
                    <w14:schemeClr w14:val="tx1"/>
                  </w14:solidFill>
                </w14:textFill>
              </w:rPr>
              <w:t>机</w:t>
            </w:r>
            <w:r>
              <w:rPr>
                <w:rFonts w:hint="default" w:ascii="Times New Roman" w:hAnsi="Times New Roman" w:eastAsia="宋体" w:cs="Times New Roman"/>
                <w:color w:val="000000" w:themeColor="text1"/>
                <w:sz w:val="24"/>
                <w:szCs w:val="24"/>
                <w14:textFill>
                  <w14:solidFill>
                    <w14:schemeClr w14:val="tx1"/>
                  </w14:solidFill>
                </w14:textFill>
              </w:rPr>
              <w:t>油不完全燃烧产生的颗粒物、一氧化碳、氮氧化物、硫氧化物。若燃烧、爆炸事故不能得到及时、有效控制，导致空气中一氧化碳浓度升高，氧气含量降低，并引发周围人群窒息或一氧化碳中毒。当空气中一氧化碳浓度达到半致死浓度时，可对下方向居民产生严重危害和生命威胁。</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地表水环境风险分析</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地表水环境风险主要为废机油泄漏后无序流失进入外环境中，汇入周边地表水体。废机油毒性很大。1L可污100万L的淡水，相当于14个人一年的饮水量。废机油含有多种有毒物质，如果把废机油、废润滑油倒入土壤，会导致植物损伤，被污染的区域内微生物灭绝。一大桶</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约200L)流入水体，能造成3.5平方公里水面的污染。由于油膜的阻断，水中含氧量得不到补充，会直接导致水生动植物死亡，废机油中的含氯、含硫、含磷等有机化合物具有很强的毒性，它们残存在土壤或水体中，对人类、生物都将造成致命的危害。</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地下水环境风险分析</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废机油泄漏进入地下水将使地下水受到污染。污染物进入地下水的途径主要是由降雨或污水排放等通过垂直渗透进入包气带，进入包气带的污染物在物理、化学和生物作用下经吸附、转化、迁移和分解后输入地下水。进入地下水环境后，将造成地下水中石油类污染物含量增加，引起地下水水质恶化，对项目所在地地下水环境产生一定的不利影响。</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7.4</w:t>
            </w:r>
            <w:r>
              <w:rPr>
                <w:rFonts w:hint="default" w:ascii="Times New Roman" w:hAnsi="Times New Roman" w:eastAsia="宋体" w:cs="Times New Roman"/>
                <w:color w:val="000000" w:themeColor="text1"/>
                <w:sz w:val="24"/>
                <w:szCs w:val="24"/>
                <w14:textFill>
                  <w14:solidFill>
                    <w14:schemeClr w14:val="tx1"/>
                  </w14:solidFill>
                </w14:textFill>
              </w:rPr>
              <w:t>环境风险防范措施</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风险管理</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w:t>
            </w:r>
            <w:r>
              <w:rPr>
                <w:rFonts w:hint="default" w:ascii="Times New Roman" w:hAnsi="Times New Roman" w:eastAsia="宋体" w:cs="Times New Roman"/>
                <w:color w:val="000000" w:themeColor="text1"/>
                <w:sz w:val="24"/>
                <w:szCs w:val="24"/>
                <w14:textFill>
                  <w14:solidFill>
                    <w14:schemeClr w14:val="tx1"/>
                  </w14:solidFill>
                </w14:textFill>
              </w:rPr>
              <w:t>项目在施工过程确保固废暂存间按相关设计和要求严格做好内防渗措施，确保达到相关防渗要求。同时加强运营期员工安全意识，并张贴警示标识严禁烟火，避免火灾爆炸事故发生。</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w:t>
            </w:r>
            <w:r>
              <w:rPr>
                <w:rFonts w:hint="default" w:ascii="Times New Roman" w:hAnsi="Times New Roman" w:eastAsia="宋体" w:cs="Times New Roman"/>
                <w:color w:val="000000" w:themeColor="text1"/>
                <w:sz w:val="24"/>
                <w:szCs w:val="24"/>
                <w14:textFill>
                  <w14:solidFill>
                    <w14:schemeClr w14:val="tx1"/>
                  </w14:solidFill>
                </w14:textFill>
              </w:rPr>
              <w:t>废机油、废润滑油应建立进出库台账，在收集、转运等过程中应严格执行《危险废物收集、贮存、运输技术规范》中的相关要求，处置应交有相应资质的单位，并严格执行《危险废物转移联单制度》。</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w:t>
            </w:r>
            <w:r>
              <w:rPr>
                <w:rFonts w:hint="default" w:ascii="Times New Roman" w:hAnsi="Times New Roman" w:eastAsia="宋体" w:cs="Times New Roman"/>
                <w:color w:val="000000" w:themeColor="text1"/>
                <w:sz w:val="24"/>
                <w:szCs w:val="24"/>
                <w14:textFill>
                  <w14:solidFill>
                    <w14:schemeClr w14:val="tx1"/>
                  </w14:solidFill>
                </w14:textFill>
              </w:rPr>
              <w:t>一旦发生事故，及时向有关部门反映，采取有效处理措施，最大限度降低对周围环境和人民生命及财产造成的危害。</w:t>
            </w:r>
          </w:p>
          <w:p>
            <w:pPr>
              <w:bidi w:val="0"/>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）防范措施</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根据工程的特点并调研同类型项目的事故类型，本项目主要事故类型可以分为火灾、爆炸与泄漏。</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w:t>
            </w:r>
            <w:r>
              <w:rPr>
                <w:rFonts w:hint="default" w:ascii="Times New Roman" w:hAnsi="Times New Roman" w:eastAsia="宋体" w:cs="Times New Roman"/>
                <w:color w:val="000000" w:themeColor="text1"/>
                <w:sz w:val="24"/>
                <w:szCs w:val="24"/>
                <w14:textFill>
                  <w14:solidFill>
                    <w14:schemeClr w14:val="tx1"/>
                  </w14:solidFill>
                </w14:textFill>
              </w:rPr>
              <w:t>火灾与爆炸</w:t>
            </w:r>
          </w:p>
          <w:p>
            <w:pPr>
              <w:bidi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项目废机油发生火灾及爆炸须具备下列条件：①油类泄漏或油气蒸发；②有足够的空气助燃；③油气必须</w:t>
            </w:r>
            <w:r>
              <w:rPr>
                <w:rFonts w:hint="eastAsia" w:ascii="Times New Roman" w:hAnsi="Times New Roman" w:eastAsia="宋体" w:cs="Times New Roman"/>
                <w:color w:val="000000" w:themeColor="text1"/>
                <w:sz w:val="24"/>
                <w:szCs w:val="24"/>
                <w:lang w:eastAsia="zh-CN"/>
                <w14:textFill>
                  <w14:solidFill>
                    <w14:schemeClr w14:val="tx1"/>
                  </w14:solidFill>
                </w14:textFill>
              </w:rPr>
              <w:t>与空气混合</w:t>
            </w:r>
            <w:r>
              <w:rPr>
                <w:rFonts w:hint="default" w:ascii="Times New Roman" w:hAnsi="Times New Roman" w:eastAsia="宋体" w:cs="Times New Roman"/>
                <w:color w:val="000000" w:themeColor="text1"/>
                <w:sz w:val="24"/>
                <w:szCs w:val="24"/>
                <w14:textFill>
                  <w14:solidFill>
                    <w14:schemeClr w14:val="tx1"/>
                  </w14:solidFill>
                </w14:textFill>
              </w:rPr>
              <w:t>，并达到一定的浓度；④现场有明火。只有以上四个条件同时具备时，才可能发生火灾和爆炸。废机油燃点较高，挥发性较低，且项目暂存量较少，不易发生火灾事故。</w:t>
            </w:r>
          </w:p>
          <w:p>
            <w:pPr>
              <w:bidi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w:t>
            </w:r>
            <w:r>
              <w:rPr>
                <w:rFonts w:hint="default" w:ascii="Times New Roman" w:hAnsi="Times New Roman" w:eastAsia="宋体" w:cs="Times New Roman"/>
                <w:color w:val="000000" w:themeColor="text1"/>
                <w:sz w:val="24"/>
                <w:szCs w:val="24"/>
                <w14:textFill>
                  <w14:solidFill>
                    <w14:schemeClr w14:val="tx1"/>
                  </w14:solidFill>
                </w14:textFill>
              </w:rPr>
              <w:t>溢出和泄漏的废润滑油不仅污染地表水环境，污染地下水，而且对地区水源可能带来不良影响。</w:t>
            </w:r>
          </w:p>
          <w:p>
            <w:pPr>
              <w:bidi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项目应根据《</w:t>
            </w:r>
            <w:bookmarkStart w:id="64" w:name="_GoBack"/>
            <w:r>
              <w:rPr>
                <w:rFonts w:hint="default" w:ascii="Times New Roman" w:hAnsi="Times New Roman" w:eastAsia="宋体" w:cs="Times New Roman"/>
                <w:color w:val="000000" w:themeColor="text1"/>
                <w:sz w:val="24"/>
                <w:szCs w:val="24"/>
                <w:highlight w:val="none"/>
                <w14:textFill>
                  <w14:solidFill>
                    <w14:schemeClr w14:val="tx1"/>
                  </w14:solidFill>
                </w14:textFill>
              </w:rPr>
              <w:t>中华人民共和国固体</w:t>
            </w:r>
            <w:bookmarkEnd w:id="64"/>
            <w:r>
              <w:rPr>
                <w:rFonts w:hint="default" w:ascii="Times New Roman" w:hAnsi="Times New Roman" w:eastAsia="宋体" w:cs="Times New Roman"/>
                <w:color w:val="000000" w:themeColor="text1"/>
                <w:sz w:val="24"/>
                <w:szCs w:val="24"/>
                <w:highlight w:val="none"/>
                <w14:textFill>
                  <w14:solidFill>
                    <w14:schemeClr w14:val="tx1"/>
                  </w14:solidFill>
                </w14:textFill>
              </w:rPr>
              <w:t>废物污染环境防治法》，对危险废物的容器和包装物以及收集、贮存、运输、处置危险废物的设施、场所，必须设置危险废物识别标志；收集、贮存危险废物，必须按照危险废物特性分类进行，禁止混合收集、贮存、运输、处置性质不相容而未经安全性处置的危险废物，确保危废得到妥善处置。</w:t>
            </w:r>
          </w:p>
          <w:p>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7.5</w:t>
            </w:r>
            <w:r>
              <w:rPr>
                <w:rFonts w:hint="default" w:ascii="Times New Roman" w:hAnsi="Times New Roman" w:eastAsia="宋体" w:cs="Times New Roman"/>
                <w:color w:val="000000" w:themeColor="text1"/>
                <w:sz w:val="24"/>
                <w:szCs w:val="24"/>
                <w:highlight w:val="none"/>
                <w14:textFill>
                  <w14:solidFill>
                    <w14:schemeClr w14:val="tx1"/>
                  </w14:solidFill>
                </w14:textFill>
              </w:rPr>
              <w:t>风险结论</w:t>
            </w:r>
          </w:p>
          <w:p>
            <w:pPr>
              <w:bidi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本项目虽然存在一定的环境风险，但在采取相应的环境风险防范措施后，项目的</w:t>
            </w:r>
            <w:r>
              <w:rPr>
                <w:rFonts w:hint="eastAsia" w:cs="Times New Roman"/>
                <w:color w:val="000000" w:themeColor="text1"/>
                <w:sz w:val="24"/>
                <w:szCs w:val="24"/>
                <w:highlight w:val="none"/>
                <w:lang w:val="en-US" w:eastAsia="zh-CN"/>
                <w14:textFill>
                  <w14:solidFill>
                    <w14:schemeClr w14:val="tx1"/>
                  </w14:solidFill>
                </w14:textFill>
              </w:rPr>
              <w:t>环</w:t>
            </w:r>
            <w:r>
              <w:rPr>
                <w:rFonts w:hint="default" w:ascii="Times New Roman" w:hAnsi="Times New Roman" w:eastAsia="宋体" w:cs="Times New Roman"/>
                <w:color w:val="000000" w:themeColor="text1"/>
                <w:sz w:val="24"/>
                <w:szCs w:val="24"/>
                <w:highlight w:val="none"/>
                <w14:textFill>
                  <w14:solidFill>
                    <w14:schemeClr w14:val="tx1"/>
                  </w14:solidFill>
                </w14:textFill>
              </w:rPr>
              <w:t>境风险可降至可接受水平。综合分析，项目建设从环境风险角度分析是可行的。</w:t>
            </w:r>
          </w:p>
          <w:p>
            <w:pPr>
              <w:pStyle w:val="73"/>
              <w:spacing w:line="360" w:lineRule="auto"/>
              <w:contextualSpacing/>
              <w:jc w:val="both"/>
              <w:rPr>
                <w:rFonts w:ascii="Times New Roman" w:hAnsi="Times New Roman" w:eastAsia="宋体"/>
                <w:color w:val="000000" w:themeColor="text1"/>
                <w:sz w:val="21"/>
                <w:szCs w:val="21"/>
                <w:highlight w:val="red"/>
                <w14:textFill>
                  <w14:solidFill>
                    <w14:schemeClr w14:val="tx1"/>
                  </w14:solidFill>
                </w14:textFill>
              </w:rPr>
            </w:pPr>
          </w:p>
        </w:tc>
      </w:tr>
    </w:tbl>
    <w:p>
      <w:pPr>
        <w:adjustRightInd w:val="0"/>
        <w:snapToGrid w:val="0"/>
        <w:spacing w:line="360" w:lineRule="auto"/>
        <w:rPr>
          <w:rFonts w:ascii="宋体" w:cs="宋体"/>
          <w:b/>
          <w:color w:val="000000" w:themeColor="text1"/>
          <w:kern w:val="0"/>
          <w:sz w:val="28"/>
          <w:szCs w:val="28"/>
          <w:highlight w:val="red"/>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6"/>
        <w:numPr>
          <w:ilvl w:val="0"/>
          <w:numId w:val="0"/>
        </w:numPr>
        <w:ind w:leftChars="0"/>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bookmarkStart w:id="38" w:name="_Toc16215"/>
      <w:bookmarkStart w:id="39" w:name="_Toc16768"/>
      <w:bookmarkStart w:id="40" w:name="_Toc68775756"/>
      <w:bookmarkStart w:id="41" w:name="_Hlk54167917"/>
      <w:r>
        <w:rPr>
          <w:rFonts w:hint="eastAsia" w:ascii="黑体" w:hAnsi="黑体" w:eastAsia="黑体"/>
          <w:snapToGrid w:val="0"/>
          <w:color w:val="000000" w:themeColor="text1"/>
          <w:sz w:val="30"/>
          <w:szCs w:val="30"/>
          <w:highlight w:val="none"/>
          <w:lang w:val="en-US" w:eastAsia="zh-CN"/>
          <w14:textFill>
            <w14:solidFill>
              <w14:schemeClr w14:val="tx1"/>
            </w14:solidFill>
          </w14:textFill>
        </w:rPr>
        <w:t>五、</w:t>
      </w:r>
      <w:r>
        <w:rPr>
          <w:rFonts w:hint="eastAsia" w:ascii="黑体" w:hAnsi="黑体" w:eastAsia="黑体"/>
          <w:snapToGrid w:val="0"/>
          <w:color w:val="000000" w:themeColor="text1"/>
          <w:sz w:val="30"/>
          <w:szCs w:val="30"/>
          <w:highlight w:val="none"/>
          <w14:textFill>
            <w14:solidFill>
              <w14:schemeClr w14:val="tx1"/>
            </w14:solidFill>
          </w14:textFill>
        </w:rPr>
        <w:t>环境保护措施监督检查清单</w:t>
      </w:r>
      <w:bookmarkEnd w:id="38"/>
      <w:bookmarkEnd w:id="39"/>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645"/>
        <w:gridCol w:w="18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tcBorders>
              <w:tl2br w:val="single" w:color="auto" w:sz="4" w:space="0"/>
            </w:tcBorders>
            <w:noWrap w:val="0"/>
            <w:vAlign w:val="top"/>
          </w:tcPr>
          <w:p>
            <w:pPr>
              <w:adjustRightInd w:val="0"/>
              <w:snapToGrid w:val="0"/>
              <w:ind w:firstLine="84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内容</w:t>
            </w:r>
          </w:p>
          <w:p>
            <w:pPr>
              <w:adjustRightInd w:val="0"/>
              <w:snapToGrid w:val="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要素</w:t>
            </w:r>
          </w:p>
        </w:tc>
        <w:tc>
          <w:tcPr>
            <w:tcW w:w="175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排放口</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编号、</w:t>
            </w:r>
          </w:p>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名称</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/污染源</w:t>
            </w:r>
          </w:p>
        </w:tc>
        <w:tc>
          <w:tcPr>
            <w:tcW w:w="175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污染物项目</w:t>
            </w:r>
          </w:p>
        </w:tc>
        <w:tc>
          <w:tcPr>
            <w:tcW w:w="164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环境保护措施</w:t>
            </w:r>
          </w:p>
        </w:tc>
        <w:tc>
          <w:tcPr>
            <w:tcW w:w="1867"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restart"/>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大气环境</w:t>
            </w:r>
          </w:p>
        </w:tc>
        <w:tc>
          <w:tcPr>
            <w:tcW w:w="175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排气筒DA001</w:t>
            </w:r>
          </w:p>
        </w:tc>
        <w:tc>
          <w:tcPr>
            <w:tcW w:w="175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颗粒物</w:t>
            </w:r>
          </w:p>
        </w:tc>
        <w:tc>
          <w:tcPr>
            <w:tcW w:w="164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布袋除尘器+15m排气筒</w:t>
            </w:r>
          </w:p>
        </w:tc>
        <w:tc>
          <w:tcPr>
            <w:tcW w:w="186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《大气污染物综合排放标准》（GB16297-1996）中表2二级标准15m高排气筒最高允许排放速率及浓度</w:t>
            </w:r>
            <w:r>
              <w:rPr>
                <w:rFonts w:hint="eastAsia" w:cs="Times New Roman"/>
                <w:color w:val="000000" w:themeColor="text1"/>
                <w:sz w:val="21"/>
                <w:szCs w:val="21"/>
                <w:highlight w:val="none"/>
                <w:lang w:eastAsia="zh-CN"/>
                <w14:textFill>
                  <w14:solidFill>
                    <w14:schemeClr w14:val="tx1"/>
                  </w14:solidFill>
                </w14:textFill>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755" w:type="dxa"/>
            <w:noWrap w:val="0"/>
            <w:vAlign w:val="center"/>
          </w:tcPr>
          <w:p>
            <w:pPr>
              <w:adjustRightInd w:val="0"/>
              <w:snapToGrid w:val="0"/>
              <w:jc w:val="cente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排气筒</w:t>
            </w:r>
            <w:r>
              <w:rPr>
                <w:rFonts w:hint="eastAsia" w:cs="Times New Roman"/>
                <w:color w:val="000000" w:themeColor="text1"/>
                <w:spacing w:val="0"/>
                <w:sz w:val="21"/>
                <w:szCs w:val="21"/>
                <w:highlight w:val="none"/>
                <w:lang w:eastAsia="zh-CN"/>
                <w14:textFill>
                  <w14:solidFill>
                    <w14:schemeClr w14:val="tx1"/>
                  </w14:solidFill>
                </w14:textFill>
              </w:rPr>
              <w:t>DA002</w:t>
            </w:r>
          </w:p>
        </w:tc>
        <w:tc>
          <w:tcPr>
            <w:tcW w:w="1755" w:type="dxa"/>
            <w:noWrap w:val="0"/>
            <w:vAlign w:val="center"/>
          </w:tcPr>
          <w:p>
            <w:pPr>
              <w:adjustRightInd w:val="0"/>
              <w:snapToGrid w:val="0"/>
              <w:jc w:val="cente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颗粒物</w:t>
            </w:r>
          </w:p>
        </w:tc>
        <w:tc>
          <w:tcPr>
            <w:tcW w:w="1645" w:type="dxa"/>
            <w:noWrap w:val="0"/>
            <w:vAlign w:val="center"/>
          </w:tcPr>
          <w:p>
            <w:pPr>
              <w:adjustRightInd w:val="0"/>
              <w:snapToGrid w:val="0"/>
              <w:jc w:val="cente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布袋除尘器+15m排气筒</w:t>
            </w:r>
          </w:p>
        </w:tc>
        <w:tc>
          <w:tcPr>
            <w:tcW w:w="186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755" w:type="dxa"/>
            <w:noWrap w:val="0"/>
            <w:vAlign w:val="center"/>
          </w:tcPr>
          <w:p>
            <w:pPr>
              <w:spacing w:before="65" w:line="240" w:lineRule="auto"/>
              <w:ind w:right="37" w:rightChars="0"/>
              <w:jc w:val="center"/>
              <w:rPr>
                <w:rFonts w:hint="default" w:ascii="宋体" w:hAnsi="宋体" w:eastAsia="宋体" w:cs="宋体"/>
                <w:color w:val="000000" w:themeColor="text1"/>
                <w:kern w:val="2"/>
                <w:sz w:val="20"/>
                <w:szCs w:val="20"/>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eastAsia="zh-CN"/>
                <w14:textFill>
                  <w14:solidFill>
                    <w14:schemeClr w14:val="tx1"/>
                  </w14:solidFill>
                </w14:textFill>
              </w:rPr>
              <w:t>原料堆存区</w:t>
            </w:r>
          </w:p>
        </w:tc>
        <w:tc>
          <w:tcPr>
            <w:tcW w:w="1755" w:type="dxa"/>
            <w:noWrap w:val="0"/>
            <w:vAlign w:val="center"/>
          </w:tcPr>
          <w:p>
            <w:pPr>
              <w:adjustRightInd w:val="0"/>
              <w:snapToGrid w:val="0"/>
              <w:jc w:val="cente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颗粒物</w:t>
            </w:r>
          </w:p>
        </w:tc>
        <w:tc>
          <w:tcPr>
            <w:tcW w:w="1645" w:type="dxa"/>
            <w:noWrap w:val="0"/>
            <w:vAlign w:val="center"/>
          </w:tcPr>
          <w:p>
            <w:pPr>
              <w:adjustRightInd w:val="0"/>
              <w:snapToGrid w:val="0"/>
              <w:jc w:val="cente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设置</w:t>
            </w:r>
            <w:r>
              <w:rPr>
                <w:rFonts w:hint="eastAsia"/>
                <w:color w:val="000000" w:themeColor="text1"/>
                <w:sz w:val="21"/>
                <w:szCs w:val="21"/>
                <w:highlight w:val="none"/>
                <w:lang w:eastAsia="zh-CN"/>
                <w14:textFill>
                  <w14:solidFill>
                    <w14:schemeClr w14:val="tx1"/>
                  </w14:solidFill>
                </w14:textFill>
              </w:rPr>
              <w:t>防风抑尘网</w:t>
            </w:r>
            <w:r>
              <w:rPr>
                <w:color w:val="000000" w:themeColor="text1"/>
                <w:sz w:val="21"/>
                <w:szCs w:val="21"/>
                <w:highlight w:val="none"/>
                <w14:textFill>
                  <w14:solidFill>
                    <w14:schemeClr w14:val="tx1"/>
                  </w14:solidFill>
                </w14:textFill>
              </w:rPr>
              <w:t>，定期洒水抑尘</w:t>
            </w:r>
          </w:p>
        </w:tc>
        <w:tc>
          <w:tcPr>
            <w:tcW w:w="186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《大气污染物综合排放标准》（GB16297-1996）表2中无组织排放浓度限值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755" w:type="dxa"/>
            <w:noWrap w:val="0"/>
            <w:vAlign w:val="center"/>
          </w:tcPr>
          <w:p>
            <w:pPr>
              <w:spacing w:before="65" w:line="240" w:lineRule="auto"/>
              <w:ind w:right="37" w:rightChars="0"/>
              <w:jc w:val="center"/>
              <w:rPr>
                <w:rFonts w:hint="default" w:ascii="宋体" w:hAnsi="宋体" w:eastAsia="宋体" w:cs="宋体"/>
                <w:color w:val="000000" w:themeColor="text1"/>
                <w:kern w:val="2"/>
                <w:sz w:val="20"/>
                <w:szCs w:val="20"/>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eastAsia="zh-CN"/>
                <w14:textFill>
                  <w14:solidFill>
                    <w14:schemeClr w14:val="tx1"/>
                  </w14:solidFill>
                </w14:textFill>
              </w:rPr>
              <w:t>成品放置区</w:t>
            </w:r>
          </w:p>
        </w:tc>
        <w:tc>
          <w:tcPr>
            <w:tcW w:w="1755" w:type="dxa"/>
            <w:noWrap w:val="0"/>
            <w:vAlign w:val="center"/>
          </w:tcPr>
          <w:p>
            <w:pPr>
              <w:adjustRightInd w:val="0"/>
              <w:snapToGrid w:val="0"/>
              <w:jc w:val="cente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颗粒物</w:t>
            </w:r>
          </w:p>
        </w:tc>
        <w:tc>
          <w:tcPr>
            <w:tcW w:w="1645" w:type="dxa"/>
            <w:noWrap w:val="0"/>
            <w:vAlign w:val="center"/>
          </w:tcPr>
          <w:p>
            <w:pPr>
              <w:adjustRightInd w:val="0"/>
              <w:snapToGrid w:val="0"/>
              <w:jc w:val="cente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设置</w:t>
            </w:r>
            <w:r>
              <w:rPr>
                <w:rFonts w:hint="eastAsia"/>
                <w:color w:val="000000" w:themeColor="text1"/>
                <w:sz w:val="21"/>
                <w:szCs w:val="21"/>
                <w:highlight w:val="none"/>
                <w:lang w:eastAsia="zh-CN"/>
                <w14:textFill>
                  <w14:solidFill>
                    <w14:schemeClr w14:val="tx1"/>
                  </w14:solidFill>
                </w14:textFill>
              </w:rPr>
              <w:t>防风抑尘网</w:t>
            </w:r>
            <w:r>
              <w:rPr>
                <w:color w:val="000000" w:themeColor="text1"/>
                <w:sz w:val="21"/>
                <w:szCs w:val="21"/>
                <w:highlight w:val="none"/>
                <w14:textFill>
                  <w14:solidFill>
                    <w14:schemeClr w14:val="tx1"/>
                  </w14:solidFill>
                </w14:textFill>
              </w:rPr>
              <w:t>，定期洒水抑尘</w:t>
            </w:r>
          </w:p>
        </w:tc>
        <w:tc>
          <w:tcPr>
            <w:tcW w:w="186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5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车间无组织排放源</w:t>
            </w:r>
          </w:p>
        </w:tc>
        <w:tc>
          <w:tcPr>
            <w:tcW w:w="175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64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喷淋系统</w:t>
            </w:r>
            <w:r>
              <w:rPr>
                <w:rFonts w:hint="default" w:ascii="Times New Roman" w:hAnsi="Times New Roman" w:eastAsia="宋体" w:cs="Times New Roman"/>
                <w:color w:val="000000" w:themeColor="text1"/>
                <w:sz w:val="21"/>
                <w:szCs w:val="21"/>
                <w:highlight w:val="none"/>
                <w14:textFill>
                  <w14:solidFill>
                    <w14:schemeClr w14:val="tx1"/>
                  </w14:solidFill>
                </w14:textFill>
              </w:rPr>
              <w:t>抑尘</w:t>
            </w:r>
          </w:p>
        </w:tc>
        <w:tc>
          <w:tcPr>
            <w:tcW w:w="186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highlight w:val="yellow"/>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restart"/>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地表水环境</w:t>
            </w:r>
          </w:p>
        </w:tc>
        <w:tc>
          <w:tcPr>
            <w:tcW w:w="175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-N</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等</w:t>
            </w:r>
          </w:p>
        </w:tc>
        <w:tc>
          <w:tcPr>
            <w:tcW w:w="164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排入防渗旱厕，定期清掏</w:t>
            </w:r>
          </w:p>
        </w:tc>
        <w:tc>
          <w:tcPr>
            <w:tcW w:w="1867"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75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雨水</w:t>
            </w: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SS</w:t>
            </w:r>
          </w:p>
        </w:tc>
        <w:tc>
          <w:tcPr>
            <w:tcW w:w="164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导流渠，雨水池</w:t>
            </w:r>
          </w:p>
        </w:tc>
        <w:tc>
          <w:tcPr>
            <w:tcW w:w="1867" w:type="dxa"/>
            <w:noWrap w:val="0"/>
            <w:vAlign w:val="center"/>
          </w:tcPr>
          <w:p>
            <w:pPr>
              <w:adjustRightInd w:val="0"/>
              <w:snapToGrid w:val="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声环境</w:t>
            </w:r>
          </w:p>
        </w:tc>
        <w:tc>
          <w:tcPr>
            <w:tcW w:w="175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生产设备</w:t>
            </w:r>
          </w:p>
        </w:tc>
        <w:tc>
          <w:tcPr>
            <w:tcW w:w="175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噪声</w:t>
            </w:r>
          </w:p>
        </w:tc>
        <w:tc>
          <w:tcPr>
            <w:tcW w:w="164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合理布局、采用低噪声设备</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减振、隔声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等措施</w:t>
            </w:r>
          </w:p>
        </w:tc>
        <w:tc>
          <w:tcPr>
            <w:tcW w:w="1867"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厂界噪声能够达到《工业企业厂界环境噪声排放标准》（GB12348-2008）表1中</w:t>
            </w:r>
            <w:r>
              <w:rPr>
                <w:rFonts w:hint="eastAsia" w:cs="Times New Roman"/>
                <w:color w:val="000000" w:themeColor="text1"/>
                <w:spacing w:val="0"/>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电磁辐射</w:t>
            </w:r>
          </w:p>
        </w:tc>
        <w:tc>
          <w:tcPr>
            <w:tcW w:w="7022" w:type="dxa"/>
            <w:gridSpan w:val="4"/>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778" w:type="dxa"/>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固体废物</w:t>
            </w:r>
          </w:p>
        </w:tc>
        <w:tc>
          <w:tcPr>
            <w:tcW w:w="7022" w:type="dxa"/>
            <w:gridSpan w:val="4"/>
            <w:noWrap w:val="0"/>
            <w:vAlign w:val="center"/>
          </w:tcPr>
          <w:p>
            <w:pPr>
              <w:pStyle w:val="100"/>
              <w:spacing w:line="240" w:lineRule="auto"/>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生活垃圾经集中收集后委托当地环卫部门清运处理。</w:t>
            </w:r>
          </w:p>
          <w:p>
            <w:pPr>
              <w:pStyle w:val="100"/>
              <w:spacing w:line="240" w:lineRule="auto"/>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布袋除尘器收尘</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集中收集后外售。</w:t>
            </w:r>
          </w:p>
          <w:p>
            <w:pPr>
              <w:pStyle w:val="100"/>
              <w:spacing w:line="240" w:lineRule="auto"/>
              <w:ind w:left="0" w:leftChars="0" w:firstLine="0" w:firstLineChars="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车间沉降粉尘</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集中收集后外售</w:t>
            </w:r>
            <w:r>
              <w:rPr>
                <w:rFonts w:hint="eastAsia"/>
                <w:color w:val="000000" w:themeColor="text1"/>
                <w:lang w:eastAsia="zh-CN"/>
                <w14:textFill>
                  <w14:solidFill>
                    <w14:schemeClr w14:val="tx1"/>
                  </w14:solidFill>
                </w14:textFill>
              </w:rPr>
              <w:t>。</w:t>
            </w:r>
          </w:p>
          <w:p>
            <w:pPr>
              <w:pStyle w:val="100"/>
              <w:spacing w:line="240" w:lineRule="auto"/>
              <w:ind w:left="0" w:leftChars="0"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筛分出来的不合格的产品集中收集外售</w:t>
            </w:r>
            <w:r>
              <w:rPr>
                <w:color w:val="000000" w:themeColor="text1"/>
                <w14:textFill>
                  <w14:solidFill>
                    <w14:schemeClr w14:val="tx1"/>
                  </w14:solidFill>
                </w14:textFill>
              </w:rPr>
              <w:t>。</w:t>
            </w:r>
          </w:p>
          <w:p>
            <w:pPr>
              <w:pStyle w:val="100"/>
              <w:spacing w:line="240" w:lineRule="auto"/>
              <w:ind w:left="0" w:leftChars="0" w:firstLine="0" w:firstLineChars="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废布袋，</w:t>
            </w:r>
            <w:r>
              <w:rPr>
                <w:rFonts w:hint="default"/>
                <w:color w:val="000000" w:themeColor="text1"/>
                <w:lang w:eastAsia="zh-CN"/>
                <w14:textFill>
                  <w14:solidFill>
                    <w14:schemeClr w14:val="tx1"/>
                  </w14:solidFill>
                </w14:textFill>
              </w:rPr>
              <w:t>交由市政部门处置</w:t>
            </w:r>
            <w:r>
              <w:rPr>
                <w:rFonts w:hint="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废机油</w:t>
            </w:r>
            <w:r>
              <w:rPr>
                <w:rFonts w:hint="eastAsia"/>
                <w:color w:val="000000" w:themeColor="text1"/>
                <w:lang w:eastAsia="zh-CN"/>
                <w14:textFill>
                  <w14:solidFill>
                    <w14:schemeClr w14:val="tx1"/>
                  </w14:solidFill>
                </w14:textFill>
              </w:rPr>
              <w:t>与润滑油</w:t>
            </w:r>
            <w:r>
              <w:rPr>
                <w:rFonts w:hint="eastAsia"/>
                <w:color w:val="000000" w:themeColor="text1"/>
                <w14:textFill>
                  <w14:solidFill>
                    <w14:schemeClr w14:val="tx1"/>
                  </w14:solidFill>
                </w14:textFill>
              </w:rPr>
              <w:t>属于危险废物，</w:t>
            </w:r>
            <w:r>
              <w:rPr>
                <w:rFonts w:hint="eastAsia"/>
                <w:color w:val="000000" w:themeColor="text1"/>
                <w:lang w:val="en-US" w:eastAsia="zh-CN"/>
                <w14:textFill>
                  <w14:solidFill>
                    <w14:schemeClr w14:val="tx1"/>
                  </w14:solidFill>
                </w14:textFill>
              </w:rPr>
              <w:t>暂存在危险废物暂存间，</w:t>
            </w:r>
            <w:r>
              <w:rPr>
                <w:rFonts w:hint="eastAsia"/>
                <w:color w:val="000000" w:themeColor="text1"/>
                <w14:textFill>
                  <w14:solidFill>
                    <w14:schemeClr w14:val="tx1"/>
                  </w14:solidFill>
                </w14:textFill>
              </w:rPr>
              <w:t>收集后由有资质的单位回收处置</w:t>
            </w:r>
            <w:r>
              <w:rPr>
                <w:rFonts w:hint="eastAsia" w:ascii="Times New Roman" w:hAnsi="Times New Roman" w:eastAsia="宋体" w:cs="Times New Roman"/>
                <w:color w:val="000000" w:themeColor="text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土壤及地下水</w:t>
            </w:r>
          </w:p>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污染防治措施</w:t>
            </w:r>
          </w:p>
        </w:tc>
        <w:tc>
          <w:tcPr>
            <w:tcW w:w="702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生态保护措施</w:t>
            </w:r>
          </w:p>
        </w:tc>
        <w:tc>
          <w:tcPr>
            <w:tcW w:w="7022" w:type="dxa"/>
            <w:gridSpan w:val="4"/>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noWrap w:val="0"/>
            <w:vAlign w:val="center"/>
          </w:tcPr>
          <w:p>
            <w:pPr>
              <w:adjustRightInd w:val="0"/>
              <w:snapToGrid w:val="0"/>
              <w:jc w:val="center"/>
              <w:rPr>
                <w:rFonts w:ascii="宋体" w:hAnsi="宋体" w:cs="宋体"/>
                <w:color w:val="000000" w:themeColor="text1"/>
                <w:spacing w:val="-8"/>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环境风险</w:t>
            </w:r>
          </w:p>
          <w:p>
            <w:pPr>
              <w:adjustRightInd w:val="0"/>
              <w:snapToGrid w:val="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防范措施</w:t>
            </w:r>
          </w:p>
        </w:tc>
        <w:tc>
          <w:tcPr>
            <w:tcW w:w="7022" w:type="dxa"/>
            <w:gridSpan w:val="4"/>
            <w:noWrap w:val="0"/>
            <w:vAlign w:val="center"/>
          </w:tcPr>
          <w:p>
            <w:pPr>
              <w:bidi w:val="0"/>
              <w:spacing w:line="240" w:lineRule="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①</w:t>
            </w:r>
            <w:r>
              <w:rPr>
                <w:color w:val="000000" w:themeColor="text1"/>
                <w14:textFill>
                  <w14:solidFill>
                    <w14:schemeClr w14:val="tx1"/>
                  </w14:solidFill>
                </w14:textFill>
              </w:rPr>
              <w:t>项目在施工过程确保固废暂存间按相关设计和要求严格做好内防渗措施，确保达到相关防渗要求。同时加强运营期员工安全意识，并张贴警示标识严禁烟火，避免火灾爆炸事故发生。</w:t>
            </w:r>
          </w:p>
          <w:p>
            <w:pPr>
              <w:bidi w:val="0"/>
              <w:spacing w:line="240" w:lineRule="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②</w:t>
            </w:r>
            <w:r>
              <w:rPr>
                <w:color w:val="000000" w:themeColor="text1"/>
                <w14:textFill>
                  <w14:solidFill>
                    <w14:schemeClr w14:val="tx1"/>
                  </w14:solidFill>
                </w14:textFill>
              </w:rPr>
              <w:t>废机油、废润滑油应建立进出库台账，在收集、暂存、转运</w:t>
            </w:r>
            <w:r>
              <w:rPr>
                <w:rFonts w:hint="eastAsia"/>
                <w:color w:val="000000" w:themeColor="text1"/>
                <w:lang w:eastAsia="zh-CN"/>
                <w14:textFill>
                  <w14:solidFill>
                    <w14:schemeClr w14:val="tx1"/>
                  </w14:solidFill>
                </w14:textFill>
              </w:rPr>
              <w:t>等</w:t>
            </w:r>
            <w:r>
              <w:rPr>
                <w:color w:val="000000" w:themeColor="text1"/>
                <w14:textFill>
                  <w14:solidFill>
                    <w14:schemeClr w14:val="tx1"/>
                  </w14:solidFill>
                </w14:textFill>
              </w:rPr>
              <w:t>过程中应严格执行《危险废物收集、贮存、运输技术规范》 中的相关要求，处置应交有相应资质的单位，并严格执行《危险废物转移联单制度》。</w:t>
            </w:r>
          </w:p>
          <w:p>
            <w:pPr>
              <w:bidi w:val="0"/>
              <w:spacing w:line="240" w:lineRule="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olor w:val="000000" w:themeColor="text1"/>
                <w:lang w:eastAsia="zh-CN"/>
                <w14:textFill>
                  <w14:solidFill>
                    <w14:schemeClr w14:val="tx1"/>
                  </w14:solidFill>
                </w14:textFill>
              </w:rPr>
              <w:t>③</w:t>
            </w:r>
            <w:r>
              <w:rPr>
                <w:color w:val="000000" w:themeColor="text1"/>
                <w14:textFill>
                  <w14:solidFill>
                    <w14:schemeClr w14:val="tx1"/>
                  </w14:solidFill>
                </w14:textFill>
              </w:rPr>
              <w:t>一旦发生事故，及时向有关部门反映，采取有效处理措施，最大限度降低对周围环境和人民生命及财产造成的危害。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其他环境</w:t>
            </w:r>
          </w:p>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管理要求</w:t>
            </w:r>
          </w:p>
        </w:tc>
        <w:tc>
          <w:tcPr>
            <w:tcW w:w="7022" w:type="dxa"/>
            <w:gridSpan w:val="4"/>
            <w:noWrap w:val="0"/>
            <w:vAlign w:val="center"/>
          </w:tcPr>
          <w:p>
            <w:pPr>
              <w:pStyle w:val="106"/>
              <w:keepNext w:val="0"/>
              <w:keepLines w:val="0"/>
              <w:pageBreakBefore w:val="0"/>
              <w:kinsoku/>
              <w:wordWrap/>
              <w:overflowPunct/>
              <w:topLinePunct w:val="0"/>
              <w:autoSpaceDE/>
              <w:autoSpaceDN/>
              <w:bidi w:val="0"/>
              <w:spacing w:line="360" w:lineRule="auto"/>
              <w:ind w:firstLine="422" w:firstLineChars="200"/>
              <w:jc w:val="both"/>
              <w:textAlignment w:val="auto"/>
              <w:rPr>
                <w:rFonts w:hint="eastAsia"/>
                <w:b/>
                <w:bCs w:val="0"/>
                <w:color w:val="000000" w:themeColor="text1"/>
                <w:sz w:val="21"/>
                <w:szCs w:val="21"/>
                <w:lang w:val="en-US" w:eastAsia="zh-CN"/>
                <w14:textFill>
                  <w14:solidFill>
                    <w14:schemeClr w14:val="tx1"/>
                  </w14:solidFill>
                </w14:textFill>
              </w:rPr>
            </w:pPr>
            <w:r>
              <w:rPr>
                <w:rFonts w:hint="eastAsia"/>
                <w:b/>
                <w:bCs w:val="0"/>
                <w:color w:val="000000" w:themeColor="text1"/>
                <w:sz w:val="21"/>
                <w:szCs w:val="21"/>
                <w:lang w:val="en-US" w:eastAsia="zh-CN"/>
                <w14:textFill>
                  <w14:solidFill>
                    <w14:schemeClr w14:val="tx1"/>
                  </w14:solidFill>
                </w14:textFill>
              </w:rPr>
              <w:t>1、环境管理</w:t>
            </w:r>
          </w:p>
          <w:p>
            <w:pPr>
              <w:keepNext w:val="0"/>
              <w:keepLines w:val="0"/>
              <w:pageBreakBefore w:val="0"/>
              <w:kinsoku/>
              <w:wordWrap/>
              <w:overflowPunct/>
              <w:topLinePunct w:val="0"/>
              <w:autoSpaceDE/>
              <w:autoSpaceDN/>
              <w:bidi w:val="0"/>
              <w:spacing w:line="360" w:lineRule="auto"/>
              <w:ind w:firstLine="420" w:firstLineChars="20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项目在建设和运行过程中，会对周围环境造成一定的影响，应建立比较合理的环境管理体制和管理机构，采取相应的环境保护措施减轻和消除不利的环境影响，以实现预定的各项环保目标。</w:t>
            </w:r>
          </w:p>
          <w:p>
            <w:pPr>
              <w:keepNext w:val="0"/>
              <w:keepLines w:val="0"/>
              <w:pageBreakBefore w:val="0"/>
              <w:kinsoku/>
              <w:wordWrap/>
              <w:overflowPunct/>
              <w:topLinePunct w:val="0"/>
              <w:autoSpaceDE/>
              <w:autoSpaceDN/>
              <w:bidi w:val="0"/>
              <w:spacing w:line="360" w:lineRule="auto"/>
              <w:ind w:firstLine="420" w:firstLineChars="20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同时，项目在施工期和运行期，应实行环境监测，以验证环境影响的实际情况和环境保护措施的效果，以便更好地保护环境，为项目环境管理提供依据，更大地发挥工程建设的环境、社会、经济效益。</w:t>
            </w:r>
          </w:p>
          <w:p>
            <w:pPr>
              <w:keepNext w:val="0"/>
              <w:keepLines w:val="0"/>
              <w:pageBreakBefore w:val="0"/>
              <w:widowControl/>
              <w:kinsoku/>
              <w:wordWrap/>
              <w:overflowPunct/>
              <w:topLinePunct w:val="0"/>
              <w:autoSpaceDE/>
              <w:autoSpaceDN/>
              <w:bidi w:val="0"/>
              <w:spacing w:line="360" w:lineRule="auto"/>
              <w:ind w:firstLine="420" w:firstLineChars="20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a.根据国家环保政策、标准及环境监测要求，制定该项目运行期环保管理规章制度、各种污染物排放控制指标；</w:t>
            </w:r>
          </w:p>
          <w:p>
            <w:pPr>
              <w:keepNext w:val="0"/>
              <w:keepLines w:val="0"/>
              <w:pageBreakBefore w:val="0"/>
              <w:widowControl/>
              <w:kinsoku/>
              <w:wordWrap/>
              <w:overflowPunct/>
              <w:topLinePunct w:val="0"/>
              <w:autoSpaceDE/>
              <w:autoSpaceDN/>
              <w:bidi w:val="0"/>
              <w:spacing w:line="360" w:lineRule="auto"/>
              <w:ind w:firstLine="420" w:firstLineChars="20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b.负责该项目内所有环保设施的日常运行管理，保障各环保设施的正常运行，并对环保设施的改进提出积极的建议；</w:t>
            </w:r>
          </w:p>
          <w:p>
            <w:pPr>
              <w:keepNext w:val="0"/>
              <w:keepLines w:val="0"/>
              <w:pageBreakBefore w:val="0"/>
              <w:widowControl/>
              <w:kinsoku/>
              <w:wordWrap/>
              <w:overflowPunct/>
              <w:topLinePunct w:val="0"/>
              <w:autoSpaceDE/>
              <w:autoSpaceDN/>
              <w:bidi w:val="0"/>
              <w:spacing w:line="360" w:lineRule="auto"/>
              <w:ind w:firstLine="420" w:firstLineChars="20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c.负责该项目运行期环境监测工作，及时掌握该项目污染状况，整理监测数据，建立污染源档案；</w:t>
            </w:r>
          </w:p>
          <w:p>
            <w:pPr>
              <w:keepNext w:val="0"/>
              <w:keepLines w:val="0"/>
              <w:pageBreakBefore w:val="0"/>
              <w:widowControl/>
              <w:kinsoku/>
              <w:wordWrap/>
              <w:overflowPunct/>
              <w:topLinePunct w:val="0"/>
              <w:autoSpaceDE/>
              <w:autoSpaceDN/>
              <w:bidi w:val="0"/>
              <w:spacing w:line="360" w:lineRule="auto"/>
              <w:ind w:firstLine="420" w:firstLineChars="20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d.项目运行期的环境管理由安全环保部承担；负责该项目内所有环保设施的日常运行管理，保障各环保设施的正常运行，并对环保设施的改进提出积极的建议；</w:t>
            </w:r>
          </w:p>
          <w:p>
            <w:pPr>
              <w:keepNext w:val="0"/>
              <w:keepLines w:val="0"/>
              <w:pageBreakBefore w:val="0"/>
              <w:widowControl/>
              <w:kinsoku/>
              <w:wordWrap/>
              <w:overflowPunct/>
              <w:topLinePunct w:val="0"/>
              <w:autoSpaceDE/>
              <w:autoSpaceDN/>
              <w:bidi w:val="0"/>
              <w:spacing w:line="360" w:lineRule="auto"/>
              <w:ind w:firstLine="420" w:firstLineChars="20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e.负责对职工进行环保宣传教育工作，检查、监督各单位环保制度的执行情况；</w:t>
            </w:r>
          </w:p>
          <w:p>
            <w:pPr>
              <w:keepNext w:val="0"/>
              <w:keepLines w:val="0"/>
              <w:pageBreakBefore w:val="0"/>
              <w:widowControl/>
              <w:kinsoku/>
              <w:wordWrap/>
              <w:overflowPunct/>
              <w:topLinePunct w:val="0"/>
              <w:autoSpaceDE/>
              <w:autoSpaceDN/>
              <w:bidi w:val="0"/>
              <w:spacing w:line="360" w:lineRule="auto"/>
              <w:ind w:firstLine="42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f.建立健全环境档案管理与保密制度、污染防治设施设计技术改进及运行资料、污染源调查技术档案、环境监测及评价资料、项目平面图等；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b/>
                <w:color w:val="000000" w:themeColor="text1"/>
                <w:sz w:val="21"/>
                <w:szCs w:val="21"/>
                <w14:textFill>
                  <w14:solidFill>
                    <w14:schemeClr w14:val="tx1"/>
                  </w14:solidFill>
                </w14:textFill>
              </w:rPr>
            </w:pPr>
            <w:r>
              <w:rPr>
                <w:rFonts w:hint="eastAsia"/>
                <w:b/>
                <w:color w:val="000000" w:themeColor="text1"/>
                <w:sz w:val="21"/>
                <w:szCs w:val="21"/>
                <w:lang w:val="en-US" w:eastAsia="zh-CN"/>
                <w14:textFill>
                  <w14:solidFill>
                    <w14:schemeClr w14:val="tx1"/>
                  </w14:solidFill>
                </w14:textFill>
              </w:rPr>
              <w:t>2</w:t>
            </w:r>
            <w:r>
              <w:rPr>
                <w:rFonts w:hint="eastAsia"/>
                <w:b/>
                <w:color w:val="000000" w:themeColor="text1"/>
                <w:sz w:val="21"/>
                <w:szCs w:val="21"/>
                <w:lang w:eastAsia="zh-CN"/>
                <w14:textFill>
                  <w14:solidFill>
                    <w14:schemeClr w14:val="tx1"/>
                  </w14:solidFill>
                </w14:textFill>
              </w:rPr>
              <w:t>、</w:t>
            </w:r>
            <w:r>
              <w:rPr>
                <w:rFonts w:hint="eastAsia"/>
                <w:b/>
                <w:color w:val="000000" w:themeColor="text1"/>
                <w:sz w:val="21"/>
                <w:szCs w:val="21"/>
                <w14:textFill>
                  <w14:solidFill>
                    <w14:schemeClr w14:val="tx1"/>
                  </w14:solidFill>
                </w14:textFill>
              </w:rPr>
              <w:t>排污许可相关要求</w:t>
            </w:r>
          </w:p>
          <w:p>
            <w:pPr>
              <w:adjustRightInd w:val="0"/>
              <w:snapToGrid w:val="0"/>
              <w:spacing w:line="360" w:lineRule="auto"/>
              <w:ind w:firstLine="420" w:firstLineChars="200"/>
              <w:jc w:val="left"/>
              <w:rPr>
                <w:rFonts w:hint="default"/>
                <w:color w:val="000000" w:themeColor="text1"/>
                <w:lang w:val="en-US"/>
                <w14:textFill>
                  <w14:solidFill>
                    <w14:schemeClr w14:val="tx1"/>
                  </w14:solidFill>
                </w14:textFill>
              </w:rPr>
            </w:pPr>
            <w:r>
              <w:rPr>
                <w:rFonts w:hint="default"/>
                <w:color w:val="000000" w:themeColor="text1"/>
                <w:lang w:eastAsia="zh-CN"/>
                <w14:textFill>
                  <w14:solidFill>
                    <w14:schemeClr w14:val="tx1"/>
                  </w14:solidFill>
                </w14:textFill>
              </w:rPr>
              <w:t>根据《排污许可管理办法（试行）》（环境保护部令第48号），本项目应严格按照相关排污许可证改革的要求，在本项目取得环境影响评价审批意见后，排污行为发生前三十个工作日内向核发环保部门提出排污许可证的申请。</w:t>
            </w:r>
            <w:r>
              <w:rPr>
                <w:rFonts w:hint="default"/>
                <w:color w:val="000000" w:themeColor="text1"/>
                <w:lang w:val="en-US" w:eastAsia="zh-CN"/>
                <w14:textFill>
                  <w14:solidFill>
                    <w14:schemeClr w14:val="tx1"/>
                  </w14:solidFill>
                </w14:textFill>
              </w:rPr>
              <w:t>根据《固定污染源排污许可分类管理名录》，本项目属于简化管理，需按照排污许可证管理要求进行监测和申报，发生变更应及时进行申报，重大变更应重新进行环境影响评价和申请许可证变更，积极配合环保管理部分的监督核查。</w:t>
            </w:r>
          </w:p>
        </w:tc>
      </w:tr>
      <w:bookmarkEnd w:id="40"/>
      <w:bookmarkEnd w:id="41"/>
    </w:tbl>
    <w:p>
      <w:pPr>
        <w:pStyle w:val="26"/>
        <w:jc w:val="center"/>
        <w:outlineLvl w:val="0"/>
        <w:rPr>
          <w:rFonts w:ascii="黑体" w:hAnsi="黑体" w:eastAsia="黑体"/>
          <w:snapToGrid w:val="0"/>
          <w:color w:val="000000" w:themeColor="text1"/>
          <w:sz w:val="30"/>
          <w:szCs w:val="30"/>
          <w:highlight w:val="red"/>
          <w14:textFill>
            <w14:solidFill>
              <w14:schemeClr w14:val="tx1"/>
            </w14:solidFill>
          </w14:textFill>
        </w:rPr>
      </w:pPr>
      <w:r>
        <w:rPr>
          <w:snapToGrid w:val="0"/>
          <w:color w:val="000000" w:themeColor="text1"/>
          <w:highlight w:val="red"/>
          <w14:textFill>
            <w14:solidFill>
              <w14:schemeClr w14:val="tx1"/>
            </w14:solidFill>
          </w14:textFill>
        </w:rPr>
        <w:br w:type="page"/>
      </w:r>
      <w:bookmarkStart w:id="42" w:name="_Toc24838"/>
      <w:bookmarkStart w:id="43" w:name="_Toc68775757"/>
      <w:bookmarkStart w:id="44" w:name="_Toc26951"/>
      <w:r>
        <w:rPr>
          <w:rFonts w:hint="eastAsia" w:ascii="黑体" w:hAnsi="黑体" w:eastAsia="黑体"/>
          <w:snapToGrid w:val="0"/>
          <w:color w:val="000000" w:themeColor="text1"/>
          <w:sz w:val="30"/>
          <w:szCs w:val="30"/>
          <w:highlight w:val="none"/>
          <w14:textFill>
            <w14:solidFill>
              <w14:schemeClr w14:val="tx1"/>
            </w14:solidFill>
          </w14:textFill>
        </w:rPr>
        <w:t>六、结论</w:t>
      </w:r>
      <w:bookmarkEnd w:id="42"/>
      <w:bookmarkEnd w:id="43"/>
      <w:bookmarkEnd w:id="44"/>
    </w:p>
    <w:tbl>
      <w:tblPr>
        <w:tblStyle w:val="30"/>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bottom w:val="single" w:color="auto" w:sz="8" w:space="0"/>
            </w:tcBorders>
          </w:tcPr>
          <w:p>
            <w:pPr>
              <w:spacing w:line="360" w:lineRule="auto"/>
              <w:ind w:firstLine="470" w:firstLineChars="196"/>
              <w:rPr>
                <w:rFonts w:hint="eastAsia" w:eastAsia="宋体"/>
                <w:color w:val="000000" w:themeColor="text1"/>
                <w:sz w:val="24"/>
                <w:highlight w:val="red"/>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本项目选址合理，项目符合国家产业政策及“三线一单”要求，符合国家环境保护相关政策法规要求，项目运行期产生的废水、废气、噪声、固废等采取有效措施后，均能符合国家相关排放标准的要求，企业在生产过程中在充分落实本环评提出的各项污染防治对策前提下，认真做好</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三同时</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及日常环保管理工作，从环保角度出发，本项目建设可行</w:t>
            </w:r>
            <w:r>
              <w:rPr>
                <w:rFonts w:hint="eastAsia"/>
                <w:color w:val="000000" w:themeColor="text1"/>
                <w:sz w:val="24"/>
                <w:highlight w:val="none"/>
                <w:lang w:eastAsia="zh-CN"/>
                <w14:textFill>
                  <w14:solidFill>
                    <w14:schemeClr w14:val="tx1"/>
                  </w14:solidFill>
                </w14:textFill>
              </w:rPr>
              <w:t>。</w:t>
            </w: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rFonts w:hint="eastAsia"/>
                <w:color w:val="000000" w:themeColor="text1"/>
                <w:sz w:val="24"/>
                <w:highlight w:val="red"/>
                <w14:textFill>
                  <w14:solidFill>
                    <w14:schemeClr w14:val="tx1"/>
                  </w14:solidFill>
                </w14:textFill>
              </w:rPr>
            </w:pPr>
          </w:p>
          <w:p>
            <w:pPr>
              <w:spacing w:line="360" w:lineRule="auto"/>
              <w:ind w:firstLine="470" w:firstLineChars="196"/>
              <w:rPr>
                <w:color w:val="000000" w:themeColor="text1"/>
                <w:sz w:val="24"/>
                <w:highlight w:val="red"/>
                <w14:textFill>
                  <w14:solidFill>
                    <w14:schemeClr w14:val="tx1"/>
                  </w14:solidFill>
                </w14:textFill>
              </w:rPr>
            </w:pPr>
          </w:p>
          <w:p>
            <w:pPr>
              <w:spacing w:line="360" w:lineRule="auto"/>
              <w:ind w:firstLine="480" w:firstLineChars="200"/>
              <w:contextualSpacing/>
              <w:rPr>
                <w:rFonts w:ascii="宋体" w:cs="宋体"/>
                <w:color w:val="000000" w:themeColor="text1"/>
                <w:sz w:val="24"/>
                <w:highlight w:val="red"/>
                <w14:textFill>
                  <w14:solidFill>
                    <w14:schemeClr w14:val="tx1"/>
                  </w14:solidFill>
                </w14:textFill>
              </w:rPr>
            </w:pPr>
          </w:p>
        </w:tc>
      </w:tr>
    </w:tbl>
    <w:p>
      <w:pPr>
        <w:rPr>
          <w:rFonts w:ascii="宋体"/>
          <w:color w:val="000000" w:themeColor="text1"/>
          <w:highlight w:val="red"/>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6"/>
        <w:adjustRightInd w:val="0"/>
        <w:snapToGrid w:val="0"/>
        <w:spacing w:before="0" w:beforeAutospacing="0" w:after="0" w:afterAutospacing="0" w:line="360" w:lineRule="auto"/>
        <w:outlineLvl w:val="0"/>
        <w:rPr>
          <w:rFonts w:ascii="黑体" w:hAnsi="黑体" w:eastAsia="黑体"/>
          <w:snapToGrid w:val="0"/>
          <w:color w:val="000000" w:themeColor="text1"/>
          <w:sz w:val="32"/>
          <w:szCs w:val="32"/>
          <w:highlight w:val="none"/>
          <w14:textFill>
            <w14:solidFill>
              <w14:schemeClr w14:val="tx1"/>
            </w14:solidFill>
          </w14:textFill>
        </w:rPr>
      </w:pPr>
      <w:bookmarkStart w:id="45" w:name="_Toc13665"/>
      <w:bookmarkStart w:id="46" w:name="_Toc10079"/>
      <w:bookmarkStart w:id="47" w:name="_Toc68775758"/>
      <w:r>
        <w:rPr>
          <w:rFonts w:hint="eastAsia" w:ascii="黑体" w:hAnsi="黑体" w:eastAsia="黑体"/>
          <w:snapToGrid w:val="0"/>
          <w:color w:val="000000" w:themeColor="text1"/>
          <w:sz w:val="32"/>
          <w:szCs w:val="32"/>
          <w:highlight w:val="none"/>
          <w14:textFill>
            <w14:solidFill>
              <w14:schemeClr w14:val="tx1"/>
            </w14:solidFill>
          </w14:textFill>
        </w:rPr>
        <w:t>附表</w:t>
      </w:r>
      <w:bookmarkEnd w:id="45"/>
      <w:bookmarkEnd w:id="46"/>
      <w:bookmarkEnd w:id="47"/>
    </w:p>
    <w:p>
      <w:pPr>
        <w:pStyle w:val="26"/>
        <w:adjustRightInd w:val="0"/>
        <w:snapToGrid w:val="0"/>
        <w:spacing w:before="0" w:beforeAutospacing="0" w:after="0" w:afterAutospacing="0"/>
        <w:jc w:val="center"/>
        <w:outlineLvl w:val="0"/>
        <w:rPr>
          <w:rFonts w:hint="eastAsia" w:asciiTheme="minorEastAsia" w:hAnsiTheme="minorEastAsia" w:eastAsiaTheme="minorEastAsia" w:cstheme="minorEastAsia"/>
          <w:b/>
          <w:bCs/>
          <w:snapToGrid w:val="0"/>
          <w:color w:val="000000" w:themeColor="text1"/>
          <w:sz w:val="28"/>
          <w:szCs w:val="28"/>
          <w:highlight w:val="none"/>
          <w14:textFill>
            <w14:solidFill>
              <w14:schemeClr w14:val="tx1"/>
            </w14:solidFill>
          </w14:textFill>
        </w:rPr>
      </w:pPr>
      <w:bookmarkStart w:id="48" w:name="_Toc31568"/>
      <w:bookmarkStart w:id="49" w:name="_Toc68775759"/>
      <w:bookmarkStart w:id="50" w:name="_Toc25023"/>
      <w:r>
        <w:rPr>
          <w:rFonts w:hint="eastAsia" w:asciiTheme="minorEastAsia" w:hAnsiTheme="minorEastAsia" w:eastAsiaTheme="minorEastAsia" w:cstheme="minorEastAsia"/>
          <w:b/>
          <w:bCs/>
          <w:snapToGrid w:val="0"/>
          <w:color w:val="000000" w:themeColor="text1"/>
          <w:sz w:val="28"/>
          <w:szCs w:val="28"/>
          <w:highlight w:val="none"/>
          <w14:textFill>
            <w14:solidFill>
              <w14:schemeClr w14:val="tx1"/>
            </w14:solidFill>
          </w14:textFill>
        </w:rPr>
        <w:t>建设项目污染物排放量汇总表</w:t>
      </w:r>
      <w:bookmarkEnd w:id="48"/>
      <w:bookmarkEnd w:id="49"/>
      <w:bookmarkEnd w:id="50"/>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618"/>
        <w:gridCol w:w="1500"/>
        <w:gridCol w:w="1276"/>
        <w:gridCol w:w="1701"/>
        <w:gridCol w:w="1559"/>
        <w:gridCol w:w="1761"/>
        <w:gridCol w:w="1617"/>
        <w:gridCol w:w="11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43"/>
              <w:keepNext w:val="0"/>
              <w:keepLines w:val="0"/>
              <w:pageBreakBefore w:val="0"/>
              <w:widowControl w:val="0"/>
              <w:kinsoku/>
              <w:wordWrap/>
              <w:overflowPunct/>
              <w:topLinePunct w:val="0"/>
              <w:autoSpaceDE/>
              <w:autoSpaceDN/>
              <w:bidi w:val="0"/>
              <w:spacing w:beforeLines="0" w:afterLines="0" w:line="240" w:lineRule="exact"/>
              <w:jc w:val="righ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项目</w:t>
            </w:r>
          </w:p>
          <w:p>
            <w:pPr>
              <w:pStyle w:val="43"/>
              <w:keepNext w:val="0"/>
              <w:keepLines w:val="0"/>
              <w:pageBreakBefore w:val="0"/>
              <w:widowControl w:val="0"/>
              <w:kinsoku/>
              <w:wordWrap/>
              <w:overflowPunct/>
              <w:topLinePunct w:val="0"/>
              <w:autoSpaceDE/>
              <w:autoSpaceDN/>
              <w:bidi w:val="0"/>
              <w:spacing w:beforeLines="0" w:afterLines="0" w:line="240" w:lineRule="exact"/>
              <w:jc w:val="lef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分类</w:t>
            </w:r>
          </w:p>
        </w:tc>
        <w:tc>
          <w:tcPr>
            <w:tcW w:w="1618" w:type="dxa"/>
            <w:noWrap w:val="0"/>
            <w:tcMar>
              <w:left w:w="28" w:type="dxa"/>
              <w:right w:w="28" w:type="dxa"/>
            </w:tcMar>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污染物名称</w:t>
            </w:r>
          </w:p>
        </w:tc>
        <w:tc>
          <w:tcPr>
            <w:tcW w:w="1500" w:type="dxa"/>
            <w:noWrap w:val="0"/>
            <w:tcMar>
              <w:left w:w="28" w:type="dxa"/>
              <w:right w:w="28" w:type="dxa"/>
            </w:tcMar>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现有工程</w:t>
            </w:r>
          </w:p>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①</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c>
          <w:tcPr>
            <w:tcW w:w="1276" w:type="dxa"/>
            <w:noWrap w:val="0"/>
            <w:tcMar>
              <w:left w:w="28" w:type="dxa"/>
              <w:right w:w="28" w:type="dxa"/>
            </w:tcMar>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现有工程</w:t>
            </w:r>
          </w:p>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许可排放量</w:t>
            </w:r>
          </w:p>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2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②</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c>
          <w:tcPr>
            <w:tcW w:w="1701" w:type="dxa"/>
            <w:noWrap w:val="0"/>
            <w:tcMar>
              <w:left w:w="28" w:type="dxa"/>
              <w:right w:w="28" w:type="dxa"/>
            </w:tcMar>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在建工程</w:t>
            </w:r>
          </w:p>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③</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c>
          <w:tcPr>
            <w:tcW w:w="1559" w:type="dxa"/>
            <w:noWrap w:val="0"/>
            <w:tcMar>
              <w:left w:w="28" w:type="dxa"/>
              <w:right w:w="28" w:type="dxa"/>
            </w:tcMar>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本项目</w:t>
            </w:r>
          </w:p>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④</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c>
          <w:tcPr>
            <w:tcW w:w="1761" w:type="dxa"/>
            <w:noWrap w:val="0"/>
            <w:tcMar>
              <w:left w:w="28" w:type="dxa"/>
              <w:right w:w="28" w:type="dxa"/>
            </w:tcMar>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以新带老削减量</w:t>
            </w:r>
          </w:p>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（新建项目不填）</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⑤</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end"/>
            </w:r>
          </w:p>
        </w:tc>
        <w:tc>
          <w:tcPr>
            <w:tcW w:w="1617" w:type="dxa"/>
            <w:noWrap w:val="0"/>
            <w:tcMar>
              <w:left w:w="28" w:type="dxa"/>
              <w:right w:w="28" w:type="dxa"/>
            </w:tcMar>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本项目建成后</w:t>
            </w:r>
          </w:p>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全厂排放量（固体废物产生量）</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⑥</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end"/>
            </w:r>
          </w:p>
        </w:tc>
        <w:tc>
          <w:tcPr>
            <w:tcW w:w="1168" w:type="dxa"/>
            <w:noWrap w:val="0"/>
            <w:tcMar>
              <w:left w:w="28" w:type="dxa"/>
              <w:right w:w="28" w:type="dxa"/>
            </w:tcMar>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变化量</w:t>
            </w:r>
          </w:p>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7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⑦</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废气</w:t>
            </w:r>
          </w:p>
        </w:tc>
        <w:tc>
          <w:tcPr>
            <w:tcW w:w="1618"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颗粒物</w:t>
            </w:r>
          </w:p>
        </w:tc>
        <w:tc>
          <w:tcPr>
            <w:tcW w:w="1500"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276"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70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559" w:type="dxa"/>
            <w:noWrap w:val="0"/>
            <w:vAlign w:val="center"/>
          </w:tcPr>
          <w:p>
            <w:pPr>
              <w:keepNext w:val="0"/>
              <w:keepLines w:val="0"/>
              <w:pageBreakBefore w:val="0"/>
              <w:widowControl w:val="0"/>
              <w:kinsoku/>
              <w:wordWrap/>
              <w:overflowPunct/>
              <w:topLinePunct w:val="0"/>
              <w:autoSpaceDE/>
              <w:autoSpaceDN/>
              <w:bidi w:val="0"/>
              <w:spacing w:line="24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0.78</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/a</w:t>
            </w:r>
          </w:p>
        </w:tc>
        <w:tc>
          <w:tcPr>
            <w:tcW w:w="176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617" w:type="dxa"/>
            <w:noWrap w:val="0"/>
            <w:vAlign w:val="center"/>
          </w:tcPr>
          <w:p>
            <w:pPr>
              <w:keepNext w:val="0"/>
              <w:keepLines w:val="0"/>
              <w:pageBreakBefore w:val="0"/>
              <w:widowControl w:val="0"/>
              <w:kinsoku/>
              <w:wordWrap/>
              <w:overflowPunct/>
              <w:topLinePunct w:val="0"/>
              <w:autoSpaceDE/>
              <w:autoSpaceDN/>
              <w:bidi w:val="0"/>
              <w:spacing w:line="24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0.78</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/a</w:t>
            </w:r>
          </w:p>
        </w:tc>
        <w:tc>
          <w:tcPr>
            <w:tcW w:w="1168" w:type="dxa"/>
            <w:noWrap w:val="0"/>
            <w:vAlign w:val="center"/>
          </w:tcPr>
          <w:p>
            <w:pPr>
              <w:keepNext w:val="0"/>
              <w:keepLines w:val="0"/>
              <w:pageBreakBefore w:val="0"/>
              <w:widowControl w:val="0"/>
              <w:kinsoku/>
              <w:wordWrap/>
              <w:overflowPunct/>
              <w:topLinePunct w:val="0"/>
              <w:autoSpaceDE/>
              <w:autoSpaceDN/>
              <w:bidi w:val="0"/>
              <w:spacing w:line="24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+0.78</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宋体" w:cs="Times New Roman"/>
                <w:snapToGrid w:val="0"/>
                <w:color w:val="000000" w:themeColor="text1"/>
                <w:kern w:val="21"/>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eastAsia="zh-CN"/>
                <w14:textFill>
                  <w14:solidFill>
                    <w14:schemeClr w14:val="tx1"/>
                  </w14:solidFill>
                </w14:textFill>
              </w:rPr>
              <w:t>废水</w:t>
            </w:r>
          </w:p>
        </w:tc>
        <w:tc>
          <w:tcPr>
            <w:tcW w:w="1618" w:type="dxa"/>
            <w:noWrap w:val="0"/>
            <w:vAlign w:val="center"/>
          </w:tcPr>
          <w:p>
            <w:pPr>
              <w:keepNext w:val="0"/>
              <w:keepLines w:val="0"/>
              <w:pageBreakBefore w:val="0"/>
              <w:widowControl w:val="0"/>
              <w:kinsoku/>
              <w:wordWrap/>
              <w:overflowPunct/>
              <w:topLinePunct w:val="0"/>
              <w:autoSpaceDE/>
              <w:autoSpaceDN/>
              <w:bidi w:val="0"/>
              <w:spacing w:line="240" w:lineRule="exact"/>
              <w:contextualSpacing/>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动植物油</w:t>
            </w:r>
          </w:p>
        </w:tc>
        <w:tc>
          <w:tcPr>
            <w:tcW w:w="1500"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276"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70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559"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76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617"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168"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lang w:eastAsia="zh-CN"/>
                <w14:textFill>
                  <w14:solidFill>
                    <w14:schemeClr w14:val="tx1"/>
                  </w14:solidFill>
                </w14:textFill>
              </w:rPr>
            </w:pPr>
          </w:p>
        </w:tc>
        <w:tc>
          <w:tcPr>
            <w:tcW w:w="1618" w:type="dxa"/>
            <w:noWrap w:val="0"/>
            <w:vAlign w:val="center"/>
          </w:tcPr>
          <w:p>
            <w:pPr>
              <w:keepNext w:val="0"/>
              <w:keepLines w:val="0"/>
              <w:pageBreakBefore w:val="0"/>
              <w:widowControl w:val="0"/>
              <w:kinsoku/>
              <w:wordWrap/>
              <w:overflowPunct/>
              <w:topLinePunct w:val="0"/>
              <w:autoSpaceDE/>
              <w:autoSpaceDN/>
              <w:bidi w:val="0"/>
              <w:spacing w:line="240" w:lineRule="exact"/>
              <w:contextualSpacing/>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COD</w:t>
            </w:r>
          </w:p>
        </w:tc>
        <w:tc>
          <w:tcPr>
            <w:tcW w:w="1500"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276"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70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559"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76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617"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168"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lang w:eastAsia="zh-CN"/>
                <w14:textFill>
                  <w14:solidFill>
                    <w14:schemeClr w14:val="tx1"/>
                  </w14:solidFill>
                </w14:textFill>
              </w:rPr>
            </w:pPr>
          </w:p>
        </w:tc>
        <w:tc>
          <w:tcPr>
            <w:tcW w:w="1618" w:type="dxa"/>
            <w:noWrap w:val="0"/>
            <w:vAlign w:val="center"/>
          </w:tcPr>
          <w:p>
            <w:pPr>
              <w:keepNext w:val="0"/>
              <w:keepLines w:val="0"/>
              <w:pageBreakBefore w:val="0"/>
              <w:widowControl w:val="0"/>
              <w:kinsoku/>
              <w:wordWrap/>
              <w:overflowPunct/>
              <w:topLinePunct w:val="0"/>
              <w:autoSpaceDE/>
              <w:autoSpaceDN/>
              <w:bidi w:val="0"/>
              <w:spacing w:line="240" w:lineRule="exact"/>
              <w:contextualSpacing/>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氨氮</w:t>
            </w:r>
          </w:p>
        </w:tc>
        <w:tc>
          <w:tcPr>
            <w:tcW w:w="1500"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276"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70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559"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76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617"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168"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lang w:eastAsia="zh-CN"/>
                <w14:textFill>
                  <w14:solidFill>
                    <w14:schemeClr w14:val="tx1"/>
                  </w14:solidFill>
                </w14:textFill>
              </w:rPr>
            </w:pPr>
          </w:p>
        </w:tc>
        <w:tc>
          <w:tcPr>
            <w:tcW w:w="1618" w:type="dxa"/>
            <w:noWrap w:val="0"/>
            <w:vAlign w:val="center"/>
          </w:tcPr>
          <w:p>
            <w:pPr>
              <w:keepNext w:val="0"/>
              <w:keepLines w:val="0"/>
              <w:pageBreakBefore w:val="0"/>
              <w:widowControl w:val="0"/>
              <w:kinsoku/>
              <w:wordWrap/>
              <w:overflowPunct/>
              <w:topLinePunct w:val="0"/>
              <w:autoSpaceDE/>
              <w:autoSpaceDN/>
              <w:bidi w:val="0"/>
              <w:spacing w:line="240" w:lineRule="exact"/>
              <w:contextualSpacing/>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BOD</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5</w:t>
            </w:r>
          </w:p>
        </w:tc>
        <w:tc>
          <w:tcPr>
            <w:tcW w:w="1500"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276"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70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559"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76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617"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168"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宋体" w:cs="Times New Roman"/>
                <w:snapToGrid w:val="0"/>
                <w:color w:val="000000" w:themeColor="text1"/>
                <w:kern w:val="21"/>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eastAsia="zh-CN"/>
                <w14:textFill>
                  <w14:solidFill>
                    <w14:schemeClr w14:val="tx1"/>
                  </w14:solidFill>
                </w14:textFill>
              </w:rPr>
              <w:t>生活垃圾</w:t>
            </w:r>
          </w:p>
        </w:tc>
        <w:tc>
          <w:tcPr>
            <w:tcW w:w="1618"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eastAsia="zh-CN"/>
                <w14:textFill>
                  <w14:solidFill>
                    <w14:schemeClr w14:val="tx1"/>
                  </w14:solidFill>
                </w14:textFill>
              </w:rPr>
              <w:t>生活垃圾</w:t>
            </w:r>
          </w:p>
        </w:tc>
        <w:tc>
          <w:tcPr>
            <w:tcW w:w="1500"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276"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70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559" w:type="dxa"/>
            <w:noWrap w:val="0"/>
            <w:vAlign w:val="center"/>
          </w:tcPr>
          <w:p>
            <w:pPr>
              <w:keepNext w:val="0"/>
              <w:keepLines w:val="0"/>
              <w:pageBreakBefore w:val="0"/>
              <w:widowControl w:val="0"/>
              <w:kinsoku/>
              <w:wordWrap/>
              <w:overflowPunct/>
              <w:topLinePunct w:val="0"/>
              <w:autoSpaceDE/>
              <w:autoSpaceDN/>
              <w:bidi w:val="0"/>
              <w:spacing w:line="240" w:lineRule="exact"/>
              <w:jc w:val="cente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1.2t/a</w:t>
            </w:r>
          </w:p>
        </w:tc>
        <w:tc>
          <w:tcPr>
            <w:tcW w:w="176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617" w:type="dxa"/>
            <w:noWrap w:val="0"/>
            <w:vAlign w:val="center"/>
          </w:tcPr>
          <w:p>
            <w:pPr>
              <w:keepNext w:val="0"/>
              <w:keepLines w:val="0"/>
              <w:pageBreakBefore w:val="0"/>
              <w:widowControl w:val="0"/>
              <w:kinsoku/>
              <w:wordWrap/>
              <w:overflowPunct/>
              <w:topLinePunct w:val="0"/>
              <w:autoSpaceDE/>
              <w:autoSpaceDN/>
              <w:bidi w:val="0"/>
              <w:spacing w:line="240" w:lineRule="exact"/>
              <w:jc w:val="center"/>
              <w:rPr>
                <w:rFonts w:hint="default"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1.2t/a</w:t>
            </w:r>
          </w:p>
        </w:tc>
        <w:tc>
          <w:tcPr>
            <w:tcW w:w="1168" w:type="dxa"/>
            <w:noWrap w:val="0"/>
            <w:vAlign w:val="center"/>
          </w:tcPr>
          <w:p>
            <w:pPr>
              <w:keepNext w:val="0"/>
              <w:keepLines w:val="0"/>
              <w:pageBreakBefore w:val="0"/>
              <w:widowControl w:val="0"/>
              <w:kinsoku/>
              <w:wordWrap/>
              <w:overflowPunct/>
              <w:topLinePunct w:val="0"/>
              <w:autoSpaceDE/>
              <w:autoSpaceDN/>
              <w:bidi w:val="0"/>
              <w:spacing w:line="240" w:lineRule="exact"/>
              <w:jc w:val="center"/>
              <w:rPr>
                <w:rFonts w:hint="default"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一般工业</w:t>
            </w:r>
          </w:p>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固体废物</w:t>
            </w:r>
          </w:p>
        </w:tc>
        <w:tc>
          <w:tcPr>
            <w:tcW w:w="1618"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highlight w:val="none"/>
                <w:lang w:val="en-US" w:eastAsia="zh-CN" w:bidi="ar-SA"/>
                <w14:textFill>
                  <w14:solidFill>
                    <w14:schemeClr w14:val="tx1"/>
                  </w14:solidFill>
                </w14:textFill>
              </w:rPr>
              <w:t>布袋除尘器收尘</w:t>
            </w:r>
          </w:p>
        </w:tc>
        <w:tc>
          <w:tcPr>
            <w:tcW w:w="1500"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276"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70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559"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508.76</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t/a</w:t>
            </w:r>
          </w:p>
        </w:tc>
        <w:tc>
          <w:tcPr>
            <w:tcW w:w="176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617"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508.76</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t/a</w:t>
            </w:r>
          </w:p>
        </w:tc>
        <w:tc>
          <w:tcPr>
            <w:tcW w:w="1168"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+508.76</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1618"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highlight w:val="none"/>
                <w:lang w:val="en-US" w:eastAsia="zh-CN" w:bidi="ar-SA"/>
                <w14:textFill>
                  <w14:solidFill>
                    <w14:schemeClr w14:val="tx1"/>
                  </w14:solidFill>
                </w14:textFill>
              </w:rPr>
              <w:t>车间沉降粉尘</w:t>
            </w:r>
          </w:p>
        </w:tc>
        <w:tc>
          <w:tcPr>
            <w:tcW w:w="1500"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276"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70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559"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81</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t/a</w:t>
            </w:r>
          </w:p>
        </w:tc>
        <w:tc>
          <w:tcPr>
            <w:tcW w:w="176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617"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45.36</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t/a</w:t>
            </w:r>
          </w:p>
        </w:tc>
        <w:tc>
          <w:tcPr>
            <w:tcW w:w="1168"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+45.36</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1618"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highlight w:val="none"/>
                <w:lang w:val="en-US" w:eastAsia="zh-CN" w:bidi="ar-SA"/>
                <w14:textFill>
                  <w14:solidFill>
                    <w14:schemeClr w14:val="tx1"/>
                  </w14:solidFill>
                </w14:textFill>
              </w:rPr>
              <w:t>废布袋</w:t>
            </w:r>
          </w:p>
        </w:tc>
        <w:tc>
          <w:tcPr>
            <w:tcW w:w="1500"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276"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70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559"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c>
          <w:tcPr>
            <w:tcW w:w="176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617"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c>
          <w:tcPr>
            <w:tcW w:w="1168"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1618"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筛分出来的</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不合格的产品</w:t>
            </w:r>
          </w:p>
        </w:tc>
        <w:tc>
          <w:tcPr>
            <w:tcW w:w="1500"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276"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70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559"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1445.88</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t/a</w:t>
            </w:r>
          </w:p>
        </w:tc>
        <w:tc>
          <w:tcPr>
            <w:tcW w:w="176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617"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1445.88</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t/a</w:t>
            </w:r>
          </w:p>
        </w:tc>
        <w:tc>
          <w:tcPr>
            <w:tcW w:w="1168"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+1445.88</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危险废物</w:t>
            </w:r>
          </w:p>
        </w:tc>
        <w:tc>
          <w:tcPr>
            <w:tcW w:w="1618"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highlight w:val="none"/>
                <w:lang w:val="en-US" w:eastAsia="zh-CN" w:bidi="ar-SA"/>
                <w14:textFill>
                  <w14:solidFill>
                    <w14:schemeClr w14:val="tx1"/>
                  </w14:solidFill>
                </w14:textFill>
              </w:rPr>
              <w:t>废机油与润滑油</w:t>
            </w:r>
          </w:p>
        </w:tc>
        <w:tc>
          <w:tcPr>
            <w:tcW w:w="1500"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276"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70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559"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0.1t/a</w:t>
            </w:r>
          </w:p>
        </w:tc>
        <w:tc>
          <w:tcPr>
            <w:tcW w:w="1761" w:type="dxa"/>
            <w:noWrap w:val="0"/>
            <w:vAlign w:val="center"/>
          </w:tcPr>
          <w:p>
            <w:pPr>
              <w:pStyle w:val="43"/>
              <w:keepNext w:val="0"/>
              <w:keepLines w:val="0"/>
              <w:pageBreakBefore w:val="0"/>
              <w:widowControl w:val="0"/>
              <w:kinsoku/>
              <w:wordWrap/>
              <w:overflowPunct/>
              <w:topLinePunct w:val="0"/>
              <w:autoSpaceDE/>
              <w:autoSpaceDN/>
              <w:bidi w:val="0"/>
              <w:spacing w:beforeLines="0" w:afterLines="0" w:line="240" w:lineRule="exact"/>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w:t>
            </w:r>
          </w:p>
        </w:tc>
        <w:tc>
          <w:tcPr>
            <w:tcW w:w="1617"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0.1t/a</w:t>
            </w:r>
          </w:p>
        </w:tc>
        <w:tc>
          <w:tcPr>
            <w:tcW w:w="1168" w:type="dxa"/>
            <w:noWrap w:val="0"/>
            <w:vAlign w:val="center"/>
          </w:tcPr>
          <w:p>
            <w:pPr>
              <w:pStyle w:val="75"/>
              <w:keepNext w:val="0"/>
              <w:keepLines w:val="0"/>
              <w:pageBreakBefore w:val="0"/>
              <w:widowControl w:val="0"/>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0.1t/a</w:t>
            </w:r>
          </w:p>
        </w:tc>
      </w:tr>
    </w:tbl>
    <w:p>
      <w:pPr>
        <w:pStyle w:val="43"/>
        <w:spacing w:beforeLines="80" w:after="24"/>
        <w:jc w:val="left"/>
        <w:rPr>
          <w:rFonts w:hAnsi="宋体"/>
          <w:snapToGrid w:val="0"/>
          <w:color w:val="000000" w:themeColor="text1"/>
          <w:spacing w:val="-6"/>
          <w:kern w:val="21"/>
          <w:szCs w:val="21"/>
          <w:highlight w:val="none"/>
          <w14:textFill>
            <w14:solidFill>
              <w14:schemeClr w14:val="tx1"/>
            </w14:solidFill>
          </w14:textFill>
        </w:rPr>
      </w:pPr>
      <w:r>
        <w:rPr>
          <w:rFonts w:hAnsi="宋体"/>
          <w:snapToGrid w:val="0"/>
          <w:color w:val="000000" w:themeColor="text1"/>
          <w:kern w:val="21"/>
          <w:szCs w:val="21"/>
          <w:highlight w:val="none"/>
          <w14:textFill>
            <w14:solidFill>
              <w14:schemeClr w14:val="tx1"/>
            </w14:solidFill>
          </w14:textFill>
        </w:rPr>
        <w:t>注：</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3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③</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4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④</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5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⑤</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7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⑦</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p>
    <w:p>
      <w:pPr>
        <w:pStyle w:val="43"/>
        <w:spacing w:beforeLines="80" w:after="24"/>
        <w:jc w:val="left"/>
        <w:rPr>
          <w:rFonts w:hAnsi="宋体"/>
          <w:snapToGrid w:val="0"/>
          <w:color w:val="000000" w:themeColor="text1"/>
          <w:spacing w:val="-6"/>
          <w:kern w:val="21"/>
          <w:szCs w:val="21"/>
          <w:highlight w:val="red"/>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pPr>
        <w:pStyle w:val="26"/>
        <w:adjustRightInd w:val="0"/>
        <w:snapToGrid w:val="0"/>
        <w:spacing w:before="0" w:beforeAutospacing="0" w:after="0" w:afterAutospacing="0" w:line="360" w:lineRule="auto"/>
        <w:jc w:val="left"/>
        <w:outlineLvl w:val="0"/>
        <w:rPr>
          <w:rFonts w:hint="eastAsia"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pPr>
      <w:bookmarkStart w:id="51" w:name="_Toc22981"/>
      <w:r>
        <w:rPr>
          <w:rFonts w:hint="eastAsia"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附图1：本项目地理位置图</w:t>
      </w:r>
      <w:bookmarkEnd w:id="51"/>
    </w:p>
    <w:p>
      <w:pPr>
        <w:jc w:val="center"/>
        <w:rPr>
          <w:rFonts w:hint="eastAsia"/>
          <w:color w:val="000000" w:themeColor="text1"/>
          <w:lang w:eastAsia="zh-CN"/>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8101965</wp:posOffset>
                </wp:positionH>
                <wp:positionV relativeFrom="paragraph">
                  <wp:posOffset>4401820</wp:posOffset>
                </wp:positionV>
                <wp:extent cx="144145" cy="144145"/>
                <wp:effectExtent l="13970" t="15875" r="32385" b="30480"/>
                <wp:wrapNone/>
                <wp:docPr id="14" name="五角星 14"/>
                <wp:cNvGraphicFramePr/>
                <a:graphic xmlns:a="http://schemas.openxmlformats.org/drawingml/2006/main">
                  <a:graphicData uri="http://schemas.microsoft.com/office/word/2010/wordprocessingShape">
                    <wps:wsp>
                      <wps:cNvSpPr/>
                      <wps:spPr>
                        <a:xfrm>
                          <a:off x="0" y="0"/>
                          <a:ext cx="144145" cy="144145"/>
                        </a:xfrm>
                        <a:prstGeom prst="star5">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style="position:absolute;left:0pt;margin-left:637.95pt;margin-top:346.6pt;height:11.35pt;width:11.35pt;z-index:251663360;mso-width-relative:page;mso-height-relative:page;" fillcolor="#FF0000" filled="t" stroked="t" coordsize="144145,144145" o:gfxdata="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aRIM9sAAAANAQAADwAAAAAAAAABACAAAAAiAAAAZHJz&#10;L2Rvd25yZXYueG1sUEsBAhQAFAAAAAgAh07iQHCW3F4BAgAALgQAAA4AAAAAAAAAAQAgAAAAKgEA&#10;AGRycy9lMm9Eb2MueG1sUEsFBgAAAAAGAAYAWQEAAJ0FAAAAAA==&#10;" path="m0,55058l55058,55058,72072,0,89086,55058,144144,55058,99601,89086,116615,144144,72072,110116,27529,144144,44543,89086xe">
                <v:path textboxrect="0,0,144145,144145" o:connectlocs="72072,0;0,55058;27529,144144;116615,144144;144144,55058" o:connectangles="247,164,82,82,0"/>
                <v:fill on="t" focussize="0,0"/>
                <v:stroke color="#FF0000" joinstyle="miter"/>
                <v:imagedata o:title=""/>
                <o:lock v:ext="edit" aspectratio="f"/>
                <v:textbox>
                  <w:txbxContent>
                    <w:p/>
                  </w:txbxContent>
                </v:textbox>
              </v:shape>
            </w:pict>
          </mc:Fallback>
        </mc:AlternateContent>
      </w: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7944485</wp:posOffset>
                </wp:positionH>
                <wp:positionV relativeFrom="paragraph">
                  <wp:posOffset>4137660</wp:posOffset>
                </wp:positionV>
                <wp:extent cx="1039495" cy="548005"/>
                <wp:effectExtent l="5080" t="4445" r="22225" b="19050"/>
                <wp:wrapNone/>
                <wp:docPr id="13" name="矩形 13"/>
                <wp:cNvGraphicFramePr/>
                <a:graphic xmlns:a="http://schemas.openxmlformats.org/drawingml/2006/main">
                  <a:graphicData uri="http://schemas.microsoft.com/office/word/2010/wordprocessingShape">
                    <wps:wsp>
                      <wps:cNvSpPr/>
                      <wps:spPr>
                        <a:xfrm>
                          <a:off x="0" y="0"/>
                          <a:ext cx="1039495" cy="548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图 例</w:t>
                            </w:r>
                          </w:p>
                          <w:p>
                            <w:pPr>
                              <w:pStyle w:val="14"/>
                              <w:jc w:val="right"/>
                              <w:rPr>
                                <w:rFonts w:hint="default"/>
                                <w:lang w:val="en-US" w:eastAsia="zh-CN"/>
                              </w:rPr>
                            </w:pPr>
                            <w:r>
                              <w:rPr>
                                <w:rFonts w:hint="eastAsia"/>
                                <w:lang w:val="en-US" w:eastAsia="zh-CN"/>
                              </w:rPr>
                              <w:t>项目选址</w:t>
                            </w:r>
                          </w:p>
                        </w:txbxContent>
                      </wps:txbx>
                      <wps:bodyPr upright="1"/>
                    </wps:wsp>
                  </a:graphicData>
                </a:graphic>
              </wp:anchor>
            </w:drawing>
          </mc:Choice>
          <mc:Fallback>
            <w:pict>
              <v:rect id="_x0000_s1026" o:spid="_x0000_s1026" o:spt="1" style="position:absolute;left:0pt;margin-left:625.55pt;margin-top:325.8pt;height:43.15pt;width:81.85pt;z-index:251662336;mso-width-relative:page;mso-height-relative:page;" fillcolor="#FFFFFF" filled="t" stroked="t" coordsize="21600,21600" o:gfxdata="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xjf2gAAAA0BAAAPAAAAAAAAAAEAIAAAACIAAABkcnMv&#10;ZG93bnJldi54bWxQSwECFAAUAAAACACHTuJAolK69wECAAArBAAADgAAAAAAAAABACAAAAApAQAA&#10;ZHJzL2Uyb0RvYy54bWxQSwUGAAAAAAYABgBZAQAAnAU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图 例</w:t>
                      </w:r>
                    </w:p>
                    <w:p>
                      <w:pPr>
                        <w:pStyle w:val="14"/>
                        <w:jc w:val="right"/>
                        <w:rPr>
                          <w:rFonts w:hint="default"/>
                          <w:lang w:val="en-US" w:eastAsia="zh-CN"/>
                        </w:rPr>
                      </w:pPr>
                      <w:r>
                        <w:rPr>
                          <w:rFonts w:hint="eastAsia"/>
                          <w:lang w:val="en-US" w:eastAsia="zh-CN"/>
                        </w:rPr>
                        <w:t>项目选址</w:t>
                      </w:r>
                    </w:p>
                  </w:txbxContent>
                </v:textbox>
              </v:rect>
            </w:pict>
          </mc:Fallback>
        </mc:AlternateContent>
      </w:r>
      <w:r>
        <w:rPr>
          <w:color w:val="auto"/>
          <w:sz w:val="21"/>
        </w:rPr>
        <w:drawing>
          <wp:anchor distT="0" distB="0" distL="114300" distR="114300" simplePos="0" relativeHeight="251661312" behindDoc="0" locked="0" layoutInCell="1" allowOverlap="1">
            <wp:simplePos x="0" y="0"/>
            <wp:positionH relativeFrom="column">
              <wp:posOffset>7793990</wp:posOffset>
            </wp:positionH>
            <wp:positionV relativeFrom="paragraph">
              <wp:posOffset>16510</wp:posOffset>
            </wp:positionV>
            <wp:extent cx="1177925" cy="1072515"/>
            <wp:effectExtent l="9525" t="9525" r="12700" b="22860"/>
            <wp:wrapNone/>
            <wp:docPr id="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5"/>
                    <pic:cNvPicPr>
                      <a:picLocks noChangeAspect="1"/>
                    </pic:cNvPicPr>
                  </pic:nvPicPr>
                  <pic:blipFill>
                    <a:blip r:embed="rId93"/>
                    <a:srcRect l="5949"/>
                    <a:stretch>
                      <a:fillRect/>
                    </a:stretch>
                  </pic:blipFill>
                  <pic:spPr>
                    <a:xfrm>
                      <a:off x="0" y="0"/>
                      <a:ext cx="1177925" cy="1072515"/>
                    </a:xfrm>
                    <a:prstGeom prst="rect">
                      <a:avLst/>
                    </a:prstGeom>
                    <a:noFill/>
                    <a:ln w="9525" cap="flat" cmpd="sng">
                      <a:solidFill>
                        <a:srgbClr val="000000"/>
                      </a:solidFill>
                      <a:prstDash val="solid"/>
                      <a:round/>
                      <a:headEnd type="none" w="med" len="med"/>
                      <a:tailEnd type="none" w="med" len="med"/>
                    </a:ln>
                  </pic:spPr>
                </pic:pic>
              </a:graphicData>
            </a:graphic>
          </wp:anchor>
        </w:drawing>
      </w: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4187190</wp:posOffset>
                </wp:positionH>
                <wp:positionV relativeFrom="paragraph">
                  <wp:posOffset>2249170</wp:posOffset>
                </wp:positionV>
                <wp:extent cx="144145" cy="144145"/>
                <wp:effectExtent l="13970" t="15875" r="32385" b="30480"/>
                <wp:wrapNone/>
                <wp:docPr id="7" name="五角星 7"/>
                <wp:cNvGraphicFramePr/>
                <a:graphic xmlns:a="http://schemas.openxmlformats.org/drawingml/2006/main">
                  <a:graphicData uri="http://schemas.microsoft.com/office/word/2010/wordprocessingShape">
                    <wps:wsp>
                      <wps:cNvSpPr/>
                      <wps:spPr>
                        <a:xfrm>
                          <a:off x="0" y="0"/>
                          <a:ext cx="144145" cy="144145"/>
                        </a:xfrm>
                        <a:prstGeom prst="star5">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style="position:absolute;left:0pt;margin-left:329.7pt;margin-top:177.1pt;height:11.35pt;width:11.35pt;z-index:251660288;mso-width-relative:page;mso-height-relative:page;" fillcolor="#FF0000" filled="t" stroked="t" coordsize="144145,144145" o:gfxdata="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4VU4G2wAAAAsBAAAPAAAAAAAAAAEAIAAAACIAAABkcnMv&#10;ZG93bnJldi54bWxQSwECFAAUAAAACACHTuJAHFXXoAACAAAsBAAADgAAAAAAAAABACAAAAAqAQAA&#10;ZHJzL2Uyb0RvYy54bWxQSwUGAAAAAAYABgBZAQAAnAUAAAAA&#10;" path="m0,55058l55058,55058,72072,0,89086,55058,144144,55058,99601,89086,116615,144144,72072,110116,27529,144144,44543,89086xe">
                <v:path textboxrect="0,0,144145,144145" o:connectlocs="72072,0;0,55058;27529,144144;116615,144144;144144,55058" o:connectangles="247,164,82,82,0"/>
                <v:fill on="t" focussize="0,0"/>
                <v:stroke color="#FF0000" joinstyle="miter"/>
                <v:imagedata o:title=""/>
                <o:lock v:ext="edit" aspectratio="f"/>
                <v:textbox>
                  <w:txbxContent>
                    <w:p/>
                  </w:txbxContent>
                </v:textbox>
              </v:shape>
            </w:pict>
          </mc:Fallback>
        </mc:AlternateContent>
      </w:r>
      <w:r>
        <w:rPr>
          <w:color w:val="auto"/>
          <w:sz w:val="21"/>
          <w:highlight w:val="none"/>
        </w:rPr>
        <mc:AlternateContent>
          <mc:Choice Requires="wps">
            <w:drawing>
              <wp:anchor distT="0" distB="0" distL="114300" distR="114300" simplePos="0" relativeHeight="251659264" behindDoc="0" locked="0" layoutInCell="1" allowOverlap="1">
                <wp:simplePos x="0" y="0"/>
                <wp:positionH relativeFrom="column">
                  <wp:posOffset>3263265</wp:posOffset>
                </wp:positionH>
                <wp:positionV relativeFrom="paragraph">
                  <wp:posOffset>1958340</wp:posOffset>
                </wp:positionV>
                <wp:extent cx="864235" cy="300355"/>
                <wp:effectExtent l="4445" t="4445" r="160020" b="76200"/>
                <wp:wrapNone/>
                <wp:docPr id="6" name="圆角矩形标注 6"/>
                <wp:cNvGraphicFramePr/>
                <a:graphic xmlns:a="http://schemas.openxmlformats.org/drawingml/2006/main">
                  <a:graphicData uri="http://schemas.microsoft.com/office/word/2010/wordprocessingShape">
                    <wps:wsp>
                      <wps:cNvSpPr/>
                      <wps:spPr>
                        <a:xfrm>
                          <a:off x="0" y="0"/>
                          <a:ext cx="864235" cy="300355"/>
                        </a:xfrm>
                        <a:prstGeom prst="wedgeRoundRectCallout">
                          <a:avLst>
                            <a:gd name="adj1" fmla="val 64032"/>
                            <a:gd name="adj2" fmla="val 70296"/>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项目位置</w:t>
                            </w:r>
                          </w:p>
                        </w:txbxContent>
                      </wps:txbx>
                      <wps:bodyPr upright="1"/>
                    </wps:wsp>
                  </a:graphicData>
                </a:graphic>
              </wp:anchor>
            </w:drawing>
          </mc:Choice>
          <mc:Fallback>
            <w:pict>
              <v:shape id="_x0000_s1026" o:spid="_x0000_s1026" o:spt="62" type="#_x0000_t62" style="position:absolute;left:0pt;margin-left:256.95pt;margin-top:154.2pt;height:23.65pt;width:68.05pt;z-index:251659264;mso-width-relative:page;mso-height-relative:page;" fillcolor="#FFFFFF" filled="t" stroked="t" coordsize="21600,21600" o:gfxdata="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Ppz+rZAAAACwEA&#10;AA8AAAAAAAAAAQAgAAAAIgAAAGRycy9kb3ducmV2LnhtbFBLAQIUABQAAAAIAIdO4kB7aU6dUgIA&#10;ALoEAAAOAAAAAAAAAAEAIAAAACgBAABkcnMvZTJvRG9jLnhtbFBLBQYAAAAABgAGAFkBAADsBQAA&#10;AAA=&#10;" adj="24631,25984,14400">
                <v:fill on="t" focussize="0,0"/>
                <v:stroke color="#000000" joinstyle="miter"/>
                <v:imagedata o:title=""/>
                <o:lock v:ext="edit" aspectratio="f"/>
                <v:textbox>
                  <w:txbxContent>
                    <w:p>
                      <w:pPr>
                        <w:rPr>
                          <w:rFonts w:hint="eastAsia" w:eastAsia="宋体"/>
                          <w:lang w:eastAsia="zh-CN"/>
                        </w:rPr>
                      </w:pPr>
                      <w:r>
                        <w:rPr>
                          <w:rFonts w:hint="eastAsia"/>
                          <w:lang w:eastAsia="zh-CN"/>
                        </w:rPr>
                        <w:t>项目位置</w:t>
                      </w:r>
                    </w:p>
                  </w:txbxContent>
                </v:textbox>
              </v:shape>
            </w:pict>
          </mc:Fallback>
        </mc:AlternateContent>
      </w:r>
      <w:r>
        <w:drawing>
          <wp:inline distT="0" distB="0" distL="114300" distR="114300">
            <wp:extent cx="8969375" cy="4667250"/>
            <wp:effectExtent l="0" t="0" r="3175"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94"/>
                    <a:stretch>
                      <a:fillRect/>
                    </a:stretch>
                  </pic:blipFill>
                  <pic:spPr>
                    <a:xfrm>
                      <a:off x="0" y="0"/>
                      <a:ext cx="8969375" cy="4667250"/>
                    </a:xfrm>
                    <a:prstGeom prst="rect">
                      <a:avLst/>
                    </a:prstGeom>
                    <a:noFill/>
                    <a:ln>
                      <a:noFill/>
                    </a:ln>
                  </pic:spPr>
                </pic:pic>
              </a:graphicData>
            </a:graphic>
          </wp:inline>
        </w:drawing>
      </w:r>
    </w:p>
    <w:p>
      <w:pPr>
        <w:pStyle w:val="26"/>
        <w:adjustRightInd w:val="0"/>
        <w:snapToGrid w:val="0"/>
        <w:spacing w:before="0" w:beforeAutospacing="0" w:after="0" w:afterAutospacing="0" w:line="360" w:lineRule="auto"/>
        <w:jc w:val="left"/>
        <w:outlineLvl w:val="0"/>
        <w:rPr>
          <w:rFonts w:hint="default" w:ascii="Times New Roman" w:hAnsi="Times New Roman" w:eastAsia="宋体" w:cs="Times New Roman"/>
          <w:b/>
          <w:bCs/>
          <w:color w:val="000000" w:themeColor="text1"/>
          <w:kern w:val="2"/>
          <w:sz w:val="30"/>
          <w:szCs w:val="30"/>
          <w:highlight w:val="yellow"/>
          <w:lang w:val="en-US" w:eastAsia="zh-CN" w:bidi="ar-SA"/>
          <w14:textFill>
            <w14:solidFill>
              <w14:schemeClr w14:val="tx1"/>
            </w14:solidFill>
          </w14:textFill>
        </w:rPr>
      </w:pPr>
      <w:bookmarkStart w:id="52" w:name="_Toc19969"/>
      <w:r>
        <w:rPr>
          <w:rFonts w:hint="eastAsia"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附图2</w:t>
      </w:r>
      <w:r>
        <w:rPr>
          <w:rFonts w:hint="eastAsia" w:ascii="Times New Roman" w:hAnsi="Times New Roman" w:eastAsia="宋体" w:cs="Times New Roman"/>
          <w:b/>
          <w:bCs/>
          <w:color w:val="000000" w:themeColor="text1"/>
          <w:kern w:val="2"/>
          <w:sz w:val="30"/>
          <w:szCs w:val="30"/>
          <w:highlight w:val="yellow"/>
          <w:lang w:val="en-US" w:eastAsia="zh-CN" w:bidi="ar-SA"/>
          <w14:textFill>
            <w14:solidFill>
              <w14:schemeClr w14:val="tx1"/>
            </w14:solidFill>
          </w14:textFill>
        </w:rPr>
        <w:t>：平面布置图</w:t>
      </w:r>
      <w:bookmarkEnd w:id="52"/>
    </w:p>
    <w:p>
      <w:pPr>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object>
          <v:shape id="_x0000_i1069" o:spt="75" type="#_x0000_t75" style="height:398.5pt;width:659.6pt;" o:ole="t" filled="f" o:preferrelative="t" stroked="f" coordsize="21600,21600">
            <v:path/>
            <v:fill on="f" focussize="0,0"/>
            <v:stroke on="f"/>
            <v:imagedata r:id="rId96" o:title=""/>
            <o:lock v:ext="edit" aspectratio="t"/>
            <w10:wrap type="none"/>
            <w10:anchorlock/>
          </v:shape>
          <o:OLEObject Type="Embed" ProgID="Visio.Drawing.15" ShapeID="_x0000_i1069" DrawAspect="Content" ObjectID="_1468075769" r:id="rId95">
            <o:LockedField>false</o:LockedField>
          </o:OLEObject>
        </w:object>
      </w:r>
    </w:p>
    <w:p>
      <w:pPr>
        <w:pStyle w:val="2"/>
        <w:rPr>
          <w:rFonts w:hint="eastAsia"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pPr>
        <w:pStyle w:val="3"/>
        <w:bidi w:val="0"/>
        <w:rPr>
          <w:rFonts w:hint="eastAsia"/>
          <w:lang w:val="en-US" w:eastAsia="zh-CN"/>
        </w:rPr>
      </w:pPr>
      <w:bookmarkStart w:id="53" w:name="_Toc8534"/>
      <w:r>
        <w:rPr>
          <w:rFonts w:hint="eastAsia"/>
          <w:lang w:val="en-US" w:eastAsia="zh-CN"/>
        </w:rPr>
        <w:t>附件3 生产车间平面布置图</w:t>
      </w:r>
      <w:bookmarkEnd w:id="53"/>
    </w:p>
    <w:p>
      <w:pPr>
        <w:rPr>
          <w:rFonts w:hint="default"/>
          <w:lang w:val="en-US" w:eastAsia="zh-CN"/>
        </w:rPr>
      </w:pPr>
      <w:r>
        <w:rPr>
          <w:rFonts w:hint="default"/>
          <w:highlight w:val="yellow"/>
          <w:lang w:val="en-US" w:eastAsia="zh-CN"/>
        </w:rPr>
        <w:object>
          <v:shape id="_x0000_i1070" o:spt="75" type="#_x0000_t75" style="height:568.8pt;width:478.2pt;" o:ole="t" filled="f" o:preferrelative="t" stroked="f" coordsize="21600,21600">
            <v:path/>
            <v:fill on="f" focussize="0,0"/>
            <v:stroke on="f"/>
            <v:imagedata r:id="rId98" o:title=""/>
            <o:lock v:ext="edit" aspectratio="t"/>
            <w10:wrap type="none"/>
            <w10:anchorlock/>
          </v:shape>
          <o:OLEObject Type="Embed" ProgID="Visio.Drawing.15" ShapeID="_x0000_i1070" DrawAspect="Content" ObjectID="_1468075770" r:id="rId97">
            <o:LockedField>false</o:LockedField>
          </o:OLEObject>
        </w:object>
      </w:r>
    </w:p>
    <w:p>
      <w:pPr>
        <w:bidi w:val="0"/>
        <w:rPr>
          <w:color w:val="000000" w:themeColor="text1"/>
          <w:sz w:val="21"/>
          <w14:textFill>
            <w14:solidFill>
              <w14:schemeClr w14:val="tx1"/>
            </w14:solidFill>
          </w14:textFill>
        </w:rPr>
      </w:pPr>
    </w:p>
    <w:p>
      <w:pPr>
        <w:bidi w:val="0"/>
        <w:rPr>
          <w:rFonts w:hint="eastAsia"/>
          <w:color w:val="000000" w:themeColor="text1"/>
          <w:highlight w:val="red"/>
          <w:lang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6"/>
        <w:adjustRightInd w:val="0"/>
        <w:snapToGrid w:val="0"/>
        <w:spacing w:before="0" w:beforeAutospacing="0" w:after="0" w:afterAutospacing="0" w:line="360" w:lineRule="auto"/>
        <w:jc w:val="left"/>
        <w:outlineLvl w:val="0"/>
        <w:rPr>
          <w:rFonts w:hint="default" w:ascii="Times New Roman" w:hAnsi="Times New Roman" w:cs="Times New Roman"/>
          <w:b/>
          <w:bCs/>
          <w:color w:val="000000" w:themeColor="text1"/>
          <w:kern w:val="2"/>
          <w:sz w:val="30"/>
          <w:szCs w:val="30"/>
          <w:highlight w:val="none"/>
          <w:lang w:val="en-US" w:eastAsia="zh-CN" w:bidi="ar-SA"/>
          <w14:textFill>
            <w14:solidFill>
              <w14:schemeClr w14:val="tx1"/>
            </w14:solidFill>
          </w14:textFill>
        </w:rPr>
      </w:pPr>
      <w:bookmarkStart w:id="54" w:name="_Toc20225"/>
      <w:bookmarkStart w:id="55" w:name="_Toc2152"/>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附图</w:t>
      </w:r>
      <w:r>
        <w:rPr>
          <w:rFonts w:hint="eastAsia" w:ascii="Times New Roman" w:hAnsi="Times New Roman" w:cs="Times New Roman"/>
          <w:b/>
          <w:bCs/>
          <w:color w:val="000000" w:themeColor="text1"/>
          <w:kern w:val="2"/>
          <w:sz w:val="30"/>
          <w:szCs w:val="30"/>
          <w:highlight w:val="none"/>
          <w:lang w:val="en-US" w:eastAsia="zh-CN" w:bidi="ar-SA"/>
          <w14:textFill>
            <w14:solidFill>
              <w14:schemeClr w14:val="tx1"/>
            </w14:solidFill>
          </w14:textFill>
        </w:rPr>
        <w:t>4</w:t>
      </w:r>
      <w:r>
        <w:rPr>
          <w:rFonts w:hint="eastAsia"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w:t>
      </w:r>
      <w:r>
        <w:rPr>
          <w:rFonts w:hint="eastAsia" w:ascii="Times New Roman" w:hAnsi="Times New Roman" w:cs="Times New Roman"/>
          <w:b/>
          <w:bCs/>
          <w:color w:val="000000" w:themeColor="text1"/>
          <w:kern w:val="2"/>
          <w:sz w:val="30"/>
          <w:szCs w:val="30"/>
          <w:highlight w:val="none"/>
          <w:lang w:val="en-US" w:eastAsia="zh-CN" w:bidi="ar-SA"/>
          <w14:textFill>
            <w14:solidFill>
              <w14:schemeClr w14:val="tx1"/>
            </w14:solidFill>
          </w14:textFill>
        </w:rPr>
        <w:t>环境保护目标图</w:t>
      </w:r>
      <w:bookmarkEnd w:id="54"/>
      <w:bookmarkEnd w:id="55"/>
    </w:p>
    <w:p>
      <w:pPr>
        <w:rPr>
          <w:rFonts w:hint="eastAsia" w:eastAsia="宋体"/>
          <w:b/>
          <w:bCs/>
          <w:color w:val="000000" w:themeColor="text1"/>
          <w:sz w:val="30"/>
          <w:szCs w:val="30"/>
          <w:highlight w:val="red"/>
          <w:lang w:eastAsia="zh-CN"/>
          <w14:textFill>
            <w14:solidFill>
              <w14:schemeClr w14:val="tx1"/>
            </w14:solidFill>
          </w14:textFill>
        </w:rPr>
      </w:pPr>
      <w:r>
        <w:rPr>
          <w:rFonts w:hint="eastAsia" w:eastAsia="宋体"/>
          <w:b/>
          <w:bCs/>
          <w:color w:val="000000" w:themeColor="text1"/>
          <w:sz w:val="30"/>
          <w:szCs w:val="30"/>
          <w:highlight w:val="none"/>
          <w:lang w:eastAsia="zh-CN"/>
          <w14:textFill>
            <w14:solidFill>
              <w14:schemeClr w14:val="tx1"/>
            </w14:solidFill>
          </w14:textFill>
        </w:rPr>
        <w:object>
          <v:shape id="_x0000_i1071" o:spt="75" type="#_x0000_t75" style="height:367.45pt;width:717.55pt;" o:ole="t" filled="f" o:preferrelative="t" stroked="f" coordsize="21600,21600">
            <v:path/>
            <v:fill on="f" focussize="0,0"/>
            <v:stroke on="f"/>
            <v:imagedata r:id="rId100" o:title=""/>
            <o:lock v:ext="edit" aspectratio="t"/>
            <w10:wrap type="none"/>
            <w10:anchorlock/>
          </v:shape>
          <o:OLEObject Type="Embed" ProgID="Visio.Drawing.15" ShapeID="_x0000_i1071" DrawAspect="Content" ObjectID="_1468075771" r:id="rId99">
            <o:LockedField>false</o:LockedField>
          </o:OLEObject>
        </w:object>
      </w:r>
    </w:p>
    <w:p>
      <w:pPr>
        <w:rPr>
          <w:rFonts w:hint="eastAsia"/>
          <w:b/>
          <w:bCs/>
          <w:color w:val="000000" w:themeColor="text1"/>
          <w:sz w:val="30"/>
          <w:szCs w:val="30"/>
          <w:highlight w:val="red"/>
          <w14:textFill>
            <w14:solidFill>
              <w14:schemeClr w14:val="tx1"/>
            </w14:solidFill>
          </w14:textFill>
        </w:rPr>
      </w:pPr>
    </w:p>
    <w:p>
      <w:pPr>
        <w:pStyle w:val="28"/>
        <w:rPr>
          <w:rFonts w:hint="eastAsia"/>
          <w:color w:val="000000" w:themeColor="text1"/>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pPr>
        <w:outlineLvl w:val="0"/>
        <w:rPr>
          <w:rFonts w:hint="eastAsia" w:cs="Times New Roman"/>
          <w:b/>
          <w:bCs/>
          <w:color w:val="000000" w:themeColor="text1"/>
          <w:sz w:val="30"/>
          <w:szCs w:val="30"/>
          <w:highlight w:val="none"/>
          <w:lang w:val="en-US" w:eastAsia="zh-CN"/>
          <w14:textFill>
            <w14:solidFill>
              <w14:schemeClr w14:val="tx1"/>
            </w14:solidFill>
          </w14:textFill>
        </w:rPr>
      </w:pPr>
      <w:bookmarkStart w:id="56" w:name="_Toc14030"/>
      <w:bookmarkStart w:id="57" w:name="_Toc7282"/>
      <w:r>
        <w:rPr>
          <w:rFonts w:hint="eastAsia" w:cs="Times New Roman"/>
          <w:b/>
          <w:bCs/>
          <w:color w:val="000000" w:themeColor="text1"/>
          <w:sz w:val="30"/>
          <w:szCs w:val="30"/>
          <w:highlight w:val="none"/>
          <w:lang w:eastAsia="zh-CN"/>
          <w14:textFill>
            <w14:solidFill>
              <w14:schemeClr w14:val="tx1"/>
            </w14:solidFill>
          </w14:textFill>
        </w:rPr>
        <w:t>附件</w:t>
      </w:r>
      <w:r>
        <w:rPr>
          <w:rFonts w:hint="eastAsia" w:cs="Times New Roman"/>
          <w:b/>
          <w:bCs/>
          <w:color w:val="000000" w:themeColor="text1"/>
          <w:sz w:val="30"/>
          <w:szCs w:val="30"/>
          <w:highlight w:val="none"/>
          <w:lang w:val="en-US" w:eastAsia="zh-CN"/>
          <w14:textFill>
            <w14:solidFill>
              <w14:schemeClr w14:val="tx1"/>
            </w14:solidFill>
          </w14:textFill>
        </w:rPr>
        <w:t>1：营业执照</w:t>
      </w:r>
      <w:bookmarkEnd w:id="56"/>
      <w:bookmarkEnd w:id="57"/>
    </w:p>
    <w:p>
      <w:pPr>
        <w:pStyle w:val="2"/>
        <w:keepNext w:val="0"/>
        <w:keepLines w:val="0"/>
        <w:pageBreakBefore w:val="0"/>
        <w:widowControl w:val="0"/>
        <w:kinsoku/>
        <w:wordWrap/>
        <w:overflowPunct/>
        <w:topLinePunct w:val="0"/>
        <w:autoSpaceDE/>
        <w:autoSpaceDN/>
        <w:bidi w:val="0"/>
        <w:adjustRightInd/>
        <w:snapToGrid/>
        <w:ind w:left="29" w:leftChars="-95" w:hanging="228" w:hangingChars="95"/>
        <w:jc w:val="center"/>
        <w:textAlignment w:val="auto"/>
        <w:rPr>
          <w:rFonts w:hint="eastAsia" w:cs="Times New Roman"/>
          <w:color w:val="000000" w:themeColor="text1"/>
          <w:sz w:val="24"/>
          <w:highlight w:val="none"/>
          <w:lang w:val="en-US" w:eastAsia="zh-CN"/>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eastAsia" w:cs="Times New Roman"/>
          <w:color w:val="000000" w:themeColor="text1"/>
          <w:sz w:val="24"/>
          <w:highlight w:val="none"/>
          <w:lang w:val="en-US" w:eastAsia="zh-CN"/>
          <w14:textFill>
            <w14:solidFill>
              <w14:schemeClr w14:val="tx1"/>
            </w14:solidFill>
          </w14:textFill>
        </w:rPr>
        <w:drawing>
          <wp:inline distT="0" distB="0" distL="114300" distR="114300">
            <wp:extent cx="5212080" cy="7169150"/>
            <wp:effectExtent l="0" t="0" r="12700" b="7620"/>
            <wp:docPr id="1" name="图片 1" descr="1ed845245139ff7ae5c7174762c3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ed845245139ff7ae5c7174762c3c82"/>
                    <pic:cNvPicPr>
                      <a:picLocks noChangeAspect="1"/>
                    </pic:cNvPicPr>
                  </pic:nvPicPr>
                  <pic:blipFill>
                    <a:blip r:embed="rId101"/>
                    <a:stretch>
                      <a:fillRect/>
                    </a:stretch>
                  </pic:blipFill>
                  <pic:spPr>
                    <a:xfrm rot="16200000">
                      <a:off x="0" y="0"/>
                      <a:ext cx="5212080" cy="7169150"/>
                    </a:xfrm>
                    <a:prstGeom prst="rect">
                      <a:avLst/>
                    </a:prstGeom>
                  </pic:spPr>
                </pic:pic>
              </a:graphicData>
            </a:graphic>
          </wp:inline>
        </w:drawing>
      </w:r>
    </w:p>
    <w:p>
      <w:pPr>
        <w:outlineLvl w:val="0"/>
        <w:rPr>
          <w:rFonts w:hint="default"/>
          <w:b/>
          <w:bCs/>
          <w:color w:val="000000" w:themeColor="text1"/>
          <w:sz w:val="30"/>
          <w:szCs w:val="30"/>
          <w:highlight w:val="none"/>
          <w:lang w:val="en-US" w:eastAsia="zh-CN"/>
          <w14:textFill>
            <w14:solidFill>
              <w14:schemeClr w14:val="tx1"/>
            </w14:solidFill>
          </w14:textFill>
        </w:rPr>
      </w:pPr>
      <w:bookmarkStart w:id="58" w:name="_Toc8827"/>
      <w:bookmarkStart w:id="59" w:name="_Toc32582"/>
      <w:r>
        <w:rPr>
          <w:rFonts w:hint="eastAsia"/>
          <w:b/>
          <w:bCs/>
          <w:color w:val="000000" w:themeColor="text1"/>
          <w:sz w:val="30"/>
          <w:szCs w:val="30"/>
          <w:highlight w:val="none"/>
          <w:lang w:val="en-US" w:eastAsia="zh-CN"/>
          <w14:textFill>
            <w14:solidFill>
              <w14:schemeClr w14:val="tx1"/>
            </w14:solidFill>
          </w14:textFill>
        </w:rPr>
        <w:t>附件2：土地手续</w:t>
      </w:r>
      <w:bookmarkEnd w:id="58"/>
      <w:bookmarkEnd w:id="59"/>
    </w:p>
    <w:p>
      <w:pPr>
        <w:pStyle w:val="2"/>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color w:val="000000" w:themeColor="text1"/>
          <w:highlight w:val="none"/>
          <w:lang w:val="en-US" w:eastAsia="zh-CN"/>
          <w14:textFill>
            <w14:solidFill>
              <w14:schemeClr w14:val="tx1"/>
            </w14:solidFill>
          </w14:textFill>
        </w:rPr>
        <w:sectPr>
          <w:type w:val="continuous"/>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eastAsia"/>
          <w:color w:val="000000" w:themeColor="text1"/>
          <w:highlight w:val="none"/>
          <w:lang w:val="en-US" w:eastAsia="zh-CN"/>
          <w14:textFill>
            <w14:solidFill>
              <w14:schemeClr w14:val="tx1"/>
            </w14:solidFill>
          </w14:textFill>
        </w:rPr>
        <w:drawing>
          <wp:inline distT="0" distB="0" distL="114300" distR="114300">
            <wp:extent cx="7049135" cy="5289550"/>
            <wp:effectExtent l="0" t="0" r="18415" b="6350"/>
            <wp:docPr id="2" name="图片 2" descr="8d95939fffb215cab3717261e699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d95939fffb215cab3717261e69918e"/>
                    <pic:cNvPicPr>
                      <a:picLocks noChangeAspect="1"/>
                    </pic:cNvPicPr>
                  </pic:nvPicPr>
                  <pic:blipFill>
                    <a:blip r:embed="rId102"/>
                    <a:stretch>
                      <a:fillRect/>
                    </a:stretch>
                  </pic:blipFill>
                  <pic:spPr>
                    <a:xfrm>
                      <a:off x="0" y="0"/>
                      <a:ext cx="7049135" cy="5289550"/>
                    </a:xfrm>
                    <a:prstGeom prst="rect">
                      <a:avLst/>
                    </a:prstGeom>
                  </pic:spPr>
                </pic:pic>
              </a:graphicData>
            </a:graphic>
          </wp:inline>
        </w:drawing>
      </w:r>
    </w:p>
    <w:p>
      <w:pPr>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lang w:val="en-US" w:eastAsia="zh-CN"/>
        </w:rPr>
        <w:drawing>
          <wp:inline distT="0" distB="0" distL="114300" distR="114300">
            <wp:extent cx="5505450" cy="7795895"/>
            <wp:effectExtent l="0" t="0" r="0" b="14605"/>
            <wp:docPr id="3" name="图片 3" descr="98c43333fee821534eac29a9c274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8c43333fee821534eac29a9c274f45"/>
                    <pic:cNvPicPr>
                      <a:picLocks noChangeAspect="1"/>
                    </pic:cNvPicPr>
                  </pic:nvPicPr>
                  <pic:blipFill>
                    <a:blip r:embed="rId103"/>
                    <a:stretch>
                      <a:fillRect/>
                    </a:stretch>
                  </pic:blipFill>
                  <pic:spPr>
                    <a:xfrm>
                      <a:off x="0" y="0"/>
                      <a:ext cx="5505450" cy="7795895"/>
                    </a:xfrm>
                    <a:prstGeom prst="rect">
                      <a:avLst/>
                    </a:prstGeom>
                  </pic:spPr>
                </pic:pic>
              </a:graphicData>
            </a:graphic>
          </wp:inline>
        </w:drawing>
      </w:r>
      <w:r>
        <w:rPr>
          <w:rFonts w:hint="eastAsia"/>
          <w:lang w:val="en-US" w:eastAsia="zh-CN"/>
        </w:rPr>
        <w:drawing>
          <wp:inline distT="0" distB="0" distL="114300" distR="114300">
            <wp:extent cx="5672455" cy="8243570"/>
            <wp:effectExtent l="0" t="0" r="4445" b="5080"/>
            <wp:docPr id="4" name="图片 4" descr="f125cd62c5cd8695a0f5129be2bb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125cd62c5cd8695a0f5129be2bb95b"/>
                    <pic:cNvPicPr>
                      <a:picLocks noChangeAspect="1"/>
                    </pic:cNvPicPr>
                  </pic:nvPicPr>
                  <pic:blipFill>
                    <a:blip r:embed="rId104"/>
                    <a:stretch>
                      <a:fillRect/>
                    </a:stretch>
                  </pic:blipFill>
                  <pic:spPr>
                    <a:xfrm>
                      <a:off x="0" y="0"/>
                      <a:ext cx="5672455" cy="8243570"/>
                    </a:xfrm>
                    <a:prstGeom prst="rect">
                      <a:avLst/>
                    </a:prstGeom>
                  </pic:spPr>
                </pic:pic>
              </a:graphicData>
            </a:graphic>
          </wp:inline>
        </w:drawing>
      </w:r>
      <w:r>
        <w:rPr>
          <w:rFonts w:hint="eastAsia"/>
          <w:lang w:val="en-US" w:eastAsia="zh-CN"/>
        </w:rPr>
        <w:drawing>
          <wp:inline distT="0" distB="0" distL="114300" distR="114300">
            <wp:extent cx="5930265" cy="8288655"/>
            <wp:effectExtent l="0" t="0" r="13335" b="17145"/>
            <wp:docPr id="9" name="图片 9" descr="b1529f7cb55a55858733c31e269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1529f7cb55a55858733c31e2699870"/>
                    <pic:cNvPicPr>
                      <a:picLocks noChangeAspect="1"/>
                    </pic:cNvPicPr>
                  </pic:nvPicPr>
                  <pic:blipFill>
                    <a:blip r:embed="rId105"/>
                    <a:stretch>
                      <a:fillRect/>
                    </a:stretch>
                  </pic:blipFill>
                  <pic:spPr>
                    <a:xfrm>
                      <a:off x="0" y="0"/>
                      <a:ext cx="5930265" cy="8288655"/>
                    </a:xfrm>
                    <a:prstGeom prst="rect">
                      <a:avLst/>
                    </a:prstGeom>
                  </pic:spPr>
                </pic:pic>
              </a:graphicData>
            </a:graphic>
          </wp:inline>
        </w:drawing>
      </w:r>
    </w:p>
    <w:p>
      <w:pPr>
        <w:pStyle w:val="14"/>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ind w:left="0" w:leftChars="0"/>
        <w:jc w:val="center"/>
        <w:textAlignment w:val="auto"/>
        <w:outlineLvl w:val="0"/>
        <w:rPr>
          <w:rFonts w:hint="eastAsia"/>
          <w:b/>
          <w:bCs/>
          <w:color w:val="000000" w:themeColor="text1"/>
          <w:sz w:val="30"/>
          <w:szCs w:val="30"/>
          <w:highlight w:val="none"/>
          <w:lang w:val="en-US" w:eastAsia="zh-CN"/>
          <w14:textFill>
            <w14:solidFill>
              <w14:schemeClr w14:val="tx1"/>
            </w14:solidFill>
          </w14:textFill>
        </w:rPr>
      </w:pPr>
      <w:bookmarkStart w:id="60" w:name="_Toc21291"/>
      <w:bookmarkStart w:id="61" w:name="_Toc18912"/>
      <w:r>
        <w:rPr>
          <w:rFonts w:hint="eastAsia"/>
          <w:b/>
          <w:bCs/>
          <w:color w:val="000000" w:themeColor="text1"/>
          <w:sz w:val="30"/>
          <w:szCs w:val="30"/>
          <w:highlight w:val="none"/>
          <w:lang w:val="en-US" w:eastAsia="zh-CN"/>
          <w14:textFill>
            <w14:solidFill>
              <w14:schemeClr w14:val="tx1"/>
            </w14:solidFill>
          </w14:textFill>
        </w:rPr>
        <w:t>附件3：现状监测报告</w:t>
      </w:r>
      <w:bookmarkEnd w:id="60"/>
      <w:bookmarkEnd w:id="61"/>
    </w:p>
    <w:p>
      <w:pPr>
        <w:pStyle w:val="2"/>
        <w:ind w:left="0" w:leftChars="0" w:firstLine="0" w:firstLineChars="0"/>
        <w:jc w:val="center"/>
        <w:rPr>
          <w:rFonts w:hint="eastAsia"/>
          <w:b/>
          <w:bCs/>
          <w:color w:val="000000" w:themeColor="text1"/>
          <w:sz w:val="30"/>
          <w:szCs w:val="30"/>
          <w:highlight w:val="none"/>
          <w:lang w:val="en-US" w:eastAsia="zh-CN"/>
          <w14:textFill>
            <w14:solidFill>
              <w14:schemeClr w14:val="tx1"/>
            </w14:solidFill>
          </w14:textFill>
        </w:rPr>
      </w:pPr>
      <w:r>
        <w:rPr>
          <w:rFonts w:hint="eastAsia"/>
          <w:b/>
          <w:bCs/>
          <w:color w:val="000000" w:themeColor="text1"/>
          <w:sz w:val="30"/>
          <w:szCs w:val="30"/>
          <w:highlight w:val="none"/>
          <w:lang w:val="en-US" w:eastAsia="zh-CN"/>
          <w14:textFill>
            <w14:solidFill>
              <w14:schemeClr w14:val="tx1"/>
            </w14:solidFill>
          </w14:textFill>
        </w:rPr>
        <w:drawing>
          <wp:inline distT="0" distB="0" distL="114300" distR="114300">
            <wp:extent cx="5291455" cy="7600315"/>
            <wp:effectExtent l="0" t="0" r="4445" b="635"/>
            <wp:docPr id="10" name="图片 10" descr="a33dd07596bf3003ad9b528fabb5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33dd07596bf3003ad9b528fabb510c"/>
                    <pic:cNvPicPr>
                      <a:picLocks noChangeAspect="1"/>
                    </pic:cNvPicPr>
                  </pic:nvPicPr>
                  <pic:blipFill>
                    <a:blip r:embed="rId106"/>
                    <a:stretch>
                      <a:fillRect/>
                    </a:stretch>
                  </pic:blipFill>
                  <pic:spPr>
                    <a:xfrm>
                      <a:off x="0" y="0"/>
                      <a:ext cx="5291455" cy="7600315"/>
                    </a:xfrm>
                    <a:prstGeom prst="rect">
                      <a:avLst/>
                    </a:prstGeom>
                  </pic:spPr>
                </pic:pic>
              </a:graphicData>
            </a:graphic>
          </wp:inline>
        </w:drawing>
      </w:r>
      <w:r>
        <w:rPr>
          <w:rFonts w:hint="eastAsia"/>
          <w:b/>
          <w:bCs/>
          <w:color w:val="000000" w:themeColor="text1"/>
          <w:sz w:val="30"/>
          <w:szCs w:val="30"/>
          <w:highlight w:val="none"/>
          <w:lang w:val="en-US" w:eastAsia="zh-CN"/>
          <w14:textFill>
            <w14:solidFill>
              <w14:schemeClr w14:val="tx1"/>
            </w14:solidFill>
          </w14:textFill>
        </w:rPr>
        <w:drawing>
          <wp:inline distT="0" distB="0" distL="114300" distR="114300">
            <wp:extent cx="5603875" cy="8168005"/>
            <wp:effectExtent l="0" t="0" r="15875" b="4445"/>
            <wp:docPr id="11" name="图片 11" descr="65817edb9629e0f53005a4b0f5c0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5817edb9629e0f53005a4b0f5c0be0"/>
                    <pic:cNvPicPr>
                      <a:picLocks noChangeAspect="1"/>
                    </pic:cNvPicPr>
                  </pic:nvPicPr>
                  <pic:blipFill>
                    <a:blip r:embed="rId107"/>
                    <a:stretch>
                      <a:fillRect/>
                    </a:stretch>
                  </pic:blipFill>
                  <pic:spPr>
                    <a:xfrm>
                      <a:off x="0" y="0"/>
                      <a:ext cx="5603875" cy="8168005"/>
                    </a:xfrm>
                    <a:prstGeom prst="rect">
                      <a:avLst/>
                    </a:prstGeom>
                  </pic:spPr>
                </pic:pic>
              </a:graphicData>
            </a:graphic>
          </wp:inline>
        </w:drawing>
      </w:r>
      <w:r>
        <w:rPr>
          <w:rFonts w:hint="eastAsia"/>
          <w:b/>
          <w:bCs/>
          <w:color w:val="000000" w:themeColor="text1"/>
          <w:sz w:val="30"/>
          <w:szCs w:val="30"/>
          <w:highlight w:val="none"/>
          <w:lang w:val="en-US" w:eastAsia="zh-CN"/>
          <w14:textFill>
            <w14:solidFill>
              <w14:schemeClr w14:val="tx1"/>
            </w14:solidFill>
          </w14:textFill>
        </w:rPr>
        <w:drawing>
          <wp:inline distT="0" distB="0" distL="114300" distR="114300">
            <wp:extent cx="5612765" cy="8158480"/>
            <wp:effectExtent l="0" t="0" r="6985" b="13970"/>
            <wp:docPr id="12" name="图片 12" descr="6f4dbe3306d4bbbc26be388d9e7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f4dbe3306d4bbbc26be388d9e70224"/>
                    <pic:cNvPicPr>
                      <a:picLocks noChangeAspect="1"/>
                    </pic:cNvPicPr>
                  </pic:nvPicPr>
                  <pic:blipFill>
                    <a:blip r:embed="rId108"/>
                    <a:stretch>
                      <a:fillRect/>
                    </a:stretch>
                  </pic:blipFill>
                  <pic:spPr>
                    <a:xfrm>
                      <a:off x="0" y="0"/>
                      <a:ext cx="5612765" cy="81584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highlight w:val="red"/>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drawing>
          <wp:inline distT="0" distB="0" distL="114300" distR="114300">
            <wp:extent cx="5610225" cy="8046085"/>
            <wp:effectExtent l="0" t="0" r="9525" b="12065"/>
            <wp:docPr id="15" name="图片 15" descr="3f29b5caa5555c9c5974be646bd8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f29b5caa5555c9c5974be646bd88c4"/>
                    <pic:cNvPicPr>
                      <a:picLocks noChangeAspect="1"/>
                    </pic:cNvPicPr>
                  </pic:nvPicPr>
                  <pic:blipFill>
                    <a:blip r:embed="rId109"/>
                    <a:stretch>
                      <a:fillRect/>
                    </a:stretch>
                  </pic:blipFill>
                  <pic:spPr>
                    <a:xfrm>
                      <a:off x="0" y="0"/>
                      <a:ext cx="5610225" cy="8046085"/>
                    </a:xfrm>
                    <a:prstGeom prst="rect">
                      <a:avLst/>
                    </a:prstGeom>
                  </pic:spPr>
                </pic:pic>
              </a:graphicData>
            </a:graphic>
          </wp:inline>
        </w:drawing>
      </w:r>
    </w:p>
    <w:p>
      <w:pPr>
        <w:rPr>
          <w:rFonts w:hint="eastAsia"/>
          <w:color w:val="000000" w:themeColor="text1"/>
          <w:highlight w:val="red"/>
          <w14:textFill>
            <w14:solidFill>
              <w14:schemeClr w14:val="tx1"/>
            </w14:solidFill>
          </w14:textFill>
        </w:rPr>
      </w:pPr>
    </w:p>
    <w:p>
      <w:pPr>
        <w:pStyle w:val="2"/>
        <w:rPr>
          <w:rFonts w:hint="eastAsia"/>
          <w:color w:val="000000" w:themeColor="text1"/>
          <w:highlight w:val="red"/>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outlineLvl w:val="0"/>
        <w:rPr>
          <w:rFonts w:ascii="Times New Roman" w:hAnsi="Times New Roman" w:cs="Times New Roman"/>
          <w:b/>
          <w:bCs/>
          <w:color w:val="000000" w:themeColor="text1"/>
          <w:sz w:val="30"/>
          <w:szCs w:val="30"/>
          <w:highlight w:val="none"/>
          <w14:textFill>
            <w14:solidFill>
              <w14:schemeClr w14:val="tx1"/>
            </w14:solidFill>
          </w14:textFill>
        </w:rPr>
      </w:pPr>
      <w:bookmarkStart w:id="62" w:name="_Toc3874"/>
      <w:bookmarkStart w:id="63" w:name="_Toc24833"/>
      <w:r>
        <w:rPr>
          <w:rFonts w:hint="eastAsia" w:ascii="Times New Roman" w:hAnsi="Times New Roman" w:cs="Times New Roman"/>
          <w:b/>
          <w:bCs/>
          <w:color w:val="000000" w:themeColor="text1"/>
          <w:sz w:val="30"/>
          <w:szCs w:val="30"/>
          <w:highlight w:val="none"/>
          <w14:textFill>
            <w14:solidFill>
              <w14:schemeClr w14:val="tx1"/>
            </w14:solidFill>
          </w14:textFill>
        </w:rPr>
        <w:t>附件</w:t>
      </w:r>
      <w:r>
        <w:rPr>
          <w:rFonts w:hint="eastAsia" w:cs="Times New Roman"/>
          <w:b/>
          <w:bCs/>
          <w:color w:val="000000" w:themeColor="text1"/>
          <w:sz w:val="30"/>
          <w:szCs w:val="30"/>
          <w:highlight w:val="none"/>
          <w:lang w:val="en-US" w:eastAsia="zh-CN"/>
          <w14:textFill>
            <w14:solidFill>
              <w14:schemeClr w14:val="tx1"/>
            </w14:solidFill>
          </w14:textFill>
        </w:rPr>
        <w:t>4：</w:t>
      </w:r>
      <w:r>
        <w:rPr>
          <w:rFonts w:ascii="Times New Roman" w:hAnsi="Times New Roman" w:cs="Times New Roman"/>
          <w:b/>
          <w:bCs/>
          <w:color w:val="000000" w:themeColor="text1"/>
          <w:sz w:val="30"/>
          <w:szCs w:val="30"/>
          <w:highlight w:val="none"/>
          <w14:textFill>
            <w14:solidFill>
              <w14:schemeClr w14:val="tx1"/>
            </w14:solidFill>
          </w14:textFill>
        </w:rPr>
        <w:t>核定排放量计算说明</w:t>
      </w:r>
      <w:bookmarkEnd w:id="62"/>
      <w:bookmarkEnd w:id="63"/>
    </w:p>
    <w:p>
      <w:pPr>
        <w:pStyle w:val="14"/>
      </w:pPr>
    </w:p>
    <w:p>
      <w:pPr>
        <w:pStyle w:val="107"/>
        <w:keepNext w:val="0"/>
        <w:keepLines w:val="0"/>
        <w:pageBreakBefore w:val="0"/>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废气核定排放量</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（1）颗粒物</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颗粒物</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有组织排放执行《大气污染物综合排放标准》（GB16297-1996）表2中的二级排放标准限值要求（浓度限值为1</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cs="Times New Roman"/>
          <w:color w:val="000000" w:themeColor="text1"/>
          <w:kern w:val="0"/>
          <w:sz w:val="21"/>
          <w:szCs w:val="21"/>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both"/>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w:t>
      </w:r>
      <w:r>
        <w:rPr>
          <w:rFonts w:hint="eastAsia" w:cs="Times New Roman"/>
          <w:color w:val="000000" w:themeColor="text1"/>
          <w:kern w:val="0"/>
          <w:sz w:val="21"/>
          <w:szCs w:val="21"/>
          <w:lang w:val="en-US" w:eastAsia="zh-CN" w:bidi="ar"/>
          <w14:textFill>
            <w14:solidFill>
              <w14:schemeClr w14:val="tx1"/>
            </w14:solidFill>
          </w14:textFill>
        </w:rPr>
        <w:t>一次</w:t>
      </w:r>
      <w:r>
        <w:rPr>
          <w:rFonts w:hint="eastAsia" w:eastAsia="宋体"/>
          <w:color w:val="000000" w:themeColor="text1"/>
          <w:lang w:val="en-US" w:eastAsia="zh-CN"/>
          <w14:textFill>
            <w14:solidFill>
              <w14:schemeClr w14:val="tx1"/>
            </w14:solidFill>
          </w14:textFill>
        </w:rPr>
        <w:t>筛分</w:t>
      </w:r>
      <w:r>
        <w:rPr>
          <w:rFonts w:hint="eastAsia"/>
          <w:color w:val="000000" w:themeColor="text1"/>
          <w14:textFill>
            <w14:solidFill>
              <w14:schemeClr w14:val="tx1"/>
            </w14:solidFill>
          </w14:textFill>
        </w:rPr>
        <w:t>排气筒DA00</w:t>
      </w:r>
      <w:r>
        <w:rPr>
          <w:rFonts w:hint="eastAsia"/>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的风机风量为</w:t>
      </w:r>
      <w:r>
        <w:rPr>
          <w:rFonts w:hint="eastAsia" w:cs="Times New Roman"/>
          <w:color w:val="000000" w:themeColor="text1"/>
          <w:kern w:val="0"/>
          <w:sz w:val="21"/>
          <w:szCs w:val="21"/>
          <w:lang w:val="en-US" w:eastAsia="zh-CN" w:bidi="ar"/>
          <w14:textFill>
            <w14:solidFill>
              <w14:schemeClr w14:val="tx1"/>
            </w14:solidFill>
          </w14:textFill>
        </w:rPr>
        <w:t>10000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/h，年运行时间</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2000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h，则项目</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颗粒物</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有组织排放量=1</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cs="Times New Roman"/>
          <w:color w:val="000000" w:themeColor="text1"/>
          <w:kern w:val="0"/>
          <w:sz w:val="21"/>
          <w:szCs w:val="21"/>
          <w:lang w:val="en-US" w:eastAsia="zh-CN" w:bidi="ar"/>
          <w14:textFill>
            <w14:solidFill>
              <w14:schemeClr w14:val="tx1"/>
            </w14:solidFill>
          </w14:textFill>
        </w:rPr>
        <w:t>10000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/h×</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2000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h/a×10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-9</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cs="Times New Roman"/>
          <w:color w:val="000000" w:themeColor="text1"/>
          <w:kern w:val="0"/>
          <w:sz w:val="21"/>
          <w:szCs w:val="21"/>
          <w:lang w:val="en-US" w:eastAsia="zh-CN" w:bidi="ar"/>
          <w14:textFill>
            <w14:solidFill>
              <w14:schemeClr w14:val="tx1"/>
            </w14:solidFill>
          </w14:textFill>
        </w:rPr>
        <w:t>2.4</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t/a。</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w:t>
      </w:r>
      <w:r>
        <w:rPr>
          <w:rFonts w:hint="eastAsia" w:cs="Times New Roman"/>
          <w:color w:val="000000" w:themeColor="text1"/>
          <w:kern w:val="0"/>
          <w:sz w:val="21"/>
          <w:szCs w:val="21"/>
          <w:lang w:val="en-US" w:eastAsia="zh-CN" w:bidi="ar"/>
          <w14:textFill>
            <w14:solidFill>
              <w14:schemeClr w14:val="tx1"/>
            </w14:solidFill>
          </w14:textFill>
        </w:rPr>
        <w:t>二次</w:t>
      </w:r>
      <w:r>
        <w:rPr>
          <w:rFonts w:hint="eastAsia" w:eastAsia="宋体"/>
          <w:color w:val="000000" w:themeColor="text1"/>
          <w:lang w:val="en-US" w:eastAsia="zh-CN"/>
          <w14:textFill>
            <w14:solidFill>
              <w14:schemeClr w14:val="tx1"/>
            </w14:solidFill>
          </w14:textFill>
        </w:rPr>
        <w:t>筛分</w:t>
      </w:r>
      <w:r>
        <w:rPr>
          <w:rFonts w:hint="eastAsia"/>
          <w:color w:val="000000" w:themeColor="text1"/>
          <w14:textFill>
            <w14:solidFill>
              <w14:schemeClr w14:val="tx1"/>
            </w14:solidFill>
          </w14:textFill>
        </w:rPr>
        <w:t>排气筒DA00</w:t>
      </w:r>
      <w:r>
        <w:rPr>
          <w:rFonts w:hint="eastAsia"/>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的风机风量为</w:t>
      </w:r>
      <w:r>
        <w:rPr>
          <w:rFonts w:hint="eastAsia" w:cs="Times New Roman"/>
          <w:color w:val="000000" w:themeColor="text1"/>
          <w:kern w:val="0"/>
          <w:sz w:val="21"/>
          <w:szCs w:val="21"/>
          <w:lang w:val="en-US" w:eastAsia="zh-CN" w:bidi="ar"/>
          <w14:textFill>
            <w14:solidFill>
              <w14:schemeClr w14:val="tx1"/>
            </w14:solidFill>
          </w14:textFill>
        </w:rPr>
        <w:t>10000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/h，年运行时间</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2000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h，则项目</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颗粒物</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有组织排放量=1</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cs="Times New Roman"/>
          <w:color w:val="000000" w:themeColor="text1"/>
          <w:kern w:val="0"/>
          <w:sz w:val="21"/>
          <w:szCs w:val="21"/>
          <w:lang w:val="en-US" w:eastAsia="zh-CN" w:bidi="ar"/>
          <w14:textFill>
            <w14:solidFill>
              <w14:schemeClr w14:val="tx1"/>
            </w14:solidFill>
          </w14:textFill>
        </w:rPr>
        <w:t>10000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/h×</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2000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h/a×10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-9</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cs="Times New Roman"/>
          <w:color w:val="000000" w:themeColor="text1"/>
          <w:kern w:val="0"/>
          <w:sz w:val="21"/>
          <w:szCs w:val="21"/>
          <w:lang w:val="en-US" w:eastAsia="zh-CN" w:bidi="ar"/>
          <w14:textFill>
            <w14:solidFill>
              <w14:schemeClr w14:val="tx1"/>
            </w14:solidFill>
          </w14:textFill>
        </w:rPr>
        <w:t>2.4</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t/a。</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both"/>
        <w:textAlignment w:val="auto"/>
        <w:rPr>
          <w:rFonts w:hint="default"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合计</w:t>
      </w:r>
      <w:r>
        <w:rPr>
          <w:rFonts w:hint="eastAsia" w:cs="Times New Roman"/>
          <w:color w:val="000000" w:themeColor="text1"/>
          <w:kern w:val="0"/>
          <w:sz w:val="21"/>
          <w:szCs w:val="21"/>
          <w:lang w:val="en-US" w:eastAsia="zh-CN" w:bidi="ar"/>
          <w14:textFill>
            <w14:solidFill>
              <w14:schemeClr w14:val="tx1"/>
            </w14:solidFill>
          </w14:textFill>
        </w:rPr>
        <w:t>5.76</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t/a。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表1 污染物排放总量一览表</w:t>
      </w:r>
    </w:p>
    <w:tbl>
      <w:tblPr>
        <w:tblStyle w:val="30"/>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84"/>
        <w:gridCol w:w="48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0" w:type="pct"/>
            <w:tcBorders>
              <w:top w:val="single" w:color="auto" w:sz="1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污染物</w:t>
            </w:r>
          </w:p>
        </w:tc>
        <w:tc>
          <w:tcPr>
            <w:tcW w:w="2689" w:type="pct"/>
            <w:tcBorders>
              <w:top w:val="single" w:color="auto" w:sz="1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核定排放量</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颗粒物</w:t>
            </w:r>
          </w:p>
        </w:tc>
        <w:tc>
          <w:tcPr>
            <w:tcW w:w="268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4.8</w:t>
            </w:r>
          </w:p>
        </w:tc>
      </w:tr>
    </w:tbl>
    <w:p>
      <w:pPr>
        <w:pStyle w:val="2"/>
        <w:ind w:left="0" w:leftChars="0" w:firstLine="0" w:firstLineChars="0"/>
        <w:rPr>
          <w:rFonts w:hint="eastAsia"/>
          <w:color w:val="000000" w:themeColor="text1"/>
          <w:highlight w:val="red"/>
          <w:lang w:val="en-US" w:eastAsia="zh-CN"/>
          <w14:textFill>
            <w14:solidFill>
              <w14:schemeClr w14:val="tx1"/>
            </w14:solidFill>
          </w14:textFill>
        </w:rPr>
      </w:pPr>
    </w:p>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
    <w:panose1 w:val="02010609060101010101"/>
    <w:charset w:val="86"/>
    <w:family w:val="modern"/>
    <w:pitch w:val="default"/>
    <w:sig w:usb0="00000000" w:usb1="00000000"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4"/>
      </w:rPr>
    </w:pPr>
    <w:r>
      <w:fldChar w:fldCharType="begin"/>
    </w:r>
    <w:r>
      <w:rPr>
        <w:rStyle w:val="34"/>
      </w:rPr>
      <w:instrText xml:space="preserve">PAGE  </w:instrText>
    </w:r>
    <w: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181861"/>
    </w:sdtPr>
    <w:sdtContent>
      <w:p>
        <w:pPr>
          <w:pStyle w:val="19"/>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1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F8ED4F"/>
    <w:multiLevelType w:val="singleLevel"/>
    <w:tmpl w:val="A2F8ED4F"/>
    <w:lvl w:ilvl="0" w:tentative="0">
      <w:start w:val="2"/>
      <w:numFmt w:val="decimal"/>
      <w:pStyle w:val="108"/>
      <w:suff w:val="nothing"/>
      <w:lvlText w:val="（%1）"/>
      <w:lvlJc w:val="left"/>
    </w:lvl>
  </w:abstractNum>
  <w:abstractNum w:abstractNumId="1">
    <w:nsid w:val="C1FEB1D0"/>
    <w:multiLevelType w:val="singleLevel"/>
    <w:tmpl w:val="C1FEB1D0"/>
    <w:lvl w:ilvl="0" w:tentative="0">
      <w:start w:val="1"/>
      <w:numFmt w:val="decimal"/>
      <w:suff w:val="nothing"/>
      <w:lvlText w:val="%1、"/>
      <w:lvlJc w:val="left"/>
    </w:lvl>
  </w:abstractNum>
  <w:abstractNum w:abstractNumId="2">
    <w:nsid w:val="DA55E644"/>
    <w:multiLevelType w:val="singleLevel"/>
    <w:tmpl w:val="DA55E644"/>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3">
    <w:nsid w:val="0497D37D"/>
    <w:multiLevelType w:val="singleLevel"/>
    <w:tmpl w:val="0497D37D"/>
    <w:lvl w:ilvl="0" w:tentative="0">
      <w:start w:val="5"/>
      <w:numFmt w:val="chineseCounting"/>
      <w:suff w:val="nothing"/>
      <w:lvlText w:val="%1、"/>
      <w:lvlJc w:val="left"/>
      <w:rPr>
        <w:rFonts w:hint="eastAsia"/>
      </w:rPr>
    </w:lvl>
  </w:abstractNum>
  <w:abstractNum w:abstractNumId="4">
    <w:nsid w:val="0E5218C9"/>
    <w:multiLevelType w:val="singleLevel"/>
    <w:tmpl w:val="0E5218C9"/>
    <w:lvl w:ilvl="0" w:tentative="0">
      <w:start w:val="1"/>
      <w:numFmt w:val="chineseCounting"/>
      <w:suff w:val="nothing"/>
      <w:lvlText w:val="%1、"/>
      <w:lvlJc w:val="left"/>
      <w:rPr>
        <w:rFonts w:hint="eastAsia"/>
      </w:rPr>
    </w:lvl>
  </w:abstractNum>
  <w:abstractNum w:abstractNumId="5">
    <w:nsid w:val="32F7439E"/>
    <w:multiLevelType w:val="singleLevel"/>
    <w:tmpl w:val="32F7439E"/>
    <w:lvl w:ilvl="0" w:tentative="0">
      <w:start w:val="1"/>
      <w:numFmt w:val="decimal"/>
      <w:lvlText w:val="%1."/>
      <w:lvlJc w:val="left"/>
      <w:pPr>
        <w:tabs>
          <w:tab w:val="left" w:pos="312"/>
        </w:tabs>
      </w:pPr>
    </w:lvl>
  </w:abstractNum>
  <w:abstractNum w:abstractNumId="6">
    <w:nsid w:val="562374EC"/>
    <w:multiLevelType w:val="singleLevel"/>
    <w:tmpl w:val="562374EC"/>
    <w:lvl w:ilvl="0" w:tentative="0">
      <w:start w:val="1"/>
      <w:numFmt w:val="decimal"/>
      <w:suff w:val="nothing"/>
      <w:lvlText w:val="（%1）"/>
      <w:lvlJc w:val="left"/>
    </w:lvl>
  </w:abstractNum>
  <w:abstractNum w:abstractNumId="7">
    <w:nsid w:val="7E643D11"/>
    <w:multiLevelType w:val="singleLevel"/>
    <w:tmpl w:val="7E643D11"/>
    <w:lvl w:ilvl="0" w:tentative="0">
      <w:start w:val="1"/>
      <w:numFmt w:val="decimal"/>
      <w:suff w:val="nothing"/>
      <w:lvlText w:val="（%1）"/>
      <w:lvlJc w:val="left"/>
    </w:lvl>
  </w:abstractNum>
  <w:num w:numId="1">
    <w:abstractNumId w:val="2"/>
  </w:num>
  <w:num w:numId="2">
    <w:abstractNumId w:val="0"/>
  </w:num>
  <w:num w:numId="3">
    <w:abstractNumId w:val="7"/>
  </w:num>
  <w:num w:numId="4">
    <w:abstractNumId w:val="3"/>
  </w:num>
  <w:num w:numId="5">
    <w:abstractNumId w:val="4"/>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liNDk2ZWMyZGZhMDMwNTE4ZmE0MzQ3OWJiYWUyZjQifQ=="/>
    <w:docVar w:name="KSO_WPS_MARK_KEY" w:val="09239e2b-4660-4361-beff-de96c95ce079"/>
  </w:docVars>
  <w:rsids>
    <w:rsidRoot w:val="00A14947"/>
    <w:rsid w:val="00000982"/>
    <w:rsid w:val="000016C7"/>
    <w:rsid w:val="00001FD6"/>
    <w:rsid w:val="00004223"/>
    <w:rsid w:val="00004925"/>
    <w:rsid w:val="00004980"/>
    <w:rsid w:val="00005266"/>
    <w:rsid w:val="00005602"/>
    <w:rsid w:val="00005884"/>
    <w:rsid w:val="000060B3"/>
    <w:rsid w:val="00006B56"/>
    <w:rsid w:val="000076AF"/>
    <w:rsid w:val="000106DC"/>
    <w:rsid w:val="00011A6C"/>
    <w:rsid w:val="00012FAC"/>
    <w:rsid w:val="00013254"/>
    <w:rsid w:val="000133A6"/>
    <w:rsid w:val="00013806"/>
    <w:rsid w:val="00013C17"/>
    <w:rsid w:val="000145A8"/>
    <w:rsid w:val="0001790E"/>
    <w:rsid w:val="000179C4"/>
    <w:rsid w:val="00017A0E"/>
    <w:rsid w:val="00017C2B"/>
    <w:rsid w:val="00020055"/>
    <w:rsid w:val="00021386"/>
    <w:rsid w:val="000220B9"/>
    <w:rsid w:val="000233AA"/>
    <w:rsid w:val="00023D43"/>
    <w:rsid w:val="00025007"/>
    <w:rsid w:val="0002549B"/>
    <w:rsid w:val="000254AA"/>
    <w:rsid w:val="00025D58"/>
    <w:rsid w:val="00027A13"/>
    <w:rsid w:val="00031483"/>
    <w:rsid w:val="000327F5"/>
    <w:rsid w:val="000354B9"/>
    <w:rsid w:val="00035C4B"/>
    <w:rsid w:val="00035D0D"/>
    <w:rsid w:val="00036F5B"/>
    <w:rsid w:val="00040076"/>
    <w:rsid w:val="000415EF"/>
    <w:rsid w:val="0004236B"/>
    <w:rsid w:val="00043144"/>
    <w:rsid w:val="00043383"/>
    <w:rsid w:val="000434CE"/>
    <w:rsid w:val="0004364B"/>
    <w:rsid w:val="00043E49"/>
    <w:rsid w:val="000443FF"/>
    <w:rsid w:val="00046364"/>
    <w:rsid w:val="000466A4"/>
    <w:rsid w:val="00050848"/>
    <w:rsid w:val="00051145"/>
    <w:rsid w:val="0005171A"/>
    <w:rsid w:val="000518A5"/>
    <w:rsid w:val="00052556"/>
    <w:rsid w:val="000527A0"/>
    <w:rsid w:val="00052C6B"/>
    <w:rsid w:val="00053D66"/>
    <w:rsid w:val="00055196"/>
    <w:rsid w:val="00060CAF"/>
    <w:rsid w:val="00060F47"/>
    <w:rsid w:val="000616AB"/>
    <w:rsid w:val="00061B1F"/>
    <w:rsid w:val="00061FC3"/>
    <w:rsid w:val="00062150"/>
    <w:rsid w:val="00062E35"/>
    <w:rsid w:val="0006315B"/>
    <w:rsid w:val="00063DFB"/>
    <w:rsid w:val="00064A05"/>
    <w:rsid w:val="00064E07"/>
    <w:rsid w:val="000651CB"/>
    <w:rsid w:val="00065412"/>
    <w:rsid w:val="00065B41"/>
    <w:rsid w:val="0007163F"/>
    <w:rsid w:val="00072487"/>
    <w:rsid w:val="000733C4"/>
    <w:rsid w:val="000738E6"/>
    <w:rsid w:val="00074783"/>
    <w:rsid w:val="000747C7"/>
    <w:rsid w:val="00076C89"/>
    <w:rsid w:val="00077BFA"/>
    <w:rsid w:val="00080394"/>
    <w:rsid w:val="00080416"/>
    <w:rsid w:val="0008070B"/>
    <w:rsid w:val="00080739"/>
    <w:rsid w:val="000810AC"/>
    <w:rsid w:val="00081A02"/>
    <w:rsid w:val="00081BAE"/>
    <w:rsid w:val="00082231"/>
    <w:rsid w:val="0008314D"/>
    <w:rsid w:val="00083A14"/>
    <w:rsid w:val="00084250"/>
    <w:rsid w:val="0008533C"/>
    <w:rsid w:val="00085AB7"/>
    <w:rsid w:val="00085D80"/>
    <w:rsid w:val="00086CB1"/>
    <w:rsid w:val="00086E61"/>
    <w:rsid w:val="00087F61"/>
    <w:rsid w:val="00090E26"/>
    <w:rsid w:val="00091723"/>
    <w:rsid w:val="00091B9F"/>
    <w:rsid w:val="00092D38"/>
    <w:rsid w:val="0009377B"/>
    <w:rsid w:val="00093B96"/>
    <w:rsid w:val="00096690"/>
    <w:rsid w:val="00097F36"/>
    <w:rsid w:val="000A0446"/>
    <w:rsid w:val="000A1016"/>
    <w:rsid w:val="000A2017"/>
    <w:rsid w:val="000A20C9"/>
    <w:rsid w:val="000A21F0"/>
    <w:rsid w:val="000A40C7"/>
    <w:rsid w:val="000A4694"/>
    <w:rsid w:val="000A50B8"/>
    <w:rsid w:val="000A5DC6"/>
    <w:rsid w:val="000A624B"/>
    <w:rsid w:val="000A6955"/>
    <w:rsid w:val="000A6B8C"/>
    <w:rsid w:val="000A7FE7"/>
    <w:rsid w:val="000B04CD"/>
    <w:rsid w:val="000B058F"/>
    <w:rsid w:val="000B1260"/>
    <w:rsid w:val="000B1539"/>
    <w:rsid w:val="000B1CAD"/>
    <w:rsid w:val="000B3517"/>
    <w:rsid w:val="000B367D"/>
    <w:rsid w:val="000B3F60"/>
    <w:rsid w:val="000B444A"/>
    <w:rsid w:val="000B4467"/>
    <w:rsid w:val="000B463E"/>
    <w:rsid w:val="000B4DB9"/>
    <w:rsid w:val="000B579D"/>
    <w:rsid w:val="000B5C50"/>
    <w:rsid w:val="000B62A1"/>
    <w:rsid w:val="000C0911"/>
    <w:rsid w:val="000C09AC"/>
    <w:rsid w:val="000C10FC"/>
    <w:rsid w:val="000C1871"/>
    <w:rsid w:val="000C1A8D"/>
    <w:rsid w:val="000C2911"/>
    <w:rsid w:val="000C5475"/>
    <w:rsid w:val="000C599B"/>
    <w:rsid w:val="000C767F"/>
    <w:rsid w:val="000D0C80"/>
    <w:rsid w:val="000D1AFE"/>
    <w:rsid w:val="000D1B58"/>
    <w:rsid w:val="000D25ED"/>
    <w:rsid w:val="000D5A44"/>
    <w:rsid w:val="000E02EF"/>
    <w:rsid w:val="000E1607"/>
    <w:rsid w:val="000E2863"/>
    <w:rsid w:val="000E3251"/>
    <w:rsid w:val="000E3A1F"/>
    <w:rsid w:val="000E3ED2"/>
    <w:rsid w:val="000E4206"/>
    <w:rsid w:val="000E4F65"/>
    <w:rsid w:val="000E52B0"/>
    <w:rsid w:val="000E5782"/>
    <w:rsid w:val="000E5CE0"/>
    <w:rsid w:val="000E76C9"/>
    <w:rsid w:val="000F29FC"/>
    <w:rsid w:val="000F3D79"/>
    <w:rsid w:val="000F46A5"/>
    <w:rsid w:val="000F6C2D"/>
    <w:rsid w:val="000F6E64"/>
    <w:rsid w:val="001027DD"/>
    <w:rsid w:val="00102C02"/>
    <w:rsid w:val="0010336F"/>
    <w:rsid w:val="00103A20"/>
    <w:rsid w:val="0010422A"/>
    <w:rsid w:val="00104334"/>
    <w:rsid w:val="001043AE"/>
    <w:rsid w:val="0010662F"/>
    <w:rsid w:val="00106BCE"/>
    <w:rsid w:val="001079AC"/>
    <w:rsid w:val="00110DBA"/>
    <w:rsid w:val="001121B4"/>
    <w:rsid w:val="0011291B"/>
    <w:rsid w:val="00113134"/>
    <w:rsid w:val="00113FA7"/>
    <w:rsid w:val="0011706D"/>
    <w:rsid w:val="00117758"/>
    <w:rsid w:val="00117796"/>
    <w:rsid w:val="00120B30"/>
    <w:rsid w:val="00120EB5"/>
    <w:rsid w:val="0012184E"/>
    <w:rsid w:val="00123160"/>
    <w:rsid w:val="00124DAE"/>
    <w:rsid w:val="001253E9"/>
    <w:rsid w:val="00125DC7"/>
    <w:rsid w:val="00126061"/>
    <w:rsid w:val="00127127"/>
    <w:rsid w:val="0012735E"/>
    <w:rsid w:val="001274FF"/>
    <w:rsid w:val="0013174E"/>
    <w:rsid w:val="00131A42"/>
    <w:rsid w:val="00131F42"/>
    <w:rsid w:val="00132B5C"/>
    <w:rsid w:val="0013386C"/>
    <w:rsid w:val="00134773"/>
    <w:rsid w:val="001349C6"/>
    <w:rsid w:val="00134FD7"/>
    <w:rsid w:val="0013531D"/>
    <w:rsid w:val="001357F1"/>
    <w:rsid w:val="00135D69"/>
    <w:rsid w:val="00140FA8"/>
    <w:rsid w:val="0014109E"/>
    <w:rsid w:val="001415E6"/>
    <w:rsid w:val="00142B38"/>
    <w:rsid w:val="00142FEB"/>
    <w:rsid w:val="00143A2D"/>
    <w:rsid w:val="00143E52"/>
    <w:rsid w:val="00144324"/>
    <w:rsid w:val="00145031"/>
    <w:rsid w:val="0014547B"/>
    <w:rsid w:val="0014561D"/>
    <w:rsid w:val="00145A41"/>
    <w:rsid w:val="0014607C"/>
    <w:rsid w:val="00146DCD"/>
    <w:rsid w:val="00147C5A"/>
    <w:rsid w:val="00150C45"/>
    <w:rsid w:val="00151675"/>
    <w:rsid w:val="001522B9"/>
    <w:rsid w:val="00152438"/>
    <w:rsid w:val="00152A07"/>
    <w:rsid w:val="0015378C"/>
    <w:rsid w:val="00154D33"/>
    <w:rsid w:val="001554E7"/>
    <w:rsid w:val="00155907"/>
    <w:rsid w:val="00156899"/>
    <w:rsid w:val="001568DE"/>
    <w:rsid w:val="00157266"/>
    <w:rsid w:val="00157435"/>
    <w:rsid w:val="001601F4"/>
    <w:rsid w:val="001604D8"/>
    <w:rsid w:val="00160A64"/>
    <w:rsid w:val="00161550"/>
    <w:rsid w:val="00161BD3"/>
    <w:rsid w:val="00161EEE"/>
    <w:rsid w:val="00163CBC"/>
    <w:rsid w:val="00165900"/>
    <w:rsid w:val="00166886"/>
    <w:rsid w:val="00166B32"/>
    <w:rsid w:val="001671F2"/>
    <w:rsid w:val="00167952"/>
    <w:rsid w:val="00171002"/>
    <w:rsid w:val="00171120"/>
    <w:rsid w:val="00171633"/>
    <w:rsid w:val="0017180C"/>
    <w:rsid w:val="00171C34"/>
    <w:rsid w:val="00172465"/>
    <w:rsid w:val="00172AFC"/>
    <w:rsid w:val="00173071"/>
    <w:rsid w:val="001744FC"/>
    <w:rsid w:val="00174577"/>
    <w:rsid w:val="001746AD"/>
    <w:rsid w:val="00174846"/>
    <w:rsid w:val="00174AF6"/>
    <w:rsid w:val="0017504D"/>
    <w:rsid w:val="001750FF"/>
    <w:rsid w:val="00175A5C"/>
    <w:rsid w:val="001762A1"/>
    <w:rsid w:val="0017671A"/>
    <w:rsid w:val="00177422"/>
    <w:rsid w:val="00177863"/>
    <w:rsid w:val="00177F2F"/>
    <w:rsid w:val="00177F34"/>
    <w:rsid w:val="00180781"/>
    <w:rsid w:val="001834AC"/>
    <w:rsid w:val="001838D8"/>
    <w:rsid w:val="00183D58"/>
    <w:rsid w:val="00184590"/>
    <w:rsid w:val="00185863"/>
    <w:rsid w:val="00186256"/>
    <w:rsid w:val="001870D1"/>
    <w:rsid w:val="0018781E"/>
    <w:rsid w:val="00187DB0"/>
    <w:rsid w:val="001905E8"/>
    <w:rsid w:val="00190F9C"/>
    <w:rsid w:val="0019150F"/>
    <w:rsid w:val="0019262D"/>
    <w:rsid w:val="00193FCE"/>
    <w:rsid w:val="00194282"/>
    <w:rsid w:val="00194E89"/>
    <w:rsid w:val="0019537D"/>
    <w:rsid w:val="001959AF"/>
    <w:rsid w:val="001A10D5"/>
    <w:rsid w:val="001A1B35"/>
    <w:rsid w:val="001A2A61"/>
    <w:rsid w:val="001A2B03"/>
    <w:rsid w:val="001A3384"/>
    <w:rsid w:val="001A34E5"/>
    <w:rsid w:val="001A48A2"/>
    <w:rsid w:val="001A666A"/>
    <w:rsid w:val="001A6F61"/>
    <w:rsid w:val="001B0365"/>
    <w:rsid w:val="001B07C7"/>
    <w:rsid w:val="001B15B4"/>
    <w:rsid w:val="001B1AB1"/>
    <w:rsid w:val="001B32EA"/>
    <w:rsid w:val="001B4959"/>
    <w:rsid w:val="001B4D07"/>
    <w:rsid w:val="001B54E9"/>
    <w:rsid w:val="001B5B79"/>
    <w:rsid w:val="001B5F68"/>
    <w:rsid w:val="001B6342"/>
    <w:rsid w:val="001B686B"/>
    <w:rsid w:val="001B6FB9"/>
    <w:rsid w:val="001B72AD"/>
    <w:rsid w:val="001B72B8"/>
    <w:rsid w:val="001B7BD4"/>
    <w:rsid w:val="001C0342"/>
    <w:rsid w:val="001C120E"/>
    <w:rsid w:val="001C16CC"/>
    <w:rsid w:val="001C17F2"/>
    <w:rsid w:val="001C1A09"/>
    <w:rsid w:val="001C2091"/>
    <w:rsid w:val="001C2A04"/>
    <w:rsid w:val="001C2F59"/>
    <w:rsid w:val="001C65C0"/>
    <w:rsid w:val="001C69B3"/>
    <w:rsid w:val="001C7236"/>
    <w:rsid w:val="001D1232"/>
    <w:rsid w:val="001D1BC2"/>
    <w:rsid w:val="001D1C0D"/>
    <w:rsid w:val="001D2C6E"/>
    <w:rsid w:val="001D2C77"/>
    <w:rsid w:val="001D2D01"/>
    <w:rsid w:val="001D5595"/>
    <w:rsid w:val="001D5818"/>
    <w:rsid w:val="001D6A1E"/>
    <w:rsid w:val="001D7656"/>
    <w:rsid w:val="001D7874"/>
    <w:rsid w:val="001D7F22"/>
    <w:rsid w:val="001E07CE"/>
    <w:rsid w:val="001E0C9C"/>
    <w:rsid w:val="001E1263"/>
    <w:rsid w:val="001E14CF"/>
    <w:rsid w:val="001E1A3D"/>
    <w:rsid w:val="001E1B80"/>
    <w:rsid w:val="001E21F6"/>
    <w:rsid w:val="001E26F0"/>
    <w:rsid w:val="001E29FE"/>
    <w:rsid w:val="001E3238"/>
    <w:rsid w:val="001E409A"/>
    <w:rsid w:val="001E4959"/>
    <w:rsid w:val="001E4A52"/>
    <w:rsid w:val="001E52A2"/>
    <w:rsid w:val="001E5BAD"/>
    <w:rsid w:val="001E69BC"/>
    <w:rsid w:val="001E6CB9"/>
    <w:rsid w:val="001E76E4"/>
    <w:rsid w:val="001E7EF0"/>
    <w:rsid w:val="001F0486"/>
    <w:rsid w:val="001F0F17"/>
    <w:rsid w:val="001F267A"/>
    <w:rsid w:val="001F2811"/>
    <w:rsid w:val="001F3347"/>
    <w:rsid w:val="001F377B"/>
    <w:rsid w:val="001F4B06"/>
    <w:rsid w:val="001F5DBE"/>
    <w:rsid w:val="001F6198"/>
    <w:rsid w:val="001F625C"/>
    <w:rsid w:val="001F66B0"/>
    <w:rsid w:val="001F69E4"/>
    <w:rsid w:val="001F7EC7"/>
    <w:rsid w:val="00200C22"/>
    <w:rsid w:val="0020213F"/>
    <w:rsid w:val="00202A0C"/>
    <w:rsid w:val="00202B88"/>
    <w:rsid w:val="00203955"/>
    <w:rsid w:val="00203FF0"/>
    <w:rsid w:val="00204B01"/>
    <w:rsid w:val="00210F08"/>
    <w:rsid w:val="002116FA"/>
    <w:rsid w:val="0021194B"/>
    <w:rsid w:val="0021245E"/>
    <w:rsid w:val="002125B4"/>
    <w:rsid w:val="00212A2C"/>
    <w:rsid w:val="0021392F"/>
    <w:rsid w:val="002149BD"/>
    <w:rsid w:val="002155B8"/>
    <w:rsid w:val="00215E96"/>
    <w:rsid w:val="00216447"/>
    <w:rsid w:val="00217720"/>
    <w:rsid w:val="00217FF9"/>
    <w:rsid w:val="00220FE5"/>
    <w:rsid w:val="00221F3D"/>
    <w:rsid w:val="00224839"/>
    <w:rsid w:val="002249B2"/>
    <w:rsid w:val="00224CE4"/>
    <w:rsid w:val="0022514F"/>
    <w:rsid w:val="00226574"/>
    <w:rsid w:val="002278EC"/>
    <w:rsid w:val="00227A3B"/>
    <w:rsid w:val="002316BD"/>
    <w:rsid w:val="0023193E"/>
    <w:rsid w:val="00231F32"/>
    <w:rsid w:val="0023280E"/>
    <w:rsid w:val="00233ADF"/>
    <w:rsid w:val="002345BA"/>
    <w:rsid w:val="00234C4A"/>
    <w:rsid w:val="0023568B"/>
    <w:rsid w:val="0023597E"/>
    <w:rsid w:val="0023727A"/>
    <w:rsid w:val="002377D1"/>
    <w:rsid w:val="00240083"/>
    <w:rsid w:val="00240295"/>
    <w:rsid w:val="00240995"/>
    <w:rsid w:val="00241665"/>
    <w:rsid w:val="00242054"/>
    <w:rsid w:val="0024454D"/>
    <w:rsid w:val="002454E9"/>
    <w:rsid w:val="00246EE5"/>
    <w:rsid w:val="00247107"/>
    <w:rsid w:val="00247F2F"/>
    <w:rsid w:val="002506BC"/>
    <w:rsid w:val="00253B6F"/>
    <w:rsid w:val="00254345"/>
    <w:rsid w:val="002544BC"/>
    <w:rsid w:val="00255118"/>
    <w:rsid w:val="002563A5"/>
    <w:rsid w:val="00256585"/>
    <w:rsid w:val="00257B03"/>
    <w:rsid w:val="00257E79"/>
    <w:rsid w:val="00260075"/>
    <w:rsid w:val="00260362"/>
    <w:rsid w:val="00260B04"/>
    <w:rsid w:val="00261013"/>
    <w:rsid w:val="0026110F"/>
    <w:rsid w:val="00262136"/>
    <w:rsid w:val="00262C10"/>
    <w:rsid w:val="00263F3F"/>
    <w:rsid w:val="0026427D"/>
    <w:rsid w:val="00264557"/>
    <w:rsid w:val="00264E69"/>
    <w:rsid w:val="00265AAF"/>
    <w:rsid w:val="0026605B"/>
    <w:rsid w:val="00266987"/>
    <w:rsid w:val="00266E44"/>
    <w:rsid w:val="00267DA8"/>
    <w:rsid w:val="00272809"/>
    <w:rsid w:val="00272922"/>
    <w:rsid w:val="00272927"/>
    <w:rsid w:val="002732D1"/>
    <w:rsid w:val="002735C9"/>
    <w:rsid w:val="0027613A"/>
    <w:rsid w:val="00276F80"/>
    <w:rsid w:val="0027741E"/>
    <w:rsid w:val="00277538"/>
    <w:rsid w:val="002805AB"/>
    <w:rsid w:val="002811A3"/>
    <w:rsid w:val="002823DA"/>
    <w:rsid w:val="00282503"/>
    <w:rsid w:val="00282559"/>
    <w:rsid w:val="00282B81"/>
    <w:rsid w:val="002837E1"/>
    <w:rsid w:val="00283CB3"/>
    <w:rsid w:val="00284204"/>
    <w:rsid w:val="00284F14"/>
    <w:rsid w:val="002853C4"/>
    <w:rsid w:val="0028561E"/>
    <w:rsid w:val="002874CF"/>
    <w:rsid w:val="002901CB"/>
    <w:rsid w:val="00290490"/>
    <w:rsid w:val="00291773"/>
    <w:rsid w:val="00291DAF"/>
    <w:rsid w:val="00291FF8"/>
    <w:rsid w:val="00292D72"/>
    <w:rsid w:val="0029304A"/>
    <w:rsid w:val="00293594"/>
    <w:rsid w:val="00293D69"/>
    <w:rsid w:val="00295000"/>
    <w:rsid w:val="00295244"/>
    <w:rsid w:val="00295656"/>
    <w:rsid w:val="002A168C"/>
    <w:rsid w:val="002A278A"/>
    <w:rsid w:val="002A2BB2"/>
    <w:rsid w:val="002A3DC7"/>
    <w:rsid w:val="002A403D"/>
    <w:rsid w:val="002A46A7"/>
    <w:rsid w:val="002A5467"/>
    <w:rsid w:val="002A57D3"/>
    <w:rsid w:val="002A6F87"/>
    <w:rsid w:val="002B27B0"/>
    <w:rsid w:val="002B2E0A"/>
    <w:rsid w:val="002B3886"/>
    <w:rsid w:val="002B3A68"/>
    <w:rsid w:val="002B43F4"/>
    <w:rsid w:val="002B49E2"/>
    <w:rsid w:val="002B4A6C"/>
    <w:rsid w:val="002B4DAD"/>
    <w:rsid w:val="002B779F"/>
    <w:rsid w:val="002B7810"/>
    <w:rsid w:val="002B7B00"/>
    <w:rsid w:val="002B7BD1"/>
    <w:rsid w:val="002B7C44"/>
    <w:rsid w:val="002C1193"/>
    <w:rsid w:val="002C15AF"/>
    <w:rsid w:val="002C17C0"/>
    <w:rsid w:val="002C2B17"/>
    <w:rsid w:val="002C3204"/>
    <w:rsid w:val="002C3E80"/>
    <w:rsid w:val="002C49BB"/>
    <w:rsid w:val="002D0DDD"/>
    <w:rsid w:val="002D0E21"/>
    <w:rsid w:val="002D1575"/>
    <w:rsid w:val="002D165B"/>
    <w:rsid w:val="002D1A65"/>
    <w:rsid w:val="002D2156"/>
    <w:rsid w:val="002D2A67"/>
    <w:rsid w:val="002D2FD2"/>
    <w:rsid w:val="002D3243"/>
    <w:rsid w:val="002D36DE"/>
    <w:rsid w:val="002D3928"/>
    <w:rsid w:val="002D3DD0"/>
    <w:rsid w:val="002D4F5B"/>
    <w:rsid w:val="002D5CD6"/>
    <w:rsid w:val="002D5E2F"/>
    <w:rsid w:val="002D7478"/>
    <w:rsid w:val="002D7BC3"/>
    <w:rsid w:val="002E1F3A"/>
    <w:rsid w:val="002E298A"/>
    <w:rsid w:val="002E2EBF"/>
    <w:rsid w:val="002E3038"/>
    <w:rsid w:val="002E4A27"/>
    <w:rsid w:val="002E5B1C"/>
    <w:rsid w:val="002E6D07"/>
    <w:rsid w:val="002E7CC2"/>
    <w:rsid w:val="002F0204"/>
    <w:rsid w:val="002F0FE0"/>
    <w:rsid w:val="002F225A"/>
    <w:rsid w:val="002F3898"/>
    <w:rsid w:val="002F5DD5"/>
    <w:rsid w:val="002F617E"/>
    <w:rsid w:val="002F6671"/>
    <w:rsid w:val="002F6D8B"/>
    <w:rsid w:val="002F77A4"/>
    <w:rsid w:val="00301978"/>
    <w:rsid w:val="00301D2C"/>
    <w:rsid w:val="003027B5"/>
    <w:rsid w:val="0030332C"/>
    <w:rsid w:val="003051C2"/>
    <w:rsid w:val="003058C7"/>
    <w:rsid w:val="00305926"/>
    <w:rsid w:val="00305DDC"/>
    <w:rsid w:val="00305ECF"/>
    <w:rsid w:val="00305FB4"/>
    <w:rsid w:val="0030620B"/>
    <w:rsid w:val="00310AB1"/>
    <w:rsid w:val="00312296"/>
    <w:rsid w:val="00312894"/>
    <w:rsid w:val="00312C73"/>
    <w:rsid w:val="00312F1E"/>
    <w:rsid w:val="00313CCA"/>
    <w:rsid w:val="0031416D"/>
    <w:rsid w:val="00314A09"/>
    <w:rsid w:val="00314F0E"/>
    <w:rsid w:val="003154B1"/>
    <w:rsid w:val="00315B3C"/>
    <w:rsid w:val="00315B67"/>
    <w:rsid w:val="00316B48"/>
    <w:rsid w:val="00320040"/>
    <w:rsid w:val="00321D8E"/>
    <w:rsid w:val="00321F66"/>
    <w:rsid w:val="00324858"/>
    <w:rsid w:val="00324E33"/>
    <w:rsid w:val="003253D4"/>
    <w:rsid w:val="003258E7"/>
    <w:rsid w:val="00325928"/>
    <w:rsid w:val="00326A1A"/>
    <w:rsid w:val="0032720C"/>
    <w:rsid w:val="00327420"/>
    <w:rsid w:val="00327A30"/>
    <w:rsid w:val="00330114"/>
    <w:rsid w:val="00330719"/>
    <w:rsid w:val="0033079F"/>
    <w:rsid w:val="00330A7A"/>
    <w:rsid w:val="00331407"/>
    <w:rsid w:val="00331D49"/>
    <w:rsid w:val="0033264B"/>
    <w:rsid w:val="0033272A"/>
    <w:rsid w:val="00332823"/>
    <w:rsid w:val="00332863"/>
    <w:rsid w:val="00332979"/>
    <w:rsid w:val="00334586"/>
    <w:rsid w:val="0033684D"/>
    <w:rsid w:val="00336FBD"/>
    <w:rsid w:val="00337B42"/>
    <w:rsid w:val="00337F6A"/>
    <w:rsid w:val="00337F77"/>
    <w:rsid w:val="00341269"/>
    <w:rsid w:val="00341A39"/>
    <w:rsid w:val="00341B42"/>
    <w:rsid w:val="0034303E"/>
    <w:rsid w:val="0034348F"/>
    <w:rsid w:val="003436D5"/>
    <w:rsid w:val="00345CD3"/>
    <w:rsid w:val="0034662F"/>
    <w:rsid w:val="0035011B"/>
    <w:rsid w:val="003521C6"/>
    <w:rsid w:val="00352337"/>
    <w:rsid w:val="00353076"/>
    <w:rsid w:val="00354B50"/>
    <w:rsid w:val="003553B8"/>
    <w:rsid w:val="0035597E"/>
    <w:rsid w:val="00356223"/>
    <w:rsid w:val="00356653"/>
    <w:rsid w:val="0035743F"/>
    <w:rsid w:val="00357BE2"/>
    <w:rsid w:val="003609EF"/>
    <w:rsid w:val="0036170C"/>
    <w:rsid w:val="003626D9"/>
    <w:rsid w:val="00362B93"/>
    <w:rsid w:val="00363188"/>
    <w:rsid w:val="003632B0"/>
    <w:rsid w:val="00363B49"/>
    <w:rsid w:val="00364E88"/>
    <w:rsid w:val="00365326"/>
    <w:rsid w:val="0036699F"/>
    <w:rsid w:val="00366E0F"/>
    <w:rsid w:val="00367ADE"/>
    <w:rsid w:val="00370983"/>
    <w:rsid w:val="003717E2"/>
    <w:rsid w:val="0037186B"/>
    <w:rsid w:val="0037240F"/>
    <w:rsid w:val="00372981"/>
    <w:rsid w:val="00372C82"/>
    <w:rsid w:val="00374156"/>
    <w:rsid w:val="003745C1"/>
    <w:rsid w:val="00374741"/>
    <w:rsid w:val="0037755E"/>
    <w:rsid w:val="00381187"/>
    <w:rsid w:val="0038199E"/>
    <w:rsid w:val="00381A72"/>
    <w:rsid w:val="00382F0A"/>
    <w:rsid w:val="00384676"/>
    <w:rsid w:val="003847A0"/>
    <w:rsid w:val="003865D9"/>
    <w:rsid w:val="00386827"/>
    <w:rsid w:val="00387324"/>
    <w:rsid w:val="0038751A"/>
    <w:rsid w:val="00390857"/>
    <w:rsid w:val="00390B94"/>
    <w:rsid w:val="00392884"/>
    <w:rsid w:val="00392EE9"/>
    <w:rsid w:val="00393A76"/>
    <w:rsid w:val="003940E7"/>
    <w:rsid w:val="00396453"/>
    <w:rsid w:val="003A20E4"/>
    <w:rsid w:val="003A2111"/>
    <w:rsid w:val="003A238A"/>
    <w:rsid w:val="003A3427"/>
    <w:rsid w:val="003A396F"/>
    <w:rsid w:val="003A3F57"/>
    <w:rsid w:val="003A4BF3"/>
    <w:rsid w:val="003A554F"/>
    <w:rsid w:val="003A69F3"/>
    <w:rsid w:val="003A78EA"/>
    <w:rsid w:val="003A7F5F"/>
    <w:rsid w:val="003B061E"/>
    <w:rsid w:val="003B0A19"/>
    <w:rsid w:val="003B1609"/>
    <w:rsid w:val="003B1DA0"/>
    <w:rsid w:val="003B1DEF"/>
    <w:rsid w:val="003B1E28"/>
    <w:rsid w:val="003B2C29"/>
    <w:rsid w:val="003B34FA"/>
    <w:rsid w:val="003B3DBA"/>
    <w:rsid w:val="003B40B3"/>
    <w:rsid w:val="003B420D"/>
    <w:rsid w:val="003B4425"/>
    <w:rsid w:val="003B445E"/>
    <w:rsid w:val="003B51D9"/>
    <w:rsid w:val="003B560F"/>
    <w:rsid w:val="003B64E6"/>
    <w:rsid w:val="003B78F1"/>
    <w:rsid w:val="003B7CB6"/>
    <w:rsid w:val="003C056C"/>
    <w:rsid w:val="003C179C"/>
    <w:rsid w:val="003C199D"/>
    <w:rsid w:val="003C1FDD"/>
    <w:rsid w:val="003C2EF1"/>
    <w:rsid w:val="003C319A"/>
    <w:rsid w:val="003C49D8"/>
    <w:rsid w:val="003C4DB5"/>
    <w:rsid w:val="003C6279"/>
    <w:rsid w:val="003C62E1"/>
    <w:rsid w:val="003C6A4C"/>
    <w:rsid w:val="003C6C16"/>
    <w:rsid w:val="003D3134"/>
    <w:rsid w:val="003D327F"/>
    <w:rsid w:val="003D3758"/>
    <w:rsid w:val="003D3D6C"/>
    <w:rsid w:val="003D3FB2"/>
    <w:rsid w:val="003D4E74"/>
    <w:rsid w:val="003D4F78"/>
    <w:rsid w:val="003D5154"/>
    <w:rsid w:val="003D51CD"/>
    <w:rsid w:val="003D6492"/>
    <w:rsid w:val="003D6B3B"/>
    <w:rsid w:val="003D72BB"/>
    <w:rsid w:val="003D794D"/>
    <w:rsid w:val="003D7DE3"/>
    <w:rsid w:val="003E0237"/>
    <w:rsid w:val="003E0B1B"/>
    <w:rsid w:val="003E0D13"/>
    <w:rsid w:val="003E189A"/>
    <w:rsid w:val="003E2CBC"/>
    <w:rsid w:val="003E3058"/>
    <w:rsid w:val="003E310F"/>
    <w:rsid w:val="003E36F5"/>
    <w:rsid w:val="003E5611"/>
    <w:rsid w:val="003E5681"/>
    <w:rsid w:val="003E59FC"/>
    <w:rsid w:val="003E7495"/>
    <w:rsid w:val="003E76A9"/>
    <w:rsid w:val="003E7B79"/>
    <w:rsid w:val="003E7D05"/>
    <w:rsid w:val="003F002C"/>
    <w:rsid w:val="003F0809"/>
    <w:rsid w:val="003F1550"/>
    <w:rsid w:val="003F2FD3"/>
    <w:rsid w:val="003F31BC"/>
    <w:rsid w:val="003F3A72"/>
    <w:rsid w:val="003F417C"/>
    <w:rsid w:val="003F649A"/>
    <w:rsid w:val="003F6A8C"/>
    <w:rsid w:val="003F6DDE"/>
    <w:rsid w:val="003F755C"/>
    <w:rsid w:val="003F78FA"/>
    <w:rsid w:val="004001CE"/>
    <w:rsid w:val="00400645"/>
    <w:rsid w:val="00402537"/>
    <w:rsid w:val="0040336C"/>
    <w:rsid w:val="00403788"/>
    <w:rsid w:val="004050AA"/>
    <w:rsid w:val="00405AE2"/>
    <w:rsid w:val="00406F01"/>
    <w:rsid w:val="0040728B"/>
    <w:rsid w:val="004111C0"/>
    <w:rsid w:val="004117D6"/>
    <w:rsid w:val="00412B7B"/>
    <w:rsid w:val="004149FB"/>
    <w:rsid w:val="004159B8"/>
    <w:rsid w:val="00416C40"/>
    <w:rsid w:val="00416D50"/>
    <w:rsid w:val="00416FD5"/>
    <w:rsid w:val="004172F1"/>
    <w:rsid w:val="00417772"/>
    <w:rsid w:val="00420795"/>
    <w:rsid w:val="00420E6A"/>
    <w:rsid w:val="00421857"/>
    <w:rsid w:val="00421ADF"/>
    <w:rsid w:val="00422B2F"/>
    <w:rsid w:val="00422FCF"/>
    <w:rsid w:val="0042456A"/>
    <w:rsid w:val="004252E9"/>
    <w:rsid w:val="004254E0"/>
    <w:rsid w:val="00425A9E"/>
    <w:rsid w:val="00425BFE"/>
    <w:rsid w:val="00426830"/>
    <w:rsid w:val="0042684B"/>
    <w:rsid w:val="00426D6B"/>
    <w:rsid w:val="00426DAD"/>
    <w:rsid w:val="00427927"/>
    <w:rsid w:val="00427BA4"/>
    <w:rsid w:val="00427D96"/>
    <w:rsid w:val="00430BB5"/>
    <w:rsid w:val="00431E6C"/>
    <w:rsid w:val="00432669"/>
    <w:rsid w:val="00432C86"/>
    <w:rsid w:val="00433CE7"/>
    <w:rsid w:val="00434E8F"/>
    <w:rsid w:val="00437169"/>
    <w:rsid w:val="00440950"/>
    <w:rsid w:val="0044178E"/>
    <w:rsid w:val="004439A4"/>
    <w:rsid w:val="004446C9"/>
    <w:rsid w:val="00444797"/>
    <w:rsid w:val="00444943"/>
    <w:rsid w:val="004449CD"/>
    <w:rsid w:val="004459C1"/>
    <w:rsid w:val="004466F7"/>
    <w:rsid w:val="004471EB"/>
    <w:rsid w:val="00451040"/>
    <w:rsid w:val="00451BAC"/>
    <w:rsid w:val="004520F7"/>
    <w:rsid w:val="00452738"/>
    <w:rsid w:val="00453F57"/>
    <w:rsid w:val="00454107"/>
    <w:rsid w:val="00454B42"/>
    <w:rsid w:val="0045534E"/>
    <w:rsid w:val="00455C40"/>
    <w:rsid w:val="00456091"/>
    <w:rsid w:val="00456764"/>
    <w:rsid w:val="004608E5"/>
    <w:rsid w:val="00460FE5"/>
    <w:rsid w:val="00461253"/>
    <w:rsid w:val="00461459"/>
    <w:rsid w:val="00461DE4"/>
    <w:rsid w:val="00462B0A"/>
    <w:rsid w:val="0046349F"/>
    <w:rsid w:val="00463815"/>
    <w:rsid w:val="00464097"/>
    <w:rsid w:val="004646F2"/>
    <w:rsid w:val="00464A00"/>
    <w:rsid w:val="00465BC6"/>
    <w:rsid w:val="00465E8E"/>
    <w:rsid w:val="004660EA"/>
    <w:rsid w:val="00466321"/>
    <w:rsid w:val="00467E63"/>
    <w:rsid w:val="0047090D"/>
    <w:rsid w:val="00470977"/>
    <w:rsid w:val="00470BEF"/>
    <w:rsid w:val="00472360"/>
    <w:rsid w:val="00475A44"/>
    <w:rsid w:val="00476398"/>
    <w:rsid w:val="0047702B"/>
    <w:rsid w:val="0047731A"/>
    <w:rsid w:val="004774EC"/>
    <w:rsid w:val="004775AC"/>
    <w:rsid w:val="00477D60"/>
    <w:rsid w:val="004802CD"/>
    <w:rsid w:val="00480717"/>
    <w:rsid w:val="00480B8D"/>
    <w:rsid w:val="00481FDE"/>
    <w:rsid w:val="00482DF3"/>
    <w:rsid w:val="004834EC"/>
    <w:rsid w:val="00483D02"/>
    <w:rsid w:val="00484356"/>
    <w:rsid w:val="00484364"/>
    <w:rsid w:val="00484424"/>
    <w:rsid w:val="00484B9B"/>
    <w:rsid w:val="004855F6"/>
    <w:rsid w:val="00485A06"/>
    <w:rsid w:val="0048661E"/>
    <w:rsid w:val="00487215"/>
    <w:rsid w:val="00491308"/>
    <w:rsid w:val="004921CD"/>
    <w:rsid w:val="0049244D"/>
    <w:rsid w:val="00492D86"/>
    <w:rsid w:val="00493081"/>
    <w:rsid w:val="00493777"/>
    <w:rsid w:val="00493D70"/>
    <w:rsid w:val="0049427E"/>
    <w:rsid w:val="00494670"/>
    <w:rsid w:val="004947DD"/>
    <w:rsid w:val="00496EE9"/>
    <w:rsid w:val="00497015"/>
    <w:rsid w:val="004A0830"/>
    <w:rsid w:val="004A2657"/>
    <w:rsid w:val="004A3823"/>
    <w:rsid w:val="004A389A"/>
    <w:rsid w:val="004A5DF1"/>
    <w:rsid w:val="004A64DF"/>
    <w:rsid w:val="004A66FC"/>
    <w:rsid w:val="004A6DAB"/>
    <w:rsid w:val="004A7E40"/>
    <w:rsid w:val="004B0316"/>
    <w:rsid w:val="004B09C2"/>
    <w:rsid w:val="004B0FDE"/>
    <w:rsid w:val="004B44EA"/>
    <w:rsid w:val="004B4D22"/>
    <w:rsid w:val="004B6B09"/>
    <w:rsid w:val="004C01C7"/>
    <w:rsid w:val="004C15EB"/>
    <w:rsid w:val="004C1DCE"/>
    <w:rsid w:val="004C250E"/>
    <w:rsid w:val="004C3ACB"/>
    <w:rsid w:val="004C5CBA"/>
    <w:rsid w:val="004C6385"/>
    <w:rsid w:val="004C6A4A"/>
    <w:rsid w:val="004C7294"/>
    <w:rsid w:val="004C769F"/>
    <w:rsid w:val="004C7F06"/>
    <w:rsid w:val="004D08EC"/>
    <w:rsid w:val="004D1B69"/>
    <w:rsid w:val="004D20C9"/>
    <w:rsid w:val="004D2702"/>
    <w:rsid w:val="004D3AFD"/>
    <w:rsid w:val="004D3F4D"/>
    <w:rsid w:val="004D684A"/>
    <w:rsid w:val="004D6FE2"/>
    <w:rsid w:val="004D737B"/>
    <w:rsid w:val="004D7FF7"/>
    <w:rsid w:val="004E1332"/>
    <w:rsid w:val="004E169F"/>
    <w:rsid w:val="004E43D4"/>
    <w:rsid w:val="004E45BC"/>
    <w:rsid w:val="004E6349"/>
    <w:rsid w:val="004E6946"/>
    <w:rsid w:val="004E747B"/>
    <w:rsid w:val="004E7939"/>
    <w:rsid w:val="004F063A"/>
    <w:rsid w:val="004F166F"/>
    <w:rsid w:val="004F1AD8"/>
    <w:rsid w:val="004F20A3"/>
    <w:rsid w:val="004F2A5A"/>
    <w:rsid w:val="004F2AA5"/>
    <w:rsid w:val="004F4BBC"/>
    <w:rsid w:val="004F4F22"/>
    <w:rsid w:val="004F5151"/>
    <w:rsid w:val="004F560F"/>
    <w:rsid w:val="004F56D6"/>
    <w:rsid w:val="004F594A"/>
    <w:rsid w:val="004F7245"/>
    <w:rsid w:val="004F75F2"/>
    <w:rsid w:val="004F7B8F"/>
    <w:rsid w:val="00500C00"/>
    <w:rsid w:val="00501E4E"/>
    <w:rsid w:val="00502F23"/>
    <w:rsid w:val="005039CB"/>
    <w:rsid w:val="00503A94"/>
    <w:rsid w:val="005044E4"/>
    <w:rsid w:val="0050558F"/>
    <w:rsid w:val="00505A94"/>
    <w:rsid w:val="00506286"/>
    <w:rsid w:val="00507819"/>
    <w:rsid w:val="00510498"/>
    <w:rsid w:val="00510813"/>
    <w:rsid w:val="00511990"/>
    <w:rsid w:val="00511DE0"/>
    <w:rsid w:val="005120A7"/>
    <w:rsid w:val="00512C06"/>
    <w:rsid w:val="00512F30"/>
    <w:rsid w:val="00513106"/>
    <w:rsid w:val="0051378B"/>
    <w:rsid w:val="00514870"/>
    <w:rsid w:val="00514B9B"/>
    <w:rsid w:val="00515045"/>
    <w:rsid w:val="0051529E"/>
    <w:rsid w:val="0051588C"/>
    <w:rsid w:val="00516888"/>
    <w:rsid w:val="0051777F"/>
    <w:rsid w:val="00517F02"/>
    <w:rsid w:val="0052059F"/>
    <w:rsid w:val="005224AC"/>
    <w:rsid w:val="00522F7F"/>
    <w:rsid w:val="00524303"/>
    <w:rsid w:val="00524D1D"/>
    <w:rsid w:val="00524E2A"/>
    <w:rsid w:val="005252C4"/>
    <w:rsid w:val="005258A2"/>
    <w:rsid w:val="00525BE0"/>
    <w:rsid w:val="0052640F"/>
    <w:rsid w:val="00526594"/>
    <w:rsid w:val="00526D31"/>
    <w:rsid w:val="00526EE9"/>
    <w:rsid w:val="00531CC6"/>
    <w:rsid w:val="00532017"/>
    <w:rsid w:val="00532346"/>
    <w:rsid w:val="0053458A"/>
    <w:rsid w:val="00534C84"/>
    <w:rsid w:val="00535680"/>
    <w:rsid w:val="005401AE"/>
    <w:rsid w:val="00540E61"/>
    <w:rsid w:val="0054130E"/>
    <w:rsid w:val="0054162D"/>
    <w:rsid w:val="00542295"/>
    <w:rsid w:val="00542E07"/>
    <w:rsid w:val="00543763"/>
    <w:rsid w:val="00543F0E"/>
    <w:rsid w:val="005442A7"/>
    <w:rsid w:val="00545424"/>
    <w:rsid w:val="00546472"/>
    <w:rsid w:val="005465F9"/>
    <w:rsid w:val="005508A5"/>
    <w:rsid w:val="00551DED"/>
    <w:rsid w:val="00552CF3"/>
    <w:rsid w:val="005533EE"/>
    <w:rsid w:val="005538C9"/>
    <w:rsid w:val="0055450B"/>
    <w:rsid w:val="00554A7B"/>
    <w:rsid w:val="00555621"/>
    <w:rsid w:val="0055572C"/>
    <w:rsid w:val="00556015"/>
    <w:rsid w:val="0055675B"/>
    <w:rsid w:val="00556CC5"/>
    <w:rsid w:val="00557043"/>
    <w:rsid w:val="00557CA0"/>
    <w:rsid w:val="005600C8"/>
    <w:rsid w:val="0056106A"/>
    <w:rsid w:val="0056182F"/>
    <w:rsid w:val="00562136"/>
    <w:rsid w:val="00563561"/>
    <w:rsid w:val="00563C64"/>
    <w:rsid w:val="00564F1C"/>
    <w:rsid w:val="005669C4"/>
    <w:rsid w:val="00566B0E"/>
    <w:rsid w:val="00566B29"/>
    <w:rsid w:val="00566C3C"/>
    <w:rsid w:val="005671E2"/>
    <w:rsid w:val="005673A8"/>
    <w:rsid w:val="00570BDD"/>
    <w:rsid w:val="00570C0C"/>
    <w:rsid w:val="005720AE"/>
    <w:rsid w:val="00573084"/>
    <w:rsid w:val="0057352D"/>
    <w:rsid w:val="00574C4A"/>
    <w:rsid w:val="0057543F"/>
    <w:rsid w:val="005761F9"/>
    <w:rsid w:val="00576C2E"/>
    <w:rsid w:val="005772C1"/>
    <w:rsid w:val="005808AD"/>
    <w:rsid w:val="00580938"/>
    <w:rsid w:val="005826EF"/>
    <w:rsid w:val="00584ADB"/>
    <w:rsid w:val="00584E22"/>
    <w:rsid w:val="00585D01"/>
    <w:rsid w:val="005861EA"/>
    <w:rsid w:val="005875A3"/>
    <w:rsid w:val="005902F1"/>
    <w:rsid w:val="00590674"/>
    <w:rsid w:val="0059088B"/>
    <w:rsid w:val="0059107A"/>
    <w:rsid w:val="005915EF"/>
    <w:rsid w:val="00591627"/>
    <w:rsid w:val="0059211E"/>
    <w:rsid w:val="005938EB"/>
    <w:rsid w:val="00593E75"/>
    <w:rsid w:val="00594979"/>
    <w:rsid w:val="00594C14"/>
    <w:rsid w:val="00594D77"/>
    <w:rsid w:val="00595B1E"/>
    <w:rsid w:val="005962FD"/>
    <w:rsid w:val="00596707"/>
    <w:rsid w:val="005969E4"/>
    <w:rsid w:val="005979F7"/>
    <w:rsid w:val="005A0238"/>
    <w:rsid w:val="005A06B7"/>
    <w:rsid w:val="005A11EA"/>
    <w:rsid w:val="005A1759"/>
    <w:rsid w:val="005A2373"/>
    <w:rsid w:val="005A2725"/>
    <w:rsid w:val="005A383B"/>
    <w:rsid w:val="005A4133"/>
    <w:rsid w:val="005A4553"/>
    <w:rsid w:val="005A5F34"/>
    <w:rsid w:val="005A5F8D"/>
    <w:rsid w:val="005A68A7"/>
    <w:rsid w:val="005A6AAF"/>
    <w:rsid w:val="005A6B88"/>
    <w:rsid w:val="005A6BB8"/>
    <w:rsid w:val="005B2FA1"/>
    <w:rsid w:val="005B2FEA"/>
    <w:rsid w:val="005B4B7A"/>
    <w:rsid w:val="005B6465"/>
    <w:rsid w:val="005B6825"/>
    <w:rsid w:val="005B6857"/>
    <w:rsid w:val="005B7733"/>
    <w:rsid w:val="005C01A9"/>
    <w:rsid w:val="005C0219"/>
    <w:rsid w:val="005C0D21"/>
    <w:rsid w:val="005C0DFD"/>
    <w:rsid w:val="005C1640"/>
    <w:rsid w:val="005C1D3E"/>
    <w:rsid w:val="005C1F59"/>
    <w:rsid w:val="005C22EF"/>
    <w:rsid w:val="005C2571"/>
    <w:rsid w:val="005C3C24"/>
    <w:rsid w:val="005C455D"/>
    <w:rsid w:val="005C695A"/>
    <w:rsid w:val="005C6B75"/>
    <w:rsid w:val="005C7137"/>
    <w:rsid w:val="005C7787"/>
    <w:rsid w:val="005D0777"/>
    <w:rsid w:val="005D1076"/>
    <w:rsid w:val="005D24C0"/>
    <w:rsid w:val="005D36AB"/>
    <w:rsid w:val="005D472C"/>
    <w:rsid w:val="005D56AE"/>
    <w:rsid w:val="005D5FB5"/>
    <w:rsid w:val="005D61D0"/>
    <w:rsid w:val="005E1C6A"/>
    <w:rsid w:val="005E2396"/>
    <w:rsid w:val="005E2F74"/>
    <w:rsid w:val="005E3538"/>
    <w:rsid w:val="005E3FE7"/>
    <w:rsid w:val="005E50DC"/>
    <w:rsid w:val="005E5DFA"/>
    <w:rsid w:val="005E65E4"/>
    <w:rsid w:val="005E74A5"/>
    <w:rsid w:val="005E776E"/>
    <w:rsid w:val="005E7E75"/>
    <w:rsid w:val="005E7E82"/>
    <w:rsid w:val="005F06A7"/>
    <w:rsid w:val="005F0D10"/>
    <w:rsid w:val="005F16C9"/>
    <w:rsid w:val="005F2D36"/>
    <w:rsid w:val="005F4431"/>
    <w:rsid w:val="005F5162"/>
    <w:rsid w:val="005F59D2"/>
    <w:rsid w:val="005F66A5"/>
    <w:rsid w:val="005F685F"/>
    <w:rsid w:val="0060027F"/>
    <w:rsid w:val="00600F2E"/>
    <w:rsid w:val="00600F33"/>
    <w:rsid w:val="00600F70"/>
    <w:rsid w:val="006018CE"/>
    <w:rsid w:val="0060425C"/>
    <w:rsid w:val="0060509D"/>
    <w:rsid w:val="00605F0F"/>
    <w:rsid w:val="0061378A"/>
    <w:rsid w:val="006138AD"/>
    <w:rsid w:val="00614AD3"/>
    <w:rsid w:val="00616119"/>
    <w:rsid w:val="00616134"/>
    <w:rsid w:val="0061638D"/>
    <w:rsid w:val="006163CF"/>
    <w:rsid w:val="0061674A"/>
    <w:rsid w:val="00617CC3"/>
    <w:rsid w:val="00623660"/>
    <w:rsid w:val="00623859"/>
    <w:rsid w:val="00623E5F"/>
    <w:rsid w:val="006258DF"/>
    <w:rsid w:val="00625CDE"/>
    <w:rsid w:val="00626015"/>
    <w:rsid w:val="006268FC"/>
    <w:rsid w:val="006301A4"/>
    <w:rsid w:val="00633307"/>
    <w:rsid w:val="00633EC0"/>
    <w:rsid w:val="00634D7D"/>
    <w:rsid w:val="00635991"/>
    <w:rsid w:val="00635A30"/>
    <w:rsid w:val="00636277"/>
    <w:rsid w:val="00636B1E"/>
    <w:rsid w:val="006373EE"/>
    <w:rsid w:val="006377A6"/>
    <w:rsid w:val="00637A3D"/>
    <w:rsid w:val="00640470"/>
    <w:rsid w:val="00640BB7"/>
    <w:rsid w:val="006411EF"/>
    <w:rsid w:val="00641886"/>
    <w:rsid w:val="0064208A"/>
    <w:rsid w:val="006432EE"/>
    <w:rsid w:val="006434D3"/>
    <w:rsid w:val="00643BE8"/>
    <w:rsid w:val="006441DB"/>
    <w:rsid w:val="006446E9"/>
    <w:rsid w:val="00647746"/>
    <w:rsid w:val="006500B3"/>
    <w:rsid w:val="00652201"/>
    <w:rsid w:val="00653265"/>
    <w:rsid w:val="006534B6"/>
    <w:rsid w:val="006560DB"/>
    <w:rsid w:val="006570D2"/>
    <w:rsid w:val="00657273"/>
    <w:rsid w:val="00657EA6"/>
    <w:rsid w:val="00661408"/>
    <w:rsid w:val="00661B20"/>
    <w:rsid w:val="00662BA9"/>
    <w:rsid w:val="00662C13"/>
    <w:rsid w:val="00665200"/>
    <w:rsid w:val="006655D7"/>
    <w:rsid w:val="00666854"/>
    <w:rsid w:val="00667C43"/>
    <w:rsid w:val="006706F0"/>
    <w:rsid w:val="00671C94"/>
    <w:rsid w:val="00671E4E"/>
    <w:rsid w:val="006738E6"/>
    <w:rsid w:val="00674742"/>
    <w:rsid w:val="006748B8"/>
    <w:rsid w:val="00677522"/>
    <w:rsid w:val="006775C3"/>
    <w:rsid w:val="00677ADE"/>
    <w:rsid w:val="00680567"/>
    <w:rsid w:val="00681640"/>
    <w:rsid w:val="0068192B"/>
    <w:rsid w:val="00683488"/>
    <w:rsid w:val="0068424B"/>
    <w:rsid w:val="006846B5"/>
    <w:rsid w:val="00684CE9"/>
    <w:rsid w:val="006857E2"/>
    <w:rsid w:val="0069003F"/>
    <w:rsid w:val="0069290A"/>
    <w:rsid w:val="00692B49"/>
    <w:rsid w:val="00693675"/>
    <w:rsid w:val="006937DC"/>
    <w:rsid w:val="00693B61"/>
    <w:rsid w:val="006948B6"/>
    <w:rsid w:val="006954E6"/>
    <w:rsid w:val="0069775A"/>
    <w:rsid w:val="00697813"/>
    <w:rsid w:val="00697A23"/>
    <w:rsid w:val="006A1EAC"/>
    <w:rsid w:val="006A2C2F"/>
    <w:rsid w:val="006A3EE8"/>
    <w:rsid w:val="006A460C"/>
    <w:rsid w:val="006A473A"/>
    <w:rsid w:val="006A600C"/>
    <w:rsid w:val="006A676B"/>
    <w:rsid w:val="006A6BE3"/>
    <w:rsid w:val="006A72BF"/>
    <w:rsid w:val="006A73C1"/>
    <w:rsid w:val="006A753D"/>
    <w:rsid w:val="006A793F"/>
    <w:rsid w:val="006B03F2"/>
    <w:rsid w:val="006B2986"/>
    <w:rsid w:val="006B37DC"/>
    <w:rsid w:val="006B388E"/>
    <w:rsid w:val="006B389C"/>
    <w:rsid w:val="006B3BA7"/>
    <w:rsid w:val="006B4F68"/>
    <w:rsid w:val="006B5077"/>
    <w:rsid w:val="006B5293"/>
    <w:rsid w:val="006B555A"/>
    <w:rsid w:val="006B5B4B"/>
    <w:rsid w:val="006B60D3"/>
    <w:rsid w:val="006B62E1"/>
    <w:rsid w:val="006B7B98"/>
    <w:rsid w:val="006C0592"/>
    <w:rsid w:val="006C16C9"/>
    <w:rsid w:val="006C175A"/>
    <w:rsid w:val="006C1B52"/>
    <w:rsid w:val="006C2385"/>
    <w:rsid w:val="006C2516"/>
    <w:rsid w:val="006C272E"/>
    <w:rsid w:val="006C327C"/>
    <w:rsid w:val="006C3A2A"/>
    <w:rsid w:val="006C3EA8"/>
    <w:rsid w:val="006C4576"/>
    <w:rsid w:val="006C5479"/>
    <w:rsid w:val="006C5B03"/>
    <w:rsid w:val="006C7231"/>
    <w:rsid w:val="006C770B"/>
    <w:rsid w:val="006C7861"/>
    <w:rsid w:val="006D0177"/>
    <w:rsid w:val="006D08F3"/>
    <w:rsid w:val="006D13B5"/>
    <w:rsid w:val="006D15C8"/>
    <w:rsid w:val="006D1BEF"/>
    <w:rsid w:val="006D1EB0"/>
    <w:rsid w:val="006D24FA"/>
    <w:rsid w:val="006D30B3"/>
    <w:rsid w:val="006D35D3"/>
    <w:rsid w:val="006D609D"/>
    <w:rsid w:val="006D7AF1"/>
    <w:rsid w:val="006E0FA8"/>
    <w:rsid w:val="006E12FF"/>
    <w:rsid w:val="006E2B81"/>
    <w:rsid w:val="006E4086"/>
    <w:rsid w:val="006E46B6"/>
    <w:rsid w:val="006E46D6"/>
    <w:rsid w:val="006E4ADE"/>
    <w:rsid w:val="006E58BB"/>
    <w:rsid w:val="006E607E"/>
    <w:rsid w:val="006E79C3"/>
    <w:rsid w:val="006E7F78"/>
    <w:rsid w:val="006F0BAD"/>
    <w:rsid w:val="006F0D6D"/>
    <w:rsid w:val="006F1787"/>
    <w:rsid w:val="006F3258"/>
    <w:rsid w:val="006F33AA"/>
    <w:rsid w:val="006F4D4A"/>
    <w:rsid w:val="006F54D7"/>
    <w:rsid w:val="006F651C"/>
    <w:rsid w:val="006F6742"/>
    <w:rsid w:val="006F6DBC"/>
    <w:rsid w:val="006F7215"/>
    <w:rsid w:val="00700EE4"/>
    <w:rsid w:val="00700F7D"/>
    <w:rsid w:val="007013B3"/>
    <w:rsid w:val="007046DC"/>
    <w:rsid w:val="00704C26"/>
    <w:rsid w:val="0070592C"/>
    <w:rsid w:val="00705BD4"/>
    <w:rsid w:val="00706C5D"/>
    <w:rsid w:val="00707438"/>
    <w:rsid w:val="00707972"/>
    <w:rsid w:val="00710993"/>
    <w:rsid w:val="00710D72"/>
    <w:rsid w:val="00711825"/>
    <w:rsid w:val="00711A42"/>
    <w:rsid w:val="00711B31"/>
    <w:rsid w:val="007121A0"/>
    <w:rsid w:val="00713DF9"/>
    <w:rsid w:val="00714A67"/>
    <w:rsid w:val="00714E04"/>
    <w:rsid w:val="00715F36"/>
    <w:rsid w:val="00717A88"/>
    <w:rsid w:val="007206A5"/>
    <w:rsid w:val="00720AA5"/>
    <w:rsid w:val="00720CFA"/>
    <w:rsid w:val="0072399A"/>
    <w:rsid w:val="0072431B"/>
    <w:rsid w:val="007250D9"/>
    <w:rsid w:val="007252B4"/>
    <w:rsid w:val="0072572B"/>
    <w:rsid w:val="007257D8"/>
    <w:rsid w:val="00727609"/>
    <w:rsid w:val="00727797"/>
    <w:rsid w:val="007303A7"/>
    <w:rsid w:val="00730481"/>
    <w:rsid w:val="007310AC"/>
    <w:rsid w:val="0073219D"/>
    <w:rsid w:val="00732299"/>
    <w:rsid w:val="00732490"/>
    <w:rsid w:val="00732922"/>
    <w:rsid w:val="007332B5"/>
    <w:rsid w:val="00733610"/>
    <w:rsid w:val="00734BF1"/>
    <w:rsid w:val="00735348"/>
    <w:rsid w:val="0073680E"/>
    <w:rsid w:val="00736F86"/>
    <w:rsid w:val="00740517"/>
    <w:rsid w:val="007412FA"/>
    <w:rsid w:val="0074281C"/>
    <w:rsid w:val="00743E90"/>
    <w:rsid w:val="007456E4"/>
    <w:rsid w:val="00745AB3"/>
    <w:rsid w:val="00746428"/>
    <w:rsid w:val="00746BBD"/>
    <w:rsid w:val="00746D88"/>
    <w:rsid w:val="0075073E"/>
    <w:rsid w:val="0075162E"/>
    <w:rsid w:val="00751C8A"/>
    <w:rsid w:val="00751D84"/>
    <w:rsid w:val="00753082"/>
    <w:rsid w:val="00754034"/>
    <w:rsid w:val="00754300"/>
    <w:rsid w:val="0075457E"/>
    <w:rsid w:val="00754EAE"/>
    <w:rsid w:val="00756556"/>
    <w:rsid w:val="007612C4"/>
    <w:rsid w:val="00761560"/>
    <w:rsid w:val="007618C4"/>
    <w:rsid w:val="0076317E"/>
    <w:rsid w:val="00763550"/>
    <w:rsid w:val="0076396B"/>
    <w:rsid w:val="00764B96"/>
    <w:rsid w:val="00766317"/>
    <w:rsid w:val="00766525"/>
    <w:rsid w:val="00766C86"/>
    <w:rsid w:val="00767980"/>
    <w:rsid w:val="00767985"/>
    <w:rsid w:val="00770330"/>
    <w:rsid w:val="00770517"/>
    <w:rsid w:val="00770B19"/>
    <w:rsid w:val="0077222B"/>
    <w:rsid w:val="00772C5F"/>
    <w:rsid w:val="00773B0E"/>
    <w:rsid w:val="00774343"/>
    <w:rsid w:val="0077463F"/>
    <w:rsid w:val="00774AD4"/>
    <w:rsid w:val="00775361"/>
    <w:rsid w:val="007803B9"/>
    <w:rsid w:val="00780B7B"/>
    <w:rsid w:val="007831B8"/>
    <w:rsid w:val="007836EA"/>
    <w:rsid w:val="007837AF"/>
    <w:rsid w:val="00783C57"/>
    <w:rsid w:val="00784CDA"/>
    <w:rsid w:val="0078530A"/>
    <w:rsid w:val="00785790"/>
    <w:rsid w:val="007868F1"/>
    <w:rsid w:val="007906C4"/>
    <w:rsid w:val="007906CF"/>
    <w:rsid w:val="00790B68"/>
    <w:rsid w:val="00790CD7"/>
    <w:rsid w:val="007929D1"/>
    <w:rsid w:val="00793549"/>
    <w:rsid w:val="00793BDE"/>
    <w:rsid w:val="00793FD8"/>
    <w:rsid w:val="007940EA"/>
    <w:rsid w:val="00794BBD"/>
    <w:rsid w:val="00795BED"/>
    <w:rsid w:val="0079626D"/>
    <w:rsid w:val="00796792"/>
    <w:rsid w:val="007967E8"/>
    <w:rsid w:val="0079684B"/>
    <w:rsid w:val="007A0297"/>
    <w:rsid w:val="007A0417"/>
    <w:rsid w:val="007A0AC4"/>
    <w:rsid w:val="007A1600"/>
    <w:rsid w:val="007A1FCB"/>
    <w:rsid w:val="007A2170"/>
    <w:rsid w:val="007A22BF"/>
    <w:rsid w:val="007A2493"/>
    <w:rsid w:val="007A28A6"/>
    <w:rsid w:val="007A3323"/>
    <w:rsid w:val="007A3399"/>
    <w:rsid w:val="007A380B"/>
    <w:rsid w:val="007A45B1"/>
    <w:rsid w:val="007A4ED8"/>
    <w:rsid w:val="007A5B43"/>
    <w:rsid w:val="007A5C03"/>
    <w:rsid w:val="007A68D9"/>
    <w:rsid w:val="007A6EAB"/>
    <w:rsid w:val="007A6F9E"/>
    <w:rsid w:val="007B07E7"/>
    <w:rsid w:val="007B20EF"/>
    <w:rsid w:val="007B2EC3"/>
    <w:rsid w:val="007B3E13"/>
    <w:rsid w:val="007B72B8"/>
    <w:rsid w:val="007B74DA"/>
    <w:rsid w:val="007B761A"/>
    <w:rsid w:val="007B7A58"/>
    <w:rsid w:val="007C0E61"/>
    <w:rsid w:val="007C149F"/>
    <w:rsid w:val="007C21B5"/>
    <w:rsid w:val="007C3874"/>
    <w:rsid w:val="007C3F2D"/>
    <w:rsid w:val="007C4A56"/>
    <w:rsid w:val="007C5681"/>
    <w:rsid w:val="007C5E43"/>
    <w:rsid w:val="007D0DFE"/>
    <w:rsid w:val="007D250B"/>
    <w:rsid w:val="007D5577"/>
    <w:rsid w:val="007D59BB"/>
    <w:rsid w:val="007D5D58"/>
    <w:rsid w:val="007D6C73"/>
    <w:rsid w:val="007D7B26"/>
    <w:rsid w:val="007D7D70"/>
    <w:rsid w:val="007E14F0"/>
    <w:rsid w:val="007E1654"/>
    <w:rsid w:val="007E174D"/>
    <w:rsid w:val="007E35E0"/>
    <w:rsid w:val="007E4BD2"/>
    <w:rsid w:val="007E4CCB"/>
    <w:rsid w:val="007E592D"/>
    <w:rsid w:val="007E5E7C"/>
    <w:rsid w:val="007E6600"/>
    <w:rsid w:val="007F01BD"/>
    <w:rsid w:val="007F0B5C"/>
    <w:rsid w:val="007F1591"/>
    <w:rsid w:val="007F1EB7"/>
    <w:rsid w:val="007F3063"/>
    <w:rsid w:val="007F314F"/>
    <w:rsid w:val="007F4405"/>
    <w:rsid w:val="007F49A7"/>
    <w:rsid w:val="007F4B8D"/>
    <w:rsid w:val="007F4C0F"/>
    <w:rsid w:val="007F4C39"/>
    <w:rsid w:val="007F4EA3"/>
    <w:rsid w:val="007F6A48"/>
    <w:rsid w:val="007F7845"/>
    <w:rsid w:val="007F7F47"/>
    <w:rsid w:val="008012E7"/>
    <w:rsid w:val="00801393"/>
    <w:rsid w:val="0080184F"/>
    <w:rsid w:val="00802F5F"/>
    <w:rsid w:val="00802F88"/>
    <w:rsid w:val="00804A8D"/>
    <w:rsid w:val="00804D5D"/>
    <w:rsid w:val="0080666A"/>
    <w:rsid w:val="00806CED"/>
    <w:rsid w:val="008076CF"/>
    <w:rsid w:val="00807ADA"/>
    <w:rsid w:val="00811D17"/>
    <w:rsid w:val="00811FDE"/>
    <w:rsid w:val="0081293E"/>
    <w:rsid w:val="00813B47"/>
    <w:rsid w:val="008149B1"/>
    <w:rsid w:val="00815465"/>
    <w:rsid w:val="00816CA9"/>
    <w:rsid w:val="0081726F"/>
    <w:rsid w:val="00817E9A"/>
    <w:rsid w:val="00821551"/>
    <w:rsid w:val="0082155F"/>
    <w:rsid w:val="00822C86"/>
    <w:rsid w:val="0082376D"/>
    <w:rsid w:val="00825433"/>
    <w:rsid w:val="00825ED5"/>
    <w:rsid w:val="00826C63"/>
    <w:rsid w:val="008306BD"/>
    <w:rsid w:val="0083153B"/>
    <w:rsid w:val="00831A80"/>
    <w:rsid w:val="00831D3E"/>
    <w:rsid w:val="00831DE9"/>
    <w:rsid w:val="00832774"/>
    <w:rsid w:val="008329D5"/>
    <w:rsid w:val="00832BBA"/>
    <w:rsid w:val="00833743"/>
    <w:rsid w:val="00833ABC"/>
    <w:rsid w:val="008340A4"/>
    <w:rsid w:val="008341B8"/>
    <w:rsid w:val="00834AE2"/>
    <w:rsid w:val="00835D98"/>
    <w:rsid w:val="00836EE2"/>
    <w:rsid w:val="00837A1D"/>
    <w:rsid w:val="00840513"/>
    <w:rsid w:val="0084068F"/>
    <w:rsid w:val="0084076C"/>
    <w:rsid w:val="00840AAE"/>
    <w:rsid w:val="00840F0D"/>
    <w:rsid w:val="00841748"/>
    <w:rsid w:val="0084196B"/>
    <w:rsid w:val="00841E00"/>
    <w:rsid w:val="008421A6"/>
    <w:rsid w:val="00842BE3"/>
    <w:rsid w:val="00842DF5"/>
    <w:rsid w:val="00842E69"/>
    <w:rsid w:val="008439CE"/>
    <w:rsid w:val="0084413E"/>
    <w:rsid w:val="0084475C"/>
    <w:rsid w:val="00844E3D"/>
    <w:rsid w:val="0084526B"/>
    <w:rsid w:val="008452DB"/>
    <w:rsid w:val="0084635F"/>
    <w:rsid w:val="00846618"/>
    <w:rsid w:val="00846ADE"/>
    <w:rsid w:val="00850015"/>
    <w:rsid w:val="0085176F"/>
    <w:rsid w:val="00852858"/>
    <w:rsid w:val="008549B9"/>
    <w:rsid w:val="008579D0"/>
    <w:rsid w:val="008601DF"/>
    <w:rsid w:val="008611AC"/>
    <w:rsid w:val="00862501"/>
    <w:rsid w:val="00863352"/>
    <w:rsid w:val="008634D2"/>
    <w:rsid w:val="00863C79"/>
    <w:rsid w:val="008645CA"/>
    <w:rsid w:val="0086603C"/>
    <w:rsid w:val="00867FD4"/>
    <w:rsid w:val="0087135F"/>
    <w:rsid w:val="00871CF3"/>
    <w:rsid w:val="008726DC"/>
    <w:rsid w:val="00872D94"/>
    <w:rsid w:val="00876B12"/>
    <w:rsid w:val="00877CF3"/>
    <w:rsid w:val="00880312"/>
    <w:rsid w:val="00880364"/>
    <w:rsid w:val="008808CA"/>
    <w:rsid w:val="00881408"/>
    <w:rsid w:val="0088179D"/>
    <w:rsid w:val="00882A48"/>
    <w:rsid w:val="0088545F"/>
    <w:rsid w:val="00887E9F"/>
    <w:rsid w:val="00887F35"/>
    <w:rsid w:val="008906E9"/>
    <w:rsid w:val="00891592"/>
    <w:rsid w:val="00891E9E"/>
    <w:rsid w:val="00892887"/>
    <w:rsid w:val="00892F46"/>
    <w:rsid w:val="00893633"/>
    <w:rsid w:val="0089418C"/>
    <w:rsid w:val="008944E7"/>
    <w:rsid w:val="00894A20"/>
    <w:rsid w:val="00895DB3"/>
    <w:rsid w:val="00897C38"/>
    <w:rsid w:val="008A0102"/>
    <w:rsid w:val="008A134D"/>
    <w:rsid w:val="008A17F9"/>
    <w:rsid w:val="008A2F68"/>
    <w:rsid w:val="008A304B"/>
    <w:rsid w:val="008A3D1E"/>
    <w:rsid w:val="008A40E5"/>
    <w:rsid w:val="008A4176"/>
    <w:rsid w:val="008A4581"/>
    <w:rsid w:val="008A4B13"/>
    <w:rsid w:val="008A7CFC"/>
    <w:rsid w:val="008B030B"/>
    <w:rsid w:val="008B1C3F"/>
    <w:rsid w:val="008B1E8A"/>
    <w:rsid w:val="008B25EF"/>
    <w:rsid w:val="008B4A1A"/>
    <w:rsid w:val="008B4FA6"/>
    <w:rsid w:val="008B5282"/>
    <w:rsid w:val="008B6E33"/>
    <w:rsid w:val="008B7C17"/>
    <w:rsid w:val="008C1312"/>
    <w:rsid w:val="008C2D01"/>
    <w:rsid w:val="008C3176"/>
    <w:rsid w:val="008C332D"/>
    <w:rsid w:val="008C40E6"/>
    <w:rsid w:val="008C4D13"/>
    <w:rsid w:val="008C5D90"/>
    <w:rsid w:val="008D0993"/>
    <w:rsid w:val="008D0F7A"/>
    <w:rsid w:val="008D1C03"/>
    <w:rsid w:val="008D2437"/>
    <w:rsid w:val="008D4715"/>
    <w:rsid w:val="008D4A96"/>
    <w:rsid w:val="008D51BA"/>
    <w:rsid w:val="008D58C5"/>
    <w:rsid w:val="008D68E4"/>
    <w:rsid w:val="008D758F"/>
    <w:rsid w:val="008E0506"/>
    <w:rsid w:val="008E0CFF"/>
    <w:rsid w:val="008E134B"/>
    <w:rsid w:val="008E1620"/>
    <w:rsid w:val="008E2F55"/>
    <w:rsid w:val="008E34E7"/>
    <w:rsid w:val="008E3598"/>
    <w:rsid w:val="008E3B5F"/>
    <w:rsid w:val="008E4ABC"/>
    <w:rsid w:val="008E5D6B"/>
    <w:rsid w:val="008E5E70"/>
    <w:rsid w:val="008E669A"/>
    <w:rsid w:val="008E76F0"/>
    <w:rsid w:val="008E7755"/>
    <w:rsid w:val="008E77AD"/>
    <w:rsid w:val="008F0917"/>
    <w:rsid w:val="008F15FE"/>
    <w:rsid w:val="008F1E4F"/>
    <w:rsid w:val="008F2D29"/>
    <w:rsid w:val="008F2F4F"/>
    <w:rsid w:val="008F3BEF"/>
    <w:rsid w:val="008F4D66"/>
    <w:rsid w:val="008F5187"/>
    <w:rsid w:val="008F60D8"/>
    <w:rsid w:val="008F6505"/>
    <w:rsid w:val="00900F31"/>
    <w:rsid w:val="00902727"/>
    <w:rsid w:val="00902927"/>
    <w:rsid w:val="0090312B"/>
    <w:rsid w:val="00903F5B"/>
    <w:rsid w:val="009057FE"/>
    <w:rsid w:val="009079D7"/>
    <w:rsid w:val="00910D43"/>
    <w:rsid w:val="00910DB1"/>
    <w:rsid w:val="0091166D"/>
    <w:rsid w:val="00911B82"/>
    <w:rsid w:val="009147BD"/>
    <w:rsid w:val="00914B7E"/>
    <w:rsid w:val="009153FF"/>
    <w:rsid w:val="009172C2"/>
    <w:rsid w:val="0091736D"/>
    <w:rsid w:val="0091758D"/>
    <w:rsid w:val="00920981"/>
    <w:rsid w:val="00921E1E"/>
    <w:rsid w:val="009220A2"/>
    <w:rsid w:val="0092362D"/>
    <w:rsid w:val="009244F0"/>
    <w:rsid w:val="0092680A"/>
    <w:rsid w:val="0092782D"/>
    <w:rsid w:val="00927CA8"/>
    <w:rsid w:val="0093037A"/>
    <w:rsid w:val="009303E8"/>
    <w:rsid w:val="009312FF"/>
    <w:rsid w:val="0093186B"/>
    <w:rsid w:val="00931B66"/>
    <w:rsid w:val="00932D91"/>
    <w:rsid w:val="00932E48"/>
    <w:rsid w:val="00933130"/>
    <w:rsid w:val="00933AA5"/>
    <w:rsid w:val="009342B7"/>
    <w:rsid w:val="00934651"/>
    <w:rsid w:val="00934D6B"/>
    <w:rsid w:val="00935A41"/>
    <w:rsid w:val="00935E7D"/>
    <w:rsid w:val="009360FC"/>
    <w:rsid w:val="00936525"/>
    <w:rsid w:val="009365E7"/>
    <w:rsid w:val="00937A37"/>
    <w:rsid w:val="00937C8E"/>
    <w:rsid w:val="00937FD2"/>
    <w:rsid w:val="00941170"/>
    <w:rsid w:val="0094154D"/>
    <w:rsid w:val="00942F42"/>
    <w:rsid w:val="00944BAD"/>
    <w:rsid w:val="0094504F"/>
    <w:rsid w:val="00950520"/>
    <w:rsid w:val="00950BE2"/>
    <w:rsid w:val="00950F50"/>
    <w:rsid w:val="0095155F"/>
    <w:rsid w:val="00953C7D"/>
    <w:rsid w:val="00954429"/>
    <w:rsid w:val="009563CE"/>
    <w:rsid w:val="0095697C"/>
    <w:rsid w:val="00956A12"/>
    <w:rsid w:val="00956FD4"/>
    <w:rsid w:val="009576CF"/>
    <w:rsid w:val="009620F1"/>
    <w:rsid w:val="00963DD3"/>
    <w:rsid w:val="00964A16"/>
    <w:rsid w:val="00964A38"/>
    <w:rsid w:val="00970309"/>
    <w:rsid w:val="00973DC1"/>
    <w:rsid w:val="00974039"/>
    <w:rsid w:val="00974A96"/>
    <w:rsid w:val="00976328"/>
    <w:rsid w:val="00976694"/>
    <w:rsid w:val="0097680D"/>
    <w:rsid w:val="00976947"/>
    <w:rsid w:val="009775E8"/>
    <w:rsid w:val="00980007"/>
    <w:rsid w:val="00980BA9"/>
    <w:rsid w:val="00981579"/>
    <w:rsid w:val="00982438"/>
    <w:rsid w:val="00982981"/>
    <w:rsid w:val="0098362E"/>
    <w:rsid w:val="00983CF1"/>
    <w:rsid w:val="0098404C"/>
    <w:rsid w:val="0098465C"/>
    <w:rsid w:val="00985283"/>
    <w:rsid w:val="00986420"/>
    <w:rsid w:val="00987148"/>
    <w:rsid w:val="009908E5"/>
    <w:rsid w:val="00990B55"/>
    <w:rsid w:val="00991CA5"/>
    <w:rsid w:val="00992135"/>
    <w:rsid w:val="00992719"/>
    <w:rsid w:val="00995502"/>
    <w:rsid w:val="00995992"/>
    <w:rsid w:val="009961A6"/>
    <w:rsid w:val="009965D6"/>
    <w:rsid w:val="009967BC"/>
    <w:rsid w:val="00997B82"/>
    <w:rsid w:val="00997E23"/>
    <w:rsid w:val="009A03E5"/>
    <w:rsid w:val="009A0F3B"/>
    <w:rsid w:val="009A1029"/>
    <w:rsid w:val="009A1883"/>
    <w:rsid w:val="009A1BB4"/>
    <w:rsid w:val="009A1D31"/>
    <w:rsid w:val="009A2339"/>
    <w:rsid w:val="009A260F"/>
    <w:rsid w:val="009A2628"/>
    <w:rsid w:val="009A2FFE"/>
    <w:rsid w:val="009A3200"/>
    <w:rsid w:val="009A3D65"/>
    <w:rsid w:val="009A46FB"/>
    <w:rsid w:val="009A4A82"/>
    <w:rsid w:val="009A4C22"/>
    <w:rsid w:val="009A78D5"/>
    <w:rsid w:val="009B068B"/>
    <w:rsid w:val="009B07E3"/>
    <w:rsid w:val="009B0897"/>
    <w:rsid w:val="009B0FAE"/>
    <w:rsid w:val="009B1222"/>
    <w:rsid w:val="009B1338"/>
    <w:rsid w:val="009B187D"/>
    <w:rsid w:val="009B1BF7"/>
    <w:rsid w:val="009B1C7D"/>
    <w:rsid w:val="009B33F4"/>
    <w:rsid w:val="009B34D1"/>
    <w:rsid w:val="009B3DCC"/>
    <w:rsid w:val="009B5C9E"/>
    <w:rsid w:val="009B6043"/>
    <w:rsid w:val="009B6407"/>
    <w:rsid w:val="009B6E6C"/>
    <w:rsid w:val="009B7BD9"/>
    <w:rsid w:val="009C0A3F"/>
    <w:rsid w:val="009C0F3D"/>
    <w:rsid w:val="009C167C"/>
    <w:rsid w:val="009C2CAD"/>
    <w:rsid w:val="009C3AE7"/>
    <w:rsid w:val="009C4B71"/>
    <w:rsid w:val="009C51DE"/>
    <w:rsid w:val="009C5897"/>
    <w:rsid w:val="009C6666"/>
    <w:rsid w:val="009C6B13"/>
    <w:rsid w:val="009C6E66"/>
    <w:rsid w:val="009C7DD5"/>
    <w:rsid w:val="009C7FC4"/>
    <w:rsid w:val="009D0F03"/>
    <w:rsid w:val="009D1079"/>
    <w:rsid w:val="009D52EB"/>
    <w:rsid w:val="009D55A3"/>
    <w:rsid w:val="009D5D9C"/>
    <w:rsid w:val="009D5E18"/>
    <w:rsid w:val="009D643F"/>
    <w:rsid w:val="009D6A65"/>
    <w:rsid w:val="009D702C"/>
    <w:rsid w:val="009D74C8"/>
    <w:rsid w:val="009E227D"/>
    <w:rsid w:val="009E2595"/>
    <w:rsid w:val="009E25BE"/>
    <w:rsid w:val="009E27B0"/>
    <w:rsid w:val="009E4ADD"/>
    <w:rsid w:val="009E5019"/>
    <w:rsid w:val="009E527B"/>
    <w:rsid w:val="009E5EF0"/>
    <w:rsid w:val="009E6ED2"/>
    <w:rsid w:val="009F23A8"/>
    <w:rsid w:val="009F257C"/>
    <w:rsid w:val="009F353A"/>
    <w:rsid w:val="009F3572"/>
    <w:rsid w:val="009F4384"/>
    <w:rsid w:val="009F6664"/>
    <w:rsid w:val="009F7630"/>
    <w:rsid w:val="009F7D3F"/>
    <w:rsid w:val="009F7FE3"/>
    <w:rsid w:val="00A00F34"/>
    <w:rsid w:val="00A01AD6"/>
    <w:rsid w:val="00A02795"/>
    <w:rsid w:val="00A02E3B"/>
    <w:rsid w:val="00A02FF0"/>
    <w:rsid w:val="00A03751"/>
    <w:rsid w:val="00A03B4A"/>
    <w:rsid w:val="00A04A5D"/>
    <w:rsid w:val="00A04F1B"/>
    <w:rsid w:val="00A0501B"/>
    <w:rsid w:val="00A058B2"/>
    <w:rsid w:val="00A06607"/>
    <w:rsid w:val="00A06BB1"/>
    <w:rsid w:val="00A06C22"/>
    <w:rsid w:val="00A1006B"/>
    <w:rsid w:val="00A11081"/>
    <w:rsid w:val="00A1118C"/>
    <w:rsid w:val="00A11377"/>
    <w:rsid w:val="00A1137B"/>
    <w:rsid w:val="00A121EF"/>
    <w:rsid w:val="00A12776"/>
    <w:rsid w:val="00A12EB3"/>
    <w:rsid w:val="00A13D37"/>
    <w:rsid w:val="00A14947"/>
    <w:rsid w:val="00A149AD"/>
    <w:rsid w:val="00A149C0"/>
    <w:rsid w:val="00A151D9"/>
    <w:rsid w:val="00A155E9"/>
    <w:rsid w:val="00A16BDB"/>
    <w:rsid w:val="00A201CC"/>
    <w:rsid w:val="00A2067A"/>
    <w:rsid w:val="00A21A47"/>
    <w:rsid w:val="00A21D0A"/>
    <w:rsid w:val="00A21F88"/>
    <w:rsid w:val="00A22CAD"/>
    <w:rsid w:val="00A241C3"/>
    <w:rsid w:val="00A25A17"/>
    <w:rsid w:val="00A25B5B"/>
    <w:rsid w:val="00A25FF3"/>
    <w:rsid w:val="00A26AC6"/>
    <w:rsid w:val="00A26FB9"/>
    <w:rsid w:val="00A27749"/>
    <w:rsid w:val="00A279AF"/>
    <w:rsid w:val="00A31134"/>
    <w:rsid w:val="00A3117C"/>
    <w:rsid w:val="00A31454"/>
    <w:rsid w:val="00A32A83"/>
    <w:rsid w:val="00A3301C"/>
    <w:rsid w:val="00A3420C"/>
    <w:rsid w:val="00A34AFA"/>
    <w:rsid w:val="00A350EB"/>
    <w:rsid w:val="00A351AC"/>
    <w:rsid w:val="00A368DB"/>
    <w:rsid w:val="00A3699E"/>
    <w:rsid w:val="00A423AA"/>
    <w:rsid w:val="00A4258B"/>
    <w:rsid w:val="00A42BDF"/>
    <w:rsid w:val="00A42D6F"/>
    <w:rsid w:val="00A437CA"/>
    <w:rsid w:val="00A43F75"/>
    <w:rsid w:val="00A44D01"/>
    <w:rsid w:val="00A44F05"/>
    <w:rsid w:val="00A44F9B"/>
    <w:rsid w:val="00A452CA"/>
    <w:rsid w:val="00A50E26"/>
    <w:rsid w:val="00A512CA"/>
    <w:rsid w:val="00A51F57"/>
    <w:rsid w:val="00A525B3"/>
    <w:rsid w:val="00A52759"/>
    <w:rsid w:val="00A53EC6"/>
    <w:rsid w:val="00A557E1"/>
    <w:rsid w:val="00A55C0F"/>
    <w:rsid w:val="00A55D8B"/>
    <w:rsid w:val="00A56424"/>
    <w:rsid w:val="00A57FCE"/>
    <w:rsid w:val="00A60E62"/>
    <w:rsid w:val="00A62C0C"/>
    <w:rsid w:val="00A631E8"/>
    <w:rsid w:val="00A63711"/>
    <w:rsid w:val="00A63798"/>
    <w:rsid w:val="00A63BE8"/>
    <w:rsid w:val="00A65883"/>
    <w:rsid w:val="00A6743C"/>
    <w:rsid w:val="00A6747C"/>
    <w:rsid w:val="00A674A4"/>
    <w:rsid w:val="00A7003A"/>
    <w:rsid w:val="00A7328F"/>
    <w:rsid w:val="00A744A2"/>
    <w:rsid w:val="00A7551B"/>
    <w:rsid w:val="00A76014"/>
    <w:rsid w:val="00A76301"/>
    <w:rsid w:val="00A77358"/>
    <w:rsid w:val="00A77709"/>
    <w:rsid w:val="00A802E7"/>
    <w:rsid w:val="00A823C6"/>
    <w:rsid w:val="00A82945"/>
    <w:rsid w:val="00A82D43"/>
    <w:rsid w:val="00A84798"/>
    <w:rsid w:val="00A8492A"/>
    <w:rsid w:val="00A8713F"/>
    <w:rsid w:val="00A90BA1"/>
    <w:rsid w:val="00A90C09"/>
    <w:rsid w:val="00A92BC4"/>
    <w:rsid w:val="00A93ED2"/>
    <w:rsid w:val="00A9439C"/>
    <w:rsid w:val="00A94E89"/>
    <w:rsid w:val="00A951B5"/>
    <w:rsid w:val="00A953C3"/>
    <w:rsid w:val="00A97392"/>
    <w:rsid w:val="00A97A9A"/>
    <w:rsid w:val="00AA017F"/>
    <w:rsid w:val="00AA0671"/>
    <w:rsid w:val="00AA18B3"/>
    <w:rsid w:val="00AA2531"/>
    <w:rsid w:val="00AA254C"/>
    <w:rsid w:val="00AA31D6"/>
    <w:rsid w:val="00AA36C2"/>
    <w:rsid w:val="00AA4B0C"/>
    <w:rsid w:val="00AA52A5"/>
    <w:rsid w:val="00AA65C6"/>
    <w:rsid w:val="00AA7019"/>
    <w:rsid w:val="00AA7529"/>
    <w:rsid w:val="00AA7B62"/>
    <w:rsid w:val="00AA7EB6"/>
    <w:rsid w:val="00AB06B5"/>
    <w:rsid w:val="00AB0F36"/>
    <w:rsid w:val="00AB1B85"/>
    <w:rsid w:val="00AB1E09"/>
    <w:rsid w:val="00AB33B0"/>
    <w:rsid w:val="00AB3DF0"/>
    <w:rsid w:val="00AB3E8C"/>
    <w:rsid w:val="00AB3F5C"/>
    <w:rsid w:val="00AB5330"/>
    <w:rsid w:val="00AB5684"/>
    <w:rsid w:val="00AB6415"/>
    <w:rsid w:val="00AB7747"/>
    <w:rsid w:val="00AC14CE"/>
    <w:rsid w:val="00AC2270"/>
    <w:rsid w:val="00AC2A56"/>
    <w:rsid w:val="00AC2F03"/>
    <w:rsid w:val="00AC3EB0"/>
    <w:rsid w:val="00AC4D84"/>
    <w:rsid w:val="00AC528A"/>
    <w:rsid w:val="00AC53AF"/>
    <w:rsid w:val="00AC53FF"/>
    <w:rsid w:val="00AD055E"/>
    <w:rsid w:val="00AD1833"/>
    <w:rsid w:val="00AD1F65"/>
    <w:rsid w:val="00AD261D"/>
    <w:rsid w:val="00AD3CE3"/>
    <w:rsid w:val="00AD47A7"/>
    <w:rsid w:val="00AD5601"/>
    <w:rsid w:val="00AD5C3B"/>
    <w:rsid w:val="00AD7F83"/>
    <w:rsid w:val="00AE0492"/>
    <w:rsid w:val="00AE04B3"/>
    <w:rsid w:val="00AE050C"/>
    <w:rsid w:val="00AE551A"/>
    <w:rsid w:val="00AE56C4"/>
    <w:rsid w:val="00AE56FC"/>
    <w:rsid w:val="00AE5B95"/>
    <w:rsid w:val="00AE5E97"/>
    <w:rsid w:val="00AE6288"/>
    <w:rsid w:val="00AE66EE"/>
    <w:rsid w:val="00AE718B"/>
    <w:rsid w:val="00AE7B4A"/>
    <w:rsid w:val="00AE7DF0"/>
    <w:rsid w:val="00AF09F7"/>
    <w:rsid w:val="00AF0CBF"/>
    <w:rsid w:val="00AF257F"/>
    <w:rsid w:val="00AF275F"/>
    <w:rsid w:val="00AF33CF"/>
    <w:rsid w:val="00AF3442"/>
    <w:rsid w:val="00AF486C"/>
    <w:rsid w:val="00AF4D50"/>
    <w:rsid w:val="00AF4EB7"/>
    <w:rsid w:val="00AF6179"/>
    <w:rsid w:val="00AF6712"/>
    <w:rsid w:val="00AF6CA4"/>
    <w:rsid w:val="00AF74DE"/>
    <w:rsid w:val="00AF7BF7"/>
    <w:rsid w:val="00B00773"/>
    <w:rsid w:val="00B0115A"/>
    <w:rsid w:val="00B0143A"/>
    <w:rsid w:val="00B02AF4"/>
    <w:rsid w:val="00B03217"/>
    <w:rsid w:val="00B04E6A"/>
    <w:rsid w:val="00B05A45"/>
    <w:rsid w:val="00B07C2C"/>
    <w:rsid w:val="00B1295A"/>
    <w:rsid w:val="00B12E99"/>
    <w:rsid w:val="00B13C6C"/>
    <w:rsid w:val="00B157A9"/>
    <w:rsid w:val="00B16765"/>
    <w:rsid w:val="00B17184"/>
    <w:rsid w:val="00B2079D"/>
    <w:rsid w:val="00B20A45"/>
    <w:rsid w:val="00B20ACD"/>
    <w:rsid w:val="00B220B2"/>
    <w:rsid w:val="00B221CF"/>
    <w:rsid w:val="00B22615"/>
    <w:rsid w:val="00B22C5C"/>
    <w:rsid w:val="00B22D2F"/>
    <w:rsid w:val="00B22E3B"/>
    <w:rsid w:val="00B24F30"/>
    <w:rsid w:val="00B25FE0"/>
    <w:rsid w:val="00B26494"/>
    <w:rsid w:val="00B2734A"/>
    <w:rsid w:val="00B27D66"/>
    <w:rsid w:val="00B30493"/>
    <w:rsid w:val="00B30B6E"/>
    <w:rsid w:val="00B3105E"/>
    <w:rsid w:val="00B31ABF"/>
    <w:rsid w:val="00B31BE5"/>
    <w:rsid w:val="00B33BE3"/>
    <w:rsid w:val="00B3469C"/>
    <w:rsid w:val="00B3579D"/>
    <w:rsid w:val="00B35C68"/>
    <w:rsid w:val="00B36042"/>
    <w:rsid w:val="00B36DBA"/>
    <w:rsid w:val="00B37556"/>
    <w:rsid w:val="00B37E29"/>
    <w:rsid w:val="00B4006B"/>
    <w:rsid w:val="00B408A2"/>
    <w:rsid w:val="00B40C92"/>
    <w:rsid w:val="00B416FA"/>
    <w:rsid w:val="00B41D26"/>
    <w:rsid w:val="00B44F84"/>
    <w:rsid w:val="00B44F8D"/>
    <w:rsid w:val="00B450E8"/>
    <w:rsid w:val="00B45232"/>
    <w:rsid w:val="00B458D1"/>
    <w:rsid w:val="00B461EC"/>
    <w:rsid w:val="00B464FD"/>
    <w:rsid w:val="00B46639"/>
    <w:rsid w:val="00B46799"/>
    <w:rsid w:val="00B47812"/>
    <w:rsid w:val="00B47CF2"/>
    <w:rsid w:val="00B47D82"/>
    <w:rsid w:val="00B47D9F"/>
    <w:rsid w:val="00B47FE4"/>
    <w:rsid w:val="00B500C0"/>
    <w:rsid w:val="00B50A85"/>
    <w:rsid w:val="00B50E47"/>
    <w:rsid w:val="00B52B6A"/>
    <w:rsid w:val="00B52BB7"/>
    <w:rsid w:val="00B52DE3"/>
    <w:rsid w:val="00B5344B"/>
    <w:rsid w:val="00B53B5D"/>
    <w:rsid w:val="00B53DCF"/>
    <w:rsid w:val="00B54A30"/>
    <w:rsid w:val="00B55056"/>
    <w:rsid w:val="00B6055E"/>
    <w:rsid w:val="00B60739"/>
    <w:rsid w:val="00B61137"/>
    <w:rsid w:val="00B61337"/>
    <w:rsid w:val="00B61A4D"/>
    <w:rsid w:val="00B6257C"/>
    <w:rsid w:val="00B6317D"/>
    <w:rsid w:val="00B63743"/>
    <w:rsid w:val="00B63F62"/>
    <w:rsid w:val="00B64AEA"/>
    <w:rsid w:val="00B64F45"/>
    <w:rsid w:val="00B652DC"/>
    <w:rsid w:val="00B6554E"/>
    <w:rsid w:val="00B6576B"/>
    <w:rsid w:val="00B70671"/>
    <w:rsid w:val="00B7080A"/>
    <w:rsid w:val="00B7225A"/>
    <w:rsid w:val="00B722A4"/>
    <w:rsid w:val="00B72C42"/>
    <w:rsid w:val="00B73757"/>
    <w:rsid w:val="00B74FEB"/>
    <w:rsid w:val="00B75098"/>
    <w:rsid w:val="00B7723F"/>
    <w:rsid w:val="00B77FED"/>
    <w:rsid w:val="00B801F0"/>
    <w:rsid w:val="00B804CC"/>
    <w:rsid w:val="00B80534"/>
    <w:rsid w:val="00B80AE6"/>
    <w:rsid w:val="00B828F1"/>
    <w:rsid w:val="00B82BB6"/>
    <w:rsid w:val="00B83CA1"/>
    <w:rsid w:val="00B83E04"/>
    <w:rsid w:val="00B83F75"/>
    <w:rsid w:val="00B84150"/>
    <w:rsid w:val="00B8433C"/>
    <w:rsid w:val="00B85DE0"/>
    <w:rsid w:val="00B864DE"/>
    <w:rsid w:val="00B87491"/>
    <w:rsid w:val="00B90F11"/>
    <w:rsid w:val="00B92443"/>
    <w:rsid w:val="00B94E69"/>
    <w:rsid w:val="00B9586A"/>
    <w:rsid w:val="00B95B03"/>
    <w:rsid w:val="00B95DC1"/>
    <w:rsid w:val="00B96BA2"/>
    <w:rsid w:val="00B97519"/>
    <w:rsid w:val="00B97B77"/>
    <w:rsid w:val="00BA04D6"/>
    <w:rsid w:val="00BA0A52"/>
    <w:rsid w:val="00BA0DF7"/>
    <w:rsid w:val="00BA1C09"/>
    <w:rsid w:val="00BA2846"/>
    <w:rsid w:val="00BA29E9"/>
    <w:rsid w:val="00BA3482"/>
    <w:rsid w:val="00BA35DD"/>
    <w:rsid w:val="00BA3F4D"/>
    <w:rsid w:val="00BA4019"/>
    <w:rsid w:val="00BA5661"/>
    <w:rsid w:val="00BA616C"/>
    <w:rsid w:val="00BA7142"/>
    <w:rsid w:val="00BB0CBC"/>
    <w:rsid w:val="00BB1577"/>
    <w:rsid w:val="00BB18EF"/>
    <w:rsid w:val="00BB237C"/>
    <w:rsid w:val="00BB2F53"/>
    <w:rsid w:val="00BB3337"/>
    <w:rsid w:val="00BB41A3"/>
    <w:rsid w:val="00BB5743"/>
    <w:rsid w:val="00BB67B6"/>
    <w:rsid w:val="00BB69A8"/>
    <w:rsid w:val="00BB71DD"/>
    <w:rsid w:val="00BB7448"/>
    <w:rsid w:val="00BB7A56"/>
    <w:rsid w:val="00BB7D99"/>
    <w:rsid w:val="00BB7F98"/>
    <w:rsid w:val="00BC10C2"/>
    <w:rsid w:val="00BC12D7"/>
    <w:rsid w:val="00BC1ABB"/>
    <w:rsid w:val="00BC1B22"/>
    <w:rsid w:val="00BC2D52"/>
    <w:rsid w:val="00BC32DC"/>
    <w:rsid w:val="00BC35B6"/>
    <w:rsid w:val="00BC44E7"/>
    <w:rsid w:val="00BC516C"/>
    <w:rsid w:val="00BC57E5"/>
    <w:rsid w:val="00BC5865"/>
    <w:rsid w:val="00BC6797"/>
    <w:rsid w:val="00BC70B0"/>
    <w:rsid w:val="00BC7582"/>
    <w:rsid w:val="00BD010D"/>
    <w:rsid w:val="00BD1383"/>
    <w:rsid w:val="00BD1AE7"/>
    <w:rsid w:val="00BD1B51"/>
    <w:rsid w:val="00BD28D3"/>
    <w:rsid w:val="00BD3388"/>
    <w:rsid w:val="00BD3665"/>
    <w:rsid w:val="00BD3A46"/>
    <w:rsid w:val="00BD3DE8"/>
    <w:rsid w:val="00BD42C4"/>
    <w:rsid w:val="00BD4596"/>
    <w:rsid w:val="00BD5825"/>
    <w:rsid w:val="00BD7DAD"/>
    <w:rsid w:val="00BE02CE"/>
    <w:rsid w:val="00BE0D3D"/>
    <w:rsid w:val="00BE11C7"/>
    <w:rsid w:val="00BE1405"/>
    <w:rsid w:val="00BE312D"/>
    <w:rsid w:val="00BE40D9"/>
    <w:rsid w:val="00BE434D"/>
    <w:rsid w:val="00BE612E"/>
    <w:rsid w:val="00BE6439"/>
    <w:rsid w:val="00BF17C2"/>
    <w:rsid w:val="00BF1C20"/>
    <w:rsid w:val="00BF205B"/>
    <w:rsid w:val="00BF2898"/>
    <w:rsid w:val="00BF3AEF"/>
    <w:rsid w:val="00BF432B"/>
    <w:rsid w:val="00BF43BD"/>
    <w:rsid w:val="00BF4B2C"/>
    <w:rsid w:val="00BF4D0F"/>
    <w:rsid w:val="00BF54A3"/>
    <w:rsid w:val="00BF5757"/>
    <w:rsid w:val="00C00B24"/>
    <w:rsid w:val="00C00DDC"/>
    <w:rsid w:val="00C00E60"/>
    <w:rsid w:val="00C01075"/>
    <w:rsid w:val="00C0247B"/>
    <w:rsid w:val="00C04387"/>
    <w:rsid w:val="00C05B52"/>
    <w:rsid w:val="00C10578"/>
    <w:rsid w:val="00C1249A"/>
    <w:rsid w:val="00C12CF3"/>
    <w:rsid w:val="00C12E6C"/>
    <w:rsid w:val="00C135BC"/>
    <w:rsid w:val="00C149A1"/>
    <w:rsid w:val="00C15C95"/>
    <w:rsid w:val="00C165E6"/>
    <w:rsid w:val="00C171C4"/>
    <w:rsid w:val="00C17489"/>
    <w:rsid w:val="00C17660"/>
    <w:rsid w:val="00C20360"/>
    <w:rsid w:val="00C21884"/>
    <w:rsid w:val="00C218E9"/>
    <w:rsid w:val="00C22196"/>
    <w:rsid w:val="00C229CE"/>
    <w:rsid w:val="00C22ED3"/>
    <w:rsid w:val="00C23058"/>
    <w:rsid w:val="00C250DD"/>
    <w:rsid w:val="00C2596A"/>
    <w:rsid w:val="00C2597B"/>
    <w:rsid w:val="00C268E0"/>
    <w:rsid w:val="00C27537"/>
    <w:rsid w:val="00C275D8"/>
    <w:rsid w:val="00C30689"/>
    <w:rsid w:val="00C30DA0"/>
    <w:rsid w:val="00C30DFB"/>
    <w:rsid w:val="00C32885"/>
    <w:rsid w:val="00C328FE"/>
    <w:rsid w:val="00C33507"/>
    <w:rsid w:val="00C34E65"/>
    <w:rsid w:val="00C35FB0"/>
    <w:rsid w:val="00C3601D"/>
    <w:rsid w:val="00C372F7"/>
    <w:rsid w:val="00C378EC"/>
    <w:rsid w:val="00C40B29"/>
    <w:rsid w:val="00C4107A"/>
    <w:rsid w:val="00C4124C"/>
    <w:rsid w:val="00C42940"/>
    <w:rsid w:val="00C433DD"/>
    <w:rsid w:val="00C4409D"/>
    <w:rsid w:val="00C44E72"/>
    <w:rsid w:val="00C454C6"/>
    <w:rsid w:val="00C45A06"/>
    <w:rsid w:val="00C46E69"/>
    <w:rsid w:val="00C47BFD"/>
    <w:rsid w:val="00C47E3A"/>
    <w:rsid w:val="00C47E5B"/>
    <w:rsid w:val="00C47ECC"/>
    <w:rsid w:val="00C51944"/>
    <w:rsid w:val="00C5307C"/>
    <w:rsid w:val="00C533C2"/>
    <w:rsid w:val="00C536D4"/>
    <w:rsid w:val="00C54C0C"/>
    <w:rsid w:val="00C56144"/>
    <w:rsid w:val="00C5752D"/>
    <w:rsid w:val="00C6050C"/>
    <w:rsid w:val="00C6139D"/>
    <w:rsid w:val="00C616AB"/>
    <w:rsid w:val="00C61E4B"/>
    <w:rsid w:val="00C624A9"/>
    <w:rsid w:val="00C6344C"/>
    <w:rsid w:val="00C63892"/>
    <w:rsid w:val="00C63E90"/>
    <w:rsid w:val="00C64549"/>
    <w:rsid w:val="00C64BFF"/>
    <w:rsid w:val="00C65597"/>
    <w:rsid w:val="00C65F73"/>
    <w:rsid w:val="00C704E9"/>
    <w:rsid w:val="00C70632"/>
    <w:rsid w:val="00C70750"/>
    <w:rsid w:val="00C70836"/>
    <w:rsid w:val="00C71A1E"/>
    <w:rsid w:val="00C7222B"/>
    <w:rsid w:val="00C72DEC"/>
    <w:rsid w:val="00C7472D"/>
    <w:rsid w:val="00C75697"/>
    <w:rsid w:val="00C75BC3"/>
    <w:rsid w:val="00C763C9"/>
    <w:rsid w:val="00C76F3A"/>
    <w:rsid w:val="00C80057"/>
    <w:rsid w:val="00C801AC"/>
    <w:rsid w:val="00C81626"/>
    <w:rsid w:val="00C81E49"/>
    <w:rsid w:val="00C82232"/>
    <w:rsid w:val="00C82913"/>
    <w:rsid w:val="00C829B9"/>
    <w:rsid w:val="00C8391F"/>
    <w:rsid w:val="00C85A0B"/>
    <w:rsid w:val="00C85BF8"/>
    <w:rsid w:val="00C86BBC"/>
    <w:rsid w:val="00C87098"/>
    <w:rsid w:val="00C87842"/>
    <w:rsid w:val="00C87BC8"/>
    <w:rsid w:val="00C904F2"/>
    <w:rsid w:val="00C9059A"/>
    <w:rsid w:val="00C9396E"/>
    <w:rsid w:val="00C940EC"/>
    <w:rsid w:val="00C94DA2"/>
    <w:rsid w:val="00C95526"/>
    <w:rsid w:val="00C9618F"/>
    <w:rsid w:val="00C96BB4"/>
    <w:rsid w:val="00C96EAB"/>
    <w:rsid w:val="00C972B1"/>
    <w:rsid w:val="00CA2229"/>
    <w:rsid w:val="00CA29D6"/>
    <w:rsid w:val="00CA2CCE"/>
    <w:rsid w:val="00CA43FD"/>
    <w:rsid w:val="00CA5D74"/>
    <w:rsid w:val="00CA5F0B"/>
    <w:rsid w:val="00CA65DA"/>
    <w:rsid w:val="00CA6FEA"/>
    <w:rsid w:val="00CA7EF8"/>
    <w:rsid w:val="00CB077A"/>
    <w:rsid w:val="00CB1305"/>
    <w:rsid w:val="00CB13CF"/>
    <w:rsid w:val="00CB1D7C"/>
    <w:rsid w:val="00CB383A"/>
    <w:rsid w:val="00CB5422"/>
    <w:rsid w:val="00CB5C9B"/>
    <w:rsid w:val="00CB5F81"/>
    <w:rsid w:val="00CB742D"/>
    <w:rsid w:val="00CB7808"/>
    <w:rsid w:val="00CB7EEC"/>
    <w:rsid w:val="00CC0243"/>
    <w:rsid w:val="00CC489B"/>
    <w:rsid w:val="00CC5A34"/>
    <w:rsid w:val="00CC66E2"/>
    <w:rsid w:val="00CC6B8C"/>
    <w:rsid w:val="00CC6CD4"/>
    <w:rsid w:val="00CC6F80"/>
    <w:rsid w:val="00CC7412"/>
    <w:rsid w:val="00CC7BC1"/>
    <w:rsid w:val="00CD0750"/>
    <w:rsid w:val="00CD0DE0"/>
    <w:rsid w:val="00CD0FA5"/>
    <w:rsid w:val="00CD1500"/>
    <w:rsid w:val="00CD2325"/>
    <w:rsid w:val="00CD2522"/>
    <w:rsid w:val="00CD2BCD"/>
    <w:rsid w:val="00CD2D9E"/>
    <w:rsid w:val="00CD3250"/>
    <w:rsid w:val="00CD35DB"/>
    <w:rsid w:val="00CD3A4C"/>
    <w:rsid w:val="00CD3F5C"/>
    <w:rsid w:val="00CD45D5"/>
    <w:rsid w:val="00CD5551"/>
    <w:rsid w:val="00CD7247"/>
    <w:rsid w:val="00CE0AA7"/>
    <w:rsid w:val="00CE10E9"/>
    <w:rsid w:val="00CE1757"/>
    <w:rsid w:val="00CE2504"/>
    <w:rsid w:val="00CE2910"/>
    <w:rsid w:val="00CE4424"/>
    <w:rsid w:val="00CE5243"/>
    <w:rsid w:val="00CE5393"/>
    <w:rsid w:val="00CE7C11"/>
    <w:rsid w:val="00CF18C8"/>
    <w:rsid w:val="00CF20E6"/>
    <w:rsid w:val="00CF2ADF"/>
    <w:rsid w:val="00CF31F6"/>
    <w:rsid w:val="00CF36BE"/>
    <w:rsid w:val="00CF44C6"/>
    <w:rsid w:val="00CF4D28"/>
    <w:rsid w:val="00CF5236"/>
    <w:rsid w:val="00CF530C"/>
    <w:rsid w:val="00CF5F70"/>
    <w:rsid w:val="00CF6000"/>
    <w:rsid w:val="00CF6813"/>
    <w:rsid w:val="00D0005A"/>
    <w:rsid w:val="00D003F3"/>
    <w:rsid w:val="00D00802"/>
    <w:rsid w:val="00D00DFC"/>
    <w:rsid w:val="00D01982"/>
    <w:rsid w:val="00D02A08"/>
    <w:rsid w:val="00D02FBE"/>
    <w:rsid w:val="00D03353"/>
    <w:rsid w:val="00D03548"/>
    <w:rsid w:val="00D03630"/>
    <w:rsid w:val="00D0364F"/>
    <w:rsid w:val="00D053FD"/>
    <w:rsid w:val="00D06834"/>
    <w:rsid w:val="00D07A88"/>
    <w:rsid w:val="00D07D28"/>
    <w:rsid w:val="00D11B43"/>
    <w:rsid w:val="00D11C08"/>
    <w:rsid w:val="00D127AD"/>
    <w:rsid w:val="00D13825"/>
    <w:rsid w:val="00D13E38"/>
    <w:rsid w:val="00D14BB2"/>
    <w:rsid w:val="00D155F5"/>
    <w:rsid w:val="00D15986"/>
    <w:rsid w:val="00D20DE4"/>
    <w:rsid w:val="00D21101"/>
    <w:rsid w:val="00D2123F"/>
    <w:rsid w:val="00D212FF"/>
    <w:rsid w:val="00D22EB7"/>
    <w:rsid w:val="00D2329F"/>
    <w:rsid w:val="00D239F6"/>
    <w:rsid w:val="00D23CA9"/>
    <w:rsid w:val="00D25268"/>
    <w:rsid w:val="00D25419"/>
    <w:rsid w:val="00D2582B"/>
    <w:rsid w:val="00D262CC"/>
    <w:rsid w:val="00D304FC"/>
    <w:rsid w:val="00D308ED"/>
    <w:rsid w:val="00D3145B"/>
    <w:rsid w:val="00D31728"/>
    <w:rsid w:val="00D3280A"/>
    <w:rsid w:val="00D3334A"/>
    <w:rsid w:val="00D34DB1"/>
    <w:rsid w:val="00D35C89"/>
    <w:rsid w:val="00D36D86"/>
    <w:rsid w:val="00D42703"/>
    <w:rsid w:val="00D428AA"/>
    <w:rsid w:val="00D43E0F"/>
    <w:rsid w:val="00D441AC"/>
    <w:rsid w:val="00D45749"/>
    <w:rsid w:val="00D46942"/>
    <w:rsid w:val="00D47E35"/>
    <w:rsid w:val="00D5003C"/>
    <w:rsid w:val="00D50A34"/>
    <w:rsid w:val="00D50F12"/>
    <w:rsid w:val="00D510B7"/>
    <w:rsid w:val="00D51A2F"/>
    <w:rsid w:val="00D51ED8"/>
    <w:rsid w:val="00D52243"/>
    <w:rsid w:val="00D52668"/>
    <w:rsid w:val="00D53EFA"/>
    <w:rsid w:val="00D54AFF"/>
    <w:rsid w:val="00D54B84"/>
    <w:rsid w:val="00D54BE3"/>
    <w:rsid w:val="00D55210"/>
    <w:rsid w:val="00D5561F"/>
    <w:rsid w:val="00D5612F"/>
    <w:rsid w:val="00D60885"/>
    <w:rsid w:val="00D622C3"/>
    <w:rsid w:val="00D62E99"/>
    <w:rsid w:val="00D62FAF"/>
    <w:rsid w:val="00D63750"/>
    <w:rsid w:val="00D64355"/>
    <w:rsid w:val="00D65256"/>
    <w:rsid w:val="00D65D0B"/>
    <w:rsid w:val="00D66136"/>
    <w:rsid w:val="00D66B1D"/>
    <w:rsid w:val="00D67ACD"/>
    <w:rsid w:val="00D705D4"/>
    <w:rsid w:val="00D708A8"/>
    <w:rsid w:val="00D70975"/>
    <w:rsid w:val="00D70BC4"/>
    <w:rsid w:val="00D7161E"/>
    <w:rsid w:val="00D72C38"/>
    <w:rsid w:val="00D73589"/>
    <w:rsid w:val="00D73AB4"/>
    <w:rsid w:val="00D73EF5"/>
    <w:rsid w:val="00D7441A"/>
    <w:rsid w:val="00D74876"/>
    <w:rsid w:val="00D74BB8"/>
    <w:rsid w:val="00D75385"/>
    <w:rsid w:val="00D755A6"/>
    <w:rsid w:val="00D7608D"/>
    <w:rsid w:val="00D761CC"/>
    <w:rsid w:val="00D7772F"/>
    <w:rsid w:val="00D80A50"/>
    <w:rsid w:val="00D84457"/>
    <w:rsid w:val="00D84572"/>
    <w:rsid w:val="00D849D7"/>
    <w:rsid w:val="00D84E5F"/>
    <w:rsid w:val="00D852ED"/>
    <w:rsid w:val="00D854D0"/>
    <w:rsid w:val="00D863EE"/>
    <w:rsid w:val="00D87C8F"/>
    <w:rsid w:val="00D87D9A"/>
    <w:rsid w:val="00D90A35"/>
    <w:rsid w:val="00D9198E"/>
    <w:rsid w:val="00D91A4C"/>
    <w:rsid w:val="00D91A4D"/>
    <w:rsid w:val="00D91FA3"/>
    <w:rsid w:val="00D92FF3"/>
    <w:rsid w:val="00D9356C"/>
    <w:rsid w:val="00D94A7C"/>
    <w:rsid w:val="00D952CC"/>
    <w:rsid w:val="00D95896"/>
    <w:rsid w:val="00D95A7C"/>
    <w:rsid w:val="00D9663C"/>
    <w:rsid w:val="00D968D4"/>
    <w:rsid w:val="00DA0A96"/>
    <w:rsid w:val="00DA0C1F"/>
    <w:rsid w:val="00DA0DE0"/>
    <w:rsid w:val="00DA195C"/>
    <w:rsid w:val="00DA2397"/>
    <w:rsid w:val="00DA32B5"/>
    <w:rsid w:val="00DA5F05"/>
    <w:rsid w:val="00DA7AE9"/>
    <w:rsid w:val="00DB06EF"/>
    <w:rsid w:val="00DB0709"/>
    <w:rsid w:val="00DB2983"/>
    <w:rsid w:val="00DB3ADB"/>
    <w:rsid w:val="00DB3D32"/>
    <w:rsid w:val="00DB4941"/>
    <w:rsid w:val="00DB59C3"/>
    <w:rsid w:val="00DB5F85"/>
    <w:rsid w:val="00DB613B"/>
    <w:rsid w:val="00DB744B"/>
    <w:rsid w:val="00DB7929"/>
    <w:rsid w:val="00DC00FA"/>
    <w:rsid w:val="00DC0634"/>
    <w:rsid w:val="00DC10A5"/>
    <w:rsid w:val="00DC1257"/>
    <w:rsid w:val="00DC159C"/>
    <w:rsid w:val="00DC21F5"/>
    <w:rsid w:val="00DC2A14"/>
    <w:rsid w:val="00DC3145"/>
    <w:rsid w:val="00DC3B4E"/>
    <w:rsid w:val="00DC3DC0"/>
    <w:rsid w:val="00DC5800"/>
    <w:rsid w:val="00DC5B2B"/>
    <w:rsid w:val="00DC6161"/>
    <w:rsid w:val="00DD0127"/>
    <w:rsid w:val="00DD03B0"/>
    <w:rsid w:val="00DD11A6"/>
    <w:rsid w:val="00DD14DB"/>
    <w:rsid w:val="00DD24F8"/>
    <w:rsid w:val="00DD318D"/>
    <w:rsid w:val="00DD332E"/>
    <w:rsid w:val="00DD35E1"/>
    <w:rsid w:val="00DD481A"/>
    <w:rsid w:val="00DD483F"/>
    <w:rsid w:val="00DD4E13"/>
    <w:rsid w:val="00DD534B"/>
    <w:rsid w:val="00DD6EEB"/>
    <w:rsid w:val="00DD6F5F"/>
    <w:rsid w:val="00DD7007"/>
    <w:rsid w:val="00DD74BC"/>
    <w:rsid w:val="00DE0FDC"/>
    <w:rsid w:val="00DE1E3E"/>
    <w:rsid w:val="00DE1E60"/>
    <w:rsid w:val="00DE2C69"/>
    <w:rsid w:val="00DE2E2A"/>
    <w:rsid w:val="00DE3102"/>
    <w:rsid w:val="00DE4506"/>
    <w:rsid w:val="00DE4F65"/>
    <w:rsid w:val="00DE5C4B"/>
    <w:rsid w:val="00DE6BC8"/>
    <w:rsid w:val="00DF0E45"/>
    <w:rsid w:val="00DF0EE8"/>
    <w:rsid w:val="00DF140C"/>
    <w:rsid w:val="00DF2E12"/>
    <w:rsid w:val="00DF45EE"/>
    <w:rsid w:val="00DF514A"/>
    <w:rsid w:val="00DF54BB"/>
    <w:rsid w:val="00DF6690"/>
    <w:rsid w:val="00DF6804"/>
    <w:rsid w:val="00E00CE1"/>
    <w:rsid w:val="00E01D87"/>
    <w:rsid w:val="00E01D97"/>
    <w:rsid w:val="00E02310"/>
    <w:rsid w:val="00E032A6"/>
    <w:rsid w:val="00E0358D"/>
    <w:rsid w:val="00E04323"/>
    <w:rsid w:val="00E04650"/>
    <w:rsid w:val="00E070A2"/>
    <w:rsid w:val="00E121D1"/>
    <w:rsid w:val="00E12B1A"/>
    <w:rsid w:val="00E140FE"/>
    <w:rsid w:val="00E162C7"/>
    <w:rsid w:val="00E16364"/>
    <w:rsid w:val="00E16C21"/>
    <w:rsid w:val="00E201EC"/>
    <w:rsid w:val="00E202E9"/>
    <w:rsid w:val="00E21902"/>
    <w:rsid w:val="00E21D1D"/>
    <w:rsid w:val="00E23E83"/>
    <w:rsid w:val="00E245B3"/>
    <w:rsid w:val="00E25B0D"/>
    <w:rsid w:val="00E2656A"/>
    <w:rsid w:val="00E27951"/>
    <w:rsid w:val="00E30E46"/>
    <w:rsid w:val="00E318E8"/>
    <w:rsid w:val="00E31CB8"/>
    <w:rsid w:val="00E32458"/>
    <w:rsid w:val="00E3303F"/>
    <w:rsid w:val="00E33646"/>
    <w:rsid w:val="00E33A1A"/>
    <w:rsid w:val="00E34120"/>
    <w:rsid w:val="00E34C75"/>
    <w:rsid w:val="00E35A86"/>
    <w:rsid w:val="00E3720B"/>
    <w:rsid w:val="00E40384"/>
    <w:rsid w:val="00E4087C"/>
    <w:rsid w:val="00E40C0C"/>
    <w:rsid w:val="00E412D0"/>
    <w:rsid w:val="00E421AD"/>
    <w:rsid w:val="00E42794"/>
    <w:rsid w:val="00E4298F"/>
    <w:rsid w:val="00E42F9C"/>
    <w:rsid w:val="00E43513"/>
    <w:rsid w:val="00E43F2B"/>
    <w:rsid w:val="00E4449A"/>
    <w:rsid w:val="00E44D77"/>
    <w:rsid w:val="00E46D2F"/>
    <w:rsid w:val="00E47039"/>
    <w:rsid w:val="00E47B4F"/>
    <w:rsid w:val="00E52756"/>
    <w:rsid w:val="00E53662"/>
    <w:rsid w:val="00E56322"/>
    <w:rsid w:val="00E605DF"/>
    <w:rsid w:val="00E60982"/>
    <w:rsid w:val="00E60DF7"/>
    <w:rsid w:val="00E61859"/>
    <w:rsid w:val="00E62C62"/>
    <w:rsid w:val="00E632BE"/>
    <w:rsid w:val="00E6386A"/>
    <w:rsid w:val="00E638A5"/>
    <w:rsid w:val="00E64BCC"/>
    <w:rsid w:val="00E654C1"/>
    <w:rsid w:val="00E65D97"/>
    <w:rsid w:val="00E6605D"/>
    <w:rsid w:val="00E665D4"/>
    <w:rsid w:val="00E66D38"/>
    <w:rsid w:val="00E66E67"/>
    <w:rsid w:val="00E66F10"/>
    <w:rsid w:val="00E67B10"/>
    <w:rsid w:val="00E7011E"/>
    <w:rsid w:val="00E70451"/>
    <w:rsid w:val="00E70F8B"/>
    <w:rsid w:val="00E712F7"/>
    <w:rsid w:val="00E72A5A"/>
    <w:rsid w:val="00E73354"/>
    <w:rsid w:val="00E749AB"/>
    <w:rsid w:val="00E74EE0"/>
    <w:rsid w:val="00E75248"/>
    <w:rsid w:val="00E7584F"/>
    <w:rsid w:val="00E778D8"/>
    <w:rsid w:val="00E77EAA"/>
    <w:rsid w:val="00E80E63"/>
    <w:rsid w:val="00E83730"/>
    <w:rsid w:val="00E83EFF"/>
    <w:rsid w:val="00E84DE6"/>
    <w:rsid w:val="00E84E85"/>
    <w:rsid w:val="00E868AC"/>
    <w:rsid w:val="00E875E1"/>
    <w:rsid w:val="00E87F48"/>
    <w:rsid w:val="00E901E1"/>
    <w:rsid w:val="00E9242D"/>
    <w:rsid w:val="00E92F71"/>
    <w:rsid w:val="00E93A63"/>
    <w:rsid w:val="00E9466E"/>
    <w:rsid w:val="00E954D4"/>
    <w:rsid w:val="00E960BC"/>
    <w:rsid w:val="00E973C8"/>
    <w:rsid w:val="00EA0221"/>
    <w:rsid w:val="00EA06A6"/>
    <w:rsid w:val="00EA083B"/>
    <w:rsid w:val="00EA0B1C"/>
    <w:rsid w:val="00EA141F"/>
    <w:rsid w:val="00EA2EE8"/>
    <w:rsid w:val="00EA3360"/>
    <w:rsid w:val="00EA3795"/>
    <w:rsid w:val="00EA5DEF"/>
    <w:rsid w:val="00EB0AC4"/>
    <w:rsid w:val="00EB3443"/>
    <w:rsid w:val="00EB3725"/>
    <w:rsid w:val="00EB372D"/>
    <w:rsid w:val="00EB3C32"/>
    <w:rsid w:val="00EB3E63"/>
    <w:rsid w:val="00EB5255"/>
    <w:rsid w:val="00EB56F5"/>
    <w:rsid w:val="00EB5C47"/>
    <w:rsid w:val="00EB5EEF"/>
    <w:rsid w:val="00EB69FF"/>
    <w:rsid w:val="00EB6FE1"/>
    <w:rsid w:val="00EB70CB"/>
    <w:rsid w:val="00EB7E99"/>
    <w:rsid w:val="00EC04D3"/>
    <w:rsid w:val="00EC0C89"/>
    <w:rsid w:val="00EC18A1"/>
    <w:rsid w:val="00EC277E"/>
    <w:rsid w:val="00EC3A08"/>
    <w:rsid w:val="00EC3BF4"/>
    <w:rsid w:val="00EC67AD"/>
    <w:rsid w:val="00ED039E"/>
    <w:rsid w:val="00ED0639"/>
    <w:rsid w:val="00ED07DB"/>
    <w:rsid w:val="00ED0BDF"/>
    <w:rsid w:val="00ED1251"/>
    <w:rsid w:val="00ED2530"/>
    <w:rsid w:val="00ED2A72"/>
    <w:rsid w:val="00ED49F5"/>
    <w:rsid w:val="00ED53B0"/>
    <w:rsid w:val="00ED5F3A"/>
    <w:rsid w:val="00ED741C"/>
    <w:rsid w:val="00ED7618"/>
    <w:rsid w:val="00ED76BF"/>
    <w:rsid w:val="00ED7EC4"/>
    <w:rsid w:val="00EE240E"/>
    <w:rsid w:val="00EE3027"/>
    <w:rsid w:val="00EE3033"/>
    <w:rsid w:val="00EE37E0"/>
    <w:rsid w:val="00EE42D8"/>
    <w:rsid w:val="00EE4368"/>
    <w:rsid w:val="00EE5526"/>
    <w:rsid w:val="00EE72B7"/>
    <w:rsid w:val="00EE7814"/>
    <w:rsid w:val="00EE7E7B"/>
    <w:rsid w:val="00EF0672"/>
    <w:rsid w:val="00EF24D3"/>
    <w:rsid w:val="00EF2779"/>
    <w:rsid w:val="00EF379F"/>
    <w:rsid w:val="00EF3900"/>
    <w:rsid w:val="00EF39A9"/>
    <w:rsid w:val="00EF4755"/>
    <w:rsid w:val="00EF55EA"/>
    <w:rsid w:val="00EF6E73"/>
    <w:rsid w:val="00EF6EBF"/>
    <w:rsid w:val="00EF6F85"/>
    <w:rsid w:val="00EF7135"/>
    <w:rsid w:val="00EF794A"/>
    <w:rsid w:val="00F00551"/>
    <w:rsid w:val="00F00D7F"/>
    <w:rsid w:val="00F01159"/>
    <w:rsid w:val="00F01408"/>
    <w:rsid w:val="00F01766"/>
    <w:rsid w:val="00F01BE5"/>
    <w:rsid w:val="00F025F9"/>
    <w:rsid w:val="00F027DB"/>
    <w:rsid w:val="00F055DC"/>
    <w:rsid w:val="00F05AA8"/>
    <w:rsid w:val="00F07161"/>
    <w:rsid w:val="00F078E6"/>
    <w:rsid w:val="00F10398"/>
    <w:rsid w:val="00F10F47"/>
    <w:rsid w:val="00F11F2E"/>
    <w:rsid w:val="00F12AFC"/>
    <w:rsid w:val="00F12DE6"/>
    <w:rsid w:val="00F12F50"/>
    <w:rsid w:val="00F13B43"/>
    <w:rsid w:val="00F14A7A"/>
    <w:rsid w:val="00F14DFF"/>
    <w:rsid w:val="00F15338"/>
    <w:rsid w:val="00F157D6"/>
    <w:rsid w:val="00F17E67"/>
    <w:rsid w:val="00F21915"/>
    <w:rsid w:val="00F2236B"/>
    <w:rsid w:val="00F22985"/>
    <w:rsid w:val="00F23974"/>
    <w:rsid w:val="00F239E9"/>
    <w:rsid w:val="00F23EB9"/>
    <w:rsid w:val="00F2497F"/>
    <w:rsid w:val="00F24F03"/>
    <w:rsid w:val="00F24FF0"/>
    <w:rsid w:val="00F25783"/>
    <w:rsid w:val="00F25F5D"/>
    <w:rsid w:val="00F262F3"/>
    <w:rsid w:val="00F30536"/>
    <w:rsid w:val="00F307B2"/>
    <w:rsid w:val="00F30F66"/>
    <w:rsid w:val="00F30F7E"/>
    <w:rsid w:val="00F317DF"/>
    <w:rsid w:val="00F33590"/>
    <w:rsid w:val="00F3383E"/>
    <w:rsid w:val="00F33DF3"/>
    <w:rsid w:val="00F3406C"/>
    <w:rsid w:val="00F34417"/>
    <w:rsid w:val="00F34C3B"/>
    <w:rsid w:val="00F35F6F"/>
    <w:rsid w:val="00F376E8"/>
    <w:rsid w:val="00F37F28"/>
    <w:rsid w:val="00F41D22"/>
    <w:rsid w:val="00F41D91"/>
    <w:rsid w:val="00F43CD8"/>
    <w:rsid w:val="00F43FCF"/>
    <w:rsid w:val="00F44719"/>
    <w:rsid w:val="00F44812"/>
    <w:rsid w:val="00F465A7"/>
    <w:rsid w:val="00F5016C"/>
    <w:rsid w:val="00F50174"/>
    <w:rsid w:val="00F50B7C"/>
    <w:rsid w:val="00F512D6"/>
    <w:rsid w:val="00F518D5"/>
    <w:rsid w:val="00F51D1F"/>
    <w:rsid w:val="00F52F40"/>
    <w:rsid w:val="00F550E6"/>
    <w:rsid w:val="00F562AF"/>
    <w:rsid w:val="00F568D7"/>
    <w:rsid w:val="00F56C30"/>
    <w:rsid w:val="00F5785D"/>
    <w:rsid w:val="00F57F87"/>
    <w:rsid w:val="00F614CB"/>
    <w:rsid w:val="00F61C29"/>
    <w:rsid w:val="00F61FAA"/>
    <w:rsid w:val="00F62F29"/>
    <w:rsid w:val="00F6355C"/>
    <w:rsid w:val="00F63A13"/>
    <w:rsid w:val="00F642FA"/>
    <w:rsid w:val="00F643C2"/>
    <w:rsid w:val="00F64AEC"/>
    <w:rsid w:val="00F6590B"/>
    <w:rsid w:val="00F65A64"/>
    <w:rsid w:val="00F67C74"/>
    <w:rsid w:val="00F718C7"/>
    <w:rsid w:val="00F7218A"/>
    <w:rsid w:val="00F736CE"/>
    <w:rsid w:val="00F74345"/>
    <w:rsid w:val="00F759BC"/>
    <w:rsid w:val="00F75A33"/>
    <w:rsid w:val="00F77ADF"/>
    <w:rsid w:val="00F77D67"/>
    <w:rsid w:val="00F80A0A"/>
    <w:rsid w:val="00F82365"/>
    <w:rsid w:val="00F82B19"/>
    <w:rsid w:val="00F83D08"/>
    <w:rsid w:val="00F843AD"/>
    <w:rsid w:val="00F8662C"/>
    <w:rsid w:val="00F86635"/>
    <w:rsid w:val="00F869E7"/>
    <w:rsid w:val="00F87523"/>
    <w:rsid w:val="00F8756B"/>
    <w:rsid w:val="00F904F2"/>
    <w:rsid w:val="00F90A10"/>
    <w:rsid w:val="00F9175C"/>
    <w:rsid w:val="00F91B69"/>
    <w:rsid w:val="00F9212D"/>
    <w:rsid w:val="00F9242B"/>
    <w:rsid w:val="00F927D5"/>
    <w:rsid w:val="00F92D72"/>
    <w:rsid w:val="00F93227"/>
    <w:rsid w:val="00F9432B"/>
    <w:rsid w:val="00F95569"/>
    <w:rsid w:val="00F9581C"/>
    <w:rsid w:val="00F95C8B"/>
    <w:rsid w:val="00F96137"/>
    <w:rsid w:val="00F965DA"/>
    <w:rsid w:val="00F97219"/>
    <w:rsid w:val="00F976D1"/>
    <w:rsid w:val="00FA20DB"/>
    <w:rsid w:val="00FA2E5F"/>
    <w:rsid w:val="00FA3A60"/>
    <w:rsid w:val="00FA406A"/>
    <w:rsid w:val="00FA563A"/>
    <w:rsid w:val="00FA5B0D"/>
    <w:rsid w:val="00FA6486"/>
    <w:rsid w:val="00FA699D"/>
    <w:rsid w:val="00FA739A"/>
    <w:rsid w:val="00FB0A3D"/>
    <w:rsid w:val="00FB0BB7"/>
    <w:rsid w:val="00FB123C"/>
    <w:rsid w:val="00FB1464"/>
    <w:rsid w:val="00FB2D66"/>
    <w:rsid w:val="00FB3AAB"/>
    <w:rsid w:val="00FB471F"/>
    <w:rsid w:val="00FB474D"/>
    <w:rsid w:val="00FB503A"/>
    <w:rsid w:val="00FB516C"/>
    <w:rsid w:val="00FB5C9E"/>
    <w:rsid w:val="00FB7B74"/>
    <w:rsid w:val="00FB7D9F"/>
    <w:rsid w:val="00FC0251"/>
    <w:rsid w:val="00FC30C9"/>
    <w:rsid w:val="00FC4C75"/>
    <w:rsid w:val="00FC63FD"/>
    <w:rsid w:val="00FC6A8A"/>
    <w:rsid w:val="00FC7EB4"/>
    <w:rsid w:val="00FD0236"/>
    <w:rsid w:val="00FD0577"/>
    <w:rsid w:val="00FD1049"/>
    <w:rsid w:val="00FD172F"/>
    <w:rsid w:val="00FD18F4"/>
    <w:rsid w:val="00FD3055"/>
    <w:rsid w:val="00FD4332"/>
    <w:rsid w:val="00FD46E6"/>
    <w:rsid w:val="00FD54DB"/>
    <w:rsid w:val="00FD60D9"/>
    <w:rsid w:val="00FD619F"/>
    <w:rsid w:val="00FD64E0"/>
    <w:rsid w:val="00FD6C67"/>
    <w:rsid w:val="00FD77CB"/>
    <w:rsid w:val="00FD7B76"/>
    <w:rsid w:val="00FD7EB0"/>
    <w:rsid w:val="00FE0002"/>
    <w:rsid w:val="00FE027C"/>
    <w:rsid w:val="00FE0428"/>
    <w:rsid w:val="00FE0C82"/>
    <w:rsid w:val="00FE1286"/>
    <w:rsid w:val="00FE32B5"/>
    <w:rsid w:val="00FE3319"/>
    <w:rsid w:val="00FE35A3"/>
    <w:rsid w:val="00FE4D7E"/>
    <w:rsid w:val="00FE4F23"/>
    <w:rsid w:val="00FE5448"/>
    <w:rsid w:val="00FE70D4"/>
    <w:rsid w:val="00FF0302"/>
    <w:rsid w:val="00FF066F"/>
    <w:rsid w:val="00FF0EEF"/>
    <w:rsid w:val="00FF1F5B"/>
    <w:rsid w:val="00FF401C"/>
    <w:rsid w:val="00FF4FD3"/>
    <w:rsid w:val="01031C21"/>
    <w:rsid w:val="010A645E"/>
    <w:rsid w:val="010D26D1"/>
    <w:rsid w:val="01126928"/>
    <w:rsid w:val="01290F7E"/>
    <w:rsid w:val="01375914"/>
    <w:rsid w:val="013F3342"/>
    <w:rsid w:val="014B4F11"/>
    <w:rsid w:val="015106CE"/>
    <w:rsid w:val="015B4120"/>
    <w:rsid w:val="015D1E09"/>
    <w:rsid w:val="016C0021"/>
    <w:rsid w:val="01726621"/>
    <w:rsid w:val="01913FB9"/>
    <w:rsid w:val="01A23AC6"/>
    <w:rsid w:val="01B84F19"/>
    <w:rsid w:val="01C647B3"/>
    <w:rsid w:val="01C81851"/>
    <w:rsid w:val="020442FF"/>
    <w:rsid w:val="02147F37"/>
    <w:rsid w:val="02260750"/>
    <w:rsid w:val="022E4A71"/>
    <w:rsid w:val="023413A5"/>
    <w:rsid w:val="023969E4"/>
    <w:rsid w:val="024F09B8"/>
    <w:rsid w:val="02697903"/>
    <w:rsid w:val="02703A68"/>
    <w:rsid w:val="029E5C6A"/>
    <w:rsid w:val="02AA08D8"/>
    <w:rsid w:val="02AB400C"/>
    <w:rsid w:val="02DC5EA0"/>
    <w:rsid w:val="02ED1C6E"/>
    <w:rsid w:val="02F96569"/>
    <w:rsid w:val="02FE0572"/>
    <w:rsid w:val="03452C69"/>
    <w:rsid w:val="0363479C"/>
    <w:rsid w:val="039F7795"/>
    <w:rsid w:val="03A843AE"/>
    <w:rsid w:val="03AA6FCE"/>
    <w:rsid w:val="03D34A61"/>
    <w:rsid w:val="03EA7B21"/>
    <w:rsid w:val="040E08D3"/>
    <w:rsid w:val="04172B32"/>
    <w:rsid w:val="04357D70"/>
    <w:rsid w:val="0457491F"/>
    <w:rsid w:val="045B071C"/>
    <w:rsid w:val="04A16A05"/>
    <w:rsid w:val="04EA4184"/>
    <w:rsid w:val="04FE1827"/>
    <w:rsid w:val="05035529"/>
    <w:rsid w:val="05650CA4"/>
    <w:rsid w:val="05696B48"/>
    <w:rsid w:val="056C1D63"/>
    <w:rsid w:val="05870802"/>
    <w:rsid w:val="05C27B59"/>
    <w:rsid w:val="05C654BD"/>
    <w:rsid w:val="05D94A84"/>
    <w:rsid w:val="05F83EAE"/>
    <w:rsid w:val="061224C0"/>
    <w:rsid w:val="062150BF"/>
    <w:rsid w:val="06283F63"/>
    <w:rsid w:val="063E7D85"/>
    <w:rsid w:val="0654726A"/>
    <w:rsid w:val="065B0802"/>
    <w:rsid w:val="065F0BA7"/>
    <w:rsid w:val="069E6AC3"/>
    <w:rsid w:val="06A80874"/>
    <w:rsid w:val="06A94B02"/>
    <w:rsid w:val="06C068DA"/>
    <w:rsid w:val="06C57CBA"/>
    <w:rsid w:val="06C7367D"/>
    <w:rsid w:val="06E32190"/>
    <w:rsid w:val="06E6456D"/>
    <w:rsid w:val="07177C8A"/>
    <w:rsid w:val="07260695"/>
    <w:rsid w:val="07293586"/>
    <w:rsid w:val="07295285"/>
    <w:rsid w:val="073354A0"/>
    <w:rsid w:val="0741177F"/>
    <w:rsid w:val="07470827"/>
    <w:rsid w:val="07636392"/>
    <w:rsid w:val="07770C56"/>
    <w:rsid w:val="077F62C8"/>
    <w:rsid w:val="078341FF"/>
    <w:rsid w:val="07843CDE"/>
    <w:rsid w:val="079B5E9B"/>
    <w:rsid w:val="07A227F9"/>
    <w:rsid w:val="07A70C63"/>
    <w:rsid w:val="07E94EC9"/>
    <w:rsid w:val="07F1239F"/>
    <w:rsid w:val="080A5FA3"/>
    <w:rsid w:val="08233BA3"/>
    <w:rsid w:val="08235F77"/>
    <w:rsid w:val="0836458D"/>
    <w:rsid w:val="08381BDD"/>
    <w:rsid w:val="083C5D6E"/>
    <w:rsid w:val="084A5701"/>
    <w:rsid w:val="08543965"/>
    <w:rsid w:val="085F0A08"/>
    <w:rsid w:val="0873070E"/>
    <w:rsid w:val="087B2EF8"/>
    <w:rsid w:val="08845656"/>
    <w:rsid w:val="08A22B74"/>
    <w:rsid w:val="08CF50F6"/>
    <w:rsid w:val="092217DD"/>
    <w:rsid w:val="093A7294"/>
    <w:rsid w:val="094857C6"/>
    <w:rsid w:val="094D16E3"/>
    <w:rsid w:val="09516020"/>
    <w:rsid w:val="099648A5"/>
    <w:rsid w:val="09B34A27"/>
    <w:rsid w:val="09D05AF1"/>
    <w:rsid w:val="0A0F3D94"/>
    <w:rsid w:val="0A157CFC"/>
    <w:rsid w:val="0A263993"/>
    <w:rsid w:val="0A2D3AC2"/>
    <w:rsid w:val="0A4C3D28"/>
    <w:rsid w:val="0A5A61C2"/>
    <w:rsid w:val="0AA3355A"/>
    <w:rsid w:val="0AA73E02"/>
    <w:rsid w:val="0AA755DF"/>
    <w:rsid w:val="0AC12914"/>
    <w:rsid w:val="0AD062B9"/>
    <w:rsid w:val="0B047850"/>
    <w:rsid w:val="0B120D44"/>
    <w:rsid w:val="0B19184C"/>
    <w:rsid w:val="0B2E2200"/>
    <w:rsid w:val="0B5F39C0"/>
    <w:rsid w:val="0B6B091F"/>
    <w:rsid w:val="0B6E6F2E"/>
    <w:rsid w:val="0B70168E"/>
    <w:rsid w:val="0B7D78D4"/>
    <w:rsid w:val="0B8338F8"/>
    <w:rsid w:val="0B9752B7"/>
    <w:rsid w:val="0BA267FE"/>
    <w:rsid w:val="0BC00D5D"/>
    <w:rsid w:val="0BC33848"/>
    <w:rsid w:val="0BD27BF6"/>
    <w:rsid w:val="0BFB0BEA"/>
    <w:rsid w:val="0C1851ED"/>
    <w:rsid w:val="0C24614C"/>
    <w:rsid w:val="0C2C135D"/>
    <w:rsid w:val="0C3B3C7D"/>
    <w:rsid w:val="0C414106"/>
    <w:rsid w:val="0C613A5C"/>
    <w:rsid w:val="0C682BE5"/>
    <w:rsid w:val="0C6F7659"/>
    <w:rsid w:val="0C7634F0"/>
    <w:rsid w:val="0CAB2EAE"/>
    <w:rsid w:val="0CD13741"/>
    <w:rsid w:val="0D4F4E1B"/>
    <w:rsid w:val="0D5379DF"/>
    <w:rsid w:val="0D5E3E13"/>
    <w:rsid w:val="0D621C7D"/>
    <w:rsid w:val="0D841F43"/>
    <w:rsid w:val="0D8E4076"/>
    <w:rsid w:val="0DAB78EB"/>
    <w:rsid w:val="0DC87755"/>
    <w:rsid w:val="0DD662E5"/>
    <w:rsid w:val="0E2449B2"/>
    <w:rsid w:val="0E4F70B6"/>
    <w:rsid w:val="0E73034D"/>
    <w:rsid w:val="0E753703"/>
    <w:rsid w:val="0E874C58"/>
    <w:rsid w:val="0E8868EE"/>
    <w:rsid w:val="0EA84FB2"/>
    <w:rsid w:val="0EB32FDE"/>
    <w:rsid w:val="0ECE2933"/>
    <w:rsid w:val="0F13775A"/>
    <w:rsid w:val="0F2D3F29"/>
    <w:rsid w:val="0F3E5159"/>
    <w:rsid w:val="0F5F45FE"/>
    <w:rsid w:val="0F8047B6"/>
    <w:rsid w:val="0F972112"/>
    <w:rsid w:val="0F9A112B"/>
    <w:rsid w:val="0FA37462"/>
    <w:rsid w:val="0FD001CA"/>
    <w:rsid w:val="0FF42379"/>
    <w:rsid w:val="101F6456"/>
    <w:rsid w:val="10376470"/>
    <w:rsid w:val="10443B37"/>
    <w:rsid w:val="106D2F64"/>
    <w:rsid w:val="107A0C5C"/>
    <w:rsid w:val="107B2E92"/>
    <w:rsid w:val="10A217E9"/>
    <w:rsid w:val="10B63710"/>
    <w:rsid w:val="10F10820"/>
    <w:rsid w:val="110B66A0"/>
    <w:rsid w:val="111C2F7A"/>
    <w:rsid w:val="1144317D"/>
    <w:rsid w:val="11543161"/>
    <w:rsid w:val="11651569"/>
    <w:rsid w:val="11665CA1"/>
    <w:rsid w:val="117D7F3D"/>
    <w:rsid w:val="11811760"/>
    <w:rsid w:val="1193199B"/>
    <w:rsid w:val="11A11A03"/>
    <w:rsid w:val="120E6390"/>
    <w:rsid w:val="12135F22"/>
    <w:rsid w:val="121B1A72"/>
    <w:rsid w:val="12323D2F"/>
    <w:rsid w:val="12402AE1"/>
    <w:rsid w:val="126A0FDA"/>
    <w:rsid w:val="12851744"/>
    <w:rsid w:val="128D46DD"/>
    <w:rsid w:val="12956B0A"/>
    <w:rsid w:val="129B5139"/>
    <w:rsid w:val="12B72298"/>
    <w:rsid w:val="12BD25D6"/>
    <w:rsid w:val="12C7395B"/>
    <w:rsid w:val="12D8351B"/>
    <w:rsid w:val="12DC244A"/>
    <w:rsid w:val="12DF6A35"/>
    <w:rsid w:val="1323221B"/>
    <w:rsid w:val="13235BB8"/>
    <w:rsid w:val="132E4C58"/>
    <w:rsid w:val="13397BA5"/>
    <w:rsid w:val="133C531F"/>
    <w:rsid w:val="13414143"/>
    <w:rsid w:val="13453A47"/>
    <w:rsid w:val="13905C6F"/>
    <w:rsid w:val="13951726"/>
    <w:rsid w:val="13BB3038"/>
    <w:rsid w:val="13F55A31"/>
    <w:rsid w:val="13F96A82"/>
    <w:rsid w:val="14383989"/>
    <w:rsid w:val="14396509"/>
    <w:rsid w:val="145062EF"/>
    <w:rsid w:val="146828D0"/>
    <w:rsid w:val="147509AF"/>
    <w:rsid w:val="14794E26"/>
    <w:rsid w:val="148B29F8"/>
    <w:rsid w:val="14902509"/>
    <w:rsid w:val="149D6612"/>
    <w:rsid w:val="14BC7A3D"/>
    <w:rsid w:val="14DD2C3C"/>
    <w:rsid w:val="14FF62CC"/>
    <w:rsid w:val="151F2970"/>
    <w:rsid w:val="15267AD0"/>
    <w:rsid w:val="154C4F1A"/>
    <w:rsid w:val="154E719A"/>
    <w:rsid w:val="156D4F23"/>
    <w:rsid w:val="158B32B0"/>
    <w:rsid w:val="15965FBD"/>
    <w:rsid w:val="15A534A3"/>
    <w:rsid w:val="15B8610B"/>
    <w:rsid w:val="15E71706"/>
    <w:rsid w:val="1602262A"/>
    <w:rsid w:val="16087E1D"/>
    <w:rsid w:val="160D6484"/>
    <w:rsid w:val="163B3B88"/>
    <w:rsid w:val="168C576D"/>
    <w:rsid w:val="168E7B34"/>
    <w:rsid w:val="1696382F"/>
    <w:rsid w:val="169A20A6"/>
    <w:rsid w:val="16D87997"/>
    <w:rsid w:val="16DD69F5"/>
    <w:rsid w:val="16EC5C67"/>
    <w:rsid w:val="172B095B"/>
    <w:rsid w:val="174A3335"/>
    <w:rsid w:val="176D1A9F"/>
    <w:rsid w:val="17701D14"/>
    <w:rsid w:val="17710B1E"/>
    <w:rsid w:val="17735226"/>
    <w:rsid w:val="17CD1C16"/>
    <w:rsid w:val="17FC1EAF"/>
    <w:rsid w:val="18131D1F"/>
    <w:rsid w:val="181E779D"/>
    <w:rsid w:val="182401A4"/>
    <w:rsid w:val="18267507"/>
    <w:rsid w:val="18305AAA"/>
    <w:rsid w:val="183C1F32"/>
    <w:rsid w:val="183F6086"/>
    <w:rsid w:val="185D005D"/>
    <w:rsid w:val="185E2FCF"/>
    <w:rsid w:val="189F624C"/>
    <w:rsid w:val="18AA44EA"/>
    <w:rsid w:val="18B227DE"/>
    <w:rsid w:val="18B509D6"/>
    <w:rsid w:val="18C377F9"/>
    <w:rsid w:val="18DB5F53"/>
    <w:rsid w:val="18E10BF0"/>
    <w:rsid w:val="18EB79F6"/>
    <w:rsid w:val="19800098"/>
    <w:rsid w:val="19850485"/>
    <w:rsid w:val="19F17340"/>
    <w:rsid w:val="19F46366"/>
    <w:rsid w:val="1A1C66C0"/>
    <w:rsid w:val="1A42393B"/>
    <w:rsid w:val="1A846F04"/>
    <w:rsid w:val="1A9B1060"/>
    <w:rsid w:val="1AAD03A5"/>
    <w:rsid w:val="1AAD45DE"/>
    <w:rsid w:val="1ABD1ECC"/>
    <w:rsid w:val="1AC738E4"/>
    <w:rsid w:val="1B046F80"/>
    <w:rsid w:val="1B1F64B0"/>
    <w:rsid w:val="1B3267B5"/>
    <w:rsid w:val="1B40161D"/>
    <w:rsid w:val="1B434BA6"/>
    <w:rsid w:val="1B441859"/>
    <w:rsid w:val="1B4B7A22"/>
    <w:rsid w:val="1B511D05"/>
    <w:rsid w:val="1B54652C"/>
    <w:rsid w:val="1B6231B0"/>
    <w:rsid w:val="1B6606B1"/>
    <w:rsid w:val="1B851185"/>
    <w:rsid w:val="1B8B5659"/>
    <w:rsid w:val="1BA3785E"/>
    <w:rsid w:val="1BD95F08"/>
    <w:rsid w:val="1C0922FA"/>
    <w:rsid w:val="1C3A2343"/>
    <w:rsid w:val="1C420B12"/>
    <w:rsid w:val="1C4E2E8C"/>
    <w:rsid w:val="1C5E7925"/>
    <w:rsid w:val="1C6421F0"/>
    <w:rsid w:val="1C787239"/>
    <w:rsid w:val="1C8640C8"/>
    <w:rsid w:val="1CBF3772"/>
    <w:rsid w:val="1CDE1CB7"/>
    <w:rsid w:val="1CFC21BA"/>
    <w:rsid w:val="1CFD070F"/>
    <w:rsid w:val="1D2B7A6C"/>
    <w:rsid w:val="1D2C55B2"/>
    <w:rsid w:val="1D56562D"/>
    <w:rsid w:val="1D5F6196"/>
    <w:rsid w:val="1D6132A5"/>
    <w:rsid w:val="1D8035DC"/>
    <w:rsid w:val="1D8E56D5"/>
    <w:rsid w:val="1D925B8A"/>
    <w:rsid w:val="1D9D11F6"/>
    <w:rsid w:val="1D9F78A0"/>
    <w:rsid w:val="1DA24C73"/>
    <w:rsid w:val="1DCF7E27"/>
    <w:rsid w:val="1DF647FA"/>
    <w:rsid w:val="1E1251AF"/>
    <w:rsid w:val="1E2F5C47"/>
    <w:rsid w:val="1E5F5CBE"/>
    <w:rsid w:val="1E67370A"/>
    <w:rsid w:val="1E7A43DA"/>
    <w:rsid w:val="1E990EF4"/>
    <w:rsid w:val="1E9B1AE1"/>
    <w:rsid w:val="1EA82D4A"/>
    <w:rsid w:val="1EB631C5"/>
    <w:rsid w:val="1EE01EA0"/>
    <w:rsid w:val="1EE34BED"/>
    <w:rsid w:val="1EE51178"/>
    <w:rsid w:val="1F1263D4"/>
    <w:rsid w:val="1F8A5E3D"/>
    <w:rsid w:val="1FE7539E"/>
    <w:rsid w:val="20100D5D"/>
    <w:rsid w:val="20230A39"/>
    <w:rsid w:val="204F651B"/>
    <w:rsid w:val="20531CF4"/>
    <w:rsid w:val="20671BE0"/>
    <w:rsid w:val="20963CB8"/>
    <w:rsid w:val="20A81A1B"/>
    <w:rsid w:val="20B07FB6"/>
    <w:rsid w:val="20B646FB"/>
    <w:rsid w:val="20CF4193"/>
    <w:rsid w:val="20DD377F"/>
    <w:rsid w:val="20F12AC3"/>
    <w:rsid w:val="20FF7005"/>
    <w:rsid w:val="21193B02"/>
    <w:rsid w:val="213B74B1"/>
    <w:rsid w:val="214E3C71"/>
    <w:rsid w:val="215A2310"/>
    <w:rsid w:val="2167690E"/>
    <w:rsid w:val="21694897"/>
    <w:rsid w:val="216A0E66"/>
    <w:rsid w:val="218D7F6B"/>
    <w:rsid w:val="2195103F"/>
    <w:rsid w:val="21AA0945"/>
    <w:rsid w:val="21B90954"/>
    <w:rsid w:val="21C12B65"/>
    <w:rsid w:val="21C503C3"/>
    <w:rsid w:val="21DE318A"/>
    <w:rsid w:val="21EF5B80"/>
    <w:rsid w:val="22073CC5"/>
    <w:rsid w:val="22576990"/>
    <w:rsid w:val="22787569"/>
    <w:rsid w:val="229327F3"/>
    <w:rsid w:val="22A30034"/>
    <w:rsid w:val="22A83EC4"/>
    <w:rsid w:val="22BB7484"/>
    <w:rsid w:val="22D06660"/>
    <w:rsid w:val="22EC03A2"/>
    <w:rsid w:val="22EE6490"/>
    <w:rsid w:val="22F47480"/>
    <w:rsid w:val="230E637D"/>
    <w:rsid w:val="2314495E"/>
    <w:rsid w:val="23330DBD"/>
    <w:rsid w:val="2358717F"/>
    <w:rsid w:val="23764D16"/>
    <w:rsid w:val="238D5CC0"/>
    <w:rsid w:val="23AE66CF"/>
    <w:rsid w:val="23B15806"/>
    <w:rsid w:val="23BA62B8"/>
    <w:rsid w:val="23C93413"/>
    <w:rsid w:val="23DE1C48"/>
    <w:rsid w:val="240210CD"/>
    <w:rsid w:val="243207A6"/>
    <w:rsid w:val="24532ED6"/>
    <w:rsid w:val="24701BFE"/>
    <w:rsid w:val="24BA4B7F"/>
    <w:rsid w:val="24BD7520"/>
    <w:rsid w:val="24BF09F7"/>
    <w:rsid w:val="24C340D0"/>
    <w:rsid w:val="24F760C4"/>
    <w:rsid w:val="24FB20B1"/>
    <w:rsid w:val="25014210"/>
    <w:rsid w:val="25295814"/>
    <w:rsid w:val="252B7FC4"/>
    <w:rsid w:val="252D53FE"/>
    <w:rsid w:val="25324938"/>
    <w:rsid w:val="254D072A"/>
    <w:rsid w:val="25515E9C"/>
    <w:rsid w:val="256851BA"/>
    <w:rsid w:val="257053D3"/>
    <w:rsid w:val="25737C53"/>
    <w:rsid w:val="25AA7504"/>
    <w:rsid w:val="25AC1A52"/>
    <w:rsid w:val="25AC2778"/>
    <w:rsid w:val="25BA6191"/>
    <w:rsid w:val="25EC2D81"/>
    <w:rsid w:val="25F42D95"/>
    <w:rsid w:val="26124023"/>
    <w:rsid w:val="2617014B"/>
    <w:rsid w:val="2628108B"/>
    <w:rsid w:val="2636096B"/>
    <w:rsid w:val="268035C6"/>
    <w:rsid w:val="26877614"/>
    <w:rsid w:val="26892AAD"/>
    <w:rsid w:val="268A3AF4"/>
    <w:rsid w:val="26A452D9"/>
    <w:rsid w:val="26A47619"/>
    <w:rsid w:val="26A86365"/>
    <w:rsid w:val="26CD59B8"/>
    <w:rsid w:val="26CE4858"/>
    <w:rsid w:val="27067F5C"/>
    <w:rsid w:val="272551B5"/>
    <w:rsid w:val="27331F36"/>
    <w:rsid w:val="27373EAA"/>
    <w:rsid w:val="27491C51"/>
    <w:rsid w:val="274D3719"/>
    <w:rsid w:val="2751037D"/>
    <w:rsid w:val="277057A2"/>
    <w:rsid w:val="27B13D7E"/>
    <w:rsid w:val="27BA3F65"/>
    <w:rsid w:val="27BE08E6"/>
    <w:rsid w:val="27CB2687"/>
    <w:rsid w:val="27F97CED"/>
    <w:rsid w:val="28472F9E"/>
    <w:rsid w:val="28895EBD"/>
    <w:rsid w:val="28930D95"/>
    <w:rsid w:val="28AA49DD"/>
    <w:rsid w:val="28C12D1F"/>
    <w:rsid w:val="290B4DE9"/>
    <w:rsid w:val="29206EB8"/>
    <w:rsid w:val="29595666"/>
    <w:rsid w:val="29621633"/>
    <w:rsid w:val="29874881"/>
    <w:rsid w:val="29D277E3"/>
    <w:rsid w:val="29E325E0"/>
    <w:rsid w:val="29E47186"/>
    <w:rsid w:val="2A1E65E7"/>
    <w:rsid w:val="2A2050A1"/>
    <w:rsid w:val="2A452503"/>
    <w:rsid w:val="2A6375AD"/>
    <w:rsid w:val="2A8645D2"/>
    <w:rsid w:val="2AC70C26"/>
    <w:rsid w:val="2B1744B1"/>
    <w:rsid w:val="2B1D53AD"/>
    <w:rsid w:val="2B285689"/>
    <w:rsid w:val="2B3258B1"/>
    <w:rsid w:val="2B46380C"/>
    <w:rsid w:val="2B7025BF"/>
    <w:rsid w:val="2B782DF6"/>
    <w:rsid w:val="2B8B0FBF"/>
    <w:rsid w:val="2BA936A8"/>
    <w:rsid w:val="2BB447DF"/>
    <w:rsid w:val="2BC553FC"/>
    <w:rsid w:val="2BE67443"/>
    <w:rsid w:val="2BFB7341"/>
    <w:rsid w:val="2BFF4594"/>
    <w:rsid w:val="2C194FD1"/>
    <w:rsid w:val="2C1C7A06"/>
    <w:rsid w:val="2C237B89"/>
    <w:rsid w:val="2C2548FA"/>
    <w:rsid w:val="2C282675"/>
    <w:rsid w:val="2C315A5A"/>
    <w:rsid w:val="2C4B1C25"/>
    <w:rsid w:val="2C594153"/>
    <w:rsid w:val="2CE675AA"/>
    <w:rsid w:val="2CE9395F"/>
    <w:rsid w:val="2CF669BC"/>
    <w:rsid w:val="2D0154CC"/>
    <w:rsid w:val="2D1F192C"/>
    <w:rsid w:val="2D280D84"/>
    <w:rsid w:val="2D473E25"/>
    <w:rsid w:val="2D7D3287"/>
    <w:rsid w:val="2D8434B6"/>
    <w:rsid w:val="2D880500"/>
    <w:rsid w:val="2D9E56F5"/>
    <w:rsid w:val="2DF818FA"/>
    <w:rsid w:val="2E077A8A"/>
    <w:rsid w:val="2E0D7CF6"/>
    <w:rsid w:val="2E3B45DD"/>
    <w:rsid w:val="2E5077D3"/>
    <w:rsid w:val="2E5143DB"/>
    <w:rsid w:val="2E667F96"/>
    <w:rsid w:val="2E8226AB"/>
    <w:rsid w:val="2E8274AA"/>
    <w:rsid w:val="2E844C5B"/>
    <w:rsid w:val="2E9166D9"/>
    <w:rsid w:val="2EC810F1"/>
    <w:rsid w:val="2EE419E4"/>
    <w:rsid w:val="2F062AAF"/>
    <w:rsid w:val="2F136A07"/>
    <w:rsid w:val="2F1D6F37"/>
    <w:rsid w:val="2F201122"/>
    <w:rsid w:val="2F216503"/>
    <w:rsid w:val="2F4A2072"/>
    <w:rsid w:val="2F562EC1"/>
    <w:rsid w:val="2F605DBA"/>
    <w:rsid w:val="2F811370"/>
    <w:rsid w:val="2FC27D28"/>
    <w:rsid w:val="2FD065E6"/>
    <w:rsid w:val="2FD96870"/>
    <w:rsid w:val="301779E0"/>
    <w:rsid w:val="3025488D"/>
    <w:rsid w:val="303803AA"/>
    <w:rsid w:val="304B091B"/>
    <w:rsid w:val="30540C48"/>
    <w:rsid w:val="305667F5"/>
    <w:rsid w:val="30580BC9"/>
    <w:rsid w:val="305D4F51"/>
    <w:rsid w:val="3097100B"/>
    <w:rsid w:val="309A0DD7"/>
    <w:rsid w:val="30C828C4"/>
    <w:rsid w:val="31113292"/>
    <w:rsid w:val="311E2ED7"/>
    <w:rsid w:val="313712E9"/>
    <w:rsid w:val="31500621"/>
    <w:rsid w:val="315619EE"/>
    <w:rsid w:val="315C449C"/>
    <w:rsid w:val="317254D7"/>
    <w:rsid w:val="31847C50"/>
    <w:rsid w:val="318F1F71"/>
    <w:rsid w:val="319E1F56"/>
    <w:rsid w:val="31A4563D"/>
    <w:rsid w:val="31B066D4"/>
    <w:rsid w:val="31B82709"/>
    <w:rsid w:val="31CC5B06"/>
    <w:rsid w:val="31D05482"/>
    <w:rsid w:val="31EB7645"/>
    <w:rsid w:val="321336F0"/>
    <w:rsid w:val="322C655A"/>
    <w:rsid w:val="32400B34"/>
    <w:rsid w:val="32443E26"/>
    <w:rsid w:val="324D5EB7"/>
    <w:rsid w:val="32622AA6"/>
    <w:rsid w:val="326351F9"/>
    <w:rsid w:val="328271E9"/>
    <w:rsid w:val="329E6876"/>
    <w:rsid w:val="32C75129"/>
    <w:rsid w:val="32C86F74"/>
    <w:rsid w:val="32CB6312"/>
    <w:rsid w:val="32DF36FA"/>
    <w:rsid w:val="32EB591A"/>
    <w:rsid w:val="33020AA8"/>
    <w:rsid w:val="3319710B"/>
    <w:rsid w:val="331D184C"/>
    <w:rsid w:val="333015F2"/>
    <w:rsid w:val="334843CC"/>
    <w:rsid w:val="334945E4"/>
    <w:rsid w:val="334B6320"/>
    <w:rsid w:val="33625269"/>
    <w:rsid w:val="339E4E95"/>
    <w:rsid w:val="33A871B4"/>
    <w:rsid w:val="33AC6B0B"/>
    <w:rsid w:val="33D934D4"/>
    <w:rsid w:val="33DD6B8F"/>
    <w:rsid w:val="33F464CB"/>
    <w:rsid w:val="33F70ED6"/>
    <w:rsid w:val="33FD3262"/>
    <w:rsid w:val="33FE2F6A"/>
    <w:rsid w:val="34010315"/>
    <w:rsid w:val="34016560"/>
    <w:rsid w:val="340E07E5"/>
    <w:rsid w:val="34235BF7"/>
    <w:rsid w:val="3428382E"/>
    <w:rsid w:val="343F10D3"/>
    <w:rsid w:val="347A7BA4"/>
    <w:rsid w:val="349D486D"/>
    <w:rsid w:val="34A20822"/>
    <w:rsid w:val="34A82B82"/>
    <w:rsid w:val="34B55525"/>
    <w:rsid w:val="34BC4BCD"/>
    <w:rsid w:val="34C055F8"/>
    <w:rsid w:val="34C9456A"/>
    <w:rsid w:val="34CB195B"/>
    <w:rsid w:val="34EF4D97"/>
    <w:rsid w:val="34FF36EE"/>
    <w:rsid w:val="352A35D0"/>
    <w:rsid w:val="35541E0E"/>
    <w:rsid w:val="3557678D"/>
    <w:rsid w:val="35780FBB"/>
    <w:rsid w:val="357C75F8"/>
    <w:rsid w:val="35817699"/>
    <w:rsid w:val="358C5FA8"/>
    <w:rsid w:val="358E6A31"/>
    <w:rsid w:val="35A12208"/>
    <w:rsid w:val="35C1223C"/>
    <w:rsid w:val="35C15DF1"/>
    <w:rsid w:val="35E54EB8"/>
    <w:rsid w:val="36074A7F"/>
    <w:rsid w:val="361A491D"/>
    <w:rsid w:val="362F597D"/>
    <w:rsid w:val="3643781B"/>
    <w:rsid w:val="364B5886"/>
    <w:rsid w:val="367E140E"/>
    <w:rsid w:val="368B78F1"/>
    <w:rsid w:val="36923549"/>
    <w:rsid w:val="369B0B24"/>
    <w:rsid w:val="36B75FBF"/>
    <w:rsid w:val="36BD0C45"/>
    <w:rsid w:val="36DD00EA"/>
    <w:rsid w:val="37052D23"/>
    <w:rsid w:val="371B0922"/>
    <w:rsid w:val="3727535F"/>
    <w:rsid w:val="374C5972"/>
    <w:rsid w:val="37620175"/>
    <w:rsid w:val="37822D62"/>
    <w:rsid w:val="37917513"/>
    <w:rsid w:val="37960DB8"/>
    <w:rsid w:val="37B25B1B"/>
    <w:rsid w:val="37CF3024"/>
    <w:rsid w:val="37E00298"/>
    <w:rsid w:val="380B7D3A"/>
    <w:rsid w:val="382B203C"/>
    <w:rsid w:val="38466C93"/>
    <w:rsid w:val="38B06C7D"/>
    <w:rsid w:val="38B302F9"/>
    <w:rsid w:val="38D94467"/>
    <w:rsid w:val="38E726E0"/>
    <w:rsid w:val="38F12CD3"/>
    <w:rsid w:val="38F525F2"/>
    <w:rsid w:val="38F94775"/>
    <w:rsid w:val="391A3B64"/>
    <w:rsid w:val="392971ED"/>
    <w:rsid w:val="392A00C7"/>
    <w:rsid w:val="39317DFF"/>
    <w:rsid w:val="39325651"/>
    <w:rsid w:val="39577055"/>
    <w:rsid w:val="39981C2C"/>
    <w:rsid w:val="39C61FDA"/>
    <w:rsid w:val="39DF7C02"/>
    <w:rsid w:val="39E2292E"/>
    <w:rsid w:val="39ED7C07"/>
    <w:rsid w:val="39FA3B70"/>
    <w:rsid w:val="3A0B45EC"/>
    <w:rsid w:val="3A1521B0"/>
    <w:rsid w:val="3A300A48"/>
    <w:rsid w:val="3A4678DA"/>
    <w:rsid w:val="3A6366DE"/>
    <w:rsid w:val="3A872856"/>
    <w:rsid w:val="3AA45C63"/>
    <w:rsid w:val="3AAC45C1"/>
    <w:rsid w:val="3AB92ABE"/>
    <w:rsid w:val="3ABC4F58"/>
    <w:rsid w:val="3AD22739"/>
    <w:rsid w:val="3AF53CDC"/>
    <w:rsid w:val="3B0D1947"/>
    <w:rsid w:val="3B2A4F70"/>
    <w:rsid w:val="3B3763D1"/>
    <w:rsid w:val="3B3D2C06"/>
    <w:rsid w:val="3B962B05"/>
    <w:rsid w:val="3BBE1124"/>
    <w:rsid w:val="3BE64A6D"/>
    <w:rsid w:val="3BEE61A5"/>
    <w:rsid w:val="3C022FAF"/>
    <w:rsid w:val="3C0236F2"/>
    <w:rsid w:val="3C08668D"/>
    <w:rsid w:val="3C2F6E1E"/>
    <w:rsid w:val="3C394C72"/>
    <w:rsid w:val="3C4F64BA"/>
    <w:rsid w:val="3C9C0581"/>
    <w:rsid w:val="3CA5501A"/>
    <w:rsid w:val="3CBA0E84"/>
    <w:rsid w:val="3CDA245A"/>
    <w:rsid w:val="3CEC2B6C"/>
    <w:rsid w:val="3D051356"/>
    <w:rsid w:val="3D184633"/>
    <w:rsid w:val="3D1E06B7"/>
    <w:rsid w:val="3D2B0852"/>
    <w:rsid w:val="3D375BF2"/>
    <w:rsid w:val="3D481C94"/>
    <w:rsid w:val="3D6D1263"/>
    <w:rsid w:val="3D8F53A3"/>
    <w:rsid w:val="3DDC61C0"/>
    <w:rsid w:val="3DFB2B01"/>
    <w:rsid w:val="3E065D32"/>
    <w:rsid w:val="3E1F2A71"/>
    <w:rsid w:val="3E7423A1"/>
    <w:rsid w:val="3E8717B9"/>
    <w:rsid w:val="3E9B6047"/>
    <w:rsid w:val="3EBA35A3"/>
    <w:rsid w:val="3EDA0523"/>
    <w:rsid w:val="3EE66916"/>
    <w:rsid w:val="3F68095E"/>
    <w:rsid w:val="3F846AE9"/>
    <w:rsid w:val="3F9C1307"/>
    <w:rsid w:val="3FB55FBF"/>
    <w:rsid w:val="3FCE45FA"/>
    <w:rsid w:val="3FD65688"/>
    <w:rsid w:val="3FE059F3"/>
    <w:rsid w:val="3FF0786C"/>
    <w:rsid w:val="3FFD6C8D"/>
    <w:rsid w:val="400B13AA"/>
    <w:rsid w:val="400E1483"/>
    <w:rsid w:val="402A7224"/>
    <w:rsid w:val="403113B5"/>
    <w:rsid w:val="403C01C5"/>
    <w:rsid w:val="407A6407"/>
    <w:rsid w:val="40983E69"/>
    <w:rsid w:val="40994416"/>
    <w:rsid w:val="40CA3648"/>
    <w:rsid w:val="40CB0B39"/>
    <w:rsid w:val="40DA0D7C"/>
    <w:rsid w:val="40DC3FE7"/>
    <w:rsid w:val="410F636F"/>
    <w:rsid w:val="41126927"/>
    <w:rsid w:val="41316C4E"/>
    <w:rsid w:val="415C521C"/>
    <w:rsid w:val="416829D0"/>
    <w:rsid w:val="4180170D"/>
    <w:rsid w:val="41C45CB4"/>
    <w:rsid w:val="41CF4659"/>
    <w:rsid w:val="41DA7943"/>
    <w:rsid w:val="4200449D"/>
    <w:rsid w:val="42156AFD"/>
    <w:rsid w:val="421C6964"/>
    <w:rsid w:val="42334353"/>
    <w:rsid w:val="423A3BCC"/>
    <w:rsid w:val="424E57D2"/>
    <w:rsid w:val="4285240D"/>
    <w:rsid w:val="42B26C49"/>
    <w:rsid w:val="42BD1C8B"/>
    <w:rsid w:val="42CF4685"/>
    <w:rsid w:val="43012017"/>
    <w:rsid w:val="4314165E"/>
    <w:rsid w:val="43376879"/>
    <w:rsid w:val="433A6FE6"/>
    <w:rsid w:val="434460A0"/>
    <w:rsid w:val="43480868"/>
    <w:rsid w:val="4350713C"/>
    <w:rsid w:val="436653E0"/>
    <w:rsid w:val="43930B09"/>
    <w:rsid w:val="43C4431A"/>
    <w:rsid w:val="43D23788"/>
    <w:rsid w:val="43D97A84"/>
    <w:rsid w:val="43DD3EF7"/>
    <w:rsid w:val="440D206D"/>
    <w:rsid w:val="441464E3"/>
    <w:rsid w:val="44167F08"/>
    <w:rsid w:val="441B10FD"/>
    <w:rsid w:val="444F4B4D"/>
    <w:rsid w:val="446C7011"/>
    <w:rsid w:val="44861F72"/>
    <w:rsid w:val="44B951CC"/>
    <w:rsid w:val="44C371C4"/>
    <w:rsid w:val="44C83AA3"/>
    <w:rsid w:val="44C860E6"/>
    <w:rsid w:val="44CD14E0"/>
    <w:rsid w:val="44E14D9A"/>
    <w:rsid w:val="44F20B0B"/>
    <w:rsid w:val="452E5F4C"/>
    <w:rsid w:val="45310312"/>
    <w:rsid w:val="45542CF1"/>
    <w:rsid w:val="4557370D"/>
    <w:rsid w:val="45612018"/>
    <w:rsid w:val="456A4035"/>
    <w:rsid w:val="458946E9"/>
    <w:rsid w:val="45905DC6"/>
    <w:rsid w:val="45936442"/>
    <w:rsid w:val="45A12A1F"/>
    <w:rsid w:val="45A47C0E"/>
    <w:rsid w:val="45AF0978"/>
    <w:rsid w:val="45B312DA"/>
    <w:rsid w:val="45B66CEE"/>
    <w:rsid w:val="45E36925"/>
    <w:rsid w:val="45E941B3"/>
    <w:rsid w:val="4610113C"/>
    <w:rsid w:val="46382EDC"/>
    <w:rsid w:val="46403619"/>
    <w:rsid w:val="465043A6"/>
    <w:rsid w:val="46577FD6"/>
    <w:rsid w:val="466E69DB"/>
    <w:rsid w:val="469C74C5"/>
    <w:rsid w:val="46AB332E"/>
    <w:rsid w:val="46BE018D"/>
    <w:rsid w:val="46D955A7"/>
    <w:rsid w:val="46DC11B8"/>
    <w:rsid w:val="46FB050F"/>
    <w:rsid w:val="46FC0B29"/>
    <w:rsid w:val="470B2A28"/>
    <w:rsid w:val="47133957"/>
    <w:rsid w:val="471C048A"/>
    <w:rsid w:val="471E40C9"/>
    <w:rsid w:val="47404770"/>
    <w:rsid w:val="475F73B4"/>
    <w:rsid w:val="47895183"/>
    <w:rsid w:val="478B5513"/>
    <w:rsid w:val="478B71C5"/>
    <w:rsid w:val="47A07E0C"/>
    <w:rsid w:val="47F836FC"/>
    <w:rsid w:val="480961A1"/>
    <w:rsid w:val="48235468"/>
    <w:rsid w:val="483564B9"/>
    <w:rsid w:val="4870272E"/>
    <w:rsid w:val="489D1DBD"/>
    <w:rsid w:val="48B25231"/>
    <w:rsid w:val="48BA1BBF"/>
    <w:rsid w:val="48D3223B"/>
    <w:rsid w:val="48E06785"/>
    <w:rsid w:val="48F459F7"/>
    <w:rsid w:val="49020CDA"/>
    <w:rsid w:val="493A23C2"/>
    <w:rsid w:val="49602DD6"/>
    <w:rsid w:val="497C0455"/>
    <w:rsid w:val="499C1270"/>
    <w:rsid w:val="499C726F"/>
    <w:rsid w:val="49A12900"/>
    <w:rsid w:val="49A36C4A"/>
    <w:rsid w:val="49B7270A"/>
    <w:rsid w:val="49C07D53"/>
    <w:rsid w:val="49DC7715"/>
    <w:rsid w:val="49E5039E"/>
    <w:rsid w:val="4A023139"/>
    <w:rsid w:val="4A0C6456"/>
    <w:rsid w:val="4A2B0631"/>
    <w:rsid w:val="4A427541"/>
    <w:rsid w:val="4A7B576F"/>
    <w:rsid w:val="4A96711A"/>
    <w:rsid w:val="4AC311C2"/>
    <w:rsid w:val="4AD418B1"/>
    <w:rsid w:val="4AD54310"/>
    <w:rsid w:val="4ADD1F43"/>
    <w:rsid w:val="4AE71F0E"/>
    <w:rsid w:val="4AF561A9"/>
    <w:rsid w:val="4AFC6C15"/>
    <w:rsid w:val="4B084CA7"/>
    <w:rsid w:val="4B2A17E4"/>
    <w:rsid w:val="4B5E1788"/>
    <w:rsid w:val="4B7C6D44"/>
    <w:rsid w:val="4B9E5DF9"/>
    <w:rsid w:val="4BDE3E16"/>
    <w:rsid w:val="4BE52D21"/>
    <w:rsid w:val="4C012550"/>
    <w:rsid w:val="4C0212A5"/>
    <w:rsid w:val="4C0A0F25"/>
    <w:rsid w:val="4C1924C8"/>
    <w:rsid w:val="4C1C2746"/>
    <w:rsid w:val="4C1E2996"/>
    <w:rsid w:val="4C4A0649"/>
    <w:rsid w:val="4C7E5ECA"/>
    <w:rsid w:val="4C876AA5"/>
    <w:rsid w:val="4CBE4561"/>
    <w:rsid w:val="4CBE4BD8"/>
    <w:rsid w:val="4CC811AB"/>
    <w:rsid w:val="4CF42082"/>
    <w:rsid w:val="4CFC027D"/>
    <w:rsid w:val="4D0E00FB"/>
    <w:rsid w:val="4D176606"/>
    <w:rsid w:val="4D1B191B"/>
    <w:rsid w:val="4D1C13E2"/>
    <w:rsid w:val="4D5149DE"/>
    <w:rsid w:val="4D8961FF"/>
    <w:rsid w:val="4DA20775"/>
    <w:rsid w:val="4DA30493"/>
    <w:rsid w:val="4DBD2312"/>
    <w:rsid w:val="4DD61768"/>
    <w:rsid w:val="4DEC4FB0"/>
    <w:rsid w:val="4DF44AF1"/>
    <w:rsid w:val="4DF96736"/>
    <w:rsid w:val="4E023FAF"/>
    <w:rsid w:val="4E075D8A"/>
    <w:rsid w:val="4E445C21"/>
    <w:rsid w:val="4E520210"/>
    <w:rsid w:val="4E687B76"/>
    <w:rsid w:val="4E7103E6"/>
    <w:rsid w:val="4E9922EC"/>
    <w:rsid w:val="4EAA407E"/>
    <w:rsid w:val="4EC00FAD"/>
    <w:rsid w:val="4EC33803"/>
    <w:rsid w:val="4EDD75FA"/>
    <w:rsid w:val="4EFC049B"/>
    <w:rsid w:val="4EFD0201"/>
    <w:rsid w:val="4F004D3D"/>
    <w:rsid w:val="4F337508"/>
    <w:rsid w:val="4F600066"/>
    <w:rsid w:val="4F610FE6"/>
    <w:rsid w:val="4F971F6F"/>
    <w:rsid w:val="4F9843DC"/>
    <w:rsid w:val="4FC62A8C"/>
    <w:rsid w:val="4FC63BEE"/>
    <w:rsid w:val="4FE20F0D"/>
    <w:rsid w:val="4FE51552"/>
    <w:rsid w:val="502B1A06"/>
    <w:rsid w:val="503A253E"/>
    <w:rsid w:val="50504C4B"/>
    <w:rsid w:val="505343EC"/>
    <w:rsid w:val="509C6E7C"/>
    <w:rsid w:val="50A42989"/>
    <w:rsid w:val="50FE2DB3"/>
    <w:rsid w:val="511632E8"/>
    <w:rsid w:val="51196CAD"/>
    <w:rsid w:val="513014A8"/>
    <w:rsid w:val="51470A15"/>
    <w:rsid w:val="514B2567"/>
    <w:rsid w:val="5162104E"/>
    <w:rsid w:val="51A727CC"/>
    <w:rsid w:val="51B8784B"/>
    <w:rsid w:val="51CA5E34"/>
    <w:rsid w:val="51DF5F02"/>
    <w:rsid w:val="51E149BA"/>
    <w:rsid w:val="51ED7477"/>
    <w:rsid w:val="51F06C4A"/>
    <w:rsid w:val="51F83955"/>
    <w:rsid w:val="51FA1E06"/>
    <w:rsid w:val="527903F5"/>
    <w:rsid w:val="527F6ED1"/>
    <w:rsid w:val="5284526D"/>
    <w:rsid w:val="52992B88"/>
    <w:rsid w:val="52C32135"/>
    <w:rsid w:val="52FA25D1"/>
    <w:rsid w:val="52FB0F81"/>
    <w:rsid w:val="535D773F"/>
    <w:rsid w:val="536D588C"/>
    <w:rsid w:val="53910012"/>
    <w:rsid w:val="5393077B"/>
    <w:rsid w:val="53A00F43"/>
    <w:rsid w:val="53A039CC"/>
    <w:rsid w:val="53A1505A"/>
    <w:rsid w:val="53BE40A3"/>
    <w:rsid w:val="53D83A13"/>
    <w:rsid w:val="53E947C4"/>
    <w:rsid w:val="54063E08"/>
    <w:rsid w:val="543437E8"/>
    <w:rsid w:val="543D5452"/>
    <w:rsid w:val="544051E7"/>
    <w:rsid w:val="54465448"/>
    <w:rsid w:val="54682AB8"/>
    <w:rsid w:val="5473366E"/>
    <w:rsid w:val="548C2946"/>
    <w:rsid w:val="5495673C"/>
    <w:rsid w:val="54A91CFF"/>
    <w:rsid w:val="54AE2FC2"/>
    <w:rsid w:val="54C65448"/>
    <w:rsid w:val="54D46BB3"/>
    <w:rsid w:val="54D76A48"/>
    <w:rsid w:val="54F73313"/>
    <w:rsid w:val="54F80955"/>
    <w:rsid w:val="550C37A2"/>
    <w:rsid w:val="55147A44"/>
    <w:rsid w:val="55241A91"/>
    <w:rsid w:val="55396CC4"/>
    <w:rsid w:val="555170A7"/>
    <w:rsid w:val="555E0A8E"/>
    <w:rsid w:val="55722FD6"/>
    <w:rsid w:val="5579070C"/>
    <w:rsid w:val="5587536D"/>
    <w:rsid w:val="558B662E"/>
    <w:rsid w:val="558C304A"/>
    <w:rsid w:val="559B174B"/>
    <w:rsid w:val="55A30CE4"/>
    <w:rsid w:val="55B94FAC"/>
    <w:rsid w:val="55CE0CF4"/>
    <w:rsid w:val="55E340A8"/>
    <w:rsid w:val="55F127EE"/>
    <w:rsid w:val="562C6556"/>
    <w:rsid w:val="563F375A"/>
    <w:rsid w:val="565403CB"/>
    <w:rsid w:val="5663758B"/>
    <w:rsid w:val="569563F3"/>
    <w:rsid w:val="569A66AA"/>
    <w:rsid w:val="56B22A9C"/>
    <w:rsid w:val="56FA1B94"/>
    <w:rsid w:val="57071EFB"/>
    <w:rsid w:val="571C1C97"/>
    <w:rsid w:val="571E0182"/>
    <w:rsid w:val="572735F5"/>
    <w:rsid w:val="57393FEF"/>
    <w:rsid w:val="573C1A5F"/>
    <w:rsid w:val="575F2680"/>
    <w:rsid w:val="57B72A76"/>
    <w:rsid w:val="57BE7D34"/>
    <w:rsid w:val="57C3426C"/>
    <w:rsid w:val="57C7465E"/>
    <w:rsid w:val="57CE1F93"/>
    <w:rsid w:val="57E077C0"/>
    <w:rsid w:val="580263B8"/>
    <w:rsid w:val="585F4087"/>
    <w:rsid w:val="586A5CCC"/>
    <w:rsid w:val="586F49FE"/>
    <w:rsid w:val="587E50C4"/>
    <w:rsid w:val="588743D1"/>
    <w:rsid w:val="5887701A"/>
    <w:rsid w:val="58AB035C"/>
    <w:rsid w:val="58C4691D"/>
    <w:rsid w:val="58DF11CE"/>
    <w:rsid w:val="58F32455"/>
    <w:rsid w:val="59246CD0"/>
    <w:rsid w:val="592B686D"/>
    <w:rsid w:val="594D1384"/>
    <w:rsid w:val="595F764E"/>
    <w:rsid w:val="59C0064B"/>
    <w:rsid w:val="59C0439F"/>
    <w:rsid w:val="59E04749"/>
    <w:rsid w:val="5A242D6B"/>
    <w:rsid w:val="5A363B59"/>
    <w:rsid w:val="5A41017D"/>
    <w:rsid w:val="5A5A6B84"/>
    <w:rsid w:val="5A6E1676"/>
    <w:rsid w:val="5A9205E8"/>
    <w:rsid w:val="5AB53592"/>
    <w:rsid w:val="5ABE2233"/>
    <w:rsid w:val="5AFA55A9"/>
    <w:rsid w:val="5B1D5F4A"/>
    <w:rsid w:val="5B406AE9"/>
    <w:rsid w:val="5B4F6FA8"/>
    <w:rsid w:val="5B631188"/>
    <w:rsid w:val="5B6854AA"/>
    <w:rsid w:val="5B6E2312"/>
    <w:rsid w:val="5BDF5D95"/>
    <w:rsid w:val="5BE31E0F"/>
    <w:rsid w:val="5BF04DE0"/>
    <w:rsid w:val="5BF42723"/>
    <w:rsid w:val="5BFE7528"/>
    <w:rsid w:val="5C070366"/>
    <w:rsid w:val="5C10379E"/>
    <w:rsid w:val="5C422B40"/>
    <w:rsid w:val="5C4409A2"/>
    <w:rsid w:val="5C5A71EC"/>
    <w:rsid w:val="5C837DF9"/>
    <w:rsid w:val="5CC15BA8"/>
    <w:rsid w:val="5CDB6E20"/>
    <w:rsid w:val="5CE27E10"/>
    <w:rsid w:val="5D221374"/>
    <w:rsid w:val="5D2F22AB"/>
    <w:rsid w:val="5D3117DE"/>
    <w:rsid w:val="5DBA1048"/>
    <w:rsid w:val="5DCB1D21"/>
    <w:rsid w:val="5DEB5D5A"/>
    <w:rsid w:val="5DEC6236"/>
    <w:rsid w:val="5DF51583"/>
    <w:rsid w:val="5DFE0803"/>
    <w:rsid w:val="5E0C0012"/>
    <w:rsid w:val="5E2467F1"/>
    <w:rsid w:val="5E256454"/>
    <w:rsid w:val="5E356394"/>
    <w:rsid w:val="5E46735B"/>
    <w:rsid w:val="5E502AB9"/>
    <w:rsid w:val="5E53635A"/>
    <w:rsid w:val="5E6379D2"/>
    <w:rsid w:val="5E821D79"/>
    <w:rsid w:val="5E89222E"/>
    <w:rsid w:val="5EB05532"/>
    <w:rsid w:val="5ED2312B"/>
    <w:rsid w:val="5F1258DD"/>
    <w:rsid w:val="5F1A2B43"/>
    <w:rsid w:val="5F2152CE"/>
    <w:rsid w:val="5F4916B0"/>
    <w:rsid w:val="5F6D0FEB"/>
    <w:rsid w:val="5F701CAB"/>
    <w:rsid w:val="5F8D7977"/>
    <w:rsid w:val="5F8F1057"/>
    <w:rsid w:val="5FAF57F6"/>
    <w:rsid w:val="5FB1704F"/>
    <w:rsid w:val="5FB837BB"/>
    <w:rsid w:val="5FC829BC"/>
    <w:rsid w:val="60076D97"/>
    <w:rsid w:val="600C287A"/>
    <w:rsid w:val="60146FBA"/>
    <w:rsid w:val="601A4C1F"/>
    <w:rsid w:val="601A4CAD"/>
    <w:rsid w:val="60304B1F"/>
    <w:rsid w:val="60413278"/>
    <w:rsid w:val="604F6993"/>
    <w:rsid w:val="606C4B61"/>
    <w:rsid w:val="60AD1D30"/>
    <w:rsid w:val="60B179FF"/>
    <w:rsid w:val="60BF2550"/>
    <w:rsid w:val="60C26179"/>
    <w:rsid w:val="60CC405A"/>
    <w:rsid w:val="60EE61DB"/>
    <w:rsid w:val="61044220"/>
    <w:rsid w:val="612118A3"/>
    <w:rsid w:val="616D4CF7"/>
    <w:rsid w:val="61791271"/>
    <w:rsid w:val="618C6CE6"/>
    <w:rsid w:val="61973D54"/>
    <w:rsid w:val="619A1569"/>
    <w:rsid w:val="61B36695"/>
    <w:rsid w:val="61B42CCF"/>
    <w:rsid w:val="61BE2D93"/>
    <w:rsid w:val="61D119FB"/>
    <w:rsid w:val="61D518C8"/>
    <w:rsid w:val="61E215D8"/>
    <w:rsid w:val="61EF1F11"/>
    <w:rsid w:val="621B3775"/>
    <w:rsid w:val="62212044"/>
    <w:rsid w:val="622E3F37"/>
    <w:rsid w:val="623641F0"/>
    <w:rsid w:val="62364782"/>
    <w:rsid w:val="623A4D0E"/>
    <w:rsid w:val="62520381"/>
    <w:rsid w:val="626A271F"/>
    <w:rsid w:val="62BA2B36"/>
    <w:rsid w:val="62C7450D"/>
    <w:rsid w:val="62D27FB5"/>
    <w:rsid w:val="63233F21"/>
    <w:rsid w:val="63244794"/>
    <w:rsid w:val="6342468A"/>
    <w:rsid w:val="6394356A"/>
    <w:rsid w:val="63C61B2C"/>
    <w:rsid w:val="63CD4933"/>
    <w:rsid w:val="63D40BE9"/>
    <w:rsid w:val="63D469BA"/>
    <w:rsid w:val="63D90AA5"/>
    <w:rsid w:val="63E7016A"/>
    <w:rsid w:val="64102431"/>
    <w:rsid w:val="6477075E"/>
    <w:rsid w:val="64955F39"/>
    <w:rsid w:val="64A32F1D"/>
    <w:rsid w:val="64A5243A"/>
    <w:rsid w:val="64D057CB"/>
    <w:rsid w:val="64E82452"/>
    <w:rsid w:val="64E84591"/>
    <w:rsid w:val="64F531DE"/>
    <w:rsid w:val="65373578"/>
    <w:rsid w:val="653D6DC6"/>
    <w:rsid w:val="65417ACB"/>
    <w:rsid w:val="65497021"/>
    <w:rsid w:val="654A301E"/>
    <w:rsid w:val="65727DCC"/>
    <w:rsid w:val="65873C11"/>
    <w:rsid w:val="65AA23EF"/>
    <w:rsid w:val="65BC778B"/>
    <w:rsid w:val="65D21249"/>
    <w:rsid w:val="65D7126B"/>
    <w:rsid w:val="65F060C8"/>
    <w:rsid w:val="65F57810"/>
    <w:rsid w:val="66471C44"/>
    <w:rsid w:val="66575D03"/>
    <w:rsid w:val="665B5B97"/>
    <w:rsid w:val="666E35DB"/>
    <w:rsid w:val="6673109A"/>
    <w:rsid w:val="667C1E0A"/>
    <w:rsid w:val="66901FF9"/>
    <w:rsid w:val="66AE4538"/>
    <w:rsid w:val="66CD6B09"/>
    <w:rsid w:val="66DB35C6"/>
    <w:rsid w:val="66EC7F02"/>
    <w:rsid w:val="6712451C"/>
    <w:rsid w:val="671F124A"/>
    <w:rsid w:val="671F50FD"/>
    <w:rsid w:val="674E7C4A"/>
    <w:rsid w:val="677A27ED"/>
    <w:rsid w:val="677A33C6"/>
    <w:rsid w:val="67A85799"/>
    <w:rsid w:val="67A929B2"/>
    <w:rsid w:val="67BD2434"/>
    <w:rsid w:val="67C53920"/>
    <w:rsid w:val="67E14ADA"/>
    <w:rsid w:val="67FC35EF"/>
    <w:rsid w:val="68025EBA"/>
    <w:rsid w:val="681E48B6"/>
    <w:rsid w:val="681F6961"/>
    <w:rsid w:val="682122BF"/>
    <w:rsid w:val="682D47F1"/>
    <w:rsid w:val="683E29C4"/>
    <w:rsid w:val="68610A2F"/>
    <w:rsid w:val="68616144"/>
    <w:rsid w:val="68780C13"/>
    <w:rsid w:val="68805514"/>
    <w:rsid w:val="68A43240"/>
    <w:rsid w:val="68BA03F8"/>
    <w:rsid w:val="68CE49BD"/>
    <w:rsid w:val="68D66C13"/>
    <w:rsid w:val="69316E2F"/>
    <w:rsid w:val="69465DA5"/>
    <w:rsid w:val="694E2071"/>
    <w:rsid w:val="69664A95"/>
    <w:rsid w:val="6967696A"/>
    <w:rsid w:val="69766163"/>
    <w:rsid w:val="697A3B33"/>
    <w:rsid w:val="69AF3086"/>
    <w:rsid w:val="69D44760"/>
    <w:rsid w:val="69EB7060"/>
    <w:rsid w:val="6A074DD8"/>
    <w:rsid w:val="6A4A5BFE"/>
    <w:rsid w:val="6A520EC7"/>
    <w:rsid w:val="6A8102A9"/>
    <w:rsid w:val="6AAD1E06"/>
    <w:rsid w:val="6AF87E20"/>
    <w:rsid w:val="6B0229E9"/>
    <w:rsid w:val="6B126E8F"/>
    <w:rsid w:val="6B234B4C"/>
    <w:rsid w:val="6B322639"/>
    <w:rsid w:val="6B614466"/>
    <w:rsid w:val="6BC617D2"/>
    <w:rsid w:val="6BF608B1"/>
    <w:rsid w:val="6C2850AD"/>
    <w:rsid w:val="6C3A69EF"/>
    <w:rsid w:val="6C512060"/>
    <w:rsid w:val="6C5A1A1B"/>
    <w:rsid w:val="6C636C38"/>
    <w:rsid w:val="6C6D1AB2"/>
    <w:rsid w:val="6C81017A"/>
    <w:rsid w:val="6C8E41D4"/>
    <w:rsid w:val="6C9143E4"/>
    <w:rsid w:val="6C96580F"/>
    <w:rsid w:val="6CC44913"/>
    <w:rsid w:val="6CD95FC1"/>
    <w:rsid w:val="6CFB10D7"/>
    <w:rsid w:val="6D08126E"/>
    <w:rsid w:val="6D156619"/>
    <w:rsid w:val="6D271DE7"/>
    <w:rsid w:val="6D57329A"/>
    <w:rsid w:val="6D6B6320"/>
    <w:rsid w:val="6D702504"/>
    <w:rsid w:val="6D7642AE"/>
    <w:rsid w:val="6D9A5E86"/>
    <w:rsid w:val="6DA04E04"/>
    <w:rsid w:val="6DB34098"/>
    <w:rsid w:val="6DB545B6"/>
    <w:rsid w:val="6DDE2639"/>
    <w:rsid w:val="6DDF3EE6"/>
    <w:rsid w:val="6DE02FB4"/>
    <w:rsid w:val="6E514CED"/>
    <w:rsid w:val="6E576617"/>
    <w:rsid w:val="6E684178"/>
    <w:rsid w:val="6E752A23"/>
    <w:rsid w:val="6EB563D5"/>
    <w:rsid w:val="6EC86534"/>
    <w:rsid w:val="6ED92677"/>
    <w:rsid w:val="6EE32BAC"/>
    <w:rsid w:val="6EE7005D"/>
    <w:rsid w:val="6EF273B7"/>
    <w:rsid w:val="6EF403B4"/>
    <w:rsid w:val="6F080C58"/>
    <w:rsid w:val="6F225983"/>
    <w:rsid w:val="6FA402A8"/>
    <w:rsid w:val="6FBC771B"/>
    <w:rsid w:val="6FC62EC1"/>
    <w:rsid w:val="6FD50463"/>
    <w:rsid w:val="6FE82CF6"/>
    <w:rsid w:val="6FF67853"/>
    <w:rsid w:val="6FFC5590"/>
    <w:rsid w:val="700952D8"/>
    <w:rsid w:val="703B33D2"/>
    <w:rsid w:val="703F6859"/>
    <w:rsid w:val="704D7FE5"/>
    <w:rsid w:val="706D1DD0"/>
    <w:rsid w:val="7074442D"/>
    <w:rsid w:val="70856B87"/>
    <w:rsid w:val="70B1746F"/>
    <w:rsid w:val="70BB400D"/>
    <w:rsid w:val="70C948CD"/>
    <w:rsid w:val="70D527EE"/>
    <w:rsid w:val="70D73488"/>
    <w:rsid w:val="70E762EF"/>
    <w:rsid w:val="711B1AAB"/>
    <w:rsid w:val="715B5300"/>
    <w:rsid w:val="71687CAF"/>
    <w:rsid w:val="716B66FC"/>
    <w:rsid w:val="718C67DA"/>
    <w:rsid w:val="71B24095"/>
    <w:rsid w:val="71C529AB"/>
    <w:rsid w:val="71D27F8A"/>
    <w:rsid w:val="71D62316"/>
    <w:rsid w:val="71FC02A3"/>
    <w:rsid w:val="71FF5439"/>
    <w:rsid w:val="72025756"/>
    <w:rsid w:val="72253E3A"/>
    <w:rsid w:val="722C1830"/>
    <w:rsid w:val="72553024"/>
    <w:rsid w:val="72894876"/>
    <w:rsid w:val="729F3C85"/>
    <w:rsid w:val="72AB7810"/>
    <w:rsid w:val="72AC2D32"/>
    <w:rsid w:val="72C717F7"/>
    <w:rsid w:val="72D605E5"/>
    <w:rsid w:val="72DD06D3"/>
    <w:rsid w:val="730A54B6"/>
    <w:rsid w:val="73122968"/>
    <w:rsid w:val="731F5D5E"/>
    <w:rsid w:val="733C50A6"/>
    <w:rsid w:val="733D44DF"/>
    <w:rsid w:val="739F282E"/>
    <w:rsid w:val="73A86F18"/>
    <w:rsid w:val="73BD438B"/>
    <w:rsid w:val="73C51AD5"/>
    <w:rsid w:val="73E9640D"/>
    <w:rsid w:val="73F36D9B"/>
    <w:rsid w:val="73F42082"/>
    <w:rsid w:val="73FF5520"/>
    <w:rsid w:val="741D24A7"/>
    <w:rsid w:val="741E793C"/>
    <w:rsid w:val="741F2D21"/>
    <w:rsid w:val="744A753D"/>
    <w:rsid w:val="744F738B"/>
    <w:rsid w:val="745E3944"/>
    <w:rsid w:val="74603CC0"/>
    <w:rsid w:val="74792F43"/>
    <w:rsid w:val="74944BD6"/>
    <w:rsid w:val="74A06189"/>
    <w:rsid w:val="74A20C9B"/>
    <w:rsid w:val="74A23383"/>
    <w:rsid w:val="74AB4A1D"/>
    <w:rsid w:val="74B15375"/>
    <w:rsid w:val="74CC02E3"/>
    <w:rsid w:val="74D13E3E"/>
    <w:rsid w:val="74EC6A3D"/>
    <w:rsid w:val="751F08E5"/>
    <w:rsid w:val="7524024B"/>
    <w:rsid w:val="75624B17"/>
    <w:rsid w:val="75683AAA"/>
    <w:rsid w:val="757935E6"/>
    <w:rsid w:val="75880FCC"/>
    <w:rsid w:val="75A33A8A"/>
    <w:rsid w:val="75BC0475"/>
    <w:rsid w:val="75C341B2"/>
    <w:rsid w:val="75D71262"/>
    <w:rsid w:val="7635099D"/>
    <w:rsid w:val="764946B4"/>
    <w:rsid w:val="765C23BA"/>
    <w:rsid w:val="76820C3B"/>
    <w:rsid w:val="768E51BB"/>
    <w:rsid w:val="769A3ED0"/>
    <w:rsid w:val="76A40096"/>
    <w:rsid w:val="76A47B6A"/>
    <w:rsid w:val="76AA5EAE"/>
    <w:rsid w:val="76B24759"/>
    <w:rsid w:val="76E10AA8"/>
    <w:rsid w:val="76E9409C"/>
    <w:rsid w:val="76FD2149"/>
    <w:rsid w:val="770A2E8E"/>
    <w:rsid w:val="770C2F33"/>
    <w:rsid w:val="77186493"/>
    <w:rsid w:val="772C02B0"/>
    <w:rsid w:val="77483E6C"/>
    <w:rsid w:val="77497924"/>
    <w:rsid w:val="774F33C3"/>
    <w:rsid w:val="77527215"/>
    <w:rsid w:val="77762421"/>
    <w:rsid w:val="777E4629"/>
    <w:rsid w:val="77825293"/>
    <w:rsid w:val="77995532"/>
    <w:rsid w:val="77B56B1F"/>
    <w:rsid w:val="77D31860"/>
    <w:rsid w:val="77D41B9E"/>
    <w:rsid w:val="77ED7EF6"/>
    <w:rsid w:val="77F1493B"/>
    <w:rsid w:val="780305DD"/>
    <w:rsid w:val="780F09F4"/>
    <w:rsid w:val="781F750A"/>
    <w:rsid w:val="783339D9"/>
    <w:rsid w:val="783D6DE7"/>
    <w:rsid w:val="78423CFC"/>
    <w:rsid w:val="784568F2"/>
    <w:rsid w:val="78456A28"/>
    <w:rsid w:val="78564BB1"/>
    <w:rsid w:val="788522E1"/>
    <w:rsid w:val="78A74CC3"/>
    <w:rsid w:val="78A90480"/>
    <w:rsid w:val="78AF4FA7"/>
    <w:rsid w:val="78B33DB1"/>
    <w:rsid w:val="78C97763"/>
    <w:rsid w:val="78E06F2C"/>
    <w:rsid w:val="78F21B48"/>
    <w:rsid w:val="78F73F24"/>
    <w:rsid w:val="790D41B0"/>
    <w:rsid w:val="791D780A"/>
    <w:rsid w:val="793B63A8"/>
    <w:rsid w:val="79463C6E"/>
    <w:rsid w:val="79546B8F"/>
    <w:rsid w:val="79837B1F"/>
    <w:rsid w:val="799002FF"/>
    <w:rsid w:val="799B6558"/>
    <w:rsid w:val="79D92BC7"/>
    <w:rsid w:val="79E5119E"/>
    <w:rsid w:val="79F940AB"/>
    <w:rsid w:val="7A12569C"/>
    <w:rsid w:val="7A1F5136"/>
    <w:rsid w:val="7A3628FA"/>
    <w:rsid w:val="7A364017"/>
    <w:rsid w:val="7A552066"/>
    <w:rsid w:val="7A74131E"/>
    <w:rsid w:val="7A8265E1"/>
    <w:rsid w:val="7A932D79"/>
    <w:rsid w:val="7A967C4B"/>
    <w:rsid w:val="7A9B67CD"/>
    <w:rsid w:val="7AAD5713"/>
    <w:rsid w:val="7AF91839"/>
    <w:rsid w:val="7B0C6F1C"/>
    <w:rsid w:val="7B1110F2"/>
    <w:rsid w:val="7B271640"/>
    <w:rsid w:val="7B686D42"/>
    <w:rsid w:val="7B841746"/>
    <w:rsid w:val="7B8E7CC7"/>
    <w:rsid w:val="7BC3037F"/>
    <w:rsid w:val="7BCB6488"/>
    <w:rsid w:val="7BCE7E8B"/>
    <w:rsid w:val="7BE81B55"/>
    <w:rsid w:val="7BF54039"/>
    <w:rsid w:val="7C50507A"/>
    <w:rsid w:val="7C540F24"/>
    <w:rsid w:val="7C607E53"/>
    <w:rsid w:val="7C6C5AC7"/>
    <w:rsid w:val="7C775101"/>
    <w:rsid w:val="7C783B28"/>
    <w:rsid w:val="7C856C0F"/>
    <w:rsid w:val="7C92745D"/>
    <w:rsid w:val="7CAA3BBD"/>
    <w:rsid w:val="7CB70492"/>
    <w:rsid w:val="7CC6544B"/>
    <w:rsid w:val="7CD55C60"/>
    <w:rsid w:val="7D0239FF"/>
    <w:rsid w:val="7D3851DF"/>
    <w:rsid w:val="7D3C37DA"/>
    <w:rsid w:val="7D5E40CD"/>
    <w:rsid w:val="7D6A489F"/>
    <w:rsid w:val="7DB100FC"/>
    <w:rsid w:val="7DCD56F2"/>
    <w:rsid w:val="7DF84014"/>
    <w:rsid w:val="7E0E2E56"/>
    <w:rsid w:val="7E2A3D5C"/>
    <w:rsid w:val="7E98188B"/>
    <w:rsid w:val="7ECE5C17"/>
    <w:rsid w:val="7EDA5C29"/>
    <w:rsid w:val="7F001CE7"/>
    <w:rsid w:val="7F2344A4"/>
    <w:rsid w:val="7F7A69DE"/>
    <w:rsid w:val="7F860AA8"/>
    <w:rsid w:val="7FAC14B7"/>
    <w:rsid w:val="7FC64768"/>
    <w:rsid w:val="7FD35672"/>
    <w:rsid w:val="7FE454CF"/>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ocked="1"/>
    <w:lsdException w:qFormat="1" w:unhideWhenUsed="0" w:uiPriority="39" w:semiHidden="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qFormat="1" w:uiPriority="39" w:semiHidden="0" w:name="toc 9" w:locked="1"/>
    <w:lsdException w:qFormat="1" w:unhideWhenUsed="0" w:uiPriority="0" w:semiHidden="0" w:name="Normal Indent" w:locked="1"/>
    <w:lsdException w:uiPriority="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qFormat="1" w:unhideWhenUsed="0" w:uiPriority="0" w:semiHidden="0" w:name="table of authorities" w:locked="1"/>
    <w:lsdException w:uiPriority="0" w:name="macro" w:locked="1"/>
    <w:lsdException w:uiPriority="0" w:name="toa heading" w:locked="1"/>
    <w:lsdException w:qFormat="1" w:unhideWhenUsed="0" w:uiPriority="0" w:semiHidden="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qFormat="1"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qFormat="1"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qFormat="1" w:uiPriority="99" w:semiHidden="0" w:name="Body Text 2" w:locked="1"/>
    <w:lsdException w:uiPriority="0" w:name="Body Text 3" w:locked="1"/>
    <w:lsdException w:qFormat="1" w:unhideWhenUsed="0" w:uiPriority="0" w:semiHidden="0" w:name="Body Text Indent 2" w:locked="1"/>
    <w:lsdException w:uiPriority="0" w:name="Body Text Indent 3" w:locked="1"/>
    <w:lsdException w:uiPriority="0" w:name="Block Text" w:locked="1"/>
    <w:lsdException w:qFormat="1" w:unhideWhenUsed="0" w:uiPriority="99"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iPriority="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unhideWhenUsed/>
    <w:qFormat/>
    <w:locked/>
    <w:uiPriority w:val="0"/>
    <w:pPr>
      <w:keepNext/>
      <w:keepLines/>
      <w:spacing w:before="260" w:beforeLines="0" w:beforeAutospacing="0" w:after="260" w:afterLines="0" w:afterAutospacing="0" w:line="413" w:lineRule="auto"/>
      <w:outlineLvl w:val="1"/>
    </w:pPr>
    <w:rPr>
      <w:rFonts w:ascii="Arial" w:hAnsi="Arial" w:eastAsia="宋体" w:cs="Courier New"/>
      <w:b/>
      <w:color w:val="000000"/>
      <w:sz w:val="32"/>
      <w:lang w:eastAsia="en-US" w:bidi="en-US"/>
    </w:rPr>
  </w:style>
  <w:style w:type="paragraph" w:styleId="5">
    <w:name w:val="heading 4"/>
    <w:basedOn w:val="1"/>
    <w:next w:val="1"/>
    <w:qFormat/>
    <w:locked/>
    <w:uiPriority w:val="0"/>
    <w:pPr>
      <w:keepNext/>
      <w:keepLines/>
      <w:spacing w:beforeLines="0" w:beforeAutospacing="0" w:afterLines="0" w:afterAutospacing="0" w:line="360" w:lineRule="auto"/>
      <w:ind w:firstLine="0" w:firstLineChars="0"/>
      <w:outlineLvl w:val="3"/>
    </w:pPr>
    <w:rPr>
      <w:rFonts w:ascii="Arial" w:hAnsi="Arial" w:eastAsia="黑体"/>
      <w:b/>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locked/>
    <w:uiPriority w:val="39"/>
    <w:pPr>
      <w:ind w:left="420" w:leftChars="200"/>
    </w:pPr>
  </w:style>
  <w:style w:type="paragraph" w:styleId="6">
    <w:name w:val="table of authorities"/>
    <w:basedOn w:val="1"/>
    <w:next w:val="1"/>
    <w:qFormat/>
    <w:locked/>
    <w:uiPriority w:val="0"/>
    <w:pPr>
      <w:ind w:left="420" w:leftChars="200"/>
    </w:pPr>
  </w:style>
  <w:style w:type="paragraph" w:styleId="7">
    <w:name w:val="Normal Indent"/>
    <w:basedOn w:val="1"/>
    <w:next w:val="8"/>
    <w:qFormat/>
    <w:locked/>
    <w:uiPriority w:val="0"/>
    <w:pPr>
      <w:spacing w:line="520" w:lineRule="exact"/>
      <w:ind w:firstLine="624"/>
    </w:pPr>
    <w:rPr>
      <w:sz w:val="28"/>
      <w:szCs w:val="20"/>
    </w:rPr>
  </w:style>
  <w:style w:type="paragraph" w:styleId="8">
    <w:name w:val="Body Text First Indent 2"/>
    <w:basedOn w:val="9"/>
    <w:next w:val="1"/>
    <w:qFormat/>
    <w:locked/>
    <w:uiPriority w:val="0"/>
    <w:pPr>
      <w:ind w:firstLine="420" w:firstLineChars="200"/>
    </w:pPr>
  </w:style>
  <w:style w:type="paragraph" w:styleId="9">
    <w:name w:val="Body Text Indent"/>
    <w:basedOn w:val="1"/>
    <w:next w:val="10"/>
    <w:link w:val="62"/>
    <w:qFormat/>
    <w:uiPriority w:val="0"/>
    <w:pPr>
      <w:spacing w:after="120"/>
      <w:ind w:left="420" w:leftChars="200"/>
    </w:pPr>
    <w:rPr>
      <w:kern w:val="0"/>
      <w:sz w:val="24"/>
      <w:szCs w:val="20"/>
    </w:rPr>
  </w:style>
  <w:style w:type="paragraph" w:styleId="10">
    <w:name w:val="Body Text Indent 2"/>
    <w:basedOn w:val="1"/>
    <w:next w:val="1"/>
    <w:qFormat/>
    <w:locked/>
    <w:uiPriority w:val="0"/>
    <w:pPr>
      <w:spacing w:after="120" w:line="480" w:lineRule="auto"/>
      <w:ind w:left="420" w:leftChars="200"/>
    </w:pPr>
  </w:style>
  <w:style w:type="paragraph" w:styleId="11">
    <w:name w:val="caption"/>
    <w:basedOn w:val="1"/>
    <w:next w:val="1"/>
    <w:qFormat/>
    <w:locked/>
    <w:uiPriority w:val="0"/>
    <w:pPr>
      <w:spacing w:before="152" w:after="160"/>
      <w:jc w:val="center"/>
    </w:pPr>
    <w:rPr>
      <w:kern w:val="0"/>
      <w:sz w:val="20"/>
      <w:szCs w:val="21"/>
    </w:rPr>
  </w:style>
  <w:style w:type="paragraph" w:styleId="12">
    <w:name w:val="Document Map"/>
    <w:basedOn w:val="1"/>
    <w:link w:val="65"/>
    <w:qFormat/>
    <w:locked/>
    <w:uiPriority w:val="0"/>
    <w:rPr>
      <w:rFonts w:ascii="宋体"/>
      <w:sz w:val="18"/>
      <w:szCs w:val="18"/>
    </w:rPr>
  </w:style>
  <w:style w:type="paragraph" w:styleId="13">
    <w:name w:val="annotation text"/>
    <w:basedOn w:val="1"/>
    <w:link w:val="55"/>
    <w:qFormat/>
    <w:uiPriority w:val="99"/>
    <w:pPr>
      <w:jc w:val="left"/>
    </w:pPr>
    <w:rPr>
      <w:kern w:val="0"/>
      <w:sz w:val="24"/>
      <w:szCs w:val="20"/>
    </w:rPr>
  </w:style>
  <w:style w:type="paragraph" w:styleId="14">
    <w:name w:val="Body Text"/>
    <w:basedOn w:val="1"/>
    <w:link w:val="54"/>
    <w:qFormat/>
    <w:uiPriority w:val="0"/>
    <w:pPr>
      <w:widowControl/>
      <w:snapToGrid w:val="0"/>
      <w:spacing w:before="60" w:after="160" w:line="259" w:lineRule="auto"/>
      <w:ind w:right="113"/>
    </w:pPr>
    <w:rPr>
      <w:kern w:val="0"/>
      <w:sz w:val="18"/>
      <w:szCs w:val="20"/>
    </w:rPr>
  </w:style>
  <w:style w:type="paragraph" w:styleId="15">
    <w:name w:val="Plain Text"/>
    <w:basedOn w:val="1"/>
    <w:link w:val="89"/>
    <w:semiHidden/>
    <w:unhideWhenUsed/>
    <w:qFormat/>
    <w:locked/>
    <w:uiPriority w:val="0"/>
    <w:rPr>
      <w:rFonts w:ascii="宋体" w:hAnsi="Courier New" w:cs="Courier New"/>
      <w:szCs w:val="21"/>
    </w:rPr>
  </w:style>
  <w:style w:type="paragraph" w:styleId="16">
    <w:name w:val="List Bullet 5"/>
    <w:basedOn w:val="1"/>
    <w:semiHidden/>
    <w:unhideWhenUsed/>
    <w:qFormat/>
    <w:locked/>
    <w:uiPriority w:val="0"/>
    <w:pPr>
      <w:numPr>
        <w:ilvl w:val="0"/>
        <w:numId w:val="1"/>
      </w:numPr>
    </w:pPr>
  </w:style>
  <w:style w:type="paragraph" w:styleId="17">
    <w:name w:val="Date"/>
    <w:basedOn w:val="1"/>
    <w:next w:val="1"/>
    <w:link w:val="50"/>
    <w:qFormat/>
    <w:uiPriority w:val="0"/>
    <w:pPr>
      <w:ind w:left="100" w:leftChars="2500"/>
    </w:pPr>
    <w:rPr>
      <w:kern w:val="0"/>
      <w:sz w:val="24"/>
      <w:szCs w:val="20"/>
    </w:rPr>
  </w:style>
  <w:style w:type="paragraph" w:styleId="18">
    <w:name w:val="Balloon Text"/>
    <w:basedOn w:val="1"/>
    <w:link w:val="58"/>
    <w:semiHidden/>
    <w:qFormat/>
    <w:uiPriority w:val="0"/>
    <w:rPr>
      <w:kern w:val="0"/>
      <w:sz w:val="18"/>
      <w:szCs w:val="20"/>
    </w:rPr>
  </w:style>
  <w:style w:type="paragraph" w:styleId="19">
    <w:name w:val="footer"/>
    <w:basedOn w:val="1"/>
    <w:link w:val="49"/>
    <w:qFormat/>
    <w:uiPriority w:val="99"/>
    <w:pPr>
      <w:tabs>
        <w:tab w:val="center" w:pos="4153"/>
        <w:tab w:val="right" w:pos="8306"/>
      </w:tabs>
      <w:snapToGrid w:val="0"/>
      <w:jc w:val="left"/>
    </w:pPr>
    <w:rPr>
      <w:kern w:val="0"/>
      <w:sz w:val="18"/>
      <w:szCs w:val="20"/>
    </w:rPr>
  </w:style>
  <w:style w:type="paragraph" w:styleId="20">
    <w:name w:val="header"/>
    <w:basedOn w:val="1"/>
    <w:link w:val="60"/>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qFormat/>
    <w:locked/>
    <w:uiPriority w:val="39"/>
  </w:style>
  <w:style w:type="paragraph" w:styleId="22">
    <w:name w:val="List"/>
    <w:basedOn w:val="1"/>
    <w:next w:val="1"/>
    <w:qFormat/>
    <w:locked/>
    <w:uiPriority w:val="0"/>
    <w:pPr>
      <w:ind w:left="200" w:hanging="200" w:hangingChars="200"/>
    </w:pPr>
    <w:rPr>
      <w:rFonts w:ascii="宋体"/>
      <w:kern w:val="0"/>
      <w:sz w:val="24"/>
      <w:szCs w:val="20"/>
    </w:rPr>
  </w:style>
  <w:style w:type="paragraph" w:styleId="23">
    <w:name w:val="toc 9"/>
    <w:basedOn w:val="1"/>
    <w:next w:val="1"/>
    <w:unhideWhenUsed/>
    <w:qFormat/>
    <w:locked/>
    <w:uiPriority w:val="39"/>
    <w:pPr>
      <w:ind w:left="1680"/>
      <w:jc w:val="left"/>
    </w:pPr>
    <w:rPr>
      <w:rFonts w:ascii="Calibri" w:hAnsi="Calibri" w:cs="Calibri"/>
      <w:sz w:val="20"/>
      <w:szCs w:val="20"/>
    </w:rPr>
  </w:style>
  <w:style w:type="paragraph" w:styleId="24">
    <w:name w:val="Body Text 2"/>
    <w:basedOn w:val="1"/>
    <w:link w:val="82"/>
    <w:unhideWhenUsed/>
    <w:qFormat/>
    <w:locked/>
    <w:uiPriority w:val="99"/>
    <w:pPr>
      <w:spacing w:after="120" w:line="480" w:lineRule="auto"/>
    </w:pPr>
  </w:style>
  <w:style w:type="paragraph" w:styleId="25">
    <w:name w:val="Message Header"/>
    <w:basedOn w:val="1"/>
    <w:qFormat/>
    <w:locked/>
    <w:uiPriority w:val="0"/>
    <w:pPr>
      <w:keepNext/>
      <w:pBdr>
        <w:top w:val="single" w:color="auto" w:sz="6" w:space="1"/>
        <w:left w:val="single" w:color="auto" w:sz="6" w:space="1"/>
        <w:bottom w:val="single" w:color="auto" w:sz="6" w:space="1"/>
        <w:right w:val="single" w:color="auto" w:sz="6" w:space="1"/>
      </w:pBdr>
      <w:shd w:val="pct20" w:color="auto" w:fill="auto"/>
      <w:spacing w:line="360" w:lineRule="auto"/>
      <w:ind w:left="1000" w:leftChars="500" w:hanging="500" w:hangingChars="500"/>
      <w:jc w:val="left"/>
    </w:pPr>
    <w:rPr>
      <w:rFonts w:ascii="Arial" w:hAnsi="Arial" w:cs="Arial"/>
      <w:color w:val="000000"/>
      <w:sz w:val="24"/>
    </w:rPr>
  </w:style>
  <w:style w:type="paragraph" w:styleId="26">
    <w:name w:val="Normal (Web)"/>
    <w:basedOn w:val="1"/>
    <w:link w:val="52"/>
    <w:qFormat/>
    <w:uiPriority w:val="0"/>
    <w:pPr>
      <w:widowControl/>
      <w:spacing w:before="100" w:beforeAutospacing="1" w:after="100" w:afterAutospacing="1"/>
      <w:jc w:val="left"/>
    </w:pPr>
    <w:rPr>
      <w:rFonts w:ascii="宋体" w:hAnsi="宋体"/>
      <w:kern w:val="0"/>
      <w:sz w:val="24"/>
      <w:szCs w:val="20"/>
    </w:rPr>
  </w:style>
  <w:style w:type="paragraph" w:styleId="27">
    <w:name w:val="annotation subject"/>
    <w:basedOn w:val="13"/>
    <w:next w:val="13"/>
    <w:link w:val="59"/>
    <w:semiHidden/>
    <w:qFormat/>
    <w:uiPriority w:val="0"/>
    <w:rPr>
      <w:b/>
      <w:kern w:val="2"/>
    </w:rPr>
  </w:style>
  <w:style w:type="paragraph" w:styleId="28">
    <w:name w:val="Body Text First Indent"/>
    <w:basedOn w:val="1"/>
    <w:next w:val="29"/>
    <w:link w:val="91"/>
    <w:qFormat/>
    <w:locked/>
    <w:uiPriority w:val="0"/>
    <w:pPr>
      <w:widowControl w:val="0"/>
      <w:snapToGrid/>
      <w:spacing w:before="0" w:after="120" w:line="240" w:lineRule="auto"/>
      <w:ind w:right="0" w:firstLine="420" w:firstLineChars="100"/>
    </w:pPr>
    <w:rPr>
      <w:kern w:val="2"/>
      <w:sz w:val="21"/>
      <w:szCs w:val="24"/>
    </w:rPr>
  </w:style>
  <w:style w:type="paragraph" w:customStyle="1" w:styleId="29">
    <w:name w:val="样式 正文首行缩进 + 首行缩进:  1 字符"/>
    <w:basedOn w:val="1"/>
    <w:next w:val="1"/>
    <w:qFormat/>
    <w:uiPriority w:val="0"/>
    <w:pPr>
      <w:spacing w:after="120"/>
    </w:pPr>
    <w:rPr>
      <w:rFonts w:cs="宋体"/>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locked/>
    <w:uiPriority w:val="0"/>
    <w:rPr>
      <w:b/>
    </w:rPr>
  </w:style>
  <w:style w:type="character" w:styleId="34">
    <w:name w:val="page number"/>
    <w:basedOn w:val="32"/>
    <w:qFormat/>
    <w:locked/>
    <w:uiPriority w:val="0"/>
  </w:style>
  <w:style w:type="character" w:styleId="35">
    <w:name w:val="Emphasis"/>
    <w:basedOn w:val="32"/>
    <w:qFormat/>
    <w:locked/>
    <w:uiPriority w:val="0"/>
    <w:rPr>
      <w:i/>
    </w:rPr>
  </w:style>
  <w:style w:type="character" w:styleId="36">
    <w:name w:val="Hyperlink"/>
    <w:basedOn w:val="32"/>
    <w:qFormat/>
    <w:locked/>
    <w:uiPriority w:val="99"/>
    <w:rPr>
      <w:color w:val="0000FF" w:themeColor="hyperlink"/>
      <w:u w:val="single"/>
      <w14:textFill>
        <w14:solidFill>
          <w14:schemeClr w14:val="hlink"/>
        </w14:solidFill>
      </w14:textFill>
    </w:rPr>
  </w:style>
  <w:style w:type="character" w:styleId="37">
    <w:name w:val="annotation reference"/>
    <w:basedOn w:val="32"/>
    <w:semiHidden/>
    <w:qFormat/>
    <w:uiPriority w:val="99"/>
    <w:rPr>
      <w:sz w:val="21"/>
    </w:rPr>
  </w:style>
  <w:style w:type="paragraph" w:customStyle="1" w:styleId="38">
    <w:name w:val="Normal (Web)1"/>
    <w:basedOn w:val="1"/>
    <w:next w:val="39"/>
    <w:qFormat/>
    <w:uiPriority w:val="0"/>
    <w:pPr>
      <w:widowControl/>
      <w:jc w:val="left"/>
    </w:pPr>
    <w:rPr>
      <w:rFonts w:ascii="宋体"/>
      <w:kern w:val="0"/>
      <w:sz w:val="24"/>
      <w:szCs w:val="21"/>
    </w:rPr>
  </w:style>
  <w:style w:type="paragraph" w:customStyle="1" w:styleId="39">
    <w:name w:val="Date1"/>
    <w:basedOn w:val="1"/>
    <w:next w:val="1"/>
    <w:qFormat/>
    <w:uiPriority w:val="0"/>
    <w:pPr>
      <w:ind w:left="2500" w:leftChars="2500"/>
    </w:pPr>
  </w:style>
  <w:style w:type="paragraph" w:customStyle="1" w:styleId="40">
    <w:name w:val="正文格式"/>
    <w:basedOn w:val="1"/>
    <w:next w:val="1"/>
    <w:qFormat/>
    <w:uiPriority w:val="0"/>
    <w:pPr>
      <w:spacing w:line="360" w:lineRule="auto"/>
      <w:ind w:firstLine="482"/>
    </w:pPr>
  </w:style>
  <w:style w:type="paragraph" w:customStyle="1" w:styleId="41">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42">
    <w:name w:val="图表"/>
    <w:basedOn w:val="1"/>
    <w:next w:val="43"/>
    <w:qFormat/>
    <w:uiPriority w:val="0"/>
    <w:pPr>
      <w:keepNext/>
      <w:keepLines/>
      <w:adjustRightInd w:val="0"/>
      <w:snapToGrid w:val="0"/>
      <w:ind w:firstLine="0" w:firstLineChars="0"/>
      <w:jc w:val="center"/>
      <w:outlineLvl w:val="3"/>
    </w:pPr>
    <w:rPr>
      <w:rFonts w:hint="eastAsia"/>
      <w:b/>
      <w:kern w:val="44"/>
    </w:rPr>
  </w:style>
  <w:style w:type="paragraph" w:customStyle="1" w:styleId="43">
    <w:name w:val="表格"/>
    <w:basedOn w:val="1"/>
    <w:next w:val="1"/>
    <w:link w:val="56"/>
    <w:qFormat/>
    <w:uiPriority w:val="0"/>
    <w:pPr>
      <w:adjustRightInd w:val="0"/>
      <w:snapToGrid w:val="0"/>
      <w:spacing w:beforeLines="10" w:afterLines="10" w:line="259" w:lineRule="auto"/>
      <w:jc w:val="center"/>
    </w:pPr>
    <w:rPr>
      <w:rFonts w:ascii="宋体"/>
      <w:kern w:val="0"/>
      <w:szCs w:val="20"/>
    </w:rPr>
  </w:style>
  <w:style w:type="paragraph" w:customStyle="1" w:styleId="44">
    <w:name w:val="Default"/>
    <w:basedOn w:val="45"/>
    <w:next w:val="1"/>
    <w:qFormat/>
    <w:uiPriority w:val="0"/>
    <w:pPr>
      <w:autoSpaceDE w:val="0"/>
      <w:autoSpaceDN w:val="0"/>
      <w:adjustRightInd w:val="0"/>
      <w:jc w:val="left"/>
    </w:pPr>
    <w:rPr>
      <w:color w:val="000000"/>
      <w:kern w:val="0"/>
      <w:sz w:val="24"/>
    </w:rPr>
  </w:style>
  <w:style w:type="paragraph" w:customStyle="1" w:styleId="45">
    <w:name w:val="纯文本1"/>
    <w:basedOn w:val="1"/>
    <w:qFormat/>
    <w:uiPriority w:val="0"/>
    <w:rPr>
      <w:rFonts w:ascii="宋体" w:hAnsi="Courier New" w:cs="Courier New"/>
      <w:szCs w:val="21"/>
    </w:rPr>
  </w:style>
  <w:style w:type="paragraph" w:customStyle="1" w:styleId="46">
    <w:name w:val="报告正文"/>
    <w:basedOn w:val="1"/>
    <w:qFormat/>
    <w:uiPriority w:val="0"/>
    <w:pPr>
      <w:tabs>
        <w:tab w:val="left" w:pos="0"/>
      </w:tabs>
      <w:spacing w:line="360" w:lineRule="auto"/>
      <w:ind w:firstLine="200" w:firstLineChars="200"/>
    </w:pPr>
    <w:rPr>
      <w:color w:val="000000"/>
      <w:sz w:val="24"/>
    </w:rPr>
  </w:style>
  <w:style w:type="paragraph" w:customStyle="1" w:styleId="47">
    <w:name w:val="【正文】"/>
    <w:basedOn w:val="1"/>
    <w:next w:val="25"/>
    <w:link w:val="72"/>
    <w:qFormat/>
    <w:uiPriority w:val="0"/>
    <w:pPr>
      <w:spacing w:line="360" w:lineRule="auto"/>
      <w:ind w:firstLine="480" w:firstLineChars="200"/>
    </w:pPr>
    <w:rPr>
      <w:sz w:val="24"/>
    </w:rPr>
  </w:style>
  <w:style w:type="paragraph" w:customStyle="1" w:styleId="48">
    <w:name w:val="样式 正文文本缩进 + 行距: 1.5 倍行距"/>
    <w:basedOn w:val="9"/>
    <w:qFormat/>
    <w:uiPriority w:val="0"/>
    <w:pPr>
      <w:spacing w:after="120"/>
      <w:ind w:left="90" w:leftChars="32" w:firstLine="560"/>
    </w:pPr>
    <w:rPr>
      <w:rFonts w:ascii="Times New Roman" w:hAnsi="Times New Roman"/>
      <w:lang w:val="en-US"/>
    </w:rPr>
  </w:style>
  <w:style w:type="character" w:customStyle="1" w:styleId="49">
    <w:name w:val="页脚 Char"/>
    <w:link w:val="19"/>
    <w:qFormat/>
    <w:locked/>
    <w:uiPriority w:val="99"/>
    <w:rPr>
      <w:sz w:val="18"/>
    </w:rPr>
  </w:style>
  <w:style w:type="character" w:customStyle="1" w:styleId="50">
    <w:name w:val="日期 Char"/>
    <w:link w:val="17"/>
    <w:qFormat/>
    <w:locked/>
    <w:uiPriority w:val="0"/>
    <w:rPr>
      <w:rFonts w:ascii="Times New Roman" w:hAnsi="Times New Roman" w:eastAsia="宋体"/>
      <w:sz w:val="24"/>
    </w:rPr>
  </w:style>
  <w:style w:type="character" w:customStyle="1" w:styleId="51">
    <w:name w:val="页脚 字符"/>
    <w:basedOn w:val="32"/>
    <w:qFormat/>
    <w:uiPriority w:val="99"/>
  </w:style>
  <w:style w:type="character" w:customStyle="1" w:styleId="52">
    <w:name w:val="普通(网站) Char"/>
    <w:link w:val="26"/>
    <w:qFormat/>
    <w:locked/>
    <w:uiPriority w:val="0"/>
    <w:rPr>
      <w:rFonts w:ascii="宋体" w:hAnsi="宋体" w:eastAsia="宋体"/>
      <w:sz w:val="24"/>
    </w:rPr>
  </w:style>
  <w:style w:type="character" w:customStyle="1" w:styleId="53">
    <w:name w:val="正文文本 字符1"/>
    <w:semiHidden/>
    <w:qFormat/>
    <w:uiPriority w:val="0"/>
    <w:rPr>
      <w:rFonts w:ascii="Times New Roman" w:hAnsi="Times New Roman" w:eastAsia="宋体"/>
      <w:sz w:val="24"/>
    </w:rPr>
  </w:style>
  <w:style w:type="character" w:customStyle="1" w:styleId="54">
    <w:name w:val="正文文本 Char"/>
    <w:link w:val="14"/>
    <w:qFormat/>
    <w:locked/>
    <w:uiPriority w:val="0"/>
    <w:rPr>
      <w:sz w:val="18"/>
    </w:rPr>
  </w:style>
  <w:style w:type="character" w:customStyle="1" w:styleId="55">
    <w:name w:val="批注文字 Char"/>
    <w:link w:val="13"/>
    <w:qFormat/>
    <w:locked/>
    <w:uiPriority w:val="99"/>
    <w:rPr>
      <w:rFonts w:ascii="Times New Roman" w:hAnsi="Times New Roman" w:eastAsia="宋体"/>
      <w:sz w:val="24"/>
    </w:rPr>
  </w:style>
  <w:style w:type="character" w:customStyle="1" w:styleId="56">
    <w:name w:val="表格 Char"/>
    <w:link w:val="43"/>
    <w:qFormat/>
    <w:locked/>
    <w:uiPriority w:val="0"/>
    <w:rPr>
      <w:rFonts w:ascii="宋体"/>
      <w:sz w:val="21"/>
    </w:rPr>
  </w:style>
  <w:style w:type="character" w:customStyle="1" w:styleId="57">
    <w:name w:val="日期 字符"/>
    <w:semiHidden/>
    <w:qFormat/>
    <w:uiPriority w:val="0"/>
    <w:rPr>
      <w:rFonts w:ascii="Times New Roman" w:hAnsi="Times New Roman" w:eastAsia="宋体"/>
      <w:sz w:val="24"/>
    </w:rPr>
  </w:style>
  <w:style w:type="character" w:customStyle="1" w:styleId="58">
    <w:name w:val="批注框文本 Char"/>
    <w:link w:val="18"/>
    <w:semiHidden/>
    <w:qFormat/>
    <w:locked/>
    <w:uiPriority w:val="0"/>
    <w:rPr>
      <w:rFonts w:ascii="Times New Roman" w:hAnsi="Times New Roman" w:eastAsia="宋体"/>
      <w:sz w:val="18"/>
    </w:rPr>
  </w:style>
  <w:style w:type="character" w:customStyle="1" w:styleId="59">
    <w:name w:val="批注主题 Char"/>
    <w:link w:val="27"/>
    <w:semiHidden/>
    <w:qFormat/>
    <w:locked/>
    <w:uiPriority w:val="0"/>
    <w:rPr>
      <w:rFonts w:ascii="Times New Roman" w:hAnsi="Times New Roman" w:eastAsia="宋体"/>
      <w:b/>
      <w:kern w:val="2"/>
      <w:sz w:val="24"/>
    </w:rPr>
  </w:style>
  <w:style w:type="character" w:customStyle="1" w:styleId="60">
    <w:name w:val="页眉 Char"/>
    <w:link w:val="20"/>
    <w:qFormat/>
    <w:locked/>
    <w:uiPriority w:val="0"/>
    <w:rPr>
      <w:sz w:val="18"/>
    </w:rPr>
  </w:style>
  <w:style w:type="character" w:customStyle="1" w:styleId="61">
    <w:name w:val="批注文字 字符1"/>
    <w:semiHidden/>
    <w:qFormat/>
    <w:uiPriority w:val="0"/>
    <w:rPr>
      <w:rFonts w:ascii="Times New Roman" w:hAnsi="Times New Roman" w:eastAsia="宋体"/>
      <w:sz w:val="24"/>
    </w:rPr>
  </w:style>
  <w:style w:type="character" w:customStyle="1" w:styleId="62">
    <w:name w:val="正文文本缩进 Char"/>
    <w:link w:val="9"/>
    <w:semiHidden/>
    <w:qFormat/>
    <w:locked/>
    <w:uiPriority w:val="0"/>
    <w:rPr>
      <w:rFonts w:ascii="Times New Roman" w:hAnsi="Times New Roman" w:eastAsia="宋体"/>
      <w:sz w:val="24"/>
    </w:rPr>
  </w:style>
  <w:style w:type="paragraph" w:customStyle="1" w:styleId="6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4">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65">
    <w:name w:val="文档结构图 Char"/>
    <w:basedOn w:val="32"/>
    <w:link w:val="12"/>
    <w:qFormat/>
    <w:uiPriority w:val="0"/>
    <w:rPr>
      <w:rFonts w:ascii="宋体"/>
      <w:kern w:val="2"/>
      <w:sz w:val="18"/>
      <w:szCs w:val="18"/>
    </w:rPr>
  </w:style>
  <w:style w:type="character" w:customStyle="1" w:styleId="66">
    <w:name w:val="内容 Char"/>
    <w:link w:val="67"/>
    <w:qFormat/>
    <w:uiPriority w:val="0"/>
    <w:rPr>
      <w:color w:val="000000"/>
      <w:kern w:val="2"/>
      <w:sz w:val="24"/>
      <w:szCs w:val="24"/>
    </w:rPr>
  </w:style>
  <w:style w:type="paragraph" w:customStyle="1" w:styleId="67">
    <w:name w:val="内容"/>
    <w:basedOn w:val="1"/>
    <w:link w:val="66"/>
    <w:qFormat/>
    <w:uiPriority w:val="0"/>
    <w:pPr>
      <w:spacing w:beforeLines="50" w:afterLines="50"/>
      <w:ind w:firstLine="200" w:firstLineChars="200"/>
    </w:pPr>
    <w:rPr>
      <w:color w:val="000000"/>
      <w:sz w:val="24"/>
    </w:rPr>
  </w:style>
  <w:style w:type="paragraph" w:styleId="68">
    <w:name w:val="List Paragraph"/>
    <w:basedOn w:val="1"/>
    <w:qFormat/>
    <w:uiPriority w:val="34"/>
    <w:pPr>
      <w:ind w:firstLine="420" w:firstLineChars="200"/>
    </w:pPr>
  </w:style>
  <w:style w:type="paragraph" w:customStyle="1" w:styleId="69">
    <w:name w:val="Char Char Char Char Char Char Char2"/>
    <w:basedOn w:val="1"/>
    <w:qFormat/>
    <w:uiPriority w:val="0"/>
    <w:pPr>
      <w:snapToGrid w:val="0"/>
      <w:spacing w:line="360" w:lineRule="auto"/>
      <w:ind w:firstLine="529" w:firstLineChars="200"/>
    </w:pPr>
  </w:style>
  <w:style w:type="paragraph" w:customStyle="1" w:styleId="70">
    <w:name w:val="表内格式"/>
    <w:basedOn w:val="1"/>
    <w:next w:val="1"/>
    <w:qFormat/>
    <w:uiPriority w:val="0"/>
    <w:pPr>
      <w:spacing w:line="240" w:lineRule="exact"/>
      <w:jc w:val="center"/>
    </w:pPr>
    <w:rPr>
      <w:rFonts w:ascii="宋体" w:hAnsi="宋体"/>
      <w:szCs w:val="22"/>
    </w:rPr>
  </w:style>
  <w:style w:type="paragraph" w:customStyle="1" w:styleId="71">
    <w:name w:val="环评表中文字"/>
    <w:basedOn w:val="1"/>
    <w:qFormat/>
    <w:uiPriority w:val="0"/>
    <w:pPr>
      <w:spacing w:line="360" w:lineRule="auto"/>
      <w:jc w:val="center"/>
    </w:pPr>
    <w:rPr>
      <w:sz w:val="24"/>
      <w:szCs w:val="22"/>
    </w:rPr>
  </w:style>
  <w:style w:type="character" w:customStyle="1" w:styleId="72">
    <w:name w:val="【正文】 Char"/>
    <w:link w:val="47"/>
    <w:qFormat/>
    <w:uiPriority w:val="0"/>
    <w:rPr>
      <w:kern w:val="2"/>
      <w:sz w:val="24"/>
      <w:szCs w:val="24"/>
    </w:rPr>
  </w:style>
  <w:style w:type="paragraph" w:customStyle="1" w:styleId="73">
    <w:name w:val="表格题目"/>
    <w:basedOn w:val="1"/>
    <w:qFormat/>
    <w:uiPriority w:val="0"/>
    <w:pPr>
      <w:spacing w:line="240" w:lineRule="atLeast"/>
      <w:jc w:val="center"/>
    </w:pPr>
    <w:rPr>
      <w:rFonts w:ascii="黑体" w:hAnsi="宋体" w:eastAsia="黑体"/>
      <w:sz w:val="24"/>
    </w:rPr>
  </w:style>
  <w:style w:type="character" w:customStyle="1" w:styleId="74">
    <w:name w:val="表格内容 Char"/>
    <w:link w:val="75"/>
    <w:qFormat/>
    <w:locked/>
    <w:uiPriority w:val="0"/>
    <w:rPr>
      <w:rFonts w:ascii="宋体" w:hAnsi="宋体"/>
      <w:kern w:val="2"/>
      <w:sz w:val="21"/>
      <w:szCs w:val="21"/>
    </w:rPr>
  </w:style>
  <w:style w:type="paragraph" w:customStyle="1" w:styleId="75">
    <w:name w:val="表格内容"/>
    <w:basedOn w:val="76"/>
    <w:next w:val="1"/>
    <w:link w:val="74"/>
    <w:qFormat/>
    <w:uiPriority w:val="0"/>
    <w:pPr>
      <w:spacing w:line="340" w:lineRule="exact"/>
      <w:jc w:val="center"/>
    </w:pPr>
    <w:rPr>
      <w:rFonts w:ascii="宋体" w:hAnsi="宋体"/>
      <w:szCs w:val="21"/>
    </w:rPr>
  </w:style>
  <w:style w:type="paragraph" w:customStyle="1" w:styleId="76">
    <w:name w:val="表格标题"/>
    <w:basedOn w:val="77"/>
    <w:next w:val="1"/>
    <w:qFormat/>
    <w:uiPriority w:val="0"/>
    <w:pPr>
      <w:spacing w:line="240" w:lineRule="auto"/>
      <w:ind w:firstLine="0" w:firstLineChars="0"/>
      <w:jc w:val="center"/>
    </w:pPr>
    <w:rPr>
      <w:b/>
      <w:sz w:val="21"/>
    </w:rPr>
  </w:style>
  <w:style w:type="paragraph" w:customStyle="1" w:styleId="77">
    <w:name w:val="报告书正文"/>
    <w:basedOn w:val="1"/>
    <w:qFormat/>
    <w:uiPriority w:val="0"/>
    <w:pPr>
      <w:adjustRightInd w:val="0"/>
      <w:snapToGrid w:val="0"/>
      <w:ind w:firstLine="425"/>
      <w:textAlignment w:val="baseline"/>
    </w:pPr>
    <w:rPr>
      <w:rFonts w:ascii="Arial" w:hAnsi="Arial"/>
      <w:kern w:val="0"/>
    </w:rPr>
  </w:style>
  <w:style w:type="paragraph" w:customStyle="1" w:styleId="78">
    <w:name w:val="盂县"/>
    <w:basedOn w:val="1"/>
    <w:qFormat/>
    <w:uiPriority w:val="0"/>
    <w:pPr>
      <w:adjustRightInd w:val="0"/>
      <w:snapToGrid w:val="0"/>
      <w:spacing w:line="312" w:lineRule="auto"/>
      <w:ind w:firstLine="560" w:firstLineChars="200"/>
    </w:pPr>
    <w:rPr>
      <w:sz w:val="28"/>
    </w:rPr>
  </w:style>
  <w:style w:type="paragraph" w:customStyle="1" w:styleId="79">
    <w:name w:val="表内容"/>
    <w:basedOn w:val="1"/>
    <w:next w:val="1"/>
    <w:qFormat/>
    <w:uiPriority w:val="0"/>
    <w:pPr>
      <w:spacing w:line="320" w:lineRule="exact"/>
      <w:jc w:val="center"/>
    </w:pPr>
    <w:rPr>
      <w:szCs w:val="20"/>
    </w:rPr>
  </w:style>
  <w:style w:type="paragraph" w:customStyle="1" w:styleId="80">
    <w:name w:val="xl24"/>
    <w:basedOn w:val="1"/>
    <w:qFormat/>
    <w:uiPriority w:val="0"/>
    <w:pPr>
      <w:widowControl/>
      <w:pBdr>
        <w:right w:val="single" w:color="auto" w:sz="4" w:space="0"/>
      </w:pBdr>
      <w:spacing w:before="100" w:beforeAutospacing="1" w:after="100" w:afterAutospacing="1"/>
      <w:jc w:val="center"/>
    </w:pPr>
    <w:rPr>
      <w:rFonts w:hint="eastAsia" w:ascii="FangSong_GB2312" w:hAnsi="宋体" w:eastAsia="FangSong_GB2312"/>
      <w:kern w:val="0"/>
      <w:szCs w:val="21"/>
    </w:rPr>
  </w:style>
  <w:style w:type="paragraph" w:customStyle="1" w:styleId="81">
    <w:name w:val="正文文字进缩"/>
    <w:basedOn w:val="1"/>
    <w:qFormat/>
    <w:uiPriority w:val="0"/>
    <w:pPr>
      <w:spacing w:line="360" w:lineRule="auto"/>
      <w:ind w:firstLine="200" w:firstLineChars="200"/>
    </w:pPr>
    <w:rPr>
      <w:rFonts w:ascii="FangSong_GB2312" w:eastAsia="FangSong_GB2312"/>
      <w:sz w:val="30"/>
      <w:szCs w:val="20"/>
    </w:rPr>
  </w:style>
  <w:style w:type="character" w:customStyle="1" w:styleId="82">
    <w:name w:val="正文文本 2 Char"/>
    <w:basedOn w:val="32"/>
    <w:link w:val="24"/>
    <w:semiHidden/>
    <w:qFormat/>
    <w:uiPriority w:val="99"/>
    <w:rPr>
      <w:kern w:val="2"/>
      <w:sz w:val="21"/>
      <w:szCs w:val="24"/>
    </w:rPr>
  </w:style>
  <w:style w:type="paragraph" w:customStyle="1" w:styleId="83">
    <w:name w:val="Table Paragraph"/>
    <w:basedOn w:val="1"/>
    <w:qFormat/>
    <w:uiPriority w:val="0"/>
    <w:pPr>
      <w:jc w:val="left"/>
    </w:pPr>
    <w:rPr>
      <w:rFonts w:asciiTheme="minorHAnsi" w:hAnsiTheme="minorHAnsi" w:eastAsiaTheme="minorEastAsia" w:cstheme="minorBidi"/>
      <w:kern w:val="0"/>
      <w:sz w:val="22"/>
      <w:szCs w:val="22"/>
      <w:lang w:eastAsia="en-US"/>
    </w:rPr>
  </w:style>
  <w:style w:type="paragraph" w:customStyle="1" w:styleId="84">
    <w:name w:val="【表中文字】"/>
    <w:basedOn w:val="1"/>
    <w:link w:val="85"/>
    <w:qFormat/>
    <w:uiPriority w:val="0"/>
    <w:pPr>
      <w:jc w:val="center"/>
    </w:pPr>
    <w:rPr>
      <w:rFonts w:ascii="Calibri" w:hAnsi="Calibri" w:cs="黑体"/>
      <w:kern w:val="0"/>
      <w:sz w:val="20"/>
      <w:szCs w:val="20"/>
    </w:rPr>
  </w:style>
  <w:style w:type="character" w:customStyle="1" w:styleId="85">
    <w:name w:val="【表中文字】 Char"/>
    <w:link w:val="84"/>
    <w:qFormat/>
    <w:locked/>
    <w:uiPriority w:val="0"/>
    <w:rPr>
      <w:rFonts w:ascii="Calibri" w:hAnsi="Calibri" w:cs="黑体"/>
    </w:rPr>
  </w:style>
  <w:style w:type="character" w:customStyle="1" w:styleId="86">
    <w:name w:val="表头 Char"/>
    <w:link w:val="87"/>
    <w:qFormat/>
    <w:uiPriority w:val="0"/>
    <w:rPr>
      <w:rFonts w:eastAsia="黑体"/>
    </w:rPr>
  </w:style>
  <w:style w:type="paragraph" w:customStyle="1" w:styleId="87">
    <w:name w:val="表头"/>
    <w:basedOn w:val="88"/>
    <w:next w:val="15"/>
    <w:link w:val="86"/>
    <w:qFormat/>
    <w:uiPriority w:val="0"/>
    <w:pPr>
      <w:adjustRightInd w:val="0"/>
      <w:snapToGrid w:val="0"/>
      <w:spacing w:line="360" w:lineRule="auto"/>
      <w:jc w:val="center"/>
    </w:pPr>
    <w:rPr>
      <w:rFonts w:eastAsia="黑体"/>
      <w:kern w:val="0"/>
      <w:sz w:val="20"/>
      <w:szCs w:val="20"/>
    </w:rPr>
  </w:style>
  <w:style w:type="paragraph" w:customStyle="1" w:styleId="88">
    <w:name w:val="样式4"/>
    <w:basedOn w:val="1"/>
    <w:qFormat/>
    <w:uiPriority w:val="0"/>
    <w:pPr>
      <w:adjustRightInd w:val="0"/>
      <w:snapToGrid w:val="0"/>
      <w:jc w:val="center"/>
    </w:pPr>
    <w:rPr>
      <w:sz w:val="24"/>
    </w:rPr>
  </w:style>
  <w:style w:type="character" w:customStyle="1" w:styleId="89">
    <w:name w:val="纯文本 Char"/>
    <w:basedOn w:val="32"/>
    <w:link w:val="15"/>
    <w:semiHidden/>
    <w:qFormat/>
    <w:uiPriority w:val="0"/>
    <w:rPr>
      <w:rFonts w:ascii="宋体" w:hAnsi="Courier New" w:cs="Courier New"/>
      <w:kern w:val="2"/>
      <w:sz w:val="21"/>
      <w:szCs w:val="21"/>
    </w:rPr>
  </w:style>
  <w:style w:type="character" w:customStyle="1" w:styleId="90">
    <w:name w:val="正文首行缩进 Char1"/>
    <w:basedOn w:val="54"/>
    <w:link w:val="28"/>
    <w:qFormat/>
    <w:uiPriority w:val="0"/>
    <w:rPr>
      <w:kern w:val="2"/>
      <w:sz w:val="21"/>
      <w:szCs w:val="24"/>
    </w:rPr>
  </w:style>
  <w:style w:type="character" w:customStyle="1" w:styleId="91">
    <w:name w:val="正文首行缩进 Char"/>
    <w:basedOn w:val="54"/>
    <w:link w:val="28"/>
    <w:qFormat/>
    <w:uiPriority w:val="0"/>
    <w:rPr>
      <w:kern w:val="2"/>
      <w:sz w:val="21"/>
      <w:szCs w:val="24"/>
    </w:rPr>
  </w:style>
  <w:style w:type="paragraph" w:customStyle="1" w:styleId="92">
    <w:name w:val="环评正文"/>
    <w:basedOn w:val="1"/>
    <w:qFormat/>
    <w:uiPriority w:val="0"/>
    <w:pPr>
      <w:spacing w:line="440" w:lineRule="exact"/>
      <w:ind w:firstLine="1446" w:firstLineChars="200"/>
    </w:pPr>
    <w:rPr>
      <w:kern w:val="0"/>
      <w:sz w:val="20"/>
      <w:szCs w:val="20"/>
    </w:rPr>
  </w:style>
  <w:style w:type="paragraph" w:customStyle="1" w:styleId="93">
    <w:name w:val="p0"/>
    <w:basedOn w:val="1"/>
    <w:qFormat/>
    <w:uiPriority w:val="0"/>
    <w:pPr>
      <w:widowControl/>
    </w:pPr>
    <w:rPr>
      <w:kern w:val="0"/>
      <w:szCs w:val="21"/>
    </w:rPr>
  </w:style>
  <w:style w:type="paragraph" w:customStyle="1" w:styleId="94">
    <w:name w:val="表中文字"/>
    <w:basedOn w:val="1"/>
    <w:qFormat/>
    <w:uiPriority w:val="0"/>
    <w:pPr>
      <w:jc w:val="center"/>
    </w:pPr>
    <w:rPr>
      <w:szCs w:val="20"/>
    </w:rPr>
  </w:style>
  <w:style w:type="table" w:customStyle="1" w:styleId="95">
    <w:name w:val="Table Normal"/>
    <w:semiHidden/>
    <w:unhideWhenUsed/>
    <w:qFormat/>
    <w:uiPriority w:val="0"/>
    <w:tblPr>
      <w:tblCellMar>
        <w:top w:w="0" w:type="dxa"/>
        <w:left w:w="0" w:type="dxa"/>
        <w:bottom w:w="0" w:type="dxa"/>
        <w:right w:w="0" w:type="dxa"/>
      </w:tblCellMar>
    </w:tblPr>
  </w:style>
  <w:style w:type="paragraph" w:customStyle="1" w:styleId="96">
    <w:name w:val="首行缩进正文"/>
    <w:basedOn w:val="47"/>
    <w:qFormat/>
    <w:uiPriority w:val="0"/>
    <w:pPr>
      <w:spacing w:line="240" w:lineRule="auto"/>
      <w:ind w:firstLine="200"/>
    </w:pPr>
    <w:rPr>
      <w:rFonts w:cs="宋体"/>
      <w:color w:val="000000" w:themeColor="text1"/>
      <w:sz w:val="21"/>
      <w:szCs w:val="24"/>
      <w14:textFill>
        <w14:solidFill>
          <w14:schemeClr w14:val="tx1"/>
        </w14:solidFill>
      </w14:textFill>
    </w:rPr>
  </w:style>
  <w:style w:type="paragraph" w:customStyle="1" w:styleId="97">
    <w:name w:val="表格里"/>
    <w:basedOn w:val="98"/>
    <w:next w:val="98"/>
    <w:qFormat/>
    <w:uiPriority w:val="0"/>
    <w:pPr>
      <w:spacing w:line="240" w:lineRule="auto"/>
      <w:ind w:firstLine="0" w:firstLineChars="0"/>
      <w:jc w:val="center"/>
      <w:outlineLvl w:val="9"/>
    </w:pPr>
    <w:rPr>
      <w:rFonts w:ascii="Times New Roman" w:hAnsi="Times New Roman" w:eastAsia="宋体" w:cs="Times New Roman"/>
      <w:snapToGrid w:val="0"/>
      <w:color w:val="auto"/>
      <w:sz w:val="21"/>
    </w:rPr>
  </w:style>
  <w:style w:type="paragraph" w:customStyle="1" w:styleId="98">
    <w:name w:val="正文1"/>
    <w:basedOn w:val="1"/>
    <w:qFormat/>
    <w:uiPriority w:val="0"/>
    <w:pPr>
      <w:spacing w:before="78" w:beforeLines="25" w:after="78" w:afterLines="25" w:line="360" w:lineRule="auto"/>
      <w:ind w:firstLine="480" w:firstLineChars="200"/>
    </w:pPr>
    <w:rPr>
      <w:sz w:val="24"/>
    </w:rPr>
  </w:style>
  <w:style w:type="paragraph" w:customStyle="1" w:styleId="99">
    <w:name w:val="巴彦正文"/>
    <w:basedOn w:val="1"/>
    <w:qFormat/>
    <w:uiPriority w:val="0"/>
    <w:rPr>
      <w:sz w:val="28"/>
    </w:rPr>
  </w:style>
  <w:style w:type="paragraph" w:customStyle="1" w:styleId="100">
    <w:name w:val="首行缩进表格正文"/>
    <w:basedOn w:val="1"/>
    <w:link w:val="102"/>
    <w:qFormat/>
    <w:uiPriority w:val="0"/>
    <w:pPr>
      <w:spacing w:line="360" w:lineRule="auto"/>
      <w:ind w:firstLine="720" w:firstLineChars="200"/>
      <w:jc w:val="left"/>
    </w:pPr>
  </w:style>
  <w:style w:type="paragraph" w:customStyle="1" w:styleId="101">
    <w:name w:val="居中表格内容"/>
    <w:basedOn w:val="1"/>
    <w:qFormat/>
    <w:uiPriority w:val="0"/>
    <w:pPr>
      <w:jc w:val="center"/>
    </w:pPr>
  </w:style>
  <w:style w:type="character" w:customStyle="1" w:styleId="102">
    <w:name w:val="首行缩进表格正文 Char"/>
    <w:link w:val="100"/>
    <w:qFormat/>
    <w:uiPriority w:val="0"/>
  </w:style>
  <w:style w:type="paragraph" w:customStyle="1" w:styleId="103">
    <w:name w:val="填表样式"/>
    <w:basedOn w:val="1"/>
    <w:qFormat/>
    <w:uiPriority w:val="0"/>
    <w:pPr>
      <w:adjustRightInd w:val="0"/>
      <w:snapToGrid w:val="0"/>
      <w:spacing w:line="360" w:lineRule="auto"/>
      <w:ind w:firstLine="720" w:firstLineChars="200"/>
    </w:pPr>
    <w:rPr>
      <w:rFonts w:ascii="Times New Roman" w:hAnsi="Times New Roman"/>
    </w:rPr>
  </w:style>
  <w:style w:type="paragraph" w:customStyle="1" w:styleId="104">
    <w:name w:val="正文缩进1"/>
    <w:basedOn w:val="1"/>
    <w:qFormat/>
    <w:uiPriority w:val="0"/>
    <w:pPr>
      <w:spacing w:line="520" w:lineRule="exact"/>
      <w:ind w:firstLine="624"/>
    </w:pPr>
    <w:rPr>
      <w:sz w:val="28"/>
    </w:rPr>
  </w:style>
  <w:style w:type="paragraph" w:customStyle="1" w:styleId="105">
    <w:name w:val="段落正文"/>
    <w:basedOn w:val="1"/>
    <w:qFormat/>
    <w:uiPriority w:val="0"/>
    <w:pPr>
      <w:widowControl w:val="0"/>
      <w:spacing w:line="500" w:lineRule="atLeast"/>
    </w:pPr>
    <w:rPr>
      <w:rFonts w:eastAsia="仿宋_GB2312"/>
      <w:szCs w:val="28"/>
    </w:rPr>
  </w:style>
  <w:style w:type="paragraph" w:customStyle="1" w:styleId="106">
    <w:name w:val="我的正文"/>
    <w:basedOn w:val="1"/>
    <w:qFormat/>
    <w:uiPriority w:val="0"/>
    <w:pPr>
      <w:adjustRightInd w:val="0"/>
      <w:snapToGrid w:val="0"/>
      <w:spacing w:line="480" w:lineRule="exact"/>
      <w:ind w:firstLine="720" w:firstLineChars="200"/>
      <w:jc w:val="left"/>
    </w:pPr>
    <w:rPr>
      <w:rFonts w:cs="宋体"/>
      <w:bCs/>
      <w:kern w:val="0"/>
      <w:sz w:val="20"/>
      <w:szCs w:val="21"/>
    </w:rPr>
  </w:style>
  <w:style w:type="paragraph" w:customStyle="1" w:styleId="107">
    <w:name w:val="样式 正文首行缩进 + 首行缩进:  2 字符1"/>
    <w:basedOn w:val="1"/>
    <w:next w:val="21"/>
    <w:qFormat/>
    <w:uiPriority w:val="0"/>
    <w:pPr>
      <w:spacing w:line="360" w:lineRule="auto"/>
      <w:ind w:firstLine="480" w:firstLineChars="200"/>
    </w:pPr>
    <w:rPr>
      <w:sz w:val="24"/>
    </w:rPr>
  </w:style>
  <w:style w:type="paragraph" w:customStyle="1" w:styleId="108">
    <w:name w:val="cucd-0"/>
    <w:qFormat/>
    <w:uiPriority w:val="0"/>
    <w:pPr>
      <w:numPr>
        <w:ilvl w:val="0"/>
        <w:numId w:val="2"/>
      </w:numPr>
      <w:tabs>
        <w:tab w:val="left" w:pos="3485"/>
      </w:tabs>
      <w:spacing w:line="360" w:lineRule="auto"/>
    </w:pPr>
    <w:rPr>
      <w:rFonts w:ascii="Times New Roman" w:hAnsi="Times New Roman" w:eastAsia="宋体" w:cs="Times New Roman"/>
      <w:kern w:val="2"/>
      <w:sz w:val="24"/>
      <w:szCs w:val="24"/>
      <w:lang w:val="en-US" w:eastAsia="zh-CN" w:bidi="ar-SA"/>
    </w:rPr>
  </w:style>
  <w:style w:type="paragraph" w:customStyle="1" w:styleId="109">
    <w:name w:val="正文00"/>
    <w:basedOn w:val="1"/>
    <w:next w:val="110"/>
    <w:qFormat/>
    <w:uiPriority w:val="0"/>
    <w:pPr>
      <w:widowControl/>
      <w:spacing w:line="425" w:lineRule="atLeast"/>
      <w:ind w:left="107" w:leftChars="51" w:right="124" w:rightChars="59" w:firstLine="480"/>
      <w:textAlignment w:val="baseline"/>
    </w:pPr>
    <w:rPr>
      <w:kern w:val="0"/>
      <w:sz w:val="28"/>
      <w:u w:color="000000"/>
    </w:rPr>
  </w:style>
  <w:style w:type="paragraph" w:customStyle="1" w:styleId="110">
    <w:name w:val="样式 Times New Roman 五号 居中1"/>
    <w:basedOn w:val="1"/>
    <w:next w:val="87"/>
    <w:qFormat/>
    <w:uiPriority w:val="0"/>
    <w:pPr>
      <w:jc w:val="center"/>
    </w:pPr>
    <w:rPr>
      <w:rFonts w:cs="宋体"/>
    </w:rPr>
  </w:style>
  <w:style w:type="paragraph" w:customStyle="1" w:styleId="111">
    <w:name w:val="表格正文"/>
    <w:basedOn w:val="1"/>
    <w:qFormat/>
    <w:uiPriority w:val="0"/>
    <w:pPr>
      <w:widowControl/>
      <w:adjustRightInd w:val="0"/>
      <w:snapToGrid w:val="0"/>
      <w:spacing w:line="0" w:lineRule="atLeast"/>
      <w:jc w:val="center"/>
    </w:pPr>
    <w:rPr>
      <w:szCs w:val="21"/>
      <w:lang w:val="zh-CN"/>
    </w:rPr>
  </w:style>
  <w:style w:type="paragraph" w:customStyle="1" w:styleId="112">
    <w:name w:val="日照所正文"/>
    <w:basedOn w:val="1"/>
    <w:qFormat/>
    <w:uiPriority w:val="0"/>
    <w:pPr>
      <w:spacing w:line="440" w:lineRule="exact"/>
      <w:ind w:right="2" w:rightChars="1" w:firstLine="480" w:firstLineChars="200"/>
    </w:pPr>
    <w:rPr>
      <w:color w:val="000000"/>
      <w:sz w:val="24"/>
    </w:rPr>
  </w:style>
  <w:style w:type="paragraph" w:customStyle="1" w:styleId="113">
    <w:name w:val="②JM表格 居中 仿宋"/>
    <w:basedOn w:val="114"/>
    <w:next w:val="116"/>
    <w:qFormat/>
    <w:uiPriority w:val="0"/>
    <w:rPr>
      <w:b w:val="0"/>
    </w:rPr>
  </w:style>
  <w:style w:type="paragraph" w:customStyle="1" w:styleId="114">
    <w:name w:val="②JM表格小标题 仿宋"/>
    <w:basedOn w:val="115"/>
    <w:next w:val="116"/>
    <w:qFormat/>
    <w:uiPriority w:val="0"/>
    <w:rPr>
      <w:rFonts w:eastAsia="仿宋"/>
      <w:b/>
    </w:rPr>
  </w:style>
  <w:style w:type="paragraph" w:customStyle="1" w:styleId="115">
    <w:name w:val="①JM表格 居中"/>
    <w:basedOn w:val="1"/>
    <w:next w:val="1"/>
    <w:qFormat/>
    <w:uiPriority w:val="0"/>
    <w:pPr>
      <w:spacing w:line="240" w:lineRule="auto"/>
      <w:ind w:firstLine="0" w:firstLineChars="0"/>
      <w:jc w:val="center"/>
    </w:pPr>
    <w:rPr>
      <w:rFonts w:ascii="Times New Roman" w:hAnsi="Times New Roman"/>
      <w:sz w:val="21"/>
    </w:rPr>
  </w:style>
  <w:style w:type="paragraph" w:customStyle="1" w:styleId="116">
    <w:name w:val="②JM正文"/>
    <w:basedOn w:val="117"/>
    <w:qFormat/>
    <w:uiPriority w:val="0"/>
    <w:pPr>
      <w:ind w:firstLine="720" w:firstLineChars="200"/>
    </w:pPr>
  </w:style>
  <w:style w:type="paragraph" w:customStyle="1" w:styleId="117">
    <w:name w:val="②JM正文 顶格"/>
    <w:basedOn w:val="115"/>
    <w:next w:val="116"/>
    <w:qFormat/>
    <w:uiPriority w:val="0"/>
    <w:pPr>
      <w:jc w:val="left"/>
    </w:pPr>
  </w:style>
  <w:style w:type="paragraph" w:customStyle="1" w:styleId="118">
    <w:name w:val="11111"/>
    <w:basedOn w:val="1"/>
    <w:next w:val="1"/>
    <w:qFormat/>
    <w:uiPriority w:val="0"/>
    <w:pPr>
      <w:spacing w:line="360" w:lineRule="auto"/>
      <w:ind w:firstLine="200" w:firstLineChars="200"/>
    </w:pPr>
    <w:rPr>
      <w:rFonts w:ascii="宋体" w:hAnsi="宋体" w:cs="宋体"/>
      <w:sz w:val="24"/>
    </w:rPr>
  </w:style>
  <w:style w:type="paragraph" w:customStyle="1" w:styleId="119">
    <w:name w:val="a正文"/>
    <w:basedOn w:val="40"/>
    <w:qFormat/>
    <w:uiPriority w:val="0"/>
    <w:pPr>
      <w:spacing w:line="520" w:lineRule="exact"/>
      <w:ind w:firstLine="200"/>
    </w:pPr>
    <w:rPr>
      <w:sz w:val="24"/>
    </w:rPr>
  </w:style>
  <w:style w:type="paragraph" w:customStyle="1" w:styleId="120">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image" Target="media/image46.emf"/><Relationship Id="rId97" Type="http://schemas.openxmlformats.org/officeDocument/2006/relationships/oleObject" Target="embeddings/oleObject46.bin"/><Relationship Id="rId96" Type="http://schemas.openxmlformats.org/officeDocument/2006/relationships/image" Target="media/image45.emf"/><Relationship Id="rId95" Type="http://schemas.openxmlformats.org/officeDocument/2006/relationships/oleObject" Target="embeddings/oleObject45.bin"/><Relationship Id="rId94" Type="http://schemas.openxmlformats.org/officeDocument/2006/relationships/image" Target="media/image44.png"/><Relationship Id="rId93" Type="http://schemas.openxmlformats.org/officeDocument/2006/relationships/image" Target="media/image43.png"/><Relationship Id="rId92" Type="http://schemas.openxmlformats.org/officeDocument/2006/relationships/image" Target="media/image42.emf"/><Relationship Id="rId91" Type="http://schemas.openxmlformats.org/officeDocument/2006/relationships/oleObject" Target="embeddings/oleObject44.bin"/><Relationship Id="rId90" Type="http://schemas.openxmlformats.org/officeDocument/2006/relationships/image" Target="media/image41.wmf"/><Relationship Id="rId9" Type="http://schemas.openxmlformats.org/officeDocument/2006/relationships/image" Target="media/image2.emf"/><Relationship Id="rId89" Type="http://schemas.openxmlformats.org/officeDocument/2006/relationships/oleObject" Target="embeddings/oleObject43.bin"/><Relationship Id="rId88" Type="http://schemas.openxmlformats.org/officeDocument/2006/relationships/image" Target="media/image40.wmf"/><Relationship Id="rId87" Type="http://schemas.openxmlformats.org/officeDocument/2006/relationships/oleObject" Target="embeddings/oleObject42.bin"/><Relationship Id="rId86" Type="http://schemas.openxmlformats.org/officeDocument/2006/relationships/image" Target="media/image39.wmf"/><Relationship Id="rId85" Type="http://schemas.openxmlformats.org/officeDocument/2006/relationships/oleObject" Target="embeddings/oleObject41.bin"/><Relationship Id="rId84" Type="http://schemas.openxmlformats.org/officeDocument/2006/relationships/image" Target="media/image38.wmf"/><Relationship Id="rId83" Type="http://schemas.openxmlformats.org/officeDocument/2006/relationships/oleObject" Target="embeddings/oleObject40.bin"/><Relationship Id="rId82" Type="http://schemas.openxmlformats.org/officeDocument/2006/relationships/image" Target="media/image37.wmf"/><Relationship Id="rId81" Type="http://schemas.openxmlformats.org/officeDocument/2006/relationships/oleObject" Target="embeddings/oleObject39.bin"/><Relationship Id="rId80" Type="http://schemas.openxmlformats.org/officeDocument/2006/relationships/image" Target="media/image36.wmf"/><Relationship Id="rId8" Type="http://schemas.openxmlformats.org/officeDocument/2006/relationships/oleObject" Target="embeddings/oleObject1.bin"/><Relationship Id="rId79" Type="http://schemas.openxmlformats.org/officeDocument/2006/relationships/oleObject" Target="embeddings/oleObject38.bin"/><Relationship Id="rId78" Type="http://schemas.openxmlformats.org/officeDocument/2006/relationships/image" Target="media/image35.wmf"/><Relationship Id="rId77" Type="http://schemas.openxmlformats.org/officeDocument/2006/relationships/oleObject" Target="embeddings/oleObject37.bin"/><Relationship Id="rId76" Type="http://schemas.openxmlformats.org/officeDocument/2006/relationships/image" Target="media/image34.wmf"/><Relationship Id="rId75" Type="http://schemas.openxmlformats.org/officeDocument/2006/relationships/oleObject" Target="embeddings/oleObject36.bin"/><Relationship Id="rId74" Type="http://schemas.openxmlformats.org/officeDocument/2006/relationships/image" Target="media/image33.wmf"/><Relationship Id="rId73" Type="http://schemas.openxmlformats.org/officeDocument/2006/relationships/oleObject" Target="embeddings/oleObject35.bin"/><Relationship Id="rId72" Type="http://schemas.openxmlformats.org/officeDocument/2006/relationships/image" Target="media/image32.wmf"/><Relationship Id="rId71" Type="http://schemas.openxmlformats.org/officeDocument/2006/relationships/oleObject" Target="embeddings/oleObject34.bin"/><Relationship Id="rId70" Type="http://schemas.openxmlformats.org/officeDocument/2006/relationships/image" Target="media/image31.wmf"/><Relationship Id="rId7" Type="http://schemas.openxmlformats.org/officeDocument/2006/relationships/image" Target="media/image1.jpeg"/><Relationship Id="rId69" Type="http://schemas.openxmlformats.org/officeDocument/2006/relationships/oleObject" Target="embeddings/oleObject33.bin"/><Relationship Id="rId68" Type="http://schemas.openxmlformats.org/officeDocument/2006/relationships/image" Target="media/image30.wmf"/><Relationship Id="rId67" Type="http://schemas.openxmlformats.org/officeDocument/2006/relationships/oleObject" Target="embeddings/oleObject32.bin"/><Relationship Id="rId66" Type="http://schemas.openxmlformats.org/officeDocument/2006/relationships/image" Target="media/image29.wmf"/><Relationship Id="rId65" Type="http://schemas.openxmlformats.org/officeDocument/2006/relationships/oleObject" Target="embeddings/oleObject31.bin"/><Relationship Id="rId64" Type="http://schemas.openxmlformats.org/officeDocument/2006/relationships/image" Target="media/image28.wmf"/><Relationship Id="rId63" Type="http://schemas.openxmlformats.org/officeDocument/2006/relationships/oleObject" Target="embeddings/oleObject30.bin"/><Relationship Id="rId62" Type="http://schemas.openxmlformats.org/officeDocument/2006/relationships/image" Target="media/image27.wmf"/><Relationship Id="rId61" Type="http://schemas.openxmlformats.org/officeDocument/2006/relationships/oleObject" Target="embeddings/oleObject29.bin"/><Relationship Id="rId60" Type="http://schemas.openxmlformats.org/officeDocument/2006/relationships/image" Target="media/image26.wmf"/><Relationship Id="rId6" Type="http://schemas.openxmlformats.org/officeDocument/2006/relationships/theme" Target="theme/theme1.xml"/><Relationship Id="rId59" Type="http://schemas.openxmlformats.org/officeDocument/2006/relationships/oleObject" Target="embeddings/oleObject28.bin"/><Relationship Id="rId58" Type="http://schemas.openxmlformats.org/officeDocument/2006/relationships/image" Target="media/image25.wmf"/><Relationship Id="rId57" Type="http://schemas.openxmlformats.org/officeDocument/2006/relationships/oleObject" Target="embeddings/oleObject27.bin"/><Relationship Id="rId56" Type="http://schemas.openxmlformats.org/officeDocument/2006/relationships/image" Target="media/image24.wmf"/><Relationship Id="rId55" Type="http://schemas.openxmlformats.org/officeDocument/2006/relationships/oleObject" Target="embeddings/oleObject26.bin"/><Relationship Id="rId54" Type="http://schemas.openxmlformats.org/officeDocument/2006/relationships/image" Target="media/image23.wmf"/><Relationship Id="rId53" Type="http://schemas.openxmlformats.org/officeDocument/2006/relationships/oleObject" Target="embeddings/oleObject25.bin"/><Relationship Id="rId52" Type="http://schemas.openxmlformats.org/officeDocument/2006/relationships/image" Target="media/image22.wmf"/><Relationship Id="rId51" Type="http://schemas.openxmlformats.org/officeDocument/2006/relationships/oleObject" Target="embeddings/oleObject24.bin"/><Relationship Id="rId50" Type="http://schemas.openxmlformats.org/officeDocument/2006/relationships/image" Target="media/image21.wmf"/><Relationship Id="rId5" Type="http://schemas.openxmlformats.org/officeDocument/2006/relationships/footer" Target="footer3.xml"/><Relationship Id="rId49" Type="http://schemas.openxmlformats.org/officeDocument/2006/relationships/oleObject" Target="embeddings/oleObject23.bin"/><Relationship Id="rId48" Type="http://schemas.openxmlformats.org/officeDocument/2006/relationships/image" Target="media/image20.wmf"/><Relationship Id="rId47" Type="http://schemas.openxmlformats.org/officeDocument/2006/relationships/oleObject" Target="embeddings/oleObject22.bin"/><Relationship Id="rId46" Type="http://schemas.openxmlformats.org/officeDocument/2006/relationships/image" Target="media/image19.wmf"/><Relationship Id="rId45" Type="http://schemas.openxmlformats.org/officeDocument/2006/relationships/oleObject" Target="embeddings/oleObject21.bin"/><Relationship Id="rId44" Type="http://schemas.openxmlformats.org/officeDocument/2006/relationships/image" Target="media/image18.wmf"/><Relationship Id="rId43" Type="http://schemas.openxmlformats.org/officeDocument/2006/relationships/oleObject" Target="embeddings/oleObject20.bin"/><Relationship Id="rId42" Type="http://schemas.openxmlformats.org/officeDocument/2006/relationships/oleObject" Target="embeddings/oleObject19.bin"/><Relationship Id="rId41" Type="http://schemas.openxmlformats.org/officeDocument/2006/relationships/image" Target="media/image17.wmf"/><Relationship Id="rId40" Type="http://schemas.openxmlformats.org/officeDocument/2006/relationships/oleObject" Target="embeddings/oleObject18.bin"/><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wmf"/><Relationship Id="rId37" Type="http://schemas.openxmlformats.org/officeDocument/2006/relationships/oleObject" Target="embeddings/oleObject16.bin"/><Relationship Id="rId36" Type="http://schemas.openxmlformats.org/officeDocument/2006/relationships/oleObject" Target="embeddings/oleObject15.bin"/><Relationship Id="rId35" Type="http://schemas.openxmlformats.org/officeDocument/2006/relationships/image" Target="media/image15.wmf"/><Relationship Id="rId34" Type="http://schemas.openxmlformats.org/officeDocument/2006/relationships/oleObject" Target="embeddings/oleObject14.bin"/><Relationship Id="rId33" Type="http://schemas.openxmlformats.org/officeDocument/2006/relationships/image" Target="media/image14.wmf"/><Relationship Id="rId32" Type="http://schemas.openxmlformats.org/officeDocument/2006/relationships/oleObject" Target="embeddings/oleObject13.bin"/><Relationship Id="rId31" Type="http://schemas.openxmlformats.org/officeDocument/2006/relationships/image" Target="media/image13.wmf"/><Relationship Id="rId30" Type="http://schemas.openxmlformats.org/officeDocument/2006/relationships/oleObject" Target="embeddings/oleObject12.bin"/><Relationship Id="rId3" Type="http://schemas.openxmlformats.org/officeDocument/2006/relationships/footer" Target="footer1.xml"/><Relationship Id="rId29" Type="http://schemas.openxmlformats.org/officeDocument/2006/relationships/image" Target="media/image12.wmf"/><Relationship Id="rId28" Type="http://schemas.openxmlformats.org/officeDocument/2006/relationships/oleObject" Target="embeddings/oleObject11.bin"/><Relationship Id="rId27" Type="http://schemas.openxmlformats.org/officeDocument/2006/relationships/image" Target="media/image11.wmf"/><Relationship Id="rId26" Type="http://schemas.openxmlformats.org/officeDocument/2006/relationships/oleObject" Target="embeddings/oleObject10.bin"/><Relationship Id="rId25" Type="http://schemas.openxmlformats.org/officeDocument/2006/relationships/image" Target="media/image10.wmf"/><Relationship Id="rId24" Type="http://schemas.openxmlformats.org/officeDocument/2006/relationships/oleObject" Target="embeddings/oleObject9.bin"/><Relationship Id="rId23" Type="http://schemas.openxmlformats.org/officeDocument/2006/relationships/image" Target="media/image9.wmf"/><Relationship Id="rId22" Type="http://schemas.openxmlformats.org/officeDocument/2006/relationships/oleObject" Target="embeddings/oleObject8.bin"/><Relationship Id="rId21" Type="http://schemas.openxmlformats.org/officeDocument/2006/relationships/image" Target="media/image8.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6.bin"/><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emf"/><Relationship Id="rId12" Type="http://schemas.openxmlformats.org/officeDocument/2006/relationships/oleObject" Target="embeddings/oleObject3.bin"/><Relationship Id="rId113" Type="http://schemas.openxmlformats.org/officeDocument/2006/relationships/fontTable" Target="fontTable.xml"/><Relationship Id="rId112" Type="http://schemas.openxmlformats.org/officeDocument/2006/relationships/customXml" Target="../customXml/item2.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3.emf"/><Relationship Id="rId109" Type="http://schemas.openxmlformats.org/officeDocument/2006/relationships/image" Target="media/image56.jpeg"/><Relationship Id="rId108" Type="http://schemas.openxmlformats.org/officeDocument/2006/relationships/image" Target="media/image55.jpeg"/><Relationship Id="rId107" Type="http://schemas.openxmlformats.org/officeDocument/2006/relationships/image" Target="media/image54.jpeg"/><Relationship Id="rId106" Type="http://schemas.openxmlformats.org/officeDocument/2006/relationships/image" Target="media/image53.jpeg"/><Relationship Id="rId105" Type="http://schemas.openxmlformats.org/officeDocument/2006/relationships/image" Target="media/image52.png"/><Relationship Id="rId104" Type="http://schemas.openxmlformats.org/officeDocument/2006/relationships/image" Target="media/image51.png"/><Relationship Id="rId103" Type="http://schemas.openxmlformats.org/officeDocument/2006/relationships/image" Target="media/image50.png"/><Relationship Id="rId102" Type="http://schemas.openxmlformats.org/officeDocument/2006/relationships/image" Target="media/image49.jpeg"/><Relationship Id="rId101" Type="http://schemas.openxmlformats.org/officeDocument/2006/relationships/image" Target="media/image48.png"/><Relationship Id="rId100" Type="http://schemas.openxmlformats.org/officeDocument/2006/relationships/image" Target="media/image47.emf"/><Relationship Id="rId10" Type="http://schemas.openxmlformats.org/officeDocument/2006/relationships/oleObject" Target="embeddings/oleObject2.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8FD7F3-BC31-4ECB-8307-832B725AD1ED}">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61</Pages>
  <Words>25806</Words>
  <Characters>29387</Characters>
  <Lines>193</Lines>
  <Paragraphs>54</Paragraphs>
  <TotalTime>5</TotalTime>
  <ScaleCrop>false</ScaleCrop>
  <LinksUpToDate>false</LinksUpToDate>
  <CharactersWithSpaces>29662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2021-06-10T06:15:00Z</dcterms:created>
  <dc:creator>lhj</dc:creator>
  <cp:lastModifiedBy>Administrator</cp:lastModifiedBy>
  <cp:lastPrinted>2023-08-16T09:13:00Z</cp:lastPrinted>
  <dcterms:modified xsi:type="dcterms:W3CDTF">2024-01-04T08:18:10Z</dcterms:modified>
  <dc:title>附件2</dc:title>
  <cp:revision>1649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9F1D77E5562F4AE9860FB91BC32C7BDF_13</vt:lpwstr>
  </property>
</Properties>
</file>