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46E1E">
      <w:pPr>
        <w:jc w:val="center"/>
        <w:rPr>
          <w:rFonts w:hint="eastAsia" w:ascii="仿宋_GB2312" w:hAnsi="仿宋_GB2312" w:eastAsia="仿宋_GB2312" w:cs="仿宋_GB2312"/>
          <w:sz w:val="30"/>
          <w:szCs w:val="30"/>
        </w:rPr>
      </w:pPr>
      <w:r>
        <w:rPr>
          <w:rFonts w:hint="eastAsia" w:ascii="方正小标宋简体" w:hAnsi="方正小标宋简体" w:eastAsia="方正小标宋简体" w:cs="方正小标宋简体"/>
          <w:sz w:val="48"/>
          <w:szCs w:val="48"/>
          <w:lang w:val="en-US" w:eastAsia="zh-CN"/>
        </w:rPr>
        <w:t>庆安</w:t>
      </w:r>
      <w:r>
        <w:rPr>
          <w:rFonts w:hint="eastAsia" w:ascii="方正小标宋简体" w:hAnsi="方正小标宋简体" w:eastAsia="方正小标宋简体" w:cs="方正小标宋简体"/>
          <w:sz w:val="48"/>
          <w:szCs w:val="48"/>
        </w:rPr>
        <w:t>县</w:t>
      </w:r>
      <w:r>
        <w:rPr>
          <w:rFonts w:hint="eastAsia" w:ascii="方正小标宋简体" w:hAnsi="方正小标宋简体" w:eastAsia="方正小标宋简体" w:cs="方正小标宋简体"/>
          <w:sz w:val="48"/>
          <w:szCs w:val="48"/>
          <w:lang w:val="en-US" w:eastAsia="zh-CN"/>
        </w:rPr>
        <w:t>退役军人事务</w:t>
      </w:r>
      <w:r>
        <w:rPr>
          <w:rFonts w:hint="eastAsia" w:ascii="方正小标宋简体" w:hAnsi="方正小标宋简体" w:eastAsia="方正小标宋简体" w:cs="方正小标宋简体"/>
          <w:sz w:val="48"/>
          <w:szCs w:val="48"/>
        </w:rPr>
        <w:t>局2024年政府信息公开工作年度报告</w:t>
      </w:r>
    </w:p>
    <w:p w14:paraId="29B4584D">
      <w:pPr>
        <w:ind w:firstLine="600" w:firstLineChars="200"/>
        <w:rPr>
          <w:rFonts w:hint="eastAsia" w:ascii="仿宋_GB2312" w:hAnsi="仿宋_GB2312" w:eastAsia="仿宋_GB2312" w:cs="仿宋_GB2312"/>
          <w:sz w:val="30"/>
          <w:szCs w:val="30"/>
        </w:rPr>
      </w:pPr>
    </w:p>
    <w:p w14:paraId="194F7CE7">
      <w:pPr>
        <w:ind w:firstLine="600" w:firstLineChars="200"/>
        <w:rPr>
          <w:rFonts w:hint="eastAsia" w:ascii="仿宋_GB2312" w:hAnsi="仿宋_GB2312" w:eastAsia="仿宋_GB2312" w:cs="仿宋_GB2312"/>
          <w:sz w:val="30"/>
          <w:szCs w:val="30"/>
        </w:rPr>
      </w:pPr>
      <w:bookmarkStart w:id="0" w:name="_GoBack"/>
      <w:bookmarkEnd w:id="0"/>
      <w:r>
        <w:rPr>
          <w:rFonts w:hint="eastAsia" w:ascii="仿宋_GB2312" w:hAnsi="仿宋_GB2312" w:eastAsia="仿宋_GB2312" w:cs="仿宋_GB2312"/>
          <w:sz w:val="30"/>
          <w:szCs w:val="30"/>
        </w:rPr>
        <w:t>2024年，县退役军人事务局坚持以习近平新时代中国特色社会主义思想为指导，认真贯彻落实《政府信息公开条例》等文件要求，紧紧围绕退役军人事务工作，不断加强组织领导和监督保障，认真回应社会关切，进一步提升政务公开标准化、规范化水平。</w:t>
      </w:r>
    </w:p>
    <w:p w14:paraId="67B3BC6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一、总体情况</w:t>
      </w:r>
    </w:p>
    <w:p w14:paraId="13C64306">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（一）主动公开情况</w:t>
      </w:r>
    </w:p>
    <w:p w14:paraId="73E6524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按照“公开为原则、不公开为例外”的原则，加强重点领域信息公开。</w:t>
      </w:r>
    </w:p>
    <w:p w14:paraId="4F44E04A">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（二）依申请公开情况</w:t>
      </w:r>
    </w:p>
    <w:p w14:paraId="3EC5310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本年度，退役军人事务局未收到依申请公开信息，根据信息公开要求，已进行情况说明。</w:t>
      </w:r>
    </w:p>
    <w:p w14:paraId="2C402DE2">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（三）政府信息管理</w:t>
      </w:r>
    </w:p>
    <w:p w14:paraId="64F755C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强化组织领导，严格落实公文公开属性源头认定机制和公开前发布审查工作机制，做好公文类信息公开审核工作。完善主动公开目录，及时调整本单位主动公开事项内容，确保公开信息依法、全面、准确。推进政府信息公开动态调整制度，结合本部门相关工作，保证各栏目信息动态更新。</w:t>
      </w:r>
    </w:p>
    <w:p w14:paraId="6F3F5C8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（四）平台建设</w:t>
      </w:r>
    </w:p>
    <w:p w14:paraId="5F61964E">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是以门户网站为政务公开的基本途径和方式，做好日常维护工作，及时更新政务动态，确保网站栏目内容准确、发布规范。二是充分利用各类宣传媒体发布政府规范性信息及政策解读，并就公众关注热点或重大舆情，进行及时、准确、权威地回应和解读。三是严格落实安徽省人民政府办公厅《关于印发安徽省12345政务服务便民热线管理暂行办法的通知》（皖政办秘〔2021〕109号）要求，推动政务工作公开高质量开展。</w:t>
      </w:r>
    </w:p>
    <w:p w14:paraId="12DFF891">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（五）监督保障</w:t>
      </w:r>
    </w:p>
    <w:p w14:paraId="24BA3E8A">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是积极参加政府信息公开培训，提高对信息公开工作的认识，不断增强工作人员业务水平。二是围绕薄弱环节开展培训，进一步推动全局政务公开工作走深走实。三是对照每季度政务公开反馈问题进行集中整改，扎实推动政务信息高质量公开。四是按照信息公开工作要求，将政府信息公开各项内容细化，落实到人，不断完善政府信息公开工作。</w:t>
      </w:r>
    </w:p>
    <w:p w14:paraId="4D195DE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二、</w:t>
      </w:r>
      <w:r>
        <w:rPr>
          <w:rFonts w:hint="eastAsia" w:ascii="黑体" w:hAnsi="黑体" w:eastAsia="黑体" w:cs="黑体"/>
          <w:i w:val="0"/>
          <w:iCs w:val="0"/>
          <w:caps w:val="0"/>
          <w:color w:val="222222"/>
          <w:spacing w:val="0"/>
          <w:sz w:val="32"/>
          <w:szCs w:val="32"/>
          <w:shd w:val="clear" w:fill="FFFFFF"/>
        </w:rPr>
        <w:t>主动公开政府信息情况</w:t>
      </w:r>
    </w:p>
    <w:tbl>
      <w:tblPr>
        <w:tblStyle w:val="4"/>
        <w:tblW w:w="973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0"/>
        <w:gridCol w:w="2430"/>
        <w:gridCol w:w="2430"/>
        <w:gridCol w:w="2445"/>
      </w:tblGrid>
      <w:tr w14:paraId="5E46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14:paraId="0AB21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第二十条第（一）项</w:t>
            </w:r>
          </w:p>
        </w:tc>
      </w:tr>
      <w:tr w14:paraId="2564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8809D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信息内容</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099B2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本年制发件数</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297C6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本年废止件数</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05DBDE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现行有效件数</w:t>
            </w:r>
          </w:p>
        </w:tc>
      </w:tr>
      <w:tr w14:paraId="61A2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5ECAF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规章</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591098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0467F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29B1D7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r>
      <w:tr w14:paraId="3760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212D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行政规范性文件</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6F818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eastAsiaTheme="minorEastAsia"/>
                <w:sz w:val="24"/>
                <w:szCs w:val="24"/>
                <w:lang w:val="en-US" w:eastAsia="zh-CN"/>
              </w:rPr>
            </w:pPr>
            <w:r>
              <w:rPr>
                <w:rFonts w:hint="eastAsia"/>
                <w:sz w:val="24"/>
                <w:szCs w:val="24"/>
                <w:lang w:val="en-US" w:eastAsia="zh-CN"/>
              </w:rPr>
              <w:t>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1333E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12815A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r>
      <w:tr w14:paraId="4121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973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14:paraId="0E9D6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第二十条第（五）项</w:t>
            </w:r>
          </w:p>
        </w:tc>
      </w:tr>
      <w:tr w14:paraId="3251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A94D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信息内容</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21DD0D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本年处理决定数量</w:t>
            </w:r>
          </w:p>
        </w:tc>
      </w:tr>
      <w:tr w14:paraId="0EA4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0027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行政许可</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481D6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r>
      <w:tr w14:paraId="0C45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973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14:paraId="0024C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第二十条第（六）项</w:t>
            </w:r>
          </w:p>
        </w:tc>
      </w:tr>
      <w:tr w14:paraId="7E60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576AA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信息内容</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5CB04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本年处理决定数量</w:t>
            </w:r>
          </w:p>
        </w:tc>
      </w:tr>
      <w:tr w14:paraId="4928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A674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行政处罚</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69843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r>
      <w:tr w14:paraId="3686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B2FD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行政强制</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3F8050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r>
      <w:tr w14:paraId="58D7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973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14:paraId="326B7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第二十条第（八）项</w:t>
            </w:r>
          </w:p>
        </w:tc>
      </w:tr>
      <w:tr w14:paraId="5BA1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CBF87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信息内容</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4A349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本年收费金额（单位：万元）</w:t>
            </w:r>
          </w:p>
        </w:tc>
      </w:tr>
      <w:tr w14:paraId="5006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F325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行政事业性收费</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5D158C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r>
    </w:tbl>
    <w:p w14:paraId="3BABAA1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黑体" w:hAnsi="黑体" w:eastAsia="黑体" w:cs="黑体"/>
          <w:sz w:val="32"/>
          <w:szCs w:val="32"/>
        </w:rPr>
      </w:pPr>
      <w:r>
        <w:rPr>
          <w:rFonts w:hint="eastAsia" w:ascii="黑体" w:hAnsi="黑体" w:eastAsia="黑体" w:cs="黑体"/>
          <w:i w:val="0"/>
          <w:iCs w:val="0"/>
          <w:caps w:val="0"/>
          <w:color w:val="222222"/>
          <w:spacing w:val="0"/>
          <w:sz w:val="32"/>
          <w:szCs w:val="32"/>
          <w:shd w:val="clear" w:fill="FFFFFF"/>
        </w:rPr>
        <w:t>三、收到和处理政府信息公开申请情况</w:t>
      </w:r>
    </w:p>
    <w:tbl>
      <w:tblPr>
        <w:tblStyle w:val="4"/>
        <w:tblW w:w="975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6"/>
        <w:gridCol w:w="946"/>
        <w:gridCol w:w="3230"/>
        <w:gridCol w:w="691"/>
        <w:gridCol w:w="691"/>
        <w:gridCol w:w="691"/>
        <w:gridCol w:w="691"/>
        <w:gridCol w:w="691"/>
        <w:gridCol w:w="691"/>
        <w:gridCol w:w="662"/>
      </w:tblGrid>
      <w:tr w14:paraId="736D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4935" w:type="dxa"/>
            <w:gridSpan w:val="3"/>
            <w:vMerge w:val="restart"/>
            <w:tcBorders>
              <w:top w:val="single" w:color="auto" w:sz="6" w:space="0"/>
              <w:left w:val="single" w:color="auto" w:sz="6" w:space="0"/>
              <w:bottom w:val="inset" w:color="auto" w:sz="6" w:space="0"/>
              <w:right w:val="single" w:color="auto" w:sz="6" w:space="0"/>
            </w:tcBorders>
            <w:shd w:val="clear" w:color="auto" w:fill="auto"/>
            <w:tcMar>
              <w:left w:w="105" w:type="dxa"/>
              <w:right w:w="105" w:type="dxa"/>
            </w:tcMar>
            <w:vAlign w:val="center"/>
          </w:tcPr>
          <w:p w14:paraId="0F457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（本列数据的勾稽关系为：第一项加第二项之和，等于第三项加第四项之和）</w:t>
            </w:r>
          </w:p>
        </w:tc>
        <w:tc>
          <w:tcPr>
            <w:tcW w:w="4800" w:type="dxa"/>
            <w:gridSpan w:val="7"/>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14:paraId="54ED1F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center"/>
              <w:textAlignment w:val="auto"/>
              <w:rPr>
                <w:sz w:val="24"/>
                <w:szCs w:val="24"/>
              </w:rPr>
            </w:pPr>
            <w:r>
              <w:rPr>
                <w:rFonts w:hint="eastAsia" w:ascii="宋体" w:hAnsi="宋体" w:eastAsia="宋体" w:cs="宋体"/>
                <w:sz w:val="24"/>
                <w:szCs w:val="24"/>
              </w:rPr>
              <w:t>申请人情况</w:t>
            </w:r>
          </w:p>
        </w:tc>
      </w:tr>
      <w:tr w14:paraId="5718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4935" w:type="dxa"/>
            <w:gridSpan w:val="3"/>
            <w:vMerge w:val="continue"/>
            <w:tcBorders>
              <w:top w:val="single" w:color="auto" w:sz="6" w:space="0"/>
              <w:left w:val="single" w:color="auto" w:sz="6" w:space="0"/>
              <w:bottom w:val="inset" w:color="auto" w:sz="6" w:space="0"/>
              <w:right w:val="single" w:color="auto" w:sz="6" w:space="0"/>
            </w:tcBorders>
            <w:shd w:val="clear" w:color="auto" w:fill="auto"/>
            <w:tcMar>
              <w:left w:w="105" w:type="dxa"/>
              <w:right w:w="105" w:type="dxa"/>
            </w:tcMar>
            <w:vAlign w:val="center"/>
          </w:tcPr>
          <w:p w14:paraId="0DC7FFF9">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690"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14:paraId="3874A9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自</w:t>
            </w:r>
            <w:r>
              <w:rPr>
                <w:rFonts w:hint="eastAsia" w:ascii="宋体" w:hAnsi="宋体" w:eastAsia="宋体" w:cs="宋体"/>
                <w:sz w:val="24"/>
                <w:szCs w:val="24"/>
              </w:rPr>
              <w:br w:type="textWrapping"/>
            </w:r>
            <w:r>
              <w:rPr>
                <w:rFonts w:hint="eastAsia" w:ascii="宋体" w:hAnsi="宋体" w:eastAsia="宋体" w:cs="宋体"/>
                <w:sz w:val="24"/>
                <w:szCs w:val="24"/>
              </w:rPr>
              <w:t>然</w:t>
            </w:r>
            <w:r>
              <w:rPr>
                <w:rFonts w:hint="eastAsia" w:ascii="宋体" w:hAnsi="宋体" w:eastAsia="宋体" w:cs="宋体"/>
                <w:sz w:val="24"/>
                <w:szCs w:val="24"/>
              </w:rPr>
              <w:br w:type="textWrapping"/>
            </w:r>
            <w:r>
              <w:rPr>
                <w:rFonts w:hint="eastAsia" w:ascii="宋体" w:hAnsi="宋体" w:eastAsia="宋体" w:cs="宋体"/>
                <w:sz w:val="24"/>
                <w:szCs w:val="24"/>
              </w:rPr>
              <w:t>人</w:t>
            </w:r>
          </w:p>
        </w:tc>
        <w:tc>
          <w:tcPr>
            <w:tcW w:w="3450" w:type="dxa"/>
            <w:gridSpan w:val="5"/>
            <w:tcBorders>
              <w:top w:val="nil"/>
              <w:left w:val="nil"/>
              <w:bottom w:val="single" w:color="auto" w:sz="6" w:space="0"/>
              <w:right w:val="single" w:color="auto" w:sz="6" w:space="0"/>
            </w:tcBorders>
            <w:shd w:val="clear" w:color="auto" w:fill="auto"/>
            <w:tcMar>
              <w:left w:w="60" w:type="dxa"/>
              <w:right w:w="60" w:type="dxa"/>
            </w:tcMar>
            <w:vAlign w:val="center"/>
          </w:tcPr>
          <w:p w14:paraId="3B511C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center"/>
              <w:textAlignment w:val="auto"/>
              <w:rPr>
                <w:sz w:val="24"/>
                <w:szCs w:val="24"/>
              </w:rPr>
            </w:pPr>
            <w:r>
              <w:rPr>
                <w:rFonts w:hint="eastAsia" w:ascii="宋体" w:hAnsi="宋体" w:eastAsia="宋体" w:cs="宋体"/>
                <w:sz w:val="24"/>
                <w:szCs w:val="24"/>
              </w:rPr>
              <w:t>法人或其他组织</w:t>
            </w:r>
          </w:p>
        </w:tc>
        <w:tc>
          <w:tcPr>
            <w:tcW w:w="660" w:type="dxa"/>
            <w:vMerge w:val="restart"/>
            <w:tcBorders>
              <w:top w:val="nil"/>
              <w:left w:val="nil"/>
              <w:bottom w:val="inset" w:color="auto" w:sz="6" w:space="0"/>
              <w:right w:val="single" w:color="auto" w:sz="6" w:space="0"/>
            </w:tcBorders>
            <w:shd w:val="clear" w:color="auto" w:fill="auto"/>
            <w:tcMar>
              <w:left w:w="60" w:type="dxa"/>
              <w:right w:w="60" w:type="dxa"/>
            </w:tcMar>
            <w:vAlign w:val="center"/>
          </w:tcPr>
          <w:p w14:paraId="33CF36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总计</w:t>
            </w:r>
          </w:p>
        </w:tc>
      </w:tr>
      <w:tr w14:paraId="53D7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4935" w:type="dxa"/>
            <w:gridSpan w:val="3"/>
            <w:vMerge w:val="continue"/>
            <w:tcBorders>
              <w:top w:val="single" w:color="auto" w:sz="6" w:space="0"/>
              <w:left w:val="single" w:color="auto" w:sz="6" w:space="0"/>
              <w:bottom w:val="inset" w:color="auto" w:sz="6" w:space="0"/>
              <w:right w:val="single" w:color="auto" w:sz="6" w:space="0"/>
            </w:tcBorders>
            <w:shd w:val="clear" w:color="auto" w:fill="auto"/>
            <w:tcMar>
              <w:left w:w="105" w:type="dxa"/>
              <w:right w:w="105" w:type="dxa"/>
            </w:tcMar>
            <w:vAlign w:val="center"/>
          </w:tcPr>
          <w:p w14:paraId="06F10250">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14:paraId="32EAF464">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848BD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商业</w:t>
            </w:r>
          </w:p>
          <w:p w14:paraId="0FF2E8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企业</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C4A4A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科研</w:t>
            </w:r>
          </w:p>
          <w:p w14:paraId="183E69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机构</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6274F5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社会公益组织</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646E8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法律服务机构</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C1597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其他</w:t>
            </w:r>
          </w:p>
        </w:tc>
        <w:tc>
          <w:tcPr>
            <w:tcW w:w="660"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2760F189">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r>
      <w:tr w14:paraId="2BA86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493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88B7C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一、本年新收政府信息公开申请数量</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B1559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default" w:eastAsiaTheme="minor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615AF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2AF9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DDCEB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6D7D6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5869A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6686DC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default"/>
                <w:sz w:val="24"/>
                <w:szCs w:val="24"/>
                <w:lang w:val="en-US" w:eastAsia="zh-CN"/>
              </w:rPr>
            </w:pPr>
            <w:r>
              <w:rPr>
                <w:rFonts w:hint="eastAsia"/>
                <w:sz w:val="24"/>
                <w:szCs w:val="24"/>
                <w:lang w:val="en-US" w:eastAsia="zh-CN"/>
              </w:rPr>
              <w:t>0</w:t>
            </w:r>
          </w:p>
        </w:tc>
      </w:tr>
      <w:tr w14:paraId="437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493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1A9BA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二、上年结转政府信息公开申请数量</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24BAA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sz w:val="24"/>
                <w:szCs w:val="24"/>
              </w:rPr>
            </w:pPr>
            <w:r>
              <w:rPr>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B8444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58615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AAC2E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FF8E8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E6B1B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793F18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3DA7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restart"/>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03BF93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三、本年度办理结果</w:t>
            </w:r>
          </w:p>
        </w:tc>
        <w:tc>
          <w:tcPr>
            <w:tcW w:w="4170"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14:paraId="58E02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（一）予以公开</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F5328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default" w:eastAsiaTheme="minor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BB4A5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09FC9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C93E4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0ED3E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63EAD9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09AB4C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default"/>
                <w:sz w:val="24"/>
                <w:szCs w:val="24"/>
                <w:lang w:val="en-US" w:eastAsia="zh-CN"/>
              </w:rPr>
            </w:pPr>
            <w:r>
              <w:rPr>
                <w:rFonts w:hint="eastAsia"/>
                <w:sz w:val="24"/>
                <w:szCs w:val="24"/>
                <w:lang w:val="en-US" w:eastAsia="zh-CN"/>
              </w:rPr>
              <w:t>0</w:t>
            </w:r>
          </w:p>
        </w:tc>
      </w:tr>
      <w:tr w14:paraId="1E7F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1FB8A084">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4170"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14:paraId="385261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（二）部分公开（区分处理的，只计这一情形，不计其他情形）</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BC78D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default" w:eastAsiaTheme="minor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13751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145C5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9D91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C4145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67CCA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4A96BC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default"/>
                <w:sz w:val="24"/>
                <w:szCs w:val="24"/>
                <w:lang w:val="en-US" w:eastAsia="zh-CN"/>
              </w:rPr>
            </w:pPr>
            <w:r>
              <w:rPr>
                <w:rFonts w:hint="eastAsia"/>
                <w:sz w:val="24"/>
                <w:szCs w:val="24"/>
                <w:lang w:val="en-US" w:eastAsia="zh-CN"/>
              </w:rPr>
              <w:t>0</w:t>
            </w:r>
          </w:p>
        </w:tc>
      </w:tr>
      <w:tr w14:paraId="723F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43298DD8">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restart"/>
            <w:tcBorders>
              <w:top w:val="nil"/>
              <w:left w:val="nil"/>
              <w:bottom w:val="inset" w:color="auto" w:sz="6" w:space="0"/>
              <w:right w:val="single" w:color="auto" w:sz="6" w:space="0"/>
            </w:tcBorders>
            <w:shd w:val="clear" w:color="auto" w:fill="auto"/>
            <w:tcMar>
              <w:left w:w="60" w:type="dxa"/>
              <w:right w:w="60" w:type="dxa"/>
            </w:tcMar>
            <w:vAlign w:val="center"/>
          </w:tcPr>
          <w:p w14:paraId="1830DA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（三）不予公开</w:t>
            </w: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08DBFC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sz w:val="24"/>
                <w:szCs w:val="24"/>
              </w:rPr>
              <w:t>1.</w:t>
            </w:r>
            <w:r>
              <w:rPr>
                <w:rFonts w:hint="eastAsia" w:ascii="宋体" w:hAnsi="宋体" w:eastAsia="宋体" w:cs="宋体"/>
                <w:sz w:val="24"/>
                <w:szCs w:val="24"/>
              </w:rPr>
              <w:t>属于国家秘密</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6E87C4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sz w:val="24"/>
                <w:szCs w:val="24"/>
              </w:rPr>
            </w:pPr>
            <w:r>
              <w:rPr>
                <w:sz w:val="24"/>
                <w:szCs w:val="24"/>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153CB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C9EF1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EDA29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32DB6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E01A1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1A9ACC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756D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146431B4">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222BE12B">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624C2E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sz w:val="24"/>
                <w:szCs w:val="24"/>
              </w:rPr>
              <w:t>2.</w:t>
            </w:r>
            <w:r>
              <w:rPr>
                <w:rFonts w:hint="eastAsia" w:ascii="宋体" w:hAnsi="宋体" w:eastAsia="宋体" w:cs="宋体"/>
                <w:sz w:val="24"/>
                <w:szCs w:val="24"/>
              </w:rPr>
              <w:t>其他法律行政法规禁止公开</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CB2D5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58FEC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C46D2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2CEF3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60143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71103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45A62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37ED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4582EF3F">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3AC9D86A">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07B2D2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sz w:val="24"/>
                <w:szCs w:val="24"/>
              </w:rPr>
              <w:t>3.</w:t>
            </w:r>
            <w:r>
              <w:rPr>
                <w:rFonts w:hint="eastAsia" w:ascii="宋体" w:hAnsi="宋体" w:eastAsia="宋体" w:cs="宋体"/>
                <w:sz w:val="24"/>
                <w:szCs w:val="24"/>
              </w:rPr>
              <w:t>危及</w:t>
            </w:r>
            <w:r>
              <w:rPr>
                <w:sz w:val="24"/>
                <w:szCs w:val="24"/>
              </w:rPr>
              <w:t>“</w:t>
            </w:r>
            <w:r>
              <w:rPr>
                <w:rFonts w:hint="eastAsia" w:ascii="宋体" w:hAnsi="宋体" w:eastAsia="宋体" w:cs="宋体"/>
                <w:sz w:val="24"/>
                <w:szCs w:val="24"/>
              </w:rPr>
              <w:t>三安全一稳定</w:t>
            </w:r>
            <w:r>
              <w:rPr>
                <w:sz w:val="24"/>
                <w:szCs w:val="24"/>
              </w:rPr>
              <w:t>”</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23F93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D8353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7F97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6EF3B1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99F37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612A2D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30C333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45D3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0F20CDBA">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35F28D91">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1FEC3E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sz w:val="24"/>
                <w:szCs w:val="24"/>
              </w:rPr>
              <w:t>4.</w:t>
            </w:r>
            <w:r>
              <w:rPr>
                <w:rFonts w:hint="eastAsia" w:ascii="宋体" w:hAnsi="宋体" w:eastAsia="宋体" w:cs="宋体"/>
                <w:sz w:val="24"/>
                <w:szCs w:val="24"/>
              </w:rPr>
              <w:t>保护第三方合法权益</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8E91F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45D9B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2FF9E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33E69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E9BB5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E8B57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2C5DED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12F1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4B5B1D18">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0FAA4CD5">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0F95E3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sz w:val="24"/>
                <w:szCs w:val="24"/>
              </w:rPr>
              <w:t>5.</w:t>
            </w:r>
            <w:r>
              <w:rPr>
                <w:rFonts w:hint="eastAsia" w:ascii="宋体" w:hAnsi="宋体" w:eastAsia="宋体" w:cs="宋体"/>
                <w:sz w:val="24"/>
                <w:szCs w:val="24"/>
              </w:rPr>
              <w:t>属于三类内部事务信息</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37E02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7B82D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E07CA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ADFDA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11355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6863BD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47A9B4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2125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4D1679F8">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4A6E37DC">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4CE541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sz w:val="24"/>
                <w:szCs w:val="24"/>
              </w:rPr>
              <w:t>6.</w:t>
            </w:r>
            <w:r>
              <w:rPr>
                <w:rFonts w:hint="eastAsia" w:ascii="宋体" w:hAnsi="宋体" w:eastAsia="宋体" w:cs="宋体"/>
                <w:sz w:val="24"/>
                <w:szCs w:val="24"/>
              </w:rPr>
              <w:t>属于四类过程性信息</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4417D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58956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95A5A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10D27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7F2F0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B4458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2B8501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15C6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3370E3DB">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07B49024">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24F809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sz w:val="24"/>
                <w:szCs w:val="24"/>
              </w:rPr>
              <w:t>7.</w:t>
            </w:r>
            <w:r>
              <w:rPr>
                <w:rFonts w:hint="eastAsia" w:ascii="宋体" w:hAnsi="宋体" w:eastAsia="宋体" w:cs="宋体"/>
                <w:sz w:val="24"/>
                <w:szCs w:val="24"/>
              </w:rPr>
              <w:t>属于行政执法案卷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C1879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6CEBE1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F76EB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BA8E7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1696A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A07C9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1BC1FD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1E9F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4269B732">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397F66A0">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2E112F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sz w:val="24"/>
                <w:szCs w:val="24"/>
              </w:rPr>
              <w:t>8.</w:t>
            </w:r>
            <w:r>
              <w:rPr>
                <w:rFonts w:hint="eastAsia" w:ascii="宋体" w:hAnsi="宋体" w:eastAsia="宋体" w:cs="宋体"/>
                <w:sz w:val="24"/>
                <w:szCs w:val="24"/>
              </w:rPr>
              <w:t>属于行政查询事项</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F123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86787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80E52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641636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9F46A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5109C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0B9147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7F1F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26184BF4">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restart"/>
            <w:tcBorders>
              <w:top w:val="nil"/>
              <w:left w:val="nil"/>
              <w:bottom w:val="inset" w:color="auto" w:sz="6" w:space="0"/>
              <w:right w:val="single" w:color="auto" w:sz="6" w:space="0"/>
            </w:tcBorders>
            <w:shd w:val="clear" w:color="auto" w:fill="auto"/>
            <w:tcMar>
              <w:left w:w="60" w:type="dxa"/>
              <w:right w:w="60" w:type="dxa"/>
            </w:tcMar>
            <w:vAlign w:val="center"/>
          </w:tcPr>
          <w:p w14:paraId="298582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（四）无法提供</w:t>
            </w: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6ECECD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sz w:val="24"/>
                <w:szCs w:val="24"/>
              </w:rPr>
            </w:pPr>
            <w:r>
              <w:rPr>
                <w:sz w:val="24"/>
                <w:szCs w:val="24"/>
              </w:rPr>
              <w:t>1.</w:t>
            </w:r>
            <w:r>
              <w:rPr>
                <w:rFonts w:hint="eastAsia" w:ascii="宋体" w:hAnsi="宋体" w:eastAsia="宋体" w:cs="宋体"/>
                <w:sz w:val="24"/>
                <w:szCs w:val="24"/>
              </w:rPr>
              <w:t>本机关不掌握相关政府信息</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673B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default"/>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ADFE4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A847E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23A0A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E544B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72BC0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7DEBB2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default"/>
                <w:sz w:val="24"/>
                <w:szCs w:val="24"/>
                <w:lang w:val="en-US" w:eastAsia="zh-CN"/>
              </w:rPr>
            </w:pPr>
            <w:r>
              <w:rPr>
                <w:rFonts w:hint="eastAsia"/>
                <w:sz w:val="24"/>
                <w:szCs w:val="24"/>
                <w:lang w:val="en-US" w:eastAsia="zh-CN"/>
              </w:rPr>
              <w:t>0</w:t>
            </w:r>
          </w:p>
        </w:tc>
      </w:tr>
      <w:tr w14:paraId="3B91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323AF949">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7D5FF99E">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4F9B77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sz w:val="24"/>
                <w:szCs w:val="24"/>
              </w:rPr>
            </w:pPr>
            <w:r>
              <w:rPr>
                <w:sz w:val="24"/>
                <w:szCs w:val="24"/>
              </w:rPr>
              <w:t>2.</w:t>
            </w:r>
            <w:r>
              <w:rPr>
                <w:rFonts w:hint="eastAsia" w:ascii="宋体" w:hAnsi="宋体" w:eastAsia="宋体" w:cs="宋体"/>
                <w:sz w:val="24"/>
                <w:szCs w:val="24"/>
              </w:rPr>
              <w:t>没有现成信息需要另行制作</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573F5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79AC4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B46EE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5FDBE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440E8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4EC3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08EF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51FC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39FB0DB9">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707461B7">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4CFE2F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sz w:val="24"/>
                <w:szCs w:val="24"/>
              </w:rPr>
            </w:pPr>
            <w:r>
              <w:rPr>
                <w:sz w:val="24"/>
                <w:szCs w:val="24"/>
              </w:rPr>
              <w:t>3.</w:t>
            </w:r>
            <w:r>
              <w:rPr>
                <w:rFonts w:hint="eastAsia" w:ascii="宋体" w:hAnsi="宋体" w:eastAsia="宋体" w:cs="宋体"/>
                <w:sz w:val="24"/>
                <w:szCs w:val="24"/>
              </w:rPr>
              <w:t>补正后申请内容仍不明确</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FDC01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6EC32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E8179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170F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92EC1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BC785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3C75D6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7FE5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7D65506F">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restart"/>
            <w:tcBorders>
              <w:top w:val="nil"/>
              <w:left w:val="nil"/>
              <w:bottom w:val="inset" w:color="auto" w:sz="6" w:space="0"/>
              <w:right w:val="single" w:color="auto" w:sz="6" w:space="0"/>
            </w:tcBorders>
            <w:shd w:val="clear" w:color="auto" w:fill="auto"/>
            <w:tcMar>
              <w:left w:w="60" w:type="dxa"/>
              <w:right w:w="60" w:type="dxa"/>
            </w:tcMar>
            <w:vAlign w:val="center"/>
          </w:tcPr>
          <w:p w14:paraId="5C2F0A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（五）不予处理</w:t>
            </w: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456AF6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sz w:val="24"/>
                <w:szCs w:val="24"/>
              </w:rPr>
            </w:pPr>
            <w:r>
              <w:rPr>
                <w:sz w:val="24"/>
                <w:szCs w:val="24"/>
              </w:rPr>
              <w:t>1.</w:t>
            </w:r>
            <w:r>
              <w:rPr>
                <w:rFonts w:hint="eastAsia" w:ascii="宋体" w:hAnsi="宋体" w:eastAsia="宋体" w:cs="宋体"/>
                <w:sz w:val="24"/>
                <w:szCs w:val="24"/>
              </w:rPr>
              <w:t>信访举报投诉类申请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633E2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44083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74BED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CCD76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194CA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B0F6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4E080B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5F9D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42546DC5">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3B1C5E78">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601690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sz w:val="24"/>
                <w:szCs w:val="24"/>
              </w:rPr>
            </w:pPr>
            <w:r>
              <w:rPr>
                <w:sz w:val="24"/>
                <w:szCs w:val="24"/>
              </w:rPr>
              <w:t>2.</w:t>
            </w:r>
            <w:r>
              <w:rPr>
                <w:rFonts w:hint="eastAsia" w:ascii="宋体" w:hAnsi="宋体" w:eastAsia="宋体" w:cs="宋体"/>
                <w:sz w:val="24"/>
                <w:szCs w:val="24"/>
              </w:rPr>
              <w:t>重复申请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25818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6CEE70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841FB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AFFD1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CD115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A573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31BAEF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669A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7E6781AA">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574A069B">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17E501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sz w:val="24"/>
                <w:szCs w:val="24"/>
              </w:rPr>
            </w:pPr>
            <w:r>
              <w:rPr>
                <w:sz w:val="24"/>
                <w:szCs w:val="24"/>
              </w:rPr>
              <w:t>3.</w:t>
            </w:r>
            <w:r>
              <w:rPr>
                <w:rFonts w:hint="eastAsia" w:ascii="宋体" w:hAnsi="宋体" w:eastAsia="宋体" w:cs="宋体"/>
                <w:sz w:val="24"/>
                <w:szCs w:val="24"/>
              </w:rPr>
              <w:t>要求提供公开出版物</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B31DF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19FE2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F4DE5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1D4BC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6B480F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CB27B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054AAC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2B68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25B6CC90">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1C989C33">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top"/>
          </w:tcPr>
          <w:p w14:paraId="59497A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sz w:val="24"/>
                <w:szCs w:val="24"/>
              </w:rPr>
            </w:pPr>
            <w:r>
              <w:rPr>
                <w:sz w:val="24"/>
                <w:szCs w:val="24"/>
              </w:rPr>
              <w:t>4.</w:t>
            </w:r>
            <w:r>
              <w:rPr>
                <w:rFonts w:hint="eastAsia" w:ascii="宋体" w:hAnsi="宋体" w:eastAsia="宋体" w:cs="宋体"/>
                <w:sz w:val="24"/>
                <w:szCs w:val="24"/>
              </w:rPr>
              <w:t>无正当理由大量反复申请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F3692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B348C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6B8110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90FFE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74A6B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582E5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4194D1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7268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44C076C9">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3BCA31FC">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inset" w:color="auto" w:sz="6" w:space="0"/>
              <w:right w:val="single" w:color="auto" w:sz="6" w:space="0"/>
            </w:tcBorders>
            <w:shd w:val="clear" w:color="auto" w:fill="auto"/>
            <w:tcMar>
              <w:left w:w="60" w:type="dxa"/>
              <w:right w:w="60" w:type="dxa"/>
            </w:tcMar>
            <w:vAlign w:val="center"/>
          </w:tcPr>
          <w:p w14:paraId="362F9F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sz w:val="24"/>
                <w:szCs w:val="24"/>
              </w:rPr>
            </w:pPr>
            <w:r>
              <w:rPr>
                <w:sz w:val="24"/>
                <w:szCs w:val="24"/>
              </w:rPr>
              <w:t>5.</w:t>
            </w:r>
            <w:r>
              <w:rPr>
                <w:rFonts w:hint="eastAsia" w:ascii="宋体" w:hAnsi="宋体" w:eastAsia="宋体" w:cs="宋体"/>
                <w:sz w:val="24"/>
                <w:szCs w:val="24"/>
              </w:rPr>
              <w:t>要求行政机关确认或重新出具已获取信息</w:t>
            </w:r>
          </w:p>
        </w:tc>
        <w:tc>
          <w:tcPr>
            <w:tcW w:w="690" w:type="dxa"/>
            <w:tcBorders>
              <w:top w:val="nil"/>
              <w:left w:val="nil"/>
              <w:bottom w:val="inset" w:color="auto" w:sz="6" w:space="0"/>
              <w:right w:val="single" w:color="auto" w:sz="6" w:space="0"/>
            </w:tcBorders>
            <w:shd w:val="clear" w:color="auto" w:fill="auto"/>
            <w:tcMar>
              <w:left w:w="60" w:type="dxa"/>
              <w:right w:w="60" w:type="dxa"/>
            </w:tcMar>
            <w:vAlign w:val="center"/>
          </w:tcPr>
          <w:p w14:paraId="606B0D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inset" w:color="auto" w:sz="6" w:space="0"/>
              <w:right w:val="single" w:color="auto" w:sz="6" w:space="0"/>
            </w:tcBorders>
            <w:shd w:val="clear" w:color="auto" w:fill="auto"/>
            <w:tcMar>
              <w:left w:w="60" w:type="dxa"/>
              <w:right w:w="60" w:type="dxa"/>
            </w:tcMar>
            <w:vAlign w:val="center"/>
          </w:tcPr>
          <w:p w14:paraId="728CD4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inset" w:color="auto" w:sz="6" w:space="0"/>
              <w:right w:val="single" w:color="auto" w:sz="6" w:space="0"/>
            </w:tcBorders>
            <w:shd w:val="clear" w:color="auto" w:fill="auto"/>
            <w:tcMar>
              <w:left w:w="60" w:type="dxa"/>
              <w:right w:w="60" w:type="dxa"/>
            </w:tcMar>
            <w:vAlign w:val="center"/>
          </w:tcPr>
          <w:p w14:paraId="570B1E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inset" w:color="auto" w:sz="6" w:space="0"/>
              <w:right w:val="single" w:color="auto" w:sz="6" w:space="0"/>
            </w:tcBorders>
            <w:shd w:val="clear" w:color="auto" w:fill="auto"/>
            <w:tcMar>
              <w:left w:w="60" w:type="dxa"/>
              <w:right w:w="60" w:type="dxa"/>
            </w:tcMar>
            <w:vAlign w:val="center"/>
          </w:tcPr>
          <w:p w14:paraId="0079F3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inset" w:color="auto" w:sz="6" w:space="0"/>
              <w:right w:val="single" w:color="auto" w:sz="6" w:space="0"/>
            </w:tcBorders>
            <w:shd w:val="clear" w:color="auto" w:fill="auto"/>
            <w:tcMar>
              <w:left w:w="60" w:type="dxa"/>
              <w:right w:w="60" w:type="dxa"/>
            </w:tcMar>
            <w:vAlign w:val="center"/>
          </w:tcPr>
          <w:p w14:paraId="2841A1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inset" w:color="auto" w:sz="6" w:space="0"/>
              <w:right w:val="single" w:color="auto" w:sz="6" w:space="0"/>
            </w:tcBorders>
            <w:shd w:val="clear" w:color="auto" w:fill="auto"/>
            <w:tcMar>
              <w:left w:w="60" w:type="dxa"/>
              <w:right w:w="60" w:type="dxa"/>
            </w:tcMar>
            <w:vAlign w:val="center"/>
          </w:tcPr>
          <w:p w14:paraId="120EF7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inset" w:color="auto" w:sz="6" w:space="0"/>
              <w:right w:val="single" w:color="auto" w:sz="6" w:space="0"/>
            </w:tcBorders>
            <w:shd w:val="clear" w:color="auto" w:fill="auto"/>
            <w:tcMar>
              <w:left w:w="60" w:type="dxa"/>
              <w:right w:w="60" w:type="dxa"/>
            </w:tcMar>
            <w:vAlign w:val="center"/>
          </w:tcPr>
          <w:p w14:paraId="4CB0E1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26E9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50496E51">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restart"/>
            <w:tcBorders>
              <w:top w:val="nil"/>
              <w:left w:val="nil"/>
              <w:bottom w:val="inset" w:color="auto" w:sz="6" w:space="0"/>
              <w:right w:val="single" w:color="auto" w:sz="6" w:space="0"/>
            </w:tcBorders>
            <w:shd w:val="clear" w:color="auto" w:fill="auto"/>
            <w:tcMar>
              <w:left w:w="60" w:type="dxa"/>
              <w:right w:w="60" w:type="dxa"/>
            </w:tcMar>
            <w:vAlign w:val="center"/>
          </w:tcPr>
          <w:p w14:paraId="317B4A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（六）其他处理</w:t>
            </w:r>
          </w:p>
        </w:tc>
        <w:tc>
          <w:tcPr>
            <w:tcW w:w="3225" w:type="dxa"/>
            <w:tcBorders>
              <w:top w:val="nil"/>
              <w:left w:val="nil"/>
              <w:bottom w:val="single" w:color="auto" w:sz="6" w:space="0"/>
              <w:right w:val="single" w:color="auto" w:sz="6" w:space="0"/>
            </w:tcBorders>
            <w:shd w:val="clear" w:color="auto" w:fill="auto"/>
            <w:tcMar>
              <w:left w:w="60" w:type="dxa"/>
              <w:right w:w="60" w:type="dxa"/>
            </w:tcMar>
            <w:vAlign w:val="center"/>
          </w:tcPr>
          <w:p w14:paraId="1A8D81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sz w:val="24"/>
                <w:szCs w:val="24"/>
              </w:rPr>
            </w:pPr>
            <w:r>
              <w:rPr>
                <w:sz w:val="24"/>
                <w:szCs w:val="24"/>
              </w:rPr>
              <w:t>1.</w:t>
            </w:r>
            <w:r>
              <w:rPr>
                <w:rFonts w:hint="eastAsia" w:ascii="宋体" w:hAnsi="宋体" w:eastAsia="宋体" w:cs="宋体"/>
                <w:sz w:val="24"/>
                <w:szCs w:val="24"/>
              </w:rPr>
              <w:t>申请人无正当理由逾期不补正、行政机关不再处理其政府信息公开申请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47ADB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60B7D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BD507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1E5F9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BDF05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2DC11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79CDD9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7C59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4896E476">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680465B5">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center"/>
          </w:tcPr>
          <w:p w14:paraId="1A6C93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sz w:val="24"/>
                <w:szCs w:val="24"/>
              </w:rPr>
            </w:pPr>
            <w:r>
              <w:rPr>
                <w:sz w:val="24"/>
                <w:szCs w:val="24"/>
              </w:rPr>
              <w:t>2.</w:t>
            </w:r>
            <w:r>
              <w:rPr>
                <w:rFonts w:hint="eastAsia" w:ascii="宋体" w:hAnsi="宋体" w:eastAsia="宋体" w:cs="宋体"/>
                <w:sz w:val="24"/>
                <w:szCs w:val="24"/>
              </w:rPr>
              <w:t>申请人逾期未按收费通知要求缴纳费用、行政机关不再处理其政府信息公开申请</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DE750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3533F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4B882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DC3C1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E748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E3D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251983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4221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01791771">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945" w:type="dxa"/>
            <w:vMerge w:val="continue"/>
            <w:tcBorders>
              <w:top w:val="nil"/>
              <w:left w:val="nil"/>
              <w:bottom w:val="inset" w:color="auto" w:sz="6" w:space="0"/>
              <w:right w:val="single" w:color="auto" w:sz="6" w:space="0"/>
            </w:tcBorders>
            <w:shd w:val="clear" w:color="auto" w:fill="auto"/>
            <w:tcMar>
              <w:left w:w="60" w:type="dxa"/>
              <w:right w:w="60" w:type="dxa"/>
            </w:tcMar>
            <w:vAlign w:val="center"/>
          </w:tcPr>
          <w:p w14:paraId="7D5CA8D8">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3225" w:type="dxa"/>
            <w:tcBorders>
              <w:top w:val="nil"/>
              <w:left w:val="nil"/>
              <w:bottom w:val="single" w:color="auto" w:sz="6" w:space="0"/>
              <w:right w:val="single" w:color="auto" w:sz="6" w:space="0"/>
            </w:tcBorders>
            <w:shd w:val="clear" w:color="auto" w:fill="auto"/>
            <w:tcMar>
              <w:left w:w="60" w:type="dxa"/>
              <w:right w:w="60" w:type="dxa"/>
            </w:tcMar>
            <w:vAlign w:val="center"/>
          </w:tcPr>
          <w:p w14:paraId="5ACA43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sz w:val="24"/>
                <w:szCs w:val="24"/>
              </w:rPr>
              <w:t>3.</w:t>
            </w:r>
            <w:r>
              <w:rPr>
                <w:rFonts w:hint="eastAsia" w:ascii="宋体" w:hAnsi="宋体" w:eastAsia="宋体" w:cs="宋体"/>
                <w:sz w:val="24"/>
                <w:szCs w:val="24"/>
              </w:rPr>
              <w:t>其他</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246F8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8506E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E1485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4BD086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0B3C9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BDF9D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689FE3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r w14:paraId="2C5B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inset" w:color="auto" w:sz="6" w:space="0"/>
              <w:right w:val="single" w:color="auto" w:sz="6" w:space="0"/>
            </w:tcBorders>
            <w:shd w:val="clear" w:color="auto" w:fill="auto"/>
            <w:tcMar>
              <w:left w:w="60" w:type="dxa"/>
              <w:right w:w="60" w:type="dxa"/>
            </w:tcMar>
            <w:vAlign w:val="center"/>
          </w:tcPr>
          <w:p w14:paraId="35F20B41">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sz w:val="24"/>
                <w:szCs w:val="24"/>
              </w:rPr>
            </w:pPr>
          </w:p>
        </w:tc>
        <w:tc>
          <w:tcPr>
            <w:tcW w:w="4170"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14:paraId="26C36F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（七）总计</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19431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default"/>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78315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26D26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7AD88D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1591C8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5F5047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481FED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default"/>
                <w:sz w:val="24"/>
                <w:szCs w:val="24"/>
                <w:lang w:val="en-US" w:eastAsia="zh-CN"/>
              </w:rPr>
            </w:pPr>
            <w:r>
              <w:rPr>
                <w:rFonts w:hint="eastAsia"/>
                <w:sz w:val="24"/>
                <w:szCs w:val="24"/>
                <w:lang w:val="en-US" w:eastAsia="zh-CN"/>
              </w:rPr>
              <w:t>0</w:t>
            </w:r>
          </w:p>
        </w:tc>
      </w:tr>
      <w:tr w14:paraId="4DAC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493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95C69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sz w:val="24"/>
                <w:szCs w:val="24"/>
              </w:rPr>
            </w:pPr>
            <w:r>
              <w:rPr>
                <w:rFonts w:hint="eastAsia" w:ascii="宋体" w:hAnsi="宋体" w:eastAsia="宋体" w:cs="宋体"/>
                <w:sz w:val="24"/>
                <w:szCs w:val="24"/>
              </w:rPr>
              <w:t>四、结转下年度继续办理</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04FFD6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F3A6A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342E23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9F875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65A3B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90" w:type="dxa"/>
            <w:tcBorders>
              <w:top w:val="nil"/>
              <w:left w:val="nil"/>
              <w:bottom w:val="single" w:color="auto" w:sz="6" w:space="0"/>
              <w:right w:val="single" w:color="auto" w:sz="6" w:space="0"/>
            </w:tcBorders>
            <w:shd w:val="clear" w:color="auto" w:fill="auto"/>
            <w:tcMar>
              <w:left w:w="60" w:type="dxa"/>
              <w:right w:w="60" w:type="dxa"/>
            </w:tcMar>
            <w:vAlign w:val="center"/>
          </w:tcPr>
          <w:p w14:paraId="2DD966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c>
          <w:tcPr>
            <w:tcW w:w="660" w:type="dxa"/>
            <w:tcBorders>
              <w:top w:val="nil"/>
              <w:left w:val="nil"/>
              <w:bottom w:val="single" w:color="auto" w:sz="6" w:space="0"/>
              <w:right w:val="single" w:color="auto" w:sz="6" w:space="0"/>
            </w:tcBorders>
            <w:shd w:val="clear" w:color="auto" w:fill="auto"/>
            <w:tcMar>
              <w:left w:w="60" w:type="dxa"/>
              <w:right w:w="60" w:type="dxa"/>
            </w:tcMar>
            <w:vAlign w:val="center"/>
          </w:tcPr>
          <w:p w14:paraId="030395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sz w:val="24"/>
                <w:szCs w:val="24"/>
                <w:lang w:val="en-US" w:eastAsia="zh-CN"/>
              </w:rPr>
            </w:pPr>
            <w:r>
              <w:rPr>
                <w:rFonts w:hint="eastAsia"/>
                <w:sz w:val="24"/>
                <w:szCs w:val="24"/>
                <w:lang w:val="en-US" w:eastAsia="zh-CN"/>
              </w:rPr>
              <w:t>0</w:t>
            </w:r>
          </w:p>
        </w:tc>
      </w:tr>
    </w:tbl>
    <w:p w14:paraId="60098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640" w:firstLineChars="200"/>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四、政府信息公开行政复议、行政诉讼情况 </w:t>
      </w:r>
    </w:p>
    <w:tbl>
      <w:tblPr>
        <w:tblStyle w:val="4"/>
        <w:tblW w:w="975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5"/>
        <w:gridCol w:w="645"/>
        <w:gridCol w:w="645"/>
        <w:gridCol w:w="645"/>
        <w:gridCol w:w="645"/>
        <w:gridCol w:w="645"/>
        <w:gridCol w:w="645"/>
        <w:gridCol w:w="645"/>
        <w:gridCol w:w="645"/>
        <w:gridCol w:w="645"/>
        <w:gridCol w:w="645"/>
        <w:gridCol w:w="645"/>
        <w:gridCol w:w="645"/>
        <w:gridCol w:w="645"/>
        <w:gridCol w:w="720"/>
      </w:tblGrid>
      <w:tr w14:paraId="04CD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322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D4EA1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行政复议</w:t>
            </w:r>
          </w:p>
        </w:tc>
        <w:tc>
          <w:tcPr>
            <w:tcW w:w="6525"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FEE1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行政诉讼</w:t>
            </w:r>
          </w:p>
        </w:tc>
      </w:tr>
      <w:tr w14:paraId="7CFB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64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4FFC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结果维持</w:t>
            </w:r>
          </w:p>
        </w:tc>
        <w:tc>
          <w:tcPr>
            <w:tcW w:w="64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6FBE3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结果</w:t>
            </w:r>
            <w:r>
              <w:rPr>
                <w:sz w:val="24"/>
                <w:szCs w:val="24"/>
              </w:rPr>
              <w:br w:type="textWrapping"/>
            </w:r>
            <w:r>
              <w:rPr>
                <w:rFonts w:hint="eastAsia" w:ascii="宋体" w:hAnsi="宋体" w:eastAsia="宋体" w:cs="宋体"/>
                <w:sz w:val="24"/>
                <w:szCs w:val="24"/>
              </w:rPr>
              <w:t>纠正</w:t>
            </w:r>
          </w:p>
        </w:tc>
        <w:tc>
          <w:tcPr>
            <w:tcW w:w="64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15C5C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其他</w:t>
            </w:r>
            <w:r>
              <w:rPr>
                <w:sz w:val="24"/>
                <w:szCs w:val="24"/>
              </w:rPr>
              <w:br w:type="textWrapping"/>
            </w:r>
            <w:r>
              <w:rPr>
                <w:rFonts w:hint="eastAsia" w:ascii="宋体" w:hAnsi="宋体" w:eastAsia="宋体" w:cs="宋体"/>
                <w:sz w:val="24"/>
                <w:szCs w:val="24"/>
              </w:rPr>
              <w:t>结果</w:t>
            </w:r>
          </w:p>
        </w:tc>
        <w:tc>
          <w:tcPr>
            <w:tcW w:w="64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09BEC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尚未</w:t>
            </w:r>
            <w:r>
              <w:rPr>
                <w:sz w:val="24"/>
                <w:szCs w:val="24"/>
              </w:rPr>
              <w:br w:type="textWrapping"/>
            </w:r>
            <w:r>
              <w:rPr>
                <w:sz w:val="24"/>
                <w:szCs w:val="24"/>
              </w:rPr>
              <w:t> </w:t>
            </w:r>
            <w:r>
              <w:rPr>
                <w:rFonts w:hint="eastAsia" w:ascii="宋体" w:hAnsi="宋体" w:eastAsia="宋体" w:cs="宋体"/>
                <w:sz w:val="24"/>
                <w:szCs w:val="24"/>
              </w:rPr>
              <w:t>审结</w:t>
            </w:r>
          </w:p>
        </w:tc>
        <w:tc>
          <w:tcPr>
            <w:tcW w:w="64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59EDF1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总计</w:t>
            </w:r>
          </w:p>
        </w:tc>
        <w:tc>
          <w:tcPr>
            <w:tcW w:w="3225"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14:paraId="0D1180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未经复议直接起诉</w:t>
            </w:r>
          </w:p>
        </w:tc>
        <w:tc>
          <w:tcPr>
            <w:tcW w:w="330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14:paraId="6579FD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复议后起诉</w:t>
            </w:r>
          </w:p>
        </w:tc>
      </w:tr>
      <w:tr w14:paraId="0B85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64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950134E">
            <w:pPr>
              <w:rPr>
                <w:rFonts w:hint="eastAsia" w:ascii="宋体"/>
                <w:sz w:val="24"/>
                <w:szCs w:val="24"/>
              </w:rPr>
            </w:pPr>
          </w:p>
        </w:tc>
        <w:tc>
          <w:tcPr>
            <w:tcW w:w="64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470479B0">
            <w:pPr>
              <w:rPr>
                <w:rFonts w:hint="eastAsia" w:ascii="宋体"/>
                <w:sz w:val="24"/>
                <w:szCs w:val="24"/>
              </w:rPr>
            </w:pPr>
          </w:p>
        </w:tc>
        <w:tc>
          <w:tcPr>
            <w:tcW w:w="64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567F18F4">
            <w:pPr>
              <w:rPr>
                <w:rFonts w:hint="eastAsia" w:ascii="宋体"/>
                <w:sz w:val="24"/>
                <w:szCs w:val="24"/>
              </w:rPr>
            </w:pPr>
          </w:p>
        </w:tc>
        <w:tc>
          <w:tcPr>
            <w:tcW w:w="64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5CD90D59">
            <w:pPr>
              <w:rPr>
                <w:rFonts w:hint="eastAsia" w:ascii="宋体"/>
                <w:sz w:val="24"/>
                <w:szCs w:val="24"/>
              </w:rPr>
            </w:pPr>
          </w:p>
        </w:tc>
        <w:tc>
          <w:tcPr>
            <w:tcW w:w="64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34127D6B">
            <w:pPr>
              <w:rPr>
                <w:rFonts w:hint="eastAsia" w:ascii="宋体"/>
                <w:sz w:val="24"/>
                <w:szCs w:val="24"/>
              </w:rPr>
            </w:pP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57D12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结果</w:t>
            </w:r>
            <w:r>
              <w:rPr>
                <w:sz w:val="24"/>
                <w:szCs w:val="24"/>
              </w:rPr>
              <w:br w:type="textWrapping"/>
            </w:r>
            <w:r>
              <w:rPr>
                <w:rFonts w:hint="eastAsia" w:ascii="宋体" w:hAnsi="宋体" w:eastAsia="宋体" w:cs="宋体"/>
                <w:sz w:val="24"/>
                <w:szCs w:val="24"/>
              </w:rPr>
              <w:t>维持</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38F886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结果</w:t>
            </w:r>
            <w:r>
              <w:rPr>
                <w:sz w:val="24"/>
                <w:szCs w:val="24"/>
              </w:rPr>
              <w:br w:type="textWrapping"/>
            </w:r>
            <w:r>
              <w:rPr>
                <w:rFonts w:hint="eastAsia" w:ascii="宋体" w:hAnsi="宋体" w:eastAsia="宋体" w:cs="宋体"/>
                <w:sz w:val="24"/>
                <w:szCs w:val="24"/>
              </w:rPr>
              <w:t>纠正</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19CD1A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其他</w:t>
            </w:r>
            <w:r>
              <w:rPr>
                <w:sz w:val="24"/>
                <w:szCs w:val="24"/>
              </w:rPr>
              <w:br w:type="textWrapping"/>
            </w:r>
            <w:r>
              <w:rPr>
                <w:rFonts w:hint="eastAsia" w:ascii="宋体" w:hAnsi="宋体" w:eastAsia="宋体" w:cs="宋体"/>
                <w:sz w:val="24"/>
                <w:szCs w:val="24"/>
              </w:rPr>
              <w:t>结果</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0A5B2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尚未</w:t>
            </w:r>
            <w:r>
              <w:rPr>
                <w:sz w:val="24"/>
                <w:szCs w:val="24"/>
              </w:rPr>
              <w:br w:type="textWrapping"/>
            </w:r>
            <w:r>
              <w:rPr>
                <w:rFonts w:hint="eastAsia" w:ascii="宋体" w:hAnsi="宋体" w:eastAsia="宋体" w:cs="宋体"/>
                <w:sz w:val="24"/>
                <w:szCs w:val="24"/>
              </w:rPr>
              <w:t>审结</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5CCD54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总计</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30B98B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结果</w:t>
            </w:r>
            <w:r>
              <w:rPr>
                <w:sz w:val="24"/>
                <w:szCs w:val="24"/>
              </w:rPr>
              <w:br w:type="textWrapping"/>
            </w:r>
            <w:r>
              <w:rPr>
                <w:rFonts w:hint="eastAsia" w:ascii="宋体" w:hAnsi="宋体" w:eastAsia="宋体" w:cs="宋体"/>
                <w:sz w:val="24"/>
                <w:szCs w:val="24"/>
              </w:rPr>
              <w:t>维持</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625F91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结果</w:t>
            </w:r>
            <w:r>
              <w:rPr>
                <w:sz w:val="24"/>
                <w:szCs w:val="24"/>
              </w:rPr>
              <w:br w:type="textWrapping"/>
            </w:r>
            <w:r>
              <w:rPr>
                <w:rFonts w:hint="eastAsia" w:ascii="宋体" w:hAnsi="宋体" w:eastAsia="宋体" w:cs="宋体"/>
                <w:sz w:val="24"/>
                <w:szCs w:val="24"/>
              </w:rPr>
              <w:t>纠正</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7FCECB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其他</w:t>
            </w:r>
            <w:r>
              <w:rPr>
                <w:sz w:val="24"/>
                <w:szCs w:val="24"/>
              </w:rPr>
              <w:br w:type="textWrapping"/>
            </w:r>
            <w:r>
              <w:rPr>
                <w:rFonts w:hint="eastAsia" w:ascii="宋体" w:hAnsi="宋体" w:eastAsia="宋体" w:cs="宋体"/>
                <w:sz w:val="24"/>
                <w:szCs w:val="24"/>
              </w:rPr>
              <w:t>结果</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279A13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尚未</w:t>
            </w:r>
            <w:r>
              <w:rPr>
                <w:sz w:val="24"/>
                <w:szCs w:val="24"/>
              </w:rPr>
              <w:br w:type="textWrapping"/>
            </w:r>
            <w:r>
              <w:rPr>
                <w:rFonts w:hint="eastAsia" w:ascii="宋体" w:hAnsi="宋体" w:eastAsia="宋体" w:cs="宋体"/>
                <w:sz w:val="24"/>
                <w:szCs w:val="24"/>
              </w:rPr>
              <w:t>审结</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14:paraId="15F54D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rFonts w:hint="eastAsia" w:ascii="宋体" w:hAnsi="宋体" w:eastAsia="宋体" w:cs="宋体"/>
                <w:sz w:val="24"/>
                <w:szCs w:val="24"/>
              </w:rPr>
              <w:t>总计</w:t>
            </w:r>
          </w:p>
        </w:tc>
      </w:tr>
      <w:tr w14:paraId="54CD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blCellSpacing w:w="0" w:type="dxa"/>
        </w:trPr>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995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210EF6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eastAsiaTheme="minorEastAsia"/>
                <w:sz w:val="24"/>
                <w:szCs w:val="24"/>
                <w:lang w:val="en-US" w:eastAsia="zh-CN"/>
              </w:rPr>
            </w:pPr>
            <w:r>
              <w:rPr>
                <w:rFonts w:hint="eastAsia"/>
                <w:sz w:val="24"/>
                <w:szCs w:val="24"/>
                <w:lang w:val="en-US" w:eastAsia="zh-CN"/>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1E757F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1ED65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13E1B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rFonts w:hint="default" w:eastAsiaTheme="minorEastAsia"/>
                <w:sz w:val="24"/>
                <w:szCs w:val="24"/>
                <w:lang w:val="en-US" w:eastAsia="zh-CN"/>
              </w:rPr>
            </w:pPr>
            <w:r>
              <w:rPr>
                <w:rFonts w:hint="eastAsia"/>
                <w:sz w:val="24"/>
                <w:szCs w:val="24"/>
                <w:lang w:val="en-US" w:eastAsia="zh-CN"/>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6CC97C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122D17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1B9FA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5FEDA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05F50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5E03B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03AF0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18691E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39E47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c>
          <w:tcPr>
            <w:tcW w:w="720" w:type="dxa"/>
            <w:tcBorders>
              <w:top w:val="nil"/>
              <w:left w:val="nil"/>
              <w:bottom w:val="single" w:color="auto" w:sz="6" w:space="0"/>
              <w:right w:val="single" w:color="auto" w:sz="6" w:space="0"/>
            </w:tcBorders>
            <w:shd w:val="clear" w:color="auto" w:fill="auto"/>
            <w:tcMar>
              <w:left w:w="105" w:type="dxa"/>
              <w:right w:w="105" w:type="dxa"/>
            </w:tcMar>
            <w:vAlign w:val="center"/>
          </w:tcPr>
          <w:p w14:paraId="1082E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rPr>
                <w:sz w:val="24"/>
                <w:szCs w:val="24"/>
              </w:rPr>
            </w:pPr>
            <w:r>
              <w:rPr>
                <w:sz w:val="24"/>
                <w:szCs w:val="24"/>
              </w:rPr>
              <w:t>0</w:t>
            </w:r>
          </w:p>
        </w:tc>
      </w:tr>
    </w:tbl>
    <w:p w14:paraId="3EF9C931">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五、存在的主要问题及改进情况</w:t>
      </w:r>
    </w:p>
    <w:p w14:paraId="08F212E1">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一年来，在政府信息公开的内容上，局机关和业务科室能主动及时发布，在数量、质量方面较往年都有一定的提升，但还存在一些问题：一是对于政策解读做的不够全面，转发上级部门政策性文件较多；二是基于退役军人有关事务的保密要求，对可以公开内容的公开形式研究不多。</w:t>
      </w:r>
    </w:p>
    <w:p w14:paraId="1D94C85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下一步，我局将优化公开内容，创新发布形式，着重从以下几个方面改进提升：一是以多种公开形式发布信息，便于群众多渠道了解信息；二是更加全面公开重点领域信息，提升政府信息公开标准化、规范化水平；三是加强有关政务公开业务知识学习，不断提高工作人员能力水平。</w:t>
      </w:r>
    </w:p>
    <w:p w14:paraId="3B64665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    六、其他需要报告的事项</w:t>
      </w:r>
    </w:p>
    <w:p w14:paraId="44D0E87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无其他报告事项</w:t>
      </w:r>
      <w:r>
        <w:rPr>
          <w:rFonts w:hint="eastAsia" w:ascii="仿宋_GB2312" w:hAnsi="仿宋_GB2312" w:eastAsia="仿宋_GB2312" w:cs="仿宋_GB2312"/>
          <w:sz w:val="30"/>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F10BC"/>
    <w:rsid w:val="14FB4878"/>
    <w:rsid w:val="69B54B8A"/>
    <w:rsid w:val="6F9A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pageBreakBefore/>
      <w:spacing w:before="0" w:beforeAutospacing="0" w:after="0" w:afterAutospacing="0" w:line="600" w:lineRule="exact"/>
      <w:ind w:firstLine="0" w:firstLineChars="0"/>
      <w:jc w:val="center"/>
      <w:outlineLvl w:val="0"/>
    </w:pPr>
    <w:rPr>
      <w:rFonts w:hint="eastAsia" w:ascii="宋体" w:hAnsi="宋体" w:eastAsia="方正小标宋简体" w:cs="宋体"/>
      <w:bCs/>
      <w:kern w:val="44"/>
      <w:sz w:val="48"/>
      <w:szCs w:val="48"/>
      <w:lang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标题 1 Char"/>
    <w:link w:val="2"/>
    <w:uiPriority w:val="0"/>
    <w:rPr>
      <w:rFonts w:hint="eastAsia" w:ascii="宋体" w:hAnsi="宋体" w:eastAsia="方正小标宋简体" w:cs="宋体"/>
      <w:bCs/>
      <w:kern w:val="44"/>
      <w:sz w:val="48"/>
      <w:szCs w:val="48"/>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2025-01-13T03:20:00Z</dcterms:created>
  <dc:creator>Administrator</dc:creator>
  <cp:lastModifiedBy>陈阳</cp:lastModifiedBy>
  <dcterms:modified xsi:type="dcterms:W3CDTF">2025-02-28T01:14:00Z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29557C00AB5D40A6BC787255AB6987AB_12</vt:lpwstr>
  </property>
  <property fmtid="{D5CDD505-2E9C-101B-9397-08002B2CF9AE}" pid="4" name="KSOTemplateDocerSaveRecord">
    <vt:lpwstr>eyJoZGlkIjoiNTFlNWZlYzVmZTIwMmI1ZWJmMWQyMDA2ODlkYjJhNWIiLCJ1c2VySWQiOiIyNjQ3OTQ0MjIifQ==</vt:lpwstr>
  </property>
</Properties>
</file>